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-224155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6"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SECURITIES AND EXCHANGE COMMISSION</w:t>
      </w:r>
    </w:p>
    <w:p>
      <w:pPr>
        <w:spacing w:after="0" w:line="7"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WASHINGTON, D.C. 20549</w:t>
      </w:r>
    </w:p>
    <w:p>
      <w:pPr>
        <w:ind w:left="4500"/>
        <w:spacing w:after="0"/>
        <w:rPr>
          <w:sz w:val="20"/>
          <w:szCs w:val="20"/>
          <w:color w:val="auto"/>
        </w:rPr>
      </w:pPr>
      <w:r>
        <w:rPr>
          <w:rFonts w:ascii="Arial" w:cs="Arial" w:eastAsia="Arial" w:hAnsi="Arial"/>
          <w:sz w:val="18"/>
          <w:szCs w:val="18"/>
          <w:color w:val="auto"/>
        </w:rPr>
        <w:t>_________________________</w:t>
      </w:r>
    </w:p>
    <w:p>
      <w:pPr>
        <w:spacing w:after="0" w:line="7"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10-Q</w:t>
      </w:r>
    </w:p>
    <w:p>
      <w:pPr>
        <w:spacing w:after="0" w:line="7" w:lineRule="exact"/>
        <w:rPr>
          <w:sz w:val="24"/>
          <w:szCs w:val="24"/>
          <w:color w:val="auto"/>
        </w:rPr>
      </w:pPr>
    </w:p>
    <w:p>
      <w:pPr>
        <w:ind w:left="4460"/>
        <w:spacing w:after="0"/>
        <w:rPr>
          <w:sz w:val="20"/>
          <w:szCs w:val="20"/>
          <w:color w:val="auto"/>
        </w:rPr>
      </w:pPr>
      <w:r>
        <w:rPr>
          <w:rFonts w:ascii="Arial" w:cs="Arial" w:eastAsia="Arial" w:hAnsi="Arial"/>
          <w:sz w:val="11"/>
          <w:szCs w:val="11"/>
          <w:color w:val="auto"/>
        </w:rPr>
        <w:t>___________________________________________</w:t>
      </w:r>
    </w:p>
    <w:p>
      <w:pPr>
        <w:spacing w:after="0"/>
        <w:rPr>
          <w:sz w:val="20"/>
          <w:szCs w:val="20"/>
          <w:color w:val="auto"/>
        </w:rPr>
      </w:pPr>
      <w:r>
        <w:rPr>
          <w:rFonts w:ascii="Arial" w:cs="Arial" w:eastAsia="Arial" w:hAnsi="Arial"/>
          <w:sz w:val="18"/>
          <w:szCs w:val="18"/>
          <w:b w:val="1"/>
          <w:bCs w:val="1"/>
          <w:color w:val="auto"/>
        </w:rPr>
        <w:t>(Mark One)</w:t>
      </w:r>
    </w:p>
    <w:p>
      <w:pPr>
        <w:spacing w:after="0" w:line="156" w:lineRule="exact"/>
        <w:rPr>
          <w:sz w:val="24"/>
          <w:szCs w:val="24"/>
          <w:color w:val="auto"/>
        </w:rPr>
      </w:pPr>
    </w:p>
    <w:p>
      <w:pPr>
        <w:ind w:left="720" w:hanging="685"/>
        <w:spacing w:after="0"/>
        <w:tabs>
          <w:tab w:leader="none" w:pos="720" w:val="left"/>
        </w:tabs>
        <w:numPr>
          <w:ilvl w:val="0"/>
          <w:numId w:val="1"/>
        </w:numPr>
        <w:rPr>
          <w:rFonts w:ascii="MS PGothic" w:cs="MS PGothic" w:eastAsia="MS PGothic" w:hAnsi="MS PGothic"/>
          <w:sz w:val="18"/>
          <w:szCs w:val="18"/>
          <w:color w:val="auto"/>
        </w:rPr>
      </w:pPr>
      <w:r>
        <w:rPr>
          <w:rFonts w:ascii="Arial" w:cs="Arial" w:eastAsia="Arial" w:hAnsi="Arial"/>
          <w:sz w:val="16"/>
          <w:szCs w:val="16"/>
          <w:b w:val="1"/>
          <w:bCs w:val="1"/>
          <w:color w:val="auto"/>
        </w:rPr>
        <w:t>QUARTERLY REPORT PURSUANT TO SECTION 13 OR 15(d) OF THE SECURITIES EXCHANGE ACT OF 1934</w:t>
      </w:r>
    </w:p>
    <w:p>
      <w:pPr>
        <w:spacing w:after="0" w:line="61" w:lineRule="exact"/>
        <w:rPr>
          <w:rFonts w:ascii="MS PGothic" w:cs="MS PGothic" w:eastAsia="MS PGothic" w:hAnsi="MS PGothic"/>
          <w:sz w:val="18"/>
          <w:szCs w:val="18"/>
          <w:color w:val="auto"/>
        </w:rPr>
      </w:pPr>
    </w:p>
    <w:p>
      <w:pPr>
        <w:ind w:left="382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For the quarterly period ended March 31, 2020</w:t>
      </w:r>
    </w:p>
    <w:p>
      <w:pPr>
        <w:spacing w:after="0" w:line="52"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OR</w:t>
      </w:r>
    </w:p>
    <w:p>
      <w:pPr>
        <w:spacing w:after="0" w:line="176" w:lineRule="exact"/>
        <w:rPr>
          <w:sz w:val="24"/>
          <w:szCs w:val="24"/>
          <w:color w:val="auto"/>
        </w:rPr>
      </w:pPr>
    </w:p>
    <w:p>
      <w:pPr>
        <w:ind w:left="720" w:hanging="685"/>
        <w:spacing w:after="0"/>
        <w:tabs>
          <w:tab w:leader="none" w:pos="720" w:val="left"/>
        </w:tabs>
        <w:numPr>
          <w:ilvl w:val="0"/>
          <w:numId w:val="2"/>
        </w:numPr>
        <w:rPr>
          <w:rFonts w:ascii="MS PGothic" w:cs="MS PGothic" w:eastAsia="MS PGothic" w:hAnsi="MS PGothic"/>
          <w:sz w:val="18"/>
          <w:szCs w:val="18"/>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61" w:lineRule="exact"/>
        <w:rPr>
          <w:sz w:val="24"/>
          <w:szCs w:val="24"/>
          <w:color w:val="auto"/>
        </w:rPr>
      </w:pPr>
    </w:p>
    <w:p>
      <w:pPr>
        <w:ind w:left="3420"/>
        <w:spacing w:after="0"/>
        <w:tabs>
          <w:tab w:leader="none" w:pos="67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3676650</wp:posOffset>
            </wp:positionH>
            <wp:positionV relativeFrom="paragraph">
              <wp:posOffset>-14605</wp:posOffset>
            </wp:positionV>
            <wp:extent cx="129476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94765" cy="8255"/>
                    </a:xfrm>
                    <a:prstGeom prst="rect">
                      <a:avLst/>
                    </a:prstGeom>
                    <a:noFill/>
                  </pic:spPr>
                </pic:pic>
              </a:graphicData>
            </a:graphic>
          </wp:anchor>
        </w:drawing>
      </w:r>
    </w:p>
    <w:p>
      <w:pPr>
        <w:spacing w:after="0" w:line="32"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Commission file number 001-35219</w:t>
      </w:r>
    </w:p>
    <w:p>
      <w:pPr>
        <w:spacing w:after="0" w:line="27" w:lineRule="exact"/>
        <w:rPr>
          <w:sz w:val="24"/>
          <w:szCs w:val="24"/>
          <w:color w:val="auto"/>
        </w:rPr>
      </w:pPr>
    </w:p>
    <w:p>
      <w:pPr>
        <w:ind w:left="4500"/>
        <w:spacing w:after="0"/>
        <w:rPr>
          <w:sz w:val="20"/>
          <w:szCs w:val="20"/>
          <w:color w:val="auto"/>
        </w:rPr>
      </w:pPr>
      <w:r>
        <w:rPr>
          <w:rFonts w:ascii="Arial" w:cs="Arial" w:eastAsia="Arial" w:hAnsi="Arial"/>
          <w:sz w:val="18"/>
          <w:szCs w:val="18"/>
          <w:color w:val="auto"/>
        </w:rPr>
        <w:t>_________________________</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43"/>
          <w:szCs w:val="43"/>
          <w:b w:val="1"/>
          <w:bCs w:val="1"/>
          <w:color w:val="auto"/>
        </w:rPr>
        <w:t>Marriott Vacations Worldwide Corporation</w:t>
      </w:r>
    </w:p>
    <w:p>
      <w:pPr>
        <w:spacing w:after="0" w:line="20"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7" w:lineRule="exact"/>
        <w:rPr>
          <w:sz w:val="24"/>
          <w:szCs w:val="24"/>
          <w:color w:val="auto"/>
        </w:rPr>
      </w:pPr>
    </w:p>
    <w:p>
      <w:pPr>
        <w:ind w:left="4500"/>
        <w:spacing w:after="0"/>
        <w:rPr>
          <w:sz w:val="20"/>
          <w:szCs w:val="20"/>
          <w:color w:val="auto"/>
        </w:rPr>
      </w:pPr>
      <w:r>
        <w:rPr>
          <w:rFonts w:ascii="Arial" w:cs="Arial" w:eastAsia="Arial" w:hAnsi="Arial"/>
          <w:sz w:val="18"/>
          <w:szCs w:val="18"/>
          <w:color w:val="auto"/>
        </w:rPr>
        <w:t>_________________________</w:t>
      </w:r>
    </w:p>
    <w:p>
      <w:pPr>
        <w:spacing w:after="0" w:line="153" w:lineRule="exact"/>
        <w:rPr>
          <w:sz w:val="24"/>
          <w:szCs w:val="24"/>
          <w:color w:val="auto"/>
        </w:rPr>
      </w:pPr>
    </w:p>
    <w:tbl>
      <w:tblPr>
        <w:tblLayout w:type="fixed"/>
        <w:tblInd w:w="2000" w:type="dxa"/>
        <w:tblCellMar>
          <w:top w:w="0" w:type="dxa"/>
          <w:left w:w="0" w:type="dxa"/>
          <w:bottom w:w="0" w:type="dxa"/>
          <w:right w:w="0" w:type="dxa"/>
        </w:tblCellMar>
      </w:tblPr>
      <w:tr>
        <w:trPr>
          <w:trHeight w:val="234"/>
        </w:trPr>
        <w:tc>
          <w:tcPr>
            <w:tcW w:w="4080" w:type="dxa"/>
            <w:vAlign w:val="bottom"/>
          </w:tcPr>
          <w:p>
            <w:pPr>
              <w:jc w:val="center"/>
              <w:ind w:right="1201"/>
              <w:spacing w:after="0"/>
              <w:rPr>
                <w:sz w:val="20"/>
                <w:szCs w:val="20"/>
                <w:color w:val="auto"/>
              </w:rPr>
            </w:pPr>
            <w:r>
              <w:rPr>
                <w:rFonts w:ascii="Arial" w:cs="Arial" w:eastAsia="Arial" w:hAnsi="Arial"/>
                <w:sz w:val="18"/>
                <w:szCs w:val="18"/>
                <w:b w:val="1"/>
                <w:bCs w:val="1"/>
                <w:color w:val="auto"/>
                <w:w w:val="91"/>
              </w:rPr>
              <w:t>Delaware</w:t>
            </w:r>
          </w:p>
        </w:tc>
        <w:tc>
          <w:tcPr>
            <w:tcW w:w="2380" w:type="dxa"/>
            <w:vAlign w:val="bottom"/>
          </w:tcPr>
          <w:p>
            <w:pPr>
              <w:jc w:val="right"/>
              <w:ind w:right="41"/>
              <w:spacing w:after="0"/>
              <w:rPr>
                <w:sz w:val="20"/>
                <w:szCs w:val="20"/>
                <w:color w:val="auto"/>
              </w:rPr>
            </w:pPr>
            <w:r>
              <w:rPr>
                <w:rFonts w:ascii="Arial" w:cs="Arial" w:eastAsia="Arial" w:hAnsi="Arial"/>
                <w:sz w:val="18"/>
                <w:szCs w:val="18"/>
                <w:b w:val="1"/>
                <w:bCs w:val="1"/>
                <w:color w:val="auto"/>
              </w:rPr>
              <w:t>45-2598330</w:t>
            </w:r>
          </w:p>
        </w:tc>
      </w:tr>
      <w:tr>
        <w:trPr>
          <w:trHeight w:val="180"/>
        </w:trPr>
        <w:tc>
          <w:tcPr>
            <w:tcW w:w="4080" w:type="dxa"/>
            <w:vAlign w:val="bottom"/>
          </w:tcPr>
          <w:p>
            <w:pPr>
              <w:jc w:val="center"/>
              <w:ind w:right="1201"/>
              <w:spacing w:after="0"/>
              <w:rPr>
                <w:sz w:val="20"/>
                <w:szCs w:val="20"/>
                <w:color w:val="auto"/>
              </w:rPr>
            </w:pPr>
            <w:r>
              <w:rPr>
                <w:rFonts w:ascii="Arial" w:cs="Arial" w:eastAsia="Arial" w:hAnsi="Arial"/>
                <w:sz w:val="14"/>
                <w:szCs w:val="14"/>
                <w:b w:val="1"/>
                <w:bCs w:val="1"/>
                <w:color w:val="auto"/>
                <w:w w:val="93"/>
              </w:rPr>
              <w:t>(State or other jurisdiction of</w:t>
            </w:r>
          </w:p>
        </w:tc>
        <w:tc>
          <w:tcPr>
            <w:tcW w:w="2380" w:type="dxa"/>
            <w:vAlign w:val="bottom"/>
          </w:tcPr>
          <w:p>
            <w:pPr>
              <w:jc w:val="center"/>
              <w:ind w:left="1181"/>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4080" w:type="dxa"/>
            <w:vAlign w:val="bottom"/>
          </w:tcPr>
          <w:p>
            <w:pPr>
              <w:jc w:val="center"/>
              <w:ind w:right="1201"/>
              <w:spacing w:after="0"/>
              <w:rPr>
                <w:sz w:val="20"/>
                <w:szCs w:val="20"/>
                <w:color w:val="auto"/>
              </w:rPr>
            </w:pPr>
            <w:r>
              <w:rPr>
                <w:rFonts w:ascii="Arial" w:cs="Arial" w:eastAsia="Arial" w:hAnsi="Arial"/>
                <w:sz w:val="14"/>
                <w:szCs w:val="14"/>
                <w:b w:val="1"/>
                <w:bCs w:val="1"/>
                <w:color w:val="auto"/>
                <w:w w:val="94"/>
              </w:rPr>
              <w:t>incorporation or organization)</w:t>
            </w:r>
          </w:p>
        </w:tc>
        <w:tc>
          <w:tcPr>
            <w:tcW w:w="2380" w:type="dxa"/>
            <w:vAlign w:val="bottom"/>
          </w:tcPr>
          <w:p>
            <w:pPr>
              <w:jc w:val="center"/>
              <w:ind w:left="1181"/>
              <w:spacing w:after="0"/>
              <w:rPr>
                <w:sz w:val="20"/>
                <w:szCs w:val="20"/>
                <w:color w:val="auto"/>
              </w:rPr>
            </w:pPr>
            <w:r>
              <w:rPr>
                <w:rFonts w:ascii="Arial" w:cs="Arial" w:eastAsia="Arial" w:hAnsi="Arial"/>
                <w:sz w:val="14"/>
                <w:szCs w:val="14"/>
                <w:b w:val="1"/>
                <w:bCs w:val="1"/>
                <w:color w:val="auto"/>
                <w:w w:val="94"/>
              </w:rPr>
              <w:t>Identification No.)</w:t>
            </w:r>
          </w:p>
        </w:tc>
      </w:tr>
      <w:tr>
        <w:trPr>
          <w:trHeight w:val="255"/>
        </w:trPr>
        <w:tc>
          <w:tcPr>
            <w:tcW w:w="4080" w:type="dxa"/>
            <w:vAlign w:val="bottom"/>
          </w:tcPr>
          <w:p>
            <w:pPr>
              <w:jc w:val="center"/>
              <w:ind w:right="1181"/>
              <w:spacing w:after="0"/>
              <w:rPr>
                <w:sz w:val="20"/>
                <w:szCs w:val="20"/>
                <w:color w:val="auto"/>
              </w:rPr>
            </w:pPr>
            <w:r>
              <w:rPr>
                <w:rFonts w:ascii="Arial" w:cs="Arial" w:eastAsia="Arial" w:hAnsi="Arial"/>
                <w:sz w:val="18"/>
                <w:szCs w:val="18"/>
                <w:b w:val="1"/>
                <w:bCs w:val="1"/>
                <w:color w:val="auto"/>
                <w:w w:val="97"/>
              </w:rPr>
              <w:t>6649 Westwood Blvd. Orlando  FL</w:t>
            </w:r>
          </w:p>
        </w:tc>
        <w:tc>
          <w:tcPr>
            <w:tcW w:w="2380" w:type="dxa"/>
            <w:vAlign w:val="bottom"/>
          </w:tcPr>
          <w:p>
            <w:pPr>
              <w:jc w:val="right"/>
              <w:ind w:right="261"/>
              <w:spacing w:after="0"/>
              <w:rPr>
                <w:sz w:val="20"/>
                <w:szCs w:val="20"/>
                <w:color w:val="auto"/>
              </w:rPr>
            </w:pPr>
            <w:r>
              <w:rPr>
                <w:rFonts w:ascii="Arial" w:cs="Arial" w:eastAsia="Arial" w:hAnsi="Arial"/>
                <w:sz w:val="18"/>
                <w:szCs w:val="18"/>
                <w:b w:val="1"/>
                <w:bCs w:val="1"/>
                <w:color w:val="auto"/>
              </w:rPr>
              <w:t>32821</w:t>
            </w:r>
          </w:p>
        </w:tc>
      </w:tr>
      <w:tr>
        <w:trPr>
          <w:trHeight w:val="217"/>
        </w:trPr>
        <w:tc>
          <w:tcPr>
            <w:tcW w:w="4080" w:type="dxa"/>
            <w:vAlign w:val="bottom"/>
          </w:tcPr>
          <w:p>
            <w:pPr>
              <w:jc w:val="center"/>
              <w:ind w:right="1181"/>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380" w:type="dxa"/>
            <w:vAlign w:val="bottom"/>
          </w:tcPr>
          <w:p>
            <w:pPr>
              <w:jc w:val="center"/>
              <w:ind w:left="1181"/>
              <w:spacing w:after="0"/>
              <w:rPr>
                <w:sz w:val="20"/>
                <w:szCs w:val="20"/>
                <w:color w:val="auto"/>
              </w:rPr>
            </w:pPr>
            <w:r>
              <w:rPr>
                <w:rFonts w:ascii="Arial" w:cs="Arial" w:eastAsia="Arial" w:hAnsi="Arial"/>
                <w:sz w:val="14"/>
                <w:szCs w:val="14"/>
                <w:b w:val="1"/>
                <w:bCs w:val="1"/>
                <w:color w:val="auto"/>
                <w:w w:val="98"/>
              </w:rPr>
              <w:t>(Zip Code)</w:t>
            </w:r>
          </w:p>
        </w:tc>
      </w:tr>
    </w:tbl>
    <w:p>
      <w:pPr>
        <w:spacing w:after="0" w:line="88"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(407) 206-6000</w:t>
      </w:r>
    </w:p>
    <w:p>
      <w:pPr>
        <w:spacing w:after="0" w:line="21"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98" w:lineRule="exact"/>
        <w:rPr>
          <w:sz w:val="24"/>
          <w:szCs w:val="24"/>
          <w:color w:val="auto"/>
        </w:rPr>
      </w:pPr>
    </w:p>
    <w:p>
      <w:pPr>
        <w:spacing w:after="0"/>
        <w:rPr>
          <w:sz w:val="20"/>
          <w:szCs w:val="20"/>
          <w:color w:val="auto"/>
        </w:rPr>
      </w:pPr>
      <w:r>
        <w:rPr>
          <w:rFonts w:ascii="Arial" w:cs="Arial" w:eastAsia="Arial" w:hAnsi="Arial"/>
          <w:sz w:val="17"/>
          <w:szCs w:val="17"/>
          <w:color w:val="auto"/>
        </w:rPr>
        <w:t>Securities registered pursuant to Section 12(b) of the Act:</w:t>
      </w:r>
    </w:p>
    <w:p>
      <w:pPr>
        <w:spacing w:after="0" w:line="140" w:lineRule="exact"/>
        <w:rPr>
          <w:sz w:val="24"/>
          <w:szCs w:val="24"/>
          <w:color w:val="auto"/>
        </w:rPr>
      </w:pPr>
    </w:p>
    <w:tbl>
      <w:tblPr>
        <w:tblLayout w:type="fixed"/>
        <w:tblInd w:w="10" w:type="dxa"/>
        <w:tblCellMar>
          <w:top w:w="0" w:type="dxa"/>
          <w:left w:w="0" w:type="dxa"/>
          <w:bottom w:w="0" w:type="dxa"/>
          <w:right w:w="0" w:type="dxa"/>
        </w:tblCellMar>
      </w:tblPr>
      <w:tr>
        <w:trPr>
          <w:trHeight w:val="210"/>
        </w:trPr>
        <w:tc>
          <w:tcPr>
            <w:tcW w:w="39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33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Trading Symbol(s)</w:t>
            </w:r>
          </w:p>
        </w:tc>
        <w:tc>
          <w:tcPr>
            <w:tcW w:w="39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r>
      <w:tr>
        <w:trPr>
          <w:trHeight w:val="225"/>
        </w:trPr>
        <w:tc>
          <w:tcPr>
            <w:tcW w:w="39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0"/>
              </w:rPr>
              <w:t>Common Stock, $0.01 Par Value</w:t>
            </w:r>
          </w:p>
        </w:tc>
        <w:tc>
          <w:tcPr>
            <w:tcW w:w="338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7"/>
              </w:rPr>
              <w:t>VAC</w:t>
            </w:r>
          </w:p>
        </w:tc>
        <w:tc>
          <w:tcPr>
            <w:tcW w:w="392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1"/>
              </w:rPr>
              <w:t>New York Stock Exchange</w:t>
            </w:r>
          </w:p>
        </w:tc>
      </w:tr>
      <w:tr>
        <w:trPr>
          <w:trHeight w:val="31"/>
        </w:trPr>
        <w:tc>
          <w:tcPr>
            <w:tcW w:w="3960" w:type="dxa"/>
            <w:vAlign w:val="bottom"/>
            <w:tcBorders>
              <w:left w:val="single" w:sz="8" w:color="auto"/>
              <w:bottom w:val="single" w:sz="8" w:color="auto"/>
              <w:right w:val="single" w:sz="8" w:color="auto"/>
            </w:tcBorders>
          </w:tcPr>
          <w:p>
            <w:pPr>
              <w:spacing w:after="0"/>
              <w:rPr>
                <w:sz w:val="2"/>
                <w:szCs w:val="2"/>
                <w:color w:val="auto"/>
              </w:rPr>
            </w:pPr>
          </w:p>
        </w:tc>
        <w:tc>
          <w:tcPr>
            <w:tcW w:w="3380" w:type="dxa"/>
            <w:vAlign w:val="bottom"/>
            <w:tcBorders>
              <w:bottom w:val="single" w:sz="8" w:color="auto"/>
              <w:right w:val="single" w:sz="8" w:color="auto"/>
            </w:tcBorders>
          </w:tcPr>
          <w:p>
            <w:pPr>
              <w:spacing w:after="0"/>
              <w:rPr>
                <w:sz w:val="2"/>
                <w:szCs w:val="2"/>
                <w:color w:val="auto"/>
              </w:rPr>
            </w:pPr>
          </w:p>
        </w:tc>
        <w:tc>
          <w:tcPr>
            <w:tcW w:w="3920" w:type="dxa"/>
            <w:vAlign w:val="bottom"/>
            <w:tcBorders>
              <w:bottom w:val="single" w:sz="8" w:color="auto"/>
              <w:right w:val="single" w:sz="8" w:color="auto"/>
            </w:tcBorders>
          </w:tcPr>
          <w:p>
            <w:pPr>
              <w:spacing w:after="0"/>
              <w:rPr>
                <w:sz w:val="2"/>
                <w:szCs w:val="2"/>
                <w:color w:val="auto"/>
              </w:rPr>
            </w:pPr>
          </w:p>
        </w:tc>
      </w:tr>
    </w:tbl>
    <w:p>
      <w:pPr>
        <w:spacing w:after="0" w:line="90" w:lineRule="exact"/>
        <w:rPr>
          <w:sz w:val="24"/>
          <w:szCs w:val="24"/>
          <w:color w:val="auto"/>
        </w:rPr>
      </w:pPr>
    </w:p>
    <w:p>
      <w:pPr>
        <w:ind w:right="20"/>
        <w:spacing w:after="0" w:line="214"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75" w:lineRule="exact"/>
        <w:rPr>
          <w:sz w:val="24"/>
          <w:szCs w:val="24"/>
          <w:color w:val="auto"/>
        </w:rPr>
      </w:pPr>
    </w:p>
    <w:p>
      <w:pPr>
        <w:ind w:right="140"/>
        <w:spacing w:after="0" w:line="220"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75" w:lineRule="exact"/>
        <w:rPr>
          <w:sz w:val="24"/>
          <w:szCs w:val="24"/>
          <w:color w:val="auto"/>
        </w:rPr>
      </w:pPr>
    </w:p>
    <w:p>
      <w:pPr>
        <w:jc w:val="both"/>
        <w:ind w:right="160"/>
        <w:spacing w:after="0" w:line="261"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23" w:lineRule="exact"/>
        <w:rPr>
          <w:sz w:val="24"/>
          <w:szCs w:val="24"/>
          <w:color w:val="auto"/>
        </w:rPr>
      </w:pPr>
    </w:p>
    <w:tbl>
      <w:tblPr>
        <w:tblLayout w:type="fixed"/>
        <w:tblInd w:w="480" w:type="dxa"/>
        <w:tblCellMar>
          <w:top w:w="0" w:type="dxa"/>
          <w:left w:w="0" w:type="dxa"/>
          <w:bottom w:w="0" w:type="dxa"/>
          <w:right w:w="0" w:type="dxa"/>
        </w:tblCellMar>
      </w:tblPr>
      <w:tr>
        <w:trPr>
          <w:trHeight w:val="249"/>
        </w:trPr>
        <w:tc>
          <w:tcPr>
            <w:tcW w:w="2520" w:type="dxa"/>
            <w:vAlign w:val="bottom"/>
          </w:tcPr>
          <w:p>
            <w:pPr>
              <w:spacing w:after="0"/>
              <w:rPr>
                <w:sz w:val="20"/>
                <w:szCs w:val="20"/>
                <w:color w:val="auto"/>
              </w:rPr>
            </w:pPr>
            <w:r>
              <w:rPr>
                <w:rFonts w:ascii="Arial" w:cs="Arial" w:eastAsia="Arial" w:hAnsi="Arial"/>
                <w:sz w:val="17"/>
                <w:szCs w:val="17"/>
                <w:color w:val="auto"/>
              </w:rPr>
              <w:t>Large accelerated filer</w:t>
            </w:r>
          </w:p>
        </w:tc>
        <w:tc>
          <w:tcPr>
            <w:tcW w:w="1900" w:type="dxa"/>
            <w:vAlign w:val="bottom"/>
          </w:tcPr>
          <w:p>
            <w:pPr>
              <w:ind w:left="1000"/>
              <w:spacing w:after="0" w:line="161" w:lineRule="exact"/>
              <w:rPr>
                <w:sz w:val="20"/>
                <w:szCs w:val="20"/>
                <w:color w:val="auto"/>
              </w:rPr>
            </w:pPr>
            <w:r>
              <w:rPr>
                <w:rFonts w:ascii="MS PGothic" w:cs="MS PGothic" w:eastAsia="MS PGothic" w:hAnsi="MS PGothic"/>
                <w:sz w:val="16"/>
                <w:szCs w:val="16"/>
                <w:color w:val="auto"/>
              </w:rPr>
              <w:t>☒</w:t>
            </w:r>
          </w:p>
        </w:tc>
        <w:tc>
          <w:tcPr>
            <w:tcW w:w="3500" w:type="dxa"/>
            <w:vAlign w:val="bottom"/>
          </w:tcPr>
          <w:p>
            <w:pPr>
              <w:ind w:left="760"/>
              <w:spacing w:after="0"/>
              <w:rPr>
                <w:sz w:val="20"/>
                <w:szCs w:val="20"/>
                <w:color w:val="auto"/>
              </w:rPr>
            </w:pPr>
            <w:r>
              <w:rPr>
                <w:rFonts w:ascii="Arial" w:cs="Arial" w:eastAsia="Arial" w:hAnsi="Arial"/>
                <w:sz w:val="17"/>
                <w:szCs w:val="17"/>
                <w:color w:val="auto"/>
              </w:rPr>
              <w:t>Accelerated filer</w:t>
            </w:r>
          </w:p>
        </w:tc>
        <w:tc>
          <w:tcPr>
            <w:tcW w:w="1040" w:type="dxa"/>
            <w:vAlign w:val="bottom"/>
          </w:tcPr>
          <w:p>
            <w:pPr>
              <w:ind w:left="88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70"/>
        </w:trPr>
        <w:tc>
          <w:tcPr>
            <w:tcW w:w="2520" w:type="dxa"/>
            <w:vAlign w:val="bottom"/>
          </w:tcPr>
          <w:p>
            <w:pPr>
              <w:spacing w:after="0"/>
              <w:rPr>
                <w:sz w:val="20"/>
                <w:szCs w:val="20"/>
                <w:color w:val="auto"/>
              </w:rPr>
            </w:pPr>
            <w:r>
              <w:rPr>
                <w:rFonts w:ascii="Arial" w:cs="Arial" w:eastAsia="Arial" w:hAnsi="Arial"/>
                <w:sz w:val="17"/>
                <w:szCs w:val="17"/>
                <w:color w:val="auto"/>
              </w:rPr>
              <w:t>Non-accelerated filer</w:t>
            </w:r>
          </w:p>
        </w:tc>
        <w:tc>
          <w:tcPr>
            <w:tcW w:w="1900" w:type="dxa"/>
            <w:vAlign w:val="bottom"/>
          </w:tcPr>
          <w:p>
            <w:pPr>
              <w:ind w:left="1000"/>
              <w:spacing w:after="0" w:line="161" w:lineRule="exact"/>
              <w:rPr>
                <w:sz w:val="20"/>
                <w:szCs w:val="20"/>
                <w:color w:val="auto"/>
              </w:rPr>
            </w:pPr>
            <w:r>
              <w:rPr>
                <w:rFonts w:ascii="MS PGothic" w:cs="MS PGothic" w:eastAsia="MS PGothic" w:hAnsi="MS PGothic"/>
                <w:sz w:val="16"/>
                <w:szCs w:val="16"/>
                <w:color w:val="auto"/>
              </w:rPr>
              <w:t>☐</w:t>
            </w:r>
          </w:p>
        </w:tc>
        <w:tc>
          <w:tcPr>
            <w:tcW w:w="3500" w:type="dxa"/>
            <w:vAlign w:val="bottom"/>
          </w:tcPr>
          <w:p>
            <w:pPr>
              <w:ind w:left="760"/>
              <w:spacing w:after="0"/>
              <w:rPr>
                <w:sz w:val="20"/>
                <w:szCs w:val="20"/>
                <w:color w:val="auto"/>
              </w:rPr>
            </w:pPr>
            <w:r>
              <w:rPr>
                <w:rFonts w:ascii="Arial" w:cs="Arial" w:eastAsia="Arial" w:hAnsi="Arial"/>
                <w:sz w:val="17"/>
                <w:szCs w:val="17"/>
                <w:color w:val="auto"/>
              </w:rPr>
              <w:t>Smaller reporting company</w:t>
            </w:r>
          </w:p>
        </w:tc>
        <w:tc>
          <w:tcPr>
            <w:tcW w:w="1040" w:type="dxa"/>
            <w:vAlign w:val="bottom"/>
          </w:tcPr>
          <w:p>
            <w:pPr>
              <w:ind w:left="8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5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3500" w:type="dxa"/>
            <w:vAlign w:val="bottom"/>
          </w:tcPr>
          <w:p>
            <w:pPr>
              <w:ind w:left="760"/>
              <w:spacing w:after="0"/>
              <w:rPr>
                <w:sz w:val="20"/>
                <w:szCs w:val="20"/>
                <w:color w:val="auto"/>
              </w:rPr>
            </w:pPr>
            <w:r>
              <w:rPr>
                <w:rFonts w:ascii="Arial" w:cs="Arial" w:eastAsia="Arial" w:hAnsi="Arial"/>
                <w:sz w:val="17"/>
                <w:szCs w:val="17"/>
                <w:color w:val="auto"/>
              </w:rPr>
              <w:t>Emerging growth company</w:t>
            </w:r>
          </w:p>
        </w:tc>
        <w:tc>
          <w:tcPr>
            <w:tcW w:w="1040" w:type="dxa"/>
            <w:vAlign w:val="bottom"/>
          </w:tcPr>
          <w:p>
            <w:pPr>
              <w:ind w:left="8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43" w:lineRule="exact"/>
        <w:rPr>
          <w:sz w:val="24"/>
          <w:szCs w:val="24"/>
          <w:color w:val="auto"/>
        </w:rPr>
      </w:pPr>
    </w:p>
    <w:p>
      <w:pPr>
        <w:ind w:right="20"/>
        <w:spacing w:after="0" w:line="220"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53" w:lineRule="exact"/>
        <w:rPr>
          <w:sz w:val="24"/>
          <w:szCs w:val="24"/>
          <w:color w:val="auto"/>
        </w:rPr>
      </w:pPr>
    </w:p>
    <w:p>
      <w:pPr>
        <w:spacing w:after="0" w:line="196"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7"/>
          <w:szCs w:val="17"/>
          <w:color w:val="auto"/>
        </w:rPr>
        <w:t xml:space="preserve"> No </w:t>
      </w:r>
      <w:r>
        <w:rPr>
          <w:rFonts w:ascii="MS PGothic" w:cs="MS PGothic" w:eastAsia="MS PGothic" w:hAnsi="MS PGothic"/>
          <w:sz w:val="16"/>
          <w:szCs w:val="16"/>
          <w:color w:val="auto"/>
        </w:rPr>
        <w:t>☒</w:t>
      </w:r>
    </w:p>
    <w:p>
      <w:pPr>
        <w:spacing w:after="0" w:line="137" w:lineRule="exact"/>
        <w:rPr>
          <w:sz w:val="24"/>
          <w:szCs w:val="24"/>
          <w:color w:val="auto"/>
        </w:rPr>
      </w:pPr>
    </w:p>
    <w:p>
      <w:pPr>
        <w:spacing w:after="0"/>
        <w:rPr>
          <w:sz w:val="20"/>
          <w:szCs w:val="20"/>
          <w:color w:val="auto"/>
        </w:rPr>
      </w:pPr>
      <w:r>
        <w:rPr>
          <w:rFonts w:ascii="Arial" w:cs="Arial" w:eastAsia="Arial" w:hAnsi="Arial"/>
          <w:sz w:val="17"/>
          <w:szCs w:val="17"/>
          <w:color w:val="auto"/>
        </w:rPr>
        <w:t>The number of shares outstanding of the issuer’s common stock, par value $0.01 per share, as of May 15, 2020 was 41,051,580.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187325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101600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60"/>
          </w:cols>
          <w:pgMar w:left="320" w:top="503" w:right="319" w:bottom="1440" w:gutter="0" w:footer="0" w:header="0"/>
        </w:sectPr>
      </w:pPr>
    </w:p>
    <w:bookmarkStart w:id="1" w:name="page2"/>
    <w:bookmarkEnd w:id="1"/>
    <w:p>
      <w:pPr>
        <w:jc w:val="center"/>
        <w:ind w:right="-659"/>
        <w:spacing w:after="0"/>
        <w:rPr>
          <w:sz w:val="20"/>
          <w:szCs w:val="20"/>
          <w:color w:val="auto"/>
        </w:rPr>
      </w:pPr>
      <w:r>
        <w:rPr>
          <w:rFonts w:ascii="Arial" w:cs="Arial" w:eastAsia="Arial" w:hAnsi="Arial"/>
          <w:sz w:val="18"/>
          <w:szCs w:val="18"/>
          <w:b w:val="1"/>
          <w:bCs w:val="1"/>
          <w:color w:val="auto"/>
        </w:rPr>
        <w:t>MARRIOTT VACATIONS WORLDWIDE CORPORATION</w:t>
      </w:r>
    </w:p>
    <w:p>
      <w:pPr>
        <w:spacing w:after="0" w:line="27" w:lineRule="exact"/>
        <w:rPr>
          <w:sz w:val="20"/>
          <w:szCs w:val="20"/>
          <w:color w:val="auto"/>
        </w:rPr>
      </w:pPr>
    </w:p>
    <w:p>
      <w:pPr>
        <w:jc w:val="center"/>
        <w:ind w:right="-659"/>
        <w:spacing w:after="0"/>
        <w:rPr>
          <w:sz w:val="20"/>
          <w:szCs w:val="20"/>
          <w:color w:val="auto"/>
        </w:rPr>
      </w:pPr>
      <w:r>
        <w:rPr>
          <w:rFonts w:ascii="Arial" w:cs="Arial" w:eastAsia="Arial" w:hAnsi="Arial"/>
          <w:sz w:val="18"/>
          <w:szCs w:val="18"/>
          <w:b w:val="1"/>
          <w:bCs w:val="1"/>
          <w:color w:val="auto"/>
        </w:rPr>
        <w:t>FORM 10-Q TABLE OF CONTENTS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0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680" w:type="dxa"/>
            <w:vAlign w:val="bottom"/>
          </w:tcPr>
          <w:p>
            <w:pPr>
              <w:spacing w:after="0"/>
              <w:rPr>
                <w:sz w:val="16"/>
                <w:szCs w:val="16"/>
                <w:color w:val="auto"/>
              </w:rPr>
            </w:pPr>
          </w:p>
        </w:tc>
        <w:tc>
          <w:tcPr>
            <w:tcW w:w="1060" w:type="dxa"/>
            <w:vAlign w:val="bottom"/>
            <w:tcBorders>
              <w:bottom w:val="single" w:sz="8" w:color="auto"/>
            </w:tcBorders>
          </w:tcPr>
          <w:p>
            <w:pPr>
              <w:ind w:left="380"/>
              <w:spacing w:after="0"/>
              <w:rPr>
                <w:sz w:val="20"/>
                <w:szCs w:val="20"/>
                <w:color w:val="auto"/>
              </w:rPr>
            </w:pPr>
            <w:r>
              <w:rPr>
                <w:rFonts w:ascii="Arial" w:cs="Arial" w:eastAsia="Arial" w:hAnsi="Arial"/>
                <w:sz w:val="14"/>
                <w:szCs w:val="14"/>
                <w:b w:val="1"/>
                <w:bCs w:val="1"/>
                <w:color w:val="auto"/>
              </w:rPr>
              <w:t>Page</w:t>
            </w:r>
          </w:p>
        </w:tc>
      </w:tr>
      <w:tr>
        <w:trPr>
          <w:trHeight w:val="226"/>
        </w:trPr>
        <w:tc>
          <w:tcPr>
            <w:tcW w:w="1000" w:type="dxa"/>
            <w:vAlign w:val="bottom"/>
          </w:tcPr>
          <w:p>
            <w:pPr>
              <w:spacing w:after="0"/>
              <w:rPr>
                <w:sz w:val="20"/>
                <w:szCs w:val="20"/>
                <w:color w:val="auto"/>
              </w:rPr>
            </w:pPr>
            <w:r>
              <w:rPr>
                <w:rFonts w:ascii="Arial" w:cs="Arial" w:eastAsia="Arial" w:hAnsi="Arial"/>
                <w:sz w:val="17"/>
                <w:szCs w:val="17"/>
                <w:b w:val="1"/>
                <w:bCs w:val="1"/>
                <w:color w:val="auto"/>
              </w:rPr>
              <w:t>Part I.</w:t>
            </w:r>
          </w:p>
        </w:tc>
        <w:tc>
          <w:tcPr>
            <w:tcW w:w="8440" w:type="dxa"/>
            <w:vAlign w:val="bottom"/>
            <w:gridSpan w:val="2"/>
          </w:tcPr>
          <w:p>
            <w:pPr>
              <w:ind w:left="160"/>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FINANCIAL INFORMATION (UNAUDITED)</w:t>
              </w:r>
            </w:hyperlink>
          </w:p>
        </w:tc>
        <w:tc>
          <w:tcPr>
            <w:tcW w:w="1060" w:type="dxa"/>
            <w:vAlign w:val="bottom"/>
          </w:tcPr>
          <w:p>
            <w:pPr>
              <w:jc w:val="cente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1</w:t>
              </w:r>
            </w:hyperlink>
          </w:p>
        </w:tc>
      </w:tr>
      <w:tr>
        <w:trPr>
          <w:trHeight w:val="257"/>
        </w:trPr>
        <w:tc>
          <w:tcPr>
            <w:tcW w:w="1000" w:type="dxa"/>
            <w:vAlign w:val="bottom"/>
          </w:tcPr>
          <w:p>
            <w:pPr>
              <w:ind w:left="240"/>
              <w:spacing w:after="0"/>
              <w:rPr>
                <w:sz w:val="20"/>
                <w:szCs w:val="20"/>
                <w:color w:val="auto"/>
              </w:rPr>
            </w:pPr>
            <w:r>
              <w:rPr>
                <w:rFonts w:ascii="Arial" w:cs="Arial" w:eastAsia="Arial" w:hAnsi="Arial"/>
                <w:sz w:val="17"/>
                <w:szCs w:val="17"/>
                <w:color w:val="auto"/>
              </w:rPr>
              <w:t>Item 1.</w:t>
            </w:r>
          </w:p>
        </w:tc>
        <w:tc>
          <w:tcPr>
            <w:tcW w:w="8440" w:type="dxa"/>
            <w:vAlign w:val="bottom"/>
            <w:gridSpan w:val="2"/>
          </w:tcPr>
          <w:p>
            <w:pPr>
              <w:ind w:left="400"/>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Financial Statements</w:t>
              </w:r>
            </w:hyperlink>
          </w:p>
        </w:tc>
        <w:tc>
          <w:tcPr>
            <w:tcW w:w="1060" w:type="dxa"/>
            <w:vAlign w:val="bottom"/>
          </w:tcPr>
          <w:p>
            <w:pPr>
              <w:jc w:val="cente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1</w:t>
              </w:r>
            </w:hyperlink>
          </w:p>
        </w:tc>
      </w:tr>
      <w:tr>
        <w:trPr>
          <w:trHeight w:val="257"/>
        </w:trPr>
        <w:tc>
          <w:tcPr>
            <w:tcW w:w="1000" w:type="dxa"/>
            <w:vAlign w:val="bottom"/>
          </w:tcPr>
          <w:p>
            <w:pPr>
              <w:spacing w:after="0"/>
              <w:rPr>
                <w:sz w:val="22"/>
                <w:szCs w:val="22"/>
                <w:color w:val="auto"/>
              </w:rPr>
            </w:pPr>
          </w:p>
        </w:tc>
        <w:tc>
          <w:tcPr>
            <w:tcW w:w="8440" w:type="dxa"/>
            <w:vAlign w:val="bottom"/>
            <w:gridSpan w:val="2"/>
          </w:tcPr>
          <w:p>
            <w:pPr>
              <w:ind w:left="620"/>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Interim Consolidated Statements of Income</w:t>
              </w:r>
            </w:hyperlink>
          </w:p>
        </w:tc>
        <w:tc>
          <w:tcPr>
            <w:tcW w:w="1060" w:type="dxa"/>
            <w:vAlign w:val="bottom"/>
          </w:tcPr>
          <w:p>
            <w:pPr>
              <w:jc w:val="cente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1</w:t>
              </w:r>
            </w:hyperlink>
          </w:p>
        </w:tc>
      </w:tr>
      <w:tr>
        <w:trPr>
          <w:trHeight w:val="270"/>
        </w:trPr>
        <w:tc>
          <w:tcPr>
            <w:tcW w:w="1000" w:type="dxa"/>
            <w:vAlign w:val="bottom"/>
          </w:tcPr>
          <w:p>
            <w:pPr>
              <w:spacing w:after="0"/>
              <w:rPr>
                <w:sz w:val="23"/>
                <w:szCs w:val="23"/>
                <w:color w:val="auto"/>
              </w:rPr>
            </w:pPr>
          </w:p>
        </w:tc>
        <w:tc>
          <w:tcPr>
            <w:tcW w:w="8440" w:type="dxa"/>
            <w:vAlign w:val="bottom"/>
            <w:gridSpan w:val="2"/>
          </w:tcPr>
          <w:p>
            <w:pPr>
              <w:ind w:left="620"/>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Interim Consolidated Statements of Comprehensive Income</w:t>
              </w:r>
            </w:hyperlink>
          </w:p>
        </w:tc>
        <w:tc>
          <w:tcPr>
            <w:tcW w:w="1060" w:type="dxa"/>
            <w:vAlign w:val="bottom"/>
          </w:tcPr>
          <w:p>
            <w:pPr>
              <w:jc w:val="cente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2</w:t>
              </w:r>
            </w:hyperlink>
          </w:p>
        </w:tc>
      </w:tr>
      <w:tr>
        <w:trPr>
          <w:trHeight w:val="270"/>
        </w:trPr>
        <w:tc>
          <w:tcPr>
            <w:tcW w:w="1000" w:type="dxa"/>
            <w:vAlign w:val="bottom"/>
          </w:tcPr>
          <w:p>
            <w:pPr>
              <w:spacing w:after="0"/>
              <w:rPr>
                <w:sz w:val="23"/>
                <w:szCs w:val="23"/>
                <w:color w:val="auto"/>
              </w:rPr>
            </w:pPr>
          </w:p>
        </w:tc>
        <w:tc>
          <w:tcPr>
            <w:tcW w:w="8440" w:type="dxa"/>
            <w:vAlign w:val="bottom"/>
            <w:gridSpan w:val="2"/>
          </w:tcPr>
          <w:p>
            <w:pPr>
              <w:ind w:left="620"/>
              <w:spacing w:after="0"/>
              <w:rPr>
                <w:rFonts w:ascii="Arial" w:cs="Arial" w:eastAsia="Arial" w:hAnsi="Arial"/>
                <w:sz w:val="17"/>
                <w:szCs w:val="17"/>
                <w:u w:val="single" w:color="auto"/>
                <w:color w:val="0000EE"/>
              </w:rPr>
            </w:pPr>
            <w:hyperlink w:anchor="page6">
              <w:r>
                <w:rPr>
                  <w:rFonts w:ascii="Arial" w:cs="Arial" w:eastAsia="Arial" w:hAnsi="Arial"/>
                  <w:sz w:val="17"/>
                  <w:szCs w:val="17"/>
                  <w:u w:val="single" w:color="auto"/>
                  <w:color w:val="0000EE"/>
                </w:rPr>
                <w:t>Interim Consolidated Balance Sheets</w:t>
              </w:r>
            </w:hyperlink>
          </w:p>
        </w:tc>
        <w:tc>
          <w:tcPr>
            <w:tcW w:w="1060" w:type="dxa"/>
            <w:vAlign w:val="bottom"/>
          </w:tcPr>
          <w:p>
            <w:pPr>
              <w:jc w:val="center"/>
              <w:spacing w:after="0"/>
              <w:rPr>
                <w:rFonts w:ascii="Arial" w:cs="Arial" w:eastAsia="Arial" w:hAnsi="Arial"/>
                <w:sz w:val="17"/>
                <w:szCs w:val="17"/>
                <w:u w:val="single" w:color="auto"/>
                <w:color w:val="0000EE"/>
              </w:rPr>
            </w:pPr>
            <w:hyperlink w:anchor="page6">
              <w:r>
                <w:rPr>
                  <w:rFonts w:ascii="Arial" w:cs="Arial" w:eastAsia="Arial" w:hAnsi="Arial"/>
                  <w:sz w:val="17"/>
                  <w:szCs w:val="17"/>
                  <w:u w:val="single" w:color="auto"/>
                  <w:color w:val="0000EE"/>
                </w:rPr>
                <w:t>3</w:t>
              </w:r>
            </w:hyperlink>
          </w:p>
        </w:tc>
      </w:tr>
      <w:tr>
        <w:trPr>
          <w:trHeight w:val="270"/>
        </w:trPr>
        <w:tc>
          <w:tcPr>
            <w:tcW w:w="1000" w:type="dxa"/>
            <w:vAlign w:val="bottom"/>
          </w:tcPr>
          <w:p>
            <w:pPr>
              <w:spacing w:after="0"/>
              <w:rPr>
                <w:sz w:val="23"/>
                <w:szCs w:val="23"/>
                <w:color w:val="auto"/>
              </w:rPr>
            </w:pPr>
          </w:p>
        </w:tc>
        <w:tc>
          <w:tcPr>
            <w:tcW w:w="8440" w:type="dxa"/>
            <w:vAlign w:val="bottom"/>
            <w:gridSpan w:val="2"/>
          </w:tcPr>
          <w:p>
            <w:pPr>
              <w:ind w:left="620"/>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Interim Consolidated Statements of Cash Flows</w:t>
              </w:r>
            </w:hyperlink>
          </w:p>
        </w:tc>
        <w:tc>
          <w:tcPr>
            <w:tcW w:w="1060" w:type="dxa"/>
            <w:vAlign w:val="bottom"/>
          </w:tcPr>
          <w:p>
            <w:pPr>
              <w:jc w:val="cente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4</w:t>
              </w:r>
            </w:hyperlink>
          </w:p>
        </w:tc>
      </w:tr>
      <w:tr>
        <w:trPr>
          <w:trHeight w:val="270"/>
        </w:trPr>
        <w:tc>
          <w:tcPr>
            <w:tcW w:w="1000" w:type="dxa"/>
            <w:vAlign w:val="bottom"/>
          </w:tcPr>
          <w:p>
            <w:pPr>
              <w:spacing w:after="0"/>
              <w:rPr>
                <w:sz w:val="23"/>
                <w:szCs w:val="23"/>
                <w:color w:val="auto"/>
              </w:rPr>
            </w:pPr>
          </w:p>
        </w:tc>
        <w:tc>
          <w:tcPr>
            <w:tcW w:w="8440" w:type="dxa"/>
            <w:vAlign w:val="bottom"/>
            <w:gridSpan w:val="2"/>
          </w:tcPr>
          <w:p>
            <w:pPr>
              <w:ind w:left="620"/>
              <w:spacing w:after="0"/>
              <w:rPr>
                <w:rFonts w:ascii="Arial" w:cs="Arial" w:eastAsia="Arial" w:hAnsi="Arial"/>
                <w:sz w:val="17"/>
                <w:szCs w:val="17"/>
                <w:u w:val="single" w:color="auto"/>
                <w:color w:val="0000EE"/>
              </w:rPr>
            </w:pPr>
            <w:hyperlink w:anchor="page9">
              <w:r>
                <w:rPr>
                  <w:rFonts w:ascii="Arial" w:cs="Arial" w:eastAsia="Arial" w:hAnsi="Arial"/>
                  <w:sz w:val="17"/>
                  <w:szCs w:val="17"/>
                  <w:u w:val="single" w:color="auto"/>
                  <w:color w:val="0000EE"/>
                </w:rPr>
                <w:t>Interim Consolidated Statements of Shareholders’ Equity</w:t>
              </w:r>
            </w:hyperlink>
          </w:p>
        </w:tc>
        <w:tc>
          <w:tcPr>
            <w:tcW w:w="1060" w:type="dxa"/>
            <w:vAlign w:val="bottom"/>
          </w:tcPr>
          <w:p>
            <w:pPr>
              <w:jc w:val="center"/>
              <w:spacing w:after="0"/>
              <w:rPr>
                <w:rFonts w:ascii="Arial" w:cs="Arial" w:eastAsia="Arial" w:hAnsi="Arial"/>
                <w:sz w:val="17"/>
                <w:szCs w:val="17"/>
                <w:u w:val="single" w:color="auto"/>
                <w:color w:val="0000EE"/>
              </w:rPr>
            </w:pPr>
            <w:hyperlink w:anchor="page9">
              <w:r>
                <w:rPr>
                  <w:rFonts w:ascii="Arial" w:cs="Arial" w:eastAsia="Arial" w:hAnsi="Arial"/>
                  <w:sz w:val="17"/>
                  <w:szCs w:val="17"/>
                  <w:u w:val="single" w:color="auto"/>
                  <w:color w:val="0000EE"/>
                </w:rPr>
                <w:t>6</w:t>
              </w:r>
            </w:hyperlink>
          </w:p>
        </w:tc>
      </w:tr>
      <w:tr>
        <w:trPr>
          <w:trHeight w:val="270"/>
        </w:trPr>
        <w:tc>
          <w:tcPr>
            <w:tcW w:w="1000" w:type="dxa"/>
            <w:vAlign w:val="bottom"/>
          </w:tcPr>
          <w:p>
            <w:pPr>
              <w:spacing w:after="0"/>
              <w:rPr>
                <w:sz w:val="23"/>
                <w:szCs w:val="23"/>
                <w:color w:val="auto"/>
              </w:rPr>
            </w:pPr>
          </w:p>
        </w:tc>
        <w:tc>
          <w:tcPr>
            <w:tcW w:w="8440" w:type="dxa"/>
            <w:vAlign w:val="bottom"/>
            <w:gridSpan w:val="2"/>
          </w:tcPr>
          <w:p>
            <w:pPr>
              <w:ind w:left="400"/>
              <w:spacing w:after="0"/>
              <w:rPr>
                <w:rFonts w:ascii="Arial" w:cs="Arial" w:eastAsia="Arial" w:hAnsi="Arial"/>
                <w:sz w:val="17"/>
                <w:szCs w:val="17"/>
                <w:u w:val="single" w:color="auto"/>
                <w:color w:val="0000EE"/>
              </w:rPr>
            </w:pPr>
            <w:hyperlink w:anchor="page10">
              <w:r>
                <w:rPr>
                  <w:rFonts w:ascii="Arial" w:cs="Arial" w:eastAsia="Arial" w:hAnsi="Arial"/>
                  <w:sz w:val="17"/>
                  <w:szCs w:val="17"/>
                  <w:u w:val="single" w:color="auto"/>
                  <w:color w:val="0000EE"/>
                </w:rPr>
                <w:t>Notes to Interim Consolidated Financial Statements</w:t>
              </w:r>
            </w:hyperlink>
          </w:p>
        </w:tc>
        <w:tc>
          <w:tcPr>
            <w:tcW w:w="1060" w:type="dxa"/>
            <w:vAlign w:val="bottom"/>
          </w:tcPr>
          <w:p>
            <w:pPr>
              <w:jc w:val="center"/>
              <w:spacing w:after="0"/>
              <w:rPr>
                <w:rFonts w:ascii="Arial" w:cs="Arial" w:eastAsia="Arial" w:hAnsi="Arial"/>
                <w:sz w:val="17"/>
                <w:szCs w:val="17"/>
                <w:u w:val="single" w:color="auto"/>
                <w:color w:val="0000EE"/>
              </w:rPr>
            </w:pPr>
            <w:hyperlink w:anchor="page10">
              <w:r>
                <w:rPr>
                  <w:rFonts w:ascii="Arial" w:cs="Arial" w:eastAsia="Arial" w:hAnsi="Arial"/>
                  <w:sz w:val="17"/>
                  <w:szCs w:val="17"/>
                  <w:u w:val="single" w:color="auto"/>
                  <w:color w:val="0000EE"/>
                </w:rPr>
                <w:t>7</w:t>
              </w:r>
            </w:hyperlink>
          </w:p>
        </w:tc>
      </w:tr>
      <w:tr>
        <w:trPr>
          <w:trHeight w:val="270"/>
        </w:trPr>
        <w:tc>
          <w:tcPr>
            <w:tcW w:w="1000" w:type="dxa"/>
            <w:vAlign w:val="bottom"/>
          </w:tcPr>
          <w:p>
            <w:pPr>
              <w:spacing w:after="0"/>
              <w:rPr>
                <w:sz w:val="23"/>
                <w:szCs w:val="23"/>
                <w:color w:val="auto"/>
              </w:rPr>
            </w:pPr>
          </w:p>
        </w:tc>
        <w:tc>
          <w:tcPr>
            <w:tcW w:w="760" w:type="dxa"/>
            <w:vAlign w:val="bottom"/>
          </w:tcPr>
          <w:p>
            <w:pPr>
              <w:ind w:left="620"/>
              <w:spacing w:after="0"/>
              <w:rPr>
                <w:rFonts w:ascii="Arial" w:cs="Arial" w:eastAsia="Arial" w:hAnsi="Arial"/>
                <w:sz w:val="17"/>
                <w:szCs w:val="17"/>
                <w:u w:val="single" w:color="auto"/>
                <w:color w:val="0000EE"/>
                <w:w w:val="84"/>
              </w:rPr>
            </w:pPr>
            <w:hyperlink w:anchor="page10">
              <w:r>
                <w:rPr>
                  <w:rFonts w:ascii="Arial" w:cs="Arial" w:eastAsia="Arial" w:hAnsi="Arial"/>
                  <w:sz w:val="17"/>
                  <w:szCs w:val="17"/>
                  <w:u w:val="single" w:color="auto"/>
                  <w:color w:val="0000EE"/>
                  <w:w w:val="84"/>
                </w:rPr>
                <w:t>1.</w:t>
              </w:r>
            </w:hyperlink>
          </w:p>
        </w:tc>
        <w:tc>
          <w:tcPr>
            <w:tcW w:w="7680" w:type="dxa"/>
            <w:vAlign w:val="bottom"/>
          </w:tcPr>
          <w:p>
            <w:pPr>
              <w:ind w:left="20"/>
              <w:spacing w:after="0"/>
              <w:rPr>
                <w:rFonts w:ascii="Arial" w:cs="Arial" w:eastAsia="Arial" w:hAnsi="Arial"/>
                <w:sz w:val="17"/>
                <w:szCs w:val="17"/>
                <w:u w:val="single" w:color="auto"/>
                <w:color w:val="0000EE"/>
              </w:rPr>
            </w:pPr>
            <w:hyperlink w:anchor="page10">
              <w:r>
                <w:rPr>
                  <w:rFonts w:ascii="Arial" w:cs="Arial" w:eastAsia="Arial" w:hAnsi="Arial"/>
                  <w:sz w:val="17"/>
                  <w:szCs w:val="17"/>
                  <w:u w:val="single" w:color="auto"/>
                  <w:color w:val="0000EE"/>
                </w:rPr>
                <w:t>Basis of Presentation</w:t>
              </w:r>
            </w:hyperlink>
          </w:p>
        </w:tc>
        <w:tc>
          <w:tcPr>
            <w:tcW w:w="1060" w:type="dxa"/>
            <w:vAlign w:val="bottom"/>
          </w:tcPr>
          <w:p>
            <w:pPr>
              <w:jc w:val="center"/>
              <w:spacing w:after="0"/>
              <w:rPr>
                <w:rFonts w:ascii="Arial" w:cs="Arial" w:eastAsia="Arial" w:hAnsi="Arial"/>
                <w:sz w:val="17"/>
                <w:szCs w:val="17"/>
                <w:u w:val="single" w:color="auto"/>
                <w:color w:val="0000EE"/>
              </w:rPr>
            </w:pPr>
            <w:hyperlink w:anchor="page10">
              <w:r>
                <w:rPr>
                  <w:rFonts w:ascii="Arial" w:cs="Arial" w:eastAsia="Arial" w:hAnsi="Arial"/>
                  <w:sz w:val="17"/>
                  <w:szCs w:val="17"/>
                  <w:u w:val="single" w:color="auto"/>
                  <w:color w:val="0000EE"/>
                </w:rPr>
                <w:t>7</w:t>
              </w:r>
            </w:hyperlink>
          </w:p>
        </w:tc>
      </w:tr>
      <w:tr>
        <w:trPr>
          <w:trHeight w:val="270"/>
        </w:trPr>
        <w:tc>
          <w:tcPr>
            <w:tcW w:w="1000" w:type="dxa"/>
            <w:vAlign w:val="bottom"/>
          </w:tcPr>
          <w:p>
            <w:pPr>
              <w:spacing w:after="0"/>
              <w:rPr>
                <w:sz w:val="23"/>
                <w:szCs w:val="23"/>
                <w:color w:val="auto"/>
              </w:rPr>
            </w:pPr>
          </w:p>
        </w:tc>
        <w:tc>
          <w:tcPr>
            <w:tcW w:w="760" w:type="dxa"/>
            <w:vAlign w:val="bottom"/>
          </w:tcPr>
          <w:p>
            <w:pPr>
              <w:ind w:left="620"/>
              <w:spacing w:after="0"/>
              <w:rPr>
                <w:rFonts w:ascii="Arial" w:cs="Arial" w:eastAsia="Arial" w:hAnsi="Arial"/>
                <w:sz w:val="17"/>
                <w:szCs w:val="17"/>
                <w:u w:val="single" w:color="auto"/>
                <w:color w:val="0000EE"/>
                <w:w w:val="84"/>
              </w:rPr>
            </w:pPr>
            <w:hyperlink w:anchor="page11">
              <w:r>
                <w:rPr>
                  <w:rFonts w:ascii="Arial" w:cs="Arial" w:eastAsia="Arial" w:hAnsi="Arial"/>
                  <w:sz w:val="17"/>
                  <w:szCs w:val="17"/>
                  <w:u w:val="single" w:color="auto"/>
                  <w:color w:val="0000EE"/>
                  <w:w w:val="84"/>
                </w:rPr>
                <w:t>2.</w:t>
              </w:r>
            </w:hyperlink>
          </w:p>
        </w:tc>
        <w:tc>
          <w:tcPr>
            <w:tcW w:w="7680" w:type="dxa"/>
            <w:vAlign w:val="bottom"/>
          </w:tcPr>
          <w:p>
            <w:pPr>
              <w:ind w:left="20"/>
              <w:spacing w:after="0"/>
              <w:rPr>
                <w:rFonts w:ascii="Arial" w:cs="Arial" w:eastAsia="Arial" w:hAnsi="Arial"/>
                <w:sz w:val="17"/>
                <w:szCs w:val="17"/>
                <w:u w:val="single" w:color="auto"/>
                <w:color w:val="0000EE"/>
              </w:rPr>
            </w:pPr>
            <w:hyperlink w:anchor="page11">
              <w:r>
                <w:rPr>
                  <w:rFonts w:ascii="Arial" w:cs="Arial" w:eastAsia="Arial" w:hAnsi="Arial"/>
                  <w:sz w:val="17"/>
                  <w:szCs w:val="17"/>
                  <w:u w:val="single" w:color="auto"/>
                  <w:color w:val="0000EE"/>
                </w:rPr>
                <w:t>Significant Accounting Policies and Recent Accounting Standards</w:t>
              </w:r>
            </w:hyperlink>
          </w:p>
        </w:tc>
        <w:tc>
          <w:tcPr>
            <w:tcW w:w="1060" w:type="dxa"/>
            <w:vAlign w:val="bottom"/>
          </w:tcPr>
          <w:p>
            <w:pPr>
              <w:jc w:val="center"/>
              <w:spacing w:after="0"/>
              <w:rPr>
                <w:rFonts w:ascii="Arial" w:cs="Arial" w:eastAsia="Arial" w:hAnsi="Arial"/>
                <w:sz w:val="17"/>
                <w:szCs w:val="17"/>
                <w:u w:val="single" w:color="auto"/>
                <w:color w:val="0000EE"/>
              </w:rPr>
            </w:pPr>
            <w:hyperlink w:anchor="page11">
              <w:r>
                <w:rPr>
                  <w:rFonts w:ascii="Arial" w:cs="Arial" w:eastAsia="Arial" w:hAnsi="Arial"/>
                  <w:sz w:val="17"/>
                  <w:szCs w:val="17"/>
                  <w:u w:val="single" w:color="auto"/>
                  <w:color w:val="0000EE"/>
                </w:rPr>
                <w:t>8</w:t>
              </w:r>
            </w:hyperlink>
          </w:p>
        </w:tc>
      </w:tr>
      <w:tr>
        <w:trPr>
          <w:trHeight w:val="270"/>
        </w:trPr>
        <w:tc>
          <w:tcPr>
            <w:tcW w:w="1000" w:type="dxa"/>
            <w:vAlign w:val="bottom"/>
          </w:tcPr>
          <w:p>
            <w:pPr>
              <w:spacing w:after="0"/>
              <w:rPr>
                <w:sz w:val="23"/>
                <w:szCs w:val="23"/>
                <w:color w:val="auto"/>
              </w:rPr>
            </w:pPr>
          </w:p>
        </w:tc>
        <w:tc>
          <w:tcPr>
            <w:tcW w:w="760" w:type="dxa"/>
            <w:vAlign w:val="bottom"/>
          </w:tcPr>
          <w:p>
            <w:pPr>
              <w:ind w:left="620"/>
              <w:spacing w:after="0"/>
              <w:rPr>
                <w:rFonts w:ascii="Arial" w:cs="Arial" w:eastAsia="Arial" w:hAnsi="Arial"/>
                <w:sz w:val="17"/>
                <w:szCs w:val="17"/>
                <w:u w:val="single" w:color="auto"/>
                <w:color w:val="0000EE"/>
                <w:w w:val="84"/>
              </w:rPr>
            </w:pPr>
            <w:hyperlink w:anchor="page12">
              <w:r>
                <w:rPr>
                  <w:rFonts w:ascii="Arial" w:cs="Arial" w:eastAsia="Arial" w:hAnsi="Arial"/>
                  <w:sz w:val="17"/>
                  <w:szCs w:val="17"/>
                  <w:u w:val="single" w:color="auto"/>
                  <w:color w:val="0000EE"/>
                  <w:w w:val="84"/>
                </w:rPr>
                <w:t>3.</w:t>
              </w:r>
            </w:hyperlink>
          </w:p>
        </w:tc>
        <w:tc>
          <w:tcPr>
            <w:tcW w:w="7680" w:type="dxa"/>
            <w:vAlign w:val="bottom"/>
          </w:tcPr>
          <w:p>
            <w:pPr>
              <w:ind w:left="20"/>
              <w:spacing w:after="0"/>
              <w:rPr>
                <w:rFonts w:ascii="Arial" w:cs="Arial" w:eastAsia="Arial" w:hAnsi="Arial"/>
                <w:sz w:val="17"/>
                <w:szCs w:val="17"/>
                <w:u w:val="single" w:color="auto"/>
                <w:color w:val="0000EE"/>
              </w:rPr>
            </w:pPr>
            <w:hyperlink w:anchor="page12">
              <w:r>
                <w:rPr>
                  <w:rFonts w:ascii="Arial" w:cs="Arial" w:eastAsia="Arial" w:hAnsi="Arial"/>
                  <w:sz w:val="17"/>
                  <w:szCs w:val="17"/>
                  <w:u w:val="single" w:color="auto"/>
                  <w:color w:val="0000EE"/>
                </w:rPr>
                <w:t>Acquisitions and Dispositions</w:t>
              </w:r>
            </w:hyperlink>
          </w:p>
        </w:tc>
        <w:tc>
          <w:tcPr>
            <w:tcW w:w="1060" w:type="dxa"/>
            <w:vAlign w:val="bottom"/>
          </w:tcPr>
          <w:p>
            <w:pPr>
              <w:jc w:val="center"/>
              <w:spacing w:after="0"/>
              <w:rPr>
                <w:rFonts w:ascii="Arial" w:cs="Arial" w:eastAsia="Arial" w:hAnsi="Arial"/>
                <w:sz w:val="17"/>
                <w:szCs w:val="17"/>
                <w:u w:val="single" w:color="auto"/>
                <w:color w:val="0000EE"/>
              </w:rPr>
            </w:pPr>
            <w:hyperlink w:anchor="page12">
              <w:r>
                <w:rPr>
                  <w:rFonts w:ascii="Arial" w:cs="Arial" w:eastAsia="Arial" w:hAnsi="Arial"/>
                  <w:sz w:val="17"/>
                  <w:szCs w:val="17"/>
                  <w:u w:val="single" w:color="auto"/>
                  <w:color w:val="0000EE"/>
                </w:rPr>
                <w:t>9</w:t>
              </w:r>
            </w:hyperlink>
          </w:p>
        </w:tc>
      </w:tr>
      <w:tr>
        <w:trPr>
          <w:trHeight w:val="270"/>
        </w:trPr>
        <w:tc>
          <w:tcPr>
            <w:tcW w:w="1000" w:type="dxa"/>
            <w:vAlign w:val="bottom"/>
          </w:tcPr>
          <w:p>
            <w:pPr>
              <w:spacing w:after="0"/>
              <w:rPr>
                <w:sz w:val="23"/>
                <w:szCs w:val="23"/>
                <w:color w:val="auto"/>
              </w:rPr>
            </w:pPr>
          </w:p>
        </w:tc>
        <w:tc>
          <w:tcPr>
            <w:tcW w:w="760" w:type="dxa"/>
            <w:vAlign w:val="bottom"/>
          </w:tcPr>
          <w:p>
            <w:pPr>
              <w:ind w:left="620"/>
              <w:spacing w:after="0"/>
              <w:rPr>
                <w:rFonts w:ascii="Arial" w:cs="Arial" w:eastAsia="Arial" w:hAnsi="Arial"/>
                <w:sz w:val="17"/>
                <w:szCs w:val="17"/>
                <w:u w:val="single" w:color="auto"/>
                <w:color w:val="0000EE"/>
                <w:w w:val="84"/>
              </w:rPr>
            </w:pPr>
            <w:hyperlink w:anchor="page12">
              <w:r>
                <w:rPr>
                  <w:rFonts w:ascii="Arial" w:cs="Arial" w:eastAsia="Arial" w:hAnsi="Arial"/>
                  <w:sz w:val="17"/>
                  <w:szCs w:val="17"/>
                  <w:u w:val="single" w:color="auto"/>
                  <w:color w:val="0000EE"/>
                  <w:w w:val="84"/>
                </w:rPr>
                <w:t>4.</w:t>
              </w:r>
            </w:hyperlink>
          </w:p>
        </w:tc>
        <w:tc>
          <w:tcPr>
            <w:tcW w:w="7680" w:type="dxa"/>
            <w:vAlign w:val="bottom"/>
          </w:tcPr>
          <w:p>
            <w:pPr>
              <w:ind w:left="20"/>
              <w:spacing w:after="0"/>
              <w:rPr>
                <w:rFonts w:ascii="Arial" w:cs="Arial" w:eastAsia="Arial" w:hAnsi="Arial"/>
                <w:sz w:val="17"/>
                <w:szCs w:val="17"/>
                <w:u w:val="single" w:color="auto"/>
                <w:color w:val="0000EE"/>
              </w:rPr>
            </w:pPr>
            <w:hyperlink w:anchor="page12">
              <w:r>
                <w:rPr>
                  <w:rFonts w:ascii="Arial" w:cs="Arial" w:eastAsia="Arial" w:hAnsi="Arial"/>
                  <w:sz w:val="17"/>
                  <w:szCs w:val="17"/>
                  <w:u w:val="single" w:color="auto"/>
                  <w:color w:val="0000EE"/>
                </w:rPr>
                <w:t>Revenue</w:t>
              </w:r>
            </w:hyperlink>
          </w:p>
        </w:tc>
        <w:tc>
          <w:tcPr>
            <w:tcW w:w="1060" w:type="dxa"/>
            <w:vAlign w:val="bottom"/>
          </w:tcPr>
          <w:p>
            <w:pPr>
              <w:jc w:val="center"/>
              <w:spacing w:after="0"/>
              <w:rPr>
                <w:rFonts w:ascii="Arial" w:cs="Arial" w:eastAsia="Arial" w:hAnsi="Arial"/>
                <w:sz w:val="17"/>
                <w:szCs w:val="17"/>
                <w:u w:val="single" w:color="auto"/>
                <w:color w:val="0000EE"/>
              </w:rPr>
            </w:pPr>
            <w:hyperlink w:anchor="page12">
              <w:r>
                <w:rPr>
                  <w:rFonts w:ascii="Arial" w:cs="Arial" w:eastAsia="Arial" w:hAnsi="Arial"/>
                  <w:sz w:val="17"/>
                  <w:szCs w:val="17"/>
                  <w:u w:val="single" w:color="auto"/>
                  <w:color w:val="0000EE"/>
                </w:rPr>
                <w:t>9</w:t>
              </w:r>
            </w:hyperlink>
          </w:p>
        </w:tc>
      </w:tr>
      <w:tr>
        <w:trPr>
          <w:trHeight w:val="270"/>
        </w:trPr>
        <w:tc>
          <w:tcPr>
            <w:tcW w:w="1000" w:type="dxa"/>
            <w:vAlign w:val="bottom"/>
          </w:tcPr>
          <w:p>
            <w:pPr>
              <w:spacing w:after="0"/>
              <w:rPr>
                <w:sz w:val="23"/>
                <w:szCs w:val="23"/>
                <w:color w:val="auto"/>
              </w:rPr>
            </w:pPr>
          </w:p>
        </w:tc>
        <w:tc>
          <w:tcPr>
            <w:tcW w:w="760" w:type="dxa"/>
            <w:vAlign w:val="bottom"/>
          </w:tcPr>
          <w:p>
            <w:pPr>
              <w:ind w:left="620"/>
              <w:spacing w:after="0"/>
              <w:rPr>
                <w:rFonts w:ascii="Arial" w:cs="Arial" w:eastAsia="Arial" w:hAnsi="Arial"/>
                <w:sz w:val="17"/>
                <w:szCs w:val="17"/>
                <w:u w:val="single" w:color="auto"/>
                <w:color w:val="0000EE"/>
                <w:w w:val="84"/>
              </w:rPr>
            </w:pPr>
            <w:hyperlink w:anchor="page14">
              <w:r>
                <w:rPr>
                  <w:rFonts w:ascii="Arial" w:cs="Arial" w:eastAsia="Arial" w:hAnsi="Arial"/>
                  <w:sz w:val="17"/>
                  <w:szCs w:val="17"/>
                  <w:u w:val="single" w:color="auto"/>
                  <w:color w:val="0000EE"/>
                  <w:w w:val="84"/>
                </w:rPr>
                <w:t>5.</w:t>
              </w:r>
            </w:hyperlink>
          </w:p>
        </w:tc>
        <w:tc>
          <w:tcPr>
            <w:tcW w:w="7680" w:type="dxa"/>
            <w:vAlign w:val="bottom"/>
          </w:tcPr>
          <w:p>
            <w:pPr>
              <w:ind w:left="20"/>
              <w:spacing w:after="0"/>
              <w:rPr>
                <w:rFonts w:ascii="Arial" w:cs="Arial" w:eastAsia="Arial" w:hAnsi="Arial"/>
                <w:sz w:val="17"/>
                <w:szCs w:val="17"/>
                <w:u w:val="single" w:color="auto"/>
                <w:color w:val="0000EE"/>
              </w:rPr>
            </w:pPr>
            <w:hyperlink w:anchor="page14">
              <w:r>
                <w:rPr>
                  <w:rFonts w:ascii="Arial" w:cs="Arial" w:eastAsia="Arial" w:hAnsi="Arial"/>
                  <w:sz w:val="17"/>
                  <w:szCs w:val="17"/>
                  <w:u w:val="single" w:color="auto"/>
                  <w:color w:val="0000EE"/>
                </w:rPr>
                <w:t>Income Taxes</w:t>
              </w:r>
            </w:hyperlink>
          </w:p>
        </w:tc>
        <w:tc>
          <w:tcPr>
            <w:tcW w:w="1060" w:type="dxa"/>
            <w:vAlign w:val="bottom"/>
          </w:tcPr>
          <w:p>
            <w:pPr>
              <w:jc w:val="center"/>
              <w:spacing w:after="0"/>
              <w:rPr>
                <w:rFonts w:ascii="Arial" w:cs="Arial" w:eastAsia="Arial" w:hAnsi="Arial"/>
                <w:sz w:val="17"/>
                <w:szCs w:val="17"/>
                <w:u w:val="single" w:color="auto"/>
                <w:color w:val="0000EE"/>
                <w:w w:val="94"/>
              </w:rPr>
            </w:pPr>
            <w:hyperlink w:anchor="page14">
              <w:r>
                <w:rPr>
                  <w:rFonts w:ascii="Arial" w:cs="Arial" w:eastAsia="Arial" w:hAnsi="Arial"/>
                  <w:sz w:val="17"/>
                  <w:szCs w:val="17"/>
                  <w:u w:val="single" w:color="auto"/>
                  <w:color w:val="0000EE"/>
                  <w:w w:val="94"/>
                </w:rPr>
                <w:t>11</w:t>
              </w:r>
            </w:hyperlink>
          </w:p>
        </w:tc>
      </w:tr>
      <w:tr>
        <w:trPr>
          <w:trHeight w:val="270"/>
        </w:trPr>
        <w:tc>
          <w:tcPr>
            <w:tcW w:w="1000" w:type="dxa"/>
            <w:vAlign w:val="bottom"/>
          </w:tcPr>
          <w:p>
            <w:pPr>
              <w:spacing w:after="0"/>
              <w:rPr>
                <w:sz w:val="23"/>
                <w:szCs w:val="23"/>
                <w:color w:val="auto"/>
              </w:rPr>
            </w:pPr>
          </w:p>
        </w:tc>
        <w:tc>
          <w:tcPr>
            <w:tcW w:w="760" w:type="dxa"/>
            <w:vAlign w:val="bottom"/>
          </w:tcPr>
          <w:p>
            <w:pPr>
              <w:ind w:left="620"/>
              <w:spacing w:after="0"/>
              <w:rPr>
                <w:rFonts w:ascii="Arial" w:cs="Arial" w:eastAsia="Arial" w:hAnsi="Arial"/>
                <w:sz w:val="17"/>
                <w:szCs w:val="17"/>
                <w:u w:val="single" w:color="auto"/>
                <w:color w:val="0000EE"/>
                <w:w w:val="84"/>
              </w:rPr>
            </w:pPr>
            <w:hyperlink w:anchor="page15">
              <w:r>
                <w:rPr>
                  <w:rFonts w:ascii="Arial" w:cs="Arial" w:eastAsia="Arial" w:hAnsi="Arial"/>
                  <w:sz w:val="17"/>
                  <w:szCs w:val="17"/>
                  <w:u w:val="single" w:color="auto"/>
                  <w:color w:val="0000EE"/>
                  <w:w w:val="84"/>
                </w:rPr>
                <w:t>6.</w:t>
              </w:r>
            </w:hyperlink>
          </w:p>
        </w:tc>
        <w:tc>
          <w:tcPr>
            <w:tcW w:w="7680" w:type="dxa"/>
            <w:vAlign w:val="bottom"/>
          </w:tcPr>
          <w:p>
            <w:pPr>
              <w:ind w:left="20"/>
              <w:spacing w:after="0"/>
              <w:rPr>
                <w:rFonts w:ascii="Arial" w:cs="Arial" w:eastAsia="Arial" w:hAnsi="Arial"/>
                <w:sz w:val="17"/>
                <w:szCs w:val="17"/>
                <w:u w:val="single" w:color="auto"/>
                <w:color w:val="0000EE"/>
              </w:rPr>
            </w:pPr>
            <w:hyperlink w:anchor="page15">
              <w:r>
                <w:rPr>
                  <w:rFonts w:ascii="Arial" w:cs="Arial" w:eastAsia="Arial" w:hAnsi="Arial"/>
                  <w:sz w:val="17"/>
                  <w:szCs w:val="17"/>
                  <w:u w:val="single" w:color="auto"/>
                  <w:color w:val="0000EE"/>
                </w:rPr>
                <w:t>Vacation Ownership Notes Receivable</w:t>
              </w:r>
            </w:hyperlink>
          </w:p>
        </w:tc>
        <w:tc>
          <w:tcPr>
            <w:tcW w:w="1060" w:type="dxa"/>
            <w:vAlign w:val="bottom"/>
          </w:tcPr>
          <w:p>
            <w:pPr>
              <w:jc w:val="center"/>
              <w:spacing w:after="0"/>
              <w:rPr>
                <w:rFonts w:ascii="Arial" w:cs="Arial" w:eastAsia="Arial" w:hAnsi="Arial"/>
                <w:sz w:val="17"/>
                <w:szCs w:val="17"/>
                <w:u w:val="single" w:color="auto"/>
                <w:color w:val="0000EE"/>
                <w:w w:val="94"/>
              </w:rPr>
            </w:pPr>
            <w:hyperlink w:anchor="page15">
              <w:r>
                <w:rPr>
                  <w:rFonts w:ascii="Arial" w:cs="Arial" w:eastAsia="Arial" w:hAnsi="Arial"/>
                  <w:sz w:val="17"/>
                  <w:szCs w:val="17"/>
                  <w:u w:val="single" w:color="auto"/>
                  <w:color w:val="0000EE"/>
                  <w:w w:val="94"/>
                </w:rPr>
                <w:t>12</w:t>
              </w:r>
            </w:hyperlink>
          </w:p>
        </w:tc>
      </w:tr>
      <w:tr>
        <w:trPr>
          <w:trHeight w:val="270"/>
        </w:trPr>
        <w:tc>
          <w:tcPr>
            <w:tcW w:w="1000" w:type="dxa"/>
            <w:vAlign w:val="bottom"/>
          </w:tcPr>
          <w:p>
            <w:pPr>
              <w:spacing w:after="0"/>
              <w:rPr>
                <w:sz w:val="23"/>
                <w:szCs w:val="23"/>
                <w:color w:val="auto"/>
              </w:rPr>
            </w:pPr>
          </w:p>
        </w:tc>
        <w:tc>
          <w:tcPr>
            <w:tcW w:w="760" w:type="dxa"/>
            <w:vAlign w:val="bottom"/>
          </w:tcPr>
          <w:p>
            <w:pPr>
              <w:ind w:left="620"/>
              <w:spacing w:after="0"/>
              <w:rPr>
                <w:rFonts w:ascii="Arial" w:cs="Arial" w:eastAsia="Arial" w:hAnsi="Arial"/>
                <w:sz w:val="17"/>
                <w:szCs w:val="17"/>
                <w:u w:val="single" w:color="auto"/>
                <w:color w:val="0000EE"/>
                <w:w w:val="84"/>
              </w:rPr>
            </w:pPr>
            <w:hyperlink w:anchor="page21">
              <w:r>
                <w:rPr>
                  <w:rFonts w:ascii="Arial" w:cs="Arial" w:eastAsia="Arial" w:hAnsi="Arial"/>
                  <w:sz w:val="17"/>
                  <w:szCs w:val="17"/>
                  <w:u w:val="single" w:color="auto"/>
                  <w:color w:val="0000EE"/>
                  <w:w w:val="84"/>
                </w:rPr>
                <w:t>7.</w:t>
              </w:r>
            </w:hyperlink>
          </w:p>
        </w:tc>
        <w:tc>
          <w:tcPr>
            <w:tcW w:w="7680" w:type="dxa"/>
            <w:vAlign w:val="bottom"/>
          </w:tcPr>
          <w:p>
            <w:pPr>
              <w:ind w:left="20"/>
              <w:spacing w:after="0"/>
              <w:rPr>
                <w:rFonts w:ascii="Arial" w:cs="Arial" w:eastAsia="Arial" w:hAnsi="Arial"/>
                <w:sz w:val="17"/>
                <w:szCs w:val="17"/>
                <w:u w:val="single" w:color="auto"/>
                <w:color w:val="0000EE"/>
              </w:rPr>
            </w:pPr>
            <w:hyperlink w:anchor="page21">
              <w:r>
                <w:rPr>
                  <w:rFonts w:ascii="Arial" w:cs="Arial" w:eastAsia="Arial" w:hAnsi="Arial"/>
                  <w:sz w:val="17"/>
                  <w:szCs w:val="17"/>
                  <w:u w:val="single" w:color="auto"/>
                  <w:color w:val="0000EE"/>
                </w:rPr>
                <w:t>Financial Instruments</w:t>
              </w:r>
            </w:hyperlink>
          </w:p>
        </w:tc>
        <w:tc>
          <w:tcPr>
            <w:tcW w:w="1060" w:type="dxa"/>
            <w:vAlign w:val="bottom"/>
          </w:tcPr>
          <w:p>
            <w:pPr>
              <w:jc w:val="center"/>
              <w:spacing w:after="0"/>
              <w:rPr>
                <w:rFonts w:ascii="Arial" w:cs="Arial" w:eastAsia="Arial" w:hAnsi="Arial"/>
                <w:sz w:val="17"/>
                <w:szCs w:val="17"/>
                <w:u w:val="single" w:color="auto"/>
                <w:color w:val="0000EE"/>
                <w:w w:val="94"/>
              </w:rPr>
            </w:pPr>
            <w:hyperlink w:anchor="page21">
              <w:r>
                <w:rPr>
                  <w:rFonts w:ascii="Arial" w:cs="Arial" w:eastAsia="Arial" w:hAnsi="Arial"/>
                  <w:sz w:val="17"/>
                  <w:szCs w:val="17"/>
                  <w:u w:val="single" w:color="auto"/>
                  <w:color w:val="0000EE"/>
                  <w:w w:val="94"/>
                </w:rPr>
                <w:t>18</w:t>
              </w:r>
            </w:hyperlink>
          </w:p>
        </w:tc>
      </w:tr>
      <w:tr>
        <w:trPr>
          <w:trHeight w:val="270"/>
        </w:trPr>
        <w:tc>
          <w:tcPr>
            <w:tcW w:w="1000" w:type="dxa"/>
            <w:vAlign w:val="bottom"/>
          </w:tcPr>
          <w:p>
            <w:pPr>
              <w:spacing w:after="0"/>
              <w:rPr>
                <w:sz w:val="23"/>
                <w:szCs w:val="23"/>
                <w:color w:val="auto"/>
              </w:rPr>
            </w:pPr>
          </w:p>
        </w:tc>
        <w:tc>
          <w:tcPr>
            <w:tcW w:w="760" w:type="dxa"/>
            <w:vAlign w:val="bottom"/>
          </w:tcPr>
          <w:p>
            <w:pPr>
              <w:ind w:left="620"/>
              <w:spacing w:after="0"/>
              <w:rPr>
                <w:rFonts w:ascii="Arial" w:cs="Arial" w:eastAsia="Arial" w:hAnsi="Arial"/>
                <w:sz w:val="17"/>
                <w:szCs w:val="17"/>
                <w:u w:val="single" w:color="auto"/>
                <w:color w:val="0000EE"/>
                <w:w w:val="84"/>
              </w:rPr>
            </w:pPr>
            <w:hyperlink w:anchor="page23">
              <w:r>
                <w:rPr>
                  <w:rFonts w:ascii="Arial" w:cs="Arial" w:eastAsia="Arial" w:hAnsi="Arial"/>
                  <w:sz w:val="17"/>
                  <w:szCs w:val="17"/>
                  <w:u w:val="single" w:color="auto"/>
                  <w:color w:val="0000EE"/>
                  <w:w w:val="84"/>
                </w:rPr>
                <w:t>8.</w:t>
              </w:r>
            </w:hyperlink>
          </w:p>
        </w:tc>
        <w:tc>
          <w:tcPr>
            <w:tcW w:w="7680" w:type="dxa"/>
            <w:vAlign w:val="bottom"/>
          </w:tcPr>
          <w:p>
            <w:pPr>
              <w:ind w:left="20"/>
              <w:spacing w:after="0"/>
              <w:rPr>
                <w:rFonts w:ascii="Arial" w:cs="Arial" w:eastAsia="Arial" w:hAnsi="Arial"/>
                <w:sz w:val="17"/>
                <w:szCs w:val="17"/>
                <w:u w:val="single" w:color="auto"/>
                <w:color w:val="0000EE"/>
              </w:rPr>
            </w:pPr>
            <w:hyperlink w:anchor="page23">
              <w:r>
                <w:rPr>
                  <w:rFonts w:ascii="Arial" w:cs="Arial" w:eastAsia="Arial" w:hAnsi="Arial"/>
                  <w:sz w:val="17"/>
                  <w:szCs w:val="17"/>
                  <w:u w:val="single" w:color="auto"/>
                  <w:color w:val="0000EE"/>
                </w:rPr>
                <w:t>Earnings Per Share</w:t>
              </w:r>
            </w:hyperlink>
          </w:p>
        </w:tc>
        <w:tc>
          <w:tcPr>
            <w:tcW w:w="1060" w:type="dxa"/>
            <w:vAlign w:val="bottom"/>
          </w:tcPr>
          <w:p>
            <w:pPr>
              <w:jc w:val="center"/>
              <w:spacing w:after="0"/>
              <w:rPr>
                <w:rFonts w:ascii="Arial" w:cs="Arial" w:eastAsia="Arial" w:hAnsi="Arial"/>
                <w:sz w:val="17"/>
                <w:szCs w:val="17"/>
                <w:u w:val="single" w:color="auto"/>
                <w:color w:val="0000EE"/>
                <w:w w:val="94"/>
              </w:rPr>
            </w:pPr>
            <w:hyperlink w:anchor="page23">
              <w:r>
                <w:rPr>
                  <w:rFonts w:ascii="Arial" w:cs="Arial" w:eastAsia="Arial" w:hAnsi="Arial"/>
                  <w:sz w:val="17"/>
                  <w:szCs w:val="17"/>
                  <w:u w:val="single" w:color="auto"/>
                  <w:color w:val="0000EE"/>
                  <w:w w:val="94"/>
                </w:rPr>
                <w:t>20</w:t>
              </w:r>
            </w:hyperlink>
          </w:p>
        </w:tc>
      </w:tr>
      <w:tr>
        <w:trPr>
          <w:trHeight w:val="270"/>
        </w:trPr>
        <w:tc>
          <w:tcPr>
            <w:tcW w:w="1000" w:type="dxa"/>
            <w:vAlign w:val="bottom"/>
          </w:tcPr>
          <w:p>
            <w:pPr>
              <w:spacing w:after="0"/>
              <w:rPr>
                <w:sz w:val="23"/>
                <w:szCs w:val="23"/>
                <w:color w:val="auto"/>
              </w:rPr>
            </w:pPr>
          </w:p>
        </w:tc>
        <w:tc>
          <w:tcPr>
            <w:tcW w:w="760" w:type="dxa"/>
            <w:vAlign w:val="bottom"/>
          </w:tcPr>
          <w:p>
            <w:pPr>
              <w:ind w:left="620"/>
              <w:spacing w:after="0"/>
              <w:rPr>
                <w:rFonts w:ascii="Arial" w:cs="Arial" w:eastAsia="Arial" w:hAnsi="Arial"/>
                <w:sz w:val="17"/>
                <w:szCs w:val="17"/>
                <w:u w:val="single" w:color="auto"/>
                <w:color w:val="0000EE"/>
                <w:w w:val="84"/>
              </w:rPr>
            </w:pPr>
            <w:hyperlink w:anchor="page24">
              <w:r>
                <w:rPr>
                  <w:rFonts w:ascii="Arial" w:cs="Arial" w:eastAsia="Arial" w:hAnsi="Arial"/>
                  <w:sz w:val="17"/>
                  <w:szCs w:val="17"/>
                  <w:u w:val="single" w:color="auto"/>
                  <w:color w:val="0000EE"/>
                  <w:w w:val="84"/>
                </w:rPr>
                <w:t>9.</w:t>
              </w:r>
            </w:hyperlink>
          </w:p>
        </w:tc>
        <w:tc>
          <w:tcPr>
            <w:tcW w:w="7680" w:type="dxa"/>
            <w:vAlign w:val="bottom"/>
          </w:tcPr>
          <w:p>
            <w:pPr>
              <w:ind w:left="20"/>
              <w:spacing w:after="0"/>
              <w:rPr>
                <w:rFonts w:ascii="Arial" w:cs="Arial" w:eastAsia="Arial" w:hAnsi="Arial"/>
                <w:sz w:val="17"/>
                <w:szCs w:val="17"/>
                <w:u w:val="single" w:color="auto"/>
                <w:color w:val="0000EE"/>
              </w:rPr>
            </w:pPr>
            <w:hyperlink w:anchor="page24">
              <w:r>
                <w:rPr>
                  <w:rFonts w:ascii="Arial" w:cs="Arial" w:eastAsia="Arial" w:hAnsi="Arial"/>
                  <w:sz w:val="17"/>
                  <w:szCs w:val="17"/>
                  <w:u w:val="single" w:color="auto"/>
                  <w:color w:val="0000EE"/>
                </w:rPr>
                <w:t>Inventory</w:t>
              </w:r>
            </w:hyperlink>
          </w:p>
        </w:tc>
        <w:tc>
          <w:tcPr>
            <w:tcW w:w="1060" w:type="dxa"/>
            <w:vAlign w:val="bottom"/>
          </w:tcPr>
          <w:p>
            <w:pPr>
              <w:jc w:val="center"/>
              <w:spacing w:after="0"/>
              <w:rPr>
                <w:rFonts w:ascii="Arial" w:cs="Arial" w:eastAsia="Arial" w:hAnsi="Arial"/>
                <w:sz w:val="17"/>
                <w:szCs w:val="17"/>
                <w:u w:val="single" w:color="auto"/>
                <w:color w:val="0000EE"/>
                <w:w w:val="94"/>
              </w:rPr>
            </w:pPr>
            <w:hyperlink w:anchor="page24">
              <w:r>
                <w:rPr>
                  <w:rFonts w:ascii="Arial" w:cs="Arial" w:eastAsia="Arial" w:hAnsi="Arial"/>
                  <w:sz w:val="17"/>
                  <w:szCs w:val="17"/>
                  <w:u w:val="single" w:color="auto"/>
                  <w:color w:val="0000EE"/>
                  <w:w w:val="94"/>
                </w:rPr>
                <w:t>21</w:t>
              </w:r>
            </w:hyperlink>
          </w:p>
        </w:tc>
      </w:tr>
      <w:tr>
        <w:trPr>
          <w:trHeight w:val="270"/>
        </w:trPr>
        <w:tc>
          <w:tcPr>
            <w:tcW w:w="1000" w:type="dxa"/>
            <w:vAlign w:val="bottom"/>
          </w:tcPr>
          <w:p>
            <w:pPr>
              <w:spacing w:after="0"/>
              <w:rPr>
                <w:sz w:val="23"/>
                <w:szCs w:val="23"/>
                <w:color w:val="auto"/>
              </w:rPr>
            </w:pPr>
          </w:p>
        </w:tc>
        <w:tc>
          <w:tcPr>
            <w:tcW w:w="8440" w:type="dxa"/>
            <w:vAlign w:val="bottom"/>
            <w:gridSpan w:val="2"/>
          </w:tcPr>
          <w:p>
            <w:pPr>
              <w:ind w:left="620"/>
              <w:spacing w:after="0"/>
              <w:rPr>
                <w:rFonts w:ascii="Arial" w:cs="Arial" w:eastAsia="Arial" w:hAnsi="Arial"/>
                <w:sz w:val="17"/>
                <w:szCs w:val="17"/>
                <w:u w:val="single" w:color="auto"/>
                <w:color w:val="0000EE"/>
              </w:rPr>
            </w:pPr>
            <w:hyperlink w:anchor="page24">
              <w:r>
                <w:rPr>
                  <w:rFonts w:ascii="Arial" w:cs="Arial" w:eastAsia="Arial" w:hAnsi="Arial"/>
                  <w:sz w:val="17"/>
                  <w:szCs w:val="17"/>
                  <w:u w:val="single" w:color="auto"/>
                  <w:color w:val="0000EE"/>
                </w:rPr>
                <w:t>10. Goodwill and Intangibles</w:t>
              </w:r>
            </w:hyperlink>
          </w:p>
        </w:tc>
        <w:tc>
          <w:tcPr>
            <w:tcW w:w="1060" w:type="dxa"/>
            <w:vAlign w:val="bottom"/>
          </w:tcPr>
          <w:p>
            <w:pPr>
              <w:jc w:val="center"/>
              <w:spacing w:after="0"/>
              <w:rPr>
                <w:rFonts w:ascii="Arial" w:cs="Arial" w:eastAsia="Arial" w:hAnsi="Arial"/>
                <w:sz w:val="17"/>
                <w:szCs w:val="17"/>
                <w:u w:val="single" w:color="auto"/>
                <w:color w:val="0000EE"/>
                <w:w w:val="94"/>
              </w:rPr>
            </w:pPr>
            <w:hyperlink w:anchor="page24">
              <w:r>
                <w:rPr>
                  <w:rFonts w:ascii="Arial" w:cs="Arial" w:eastAsia="Arial" w:hAnsi="Arial"/>
                  <w:sz w:val="17"/>
                  <w:szCs w:val="17"/>
                  <w:u w:val="single" w:color="auto"/>
                  <w:color w:val="0000EE"/>
                  <w:w w:val="94"/>
                </w:rPr>
                <w:t>21</w:t>
              </w:r>
            </w:hyperlink>
          </w:p>
        </w:tc>
      </w:tr>
      <w:tr>
        <w:trPr>
          <w:trHeight w:val="270"/>
        </w:trPr>
        <w:tc>
          <w:tcPr>
            <w:tcW w:w="1000" w:type="dxa"/>
            <w:vAlign w:val="bottom"/>
          </w:tcPr>
          <w:p>
            <w:pPr>
              <w:spacing w:after="0"/>
              <w:rPr>
                <w:sz w:val="23"/>
                <w:szCs w:val="23"/>
                <w:color w:val="auto"/>
              </w:rPr>
            </w:pPr>
          </w:p>
        </w:tc>
        <w:tc>
          <w:tcPr>
            <w:tcW w:w="8440" w:type="dxa"/>
            <w:vAlign w:val="bottom"/>
            <w:gridSpan w:val="2"/>
          </w:tcPr>
          <w:p>
            <w:pPr>
              <w:ind w:left="620"/>
              <w:spacing w:after="0"/>
              <w:rPr>
                <w:rFonts w:ascii="Arial" w:cs="Arial" w:eastAsia="Arial" w:hAnsi="Arial"/>
                <w:sz w:val="17"/>
                <w:szCs w:val="17"/>
                <w:u w:val="single" w:color="auto"/>
                <w:color w:val="0000EE"/>
              </w:rPr>
            </w:pPr>
            <w:hyperlink w:anchor="page25">
              <w:r>
                <w:rPr>
                  <w:rFonts w:ascii="Arial" w:cs="Arial" w:eastAsia="Arial" w:hAnsi="Arial"/>
                  <w:sz w:val="17"/>
                  <w:szCs w:val="17"/>
                  <w:u w:val="single" w:color="auto"/>
                  <w:color w:val="0000EE"/>
                </w:rPr>
                <w:t>11. Contingencies and Commitments</w:t>
              </w:r>
            </w:hyperlink>
          </w:p>
        </w:tc>
        <w:tc>
          <w:tcPr>
            <w:tcW w:w="1060" w:type="dxa"/>
            <w:vAlign w:val="bottom"/>
          </w:tcPr>
          <w:p>
            <w:pPr>
              <w:jc w:val="center"/>
              <w:spacing w:after="0"/>
              <w:rPr>
                <w:rFonts w:ascii="Arial" w:cs="Arial" w:eastAsia="Arial" w:hAnsi="Arial"/>
                <w:sz w:val="17"/>
                <w:szCs w:val="17"/>
                <w:u w:val="single" w:color="auto"/>
                <w:color w:val="0000EE"/>
                <w:w w:val="94"/>
              </w:rPr>
            </w:pPr>
            <w:hyperlink w:anchor="page25">
              <w:r>
                <w:rPr>
                  <w:rFonts w:ascii="Arial" w:cs="Arial" w:eastAsia="Arial" w:hAnsi="Arial"/>
                  <w:sz w:val="17"/>
                  <w:szCs w:val="17"/>
                  <w:u w:val="single" w:color="auto"/>
                  <w:color w:val="0000EE"/>
                  <w:w w:val="94"/>
                </w:rPr>
                <w:t>22</w:t>
              </w:r>
            </w:hyperlink>
          </w:p>
        </w:tc>
      </w:tr>
      <w:tr>
        <w:trPr>
          <w:trHeight w:val="270"/>
        </w:trPr>
        <w:tc>
          <w:tcPr>
            <w:tcW w:w="1000" w:type="dxa"/>
            <w:vAlign w:val="bottom"/>
          </w:tcPr>
          <w:p>
            <w:pPr>
              <w:spacing w:after="0"/>
              <w:rPr>
                <w:sz w:val="23"/>
                <w:szCs w:val="23"/>
                <w:color w:val="auto"/>
              </w:rPr>
            </w:pPr>
          </w:p>
        </w:tc>
        <w:tc>
          <w:tcPr>
            <w:tcW w:w="8440" w:type="dxa"/>
            <w:vAlign w:val="bottom"/>
            <w:gridSpan w:val="2"/>
          </w:tcPr>
          <w:p>
            <w:pPr>
              <w:ind w:left="620"/>
              <w:spacing w:after="0"/>
              <w:rPr>
                <w:rFonts w:ascii="Arial" w:cs="Arial" w:eastAsia="Arial" w:hAnsi="Arial"/>
                <w:sz w:val="17"/>
                <w:szCs w:val="17"/>
                <w:u w:val="single" w:color="auto"/>
                <w:color w:val="0000EE"/>
              </w:rPr>
            </w:pPr>
            <w:hyperlink w:anchor="page28">
              <w:r>
                <w:rPr>
                  <w:rFonts w:ascii="Arial" w:cs="Arial" w:eastAsia="Arial" w:hAnsi="Arial"/>
                  <w:sz w:val="17"/>
                  <w:szCs w:val="17"/>
                  <w:u w:val="single" w:color="auto"/>
                  <w:color w:val="0000EE"/>
                </w:rPr>
                <w:t>12. Securitized Debt</w:t>
              </w:r>
            </w:hyperlink>
          </w:p>
        </w:tc>
        <w:tc>
          <w:tcPr>
            <w:tcW w:w="1060" w:type="dxa"/>
            <w:vAlign w:val="bottom"/>
          </w:tcPr>
          <w:p>
            <w:pPr>
              <w:jc w:val="center"/>
              <w:spacing w:after="0"/>
              <w:rPr>
                <w:rFonts w:ascii="Arial" w:cs="Arial" w:eastAsia="Arial" w:hAnsi="Arial"/>
                <w:sz w:val="17"/>
                <w:szCs w:val="17"/>
                <w:u w:val="single" w:color="auto"/>
                <w:color w:val="0000EE"/>
                <w:w w:val="94"/>
              </w:rPr>
            </w:pPr>
            <w:hyperlink w:anchor="page28">
              <w:r>
                <w:rPr>
                  <w:rFonts w:ascii="Arial" w:cs="Arial" w:eastAsia="Arial" w:hAnsi="Arial"/>
                  <w:sz w:val="17"/>
                  <w:szCs w:val="17"/>
                  <w:u w:val="single" w:color="auto"/>
                  <w:color w:val="0000EE"/>
                  <w:w w:val="94"/>
                </w:rPr>
                <w:t>25</w:t>
              </w:r>
            </w:hyperlink>
          </w:p>
        </w:tc>
      </w:tr>
      <w:tr>
        <w:trPr>
          <w:trHeight w:val="270"/>
        </w:trPr>
        <w:tc>
          <w:tcPr>
            <w:tcW w:w="1000" w:type="dxa"/>
            <w:vAlign w:val="bottom"/>
          </w:tcPr>
          <w:p>
            <w:pPr>
              <w:spacing w:after="0"/>
              <w:rPr>
                <w:sz w:val="23"/>
                <w:szCs w:val="23"/>
                <w:color w:val="auto"/>
              </w:rPr>
            </w:pPr>
          </w:p>
        </w:tc>
        <w:tc>
          <w:tcPr>
            <w:tcW w:w="8440" w:type="dxa"/>
            <w:vAlign w:val="bottom"/>
            <w:gridSpan w:val="2"/>
          </w:tcPr>
          <w:p>
            <w:pPr>
              <w:ind w:left="620"/>
              <w:spacing w:after="0"/>
              <w:rPr>
                <w:rFonts w:ascii="Arial" w:cs="Arial" w:eastAsia="Arial" w:hAnsi="Arial"/>
                <w:sz w:val="17"/>
                <w:szCs w:val="17"/>
                <w:u w:val="single" w:color="auto"/>
                <w:color w:val="0000EE"/>
              </w:rPr>
            </w:pPr>
            <w:hyperlink w:anchor="page29">
              <w:r>
                <w:rPr>
                  <w:rFonts w:ascii="Arial" w:cs="Arial" w:eastAsia="Arial" w:hAnsi="Arial"/>
                  <w:sz w:val="17"/>
                  <w:szCs w:val="17"/>
                  <w:u w:val="single" w:color="auto"/>
                  <w:color w:val="0000EE"/>
                </w:rPr>
                <w:t>13. Debt</w:t>
              </w:r>
            </w:hyperlink>
          </w:p>
        </w:tc>
        <w:tc>
          <w:tcPr>
            <w:tcW w:w="1060" w:type="dxa"/>
            <w:vAlign w:val="bottom"/>
          </w:tcPr>
          <w:p>
            <w:pPr>
              <w:jc w:val="center"/>
              <w:spacing w:after="0"/>
              <w:rPr>
                <w:rFonts w:ascii="Arial" w:cs="Arial" w:eastAsia="Arial" w:hAnsi="Arial"/>
                <w:sz w:val="17"/>
                <w:szCs w:val="17"/>
                <w:u w:val="single" w:color="auto"/>
                <w:color w:val="0000EE"/>
                <w:w w:val="94"/>
              </w:rPr>
            </w:pPr>
            <w:hyperlink w:anchor="page29">
              <w:r>
                <w:rPr>
                  <w:rFonts w:ascii="Arial" w:cs="Arial" w:eastAsia="Arial" w:hAnsi="Arial"/>
                  <w:sz w:val="17"/>
                  <w:szCs w:val="17"/>
                  <w:u w:val="single" w:color="auto"/>
                  <w:color w:val="0000EE"/>
                  <w:w w:val="94"/>
                </w:rPr>
                <w:t>26</w:t>
              </w:r>
            </w:hyperlink>
          </w:p>
        </w:tc>
      </w:tr>
      <w:tr>
        <w:trPr>
          <w:trHeight w:val="270"/>
        </w:trPr>
        <w:tc>
          <w:tcPr>
            <w:tcW w:w="1000" w:type="dxa"/>
            <w:vAlign w:val="bottom"/>
          </w:tcPr>
          <w:p>
            <w:pPr>
              <w:spacing w:after="0"/>
              <w:rPr>
                <w:sz w:val="23"/>
                <w:szCs w:val="23"/>
                <w:color w:val="auto"/>
              </w:rPr>
            </w:pPr>
          </w:p>
        </w:tc>
        <w:tc>
          <w:tcPr>
            <w:tcW w:w="8440" w:type="dxa"/>
            <w:vAlign w:val="bottom"/>
            <w:gridSpan w:val="2"/>
          </w:tcPr>
          <w:p>
            <w:pPr>
              <w:ind w:left="620"/>
              <w:spacing w:after="0"/>
              <w:rPr>
                <w:rFonts w:ascii="Arial" w:cs="Arial" w:eastAsia="Arial" w:hAnsi="Arial"/>
                <w:sz w:val="17"/>
                <w:szCs w:val="17"/>
                <w:u w:val="single" w:color="auto"/>
                <w:color w:val="0000EE"/>
              </w:rPr>
            </w:pPr>
            <w:hyperlink w:anchor="page32">
              <w:r>
                <w:rPr>
                  <w:rFonts w:ascii="Arial" w:cs="Arial" w:eastAsia="Arial" w:hAnsi="Arial"/>
                  <w:sz w:val="17"/>
                  <w:szCs w:val="17"/>
                  <w:u w:val="single" w:color="auto"/>
                  <w:color w:val="0000EE"/>
                </w:rPr>
                <w:t>14. Shareholders’ Equity</w:t>
              </w:r>
            </w:hyperlink>
          </w:p>
        </w:tc>
        <w:tc>
          <w:tcPr>
            <w:tcW w:w="1060" w:type="dxa"/>
            <w:vAlign w:val="bottom"/>
          </w:tcPr>
          <w:p>
            <w:pPr>
              <w:jc w:val="center"/>
              <w:spacing w:after="0"/>
              <w:rPr>
                <w:rFonts w:ascii="Arial" w:cs="Arial" w:eastAsia="Arial" w:hAnsi="Arial"/>
                <w:sz w:val="17"/>
                <w:szCs w:val="17"/>
                <w:u w:val="single" w:color="auto"/>
                <w:color w:val="0000EE"/>
                <w:w w:val="94"/>
              </w:rPr>
            </w:pPr>
            <w:hyperlink w:anchor="page32">
              <w:r>
                <w:rPr>
                  <w:rFonts w:ascii="Arial" w:cs="Arial" w:eastAsia="Arial" w:hAnsi="Arial"/>
                  <w:sz w:val="17"/>
                  <w:szCs w:val="17"/>
                  <w:u w:val="single" w:color="auto"/>
                  <w:color w:val="0000EE"/>
                  <w:w w:val="94"/>
                </w:rPr>
                <w:t>29</w:t>
              </w:r>
            </w:hyperlink>
          </w:p>
        </w:tc>
      </w:tr>
      <w:tr>
        <w:trPr>
          <w:trHeight w:val="270"/>
        </w:trPr>
        <w:tc>
          <w:tcPr>
            <w:tcW w:w="1000" w:type="dxa"/>
            <w:vAlign w:val="bottom"/>
          </w:tcPr>
          <w:p>
            <w:pPr>
              <w:spacing w:after="0"/>
              <w:rPr>
                <w:sz w:val="23"/>
                <w:szCs w:val="23"/>
                <w:color w:val="auto"/>
              </w:rPr>
            </w:pPr>
          </w:p>
        </w:tc>
        <w:tc>
          <w:tcPr>
            <w:tcW w:w="8440" w:type="dxa"/>
            <w:vAlign w:val="bottom"/>
            <w:gridSpan w:val="2"/>
          </w:tcPr>
          <w:p>
            <w:pPr>
              <w:ind w:left="620"/>
              <w:spacing w:after="0"/>
              <w:rPr>
                <w:rFonts w:ascii="Arial" w:cs="Arial" w:eastAsia="Arial" w:hAnsi="Arial"/>
                <w:sz w:val="17"/>
                <w:szCs w:val="17"/>
                <w:u w:val="single" w:color="auto"/>
                <w:color w:val="0000EE"/>
              </w:rPr>
            </w:pPr>
            <w:hyperlink w:anchor="page33">
              <w:r>
                <w:rPr>
                  <w:rFonts w:ascii="Arial" w:cs="Arial" w:eastAsia="Arial" w:hAnsi="Arial"/>
                  <w:sz w:val="17"/>
                  <w:szCs w:val="17"/>
                  <w:u w:val="single" w:color="auto"/>
                  <w:color w:val="0000EE"/>
                </w:rPr>
                <w:t>15. Share-Based Compensation</w:t>
              </w:r>
            </w:hyperlink>
          </w:p>
        </w:tc>
        <w:tc>
          <w:tcPr>
            <w:tcW w:w="1060" w:type="dxa"/>
            <w:vAlign w:val="bottom"/>
          </w:tcPr>
          <w:p>
            <w:pPr>
              <w:jc w:val="center"/>
              <w:spacing w:after="0"/>
              <w:rPr>
                <w:rFonts w:ascii="Arial" w:cs="Arial" w:eastAsia="Arial" w:hAnsi="Arial"/>
                <w:sz w:val="17"/>
                <w:szCs w:val="17"/>
                <w:u w:val="single" w:color="auto"/>
                <w:color w:val="0000EE"/>
                <w:w w:val="94"/>
              </w:rPr>
            </w:pPr>
            <w:hyperlink w:anchor="page33">
              <w:r>
                <w:rPr>
                  <w:rFonts w:ascii="Arial" w:cs="Arial" w:eastAsia="Arial" w:hAnsi="Arial"/>
                  <w:sz w:val="17"/>
                  <w:szCs w:val="17"/>
                  <w:u w:val="single" w:color="auto"/>
                  <w:color w:val="0000EE"/>
                  <w:w w:val="94"/>
                </w:rPr>
                <w:t>30</w:t>
              </w:r>
            </w:hyperlink>
          </w:p>
        </w:tc>
      </w:tr>
      <w:tr>
        <w:trPr>
          <w:trHeight w:val="270"/>
        </w:trPr>
        <w:tc>
          <w:tcPr>
            <w:tcW w:w="1000" w:type="dxa"/>
            <w:vAlign w:val="bottom"/>
          </w:tcPr>
          <w:p>
            <w:pPr>
              <w:spacing w:after="0"/>
              <w:rPr>
                <w:sz w:val="23"/>
                <w:szCs w:val="23"/>
                <w:color w:val="auto"/>
              </w:rPr>
            </w:pPr>
          </w:p>
        </w:tc>
        <w:tc>
          <w:tcPr>
            <w:tcW w:w="8440" w:type="dxa"/>
            <w:vAlign w:val="bottom"/>
            <w:gridSpan w:val="2"/>
          </w:tcPr>
          <w:p>
            <w:pPr>
              <w:ind w:left="620"/>
              <w:spacing w:after="0"/>
              <w:rPr>
                <w:rFonts w:ascii="Arial" w:cs="Arial" w:eastAsia="Arial" w:hAnsi="Arial"/>
                <w:sz w:val="17"/>
                <w:szCs w:val="17"/>
                <w:u w:val="single" w:color="auto"/>
                <w:color w:val="0000EE"/>
              </w:rPr>
            </w:pPr>
            <w:hyperlink w:anchor="page34">
              <w:r>
                <w:rPr>
                  <w:rFonts w:ascii="Arial" w:cs="Arial" w:eastAsia="Arial" w:hAnsi="Arial"/>
                  <w:sz w:val="17"/>
                  <w:szCs w:val="17"/>
                  <w:u w:val="single" w:color="auto"/>
                  <w:color w:val="0000EE"/>
                </w:rPr>
                <w:t>16. Variable Interest Entities</w:t>
              </w:r>
            </w:hyperlink>
          </w:p>
        </w:tc>
        <w:tc>
          <w:tcPr>
            <w:tcW w:w="1060" w:type="dxa"/>
            <w:vAlign w:val="bottom"/>
          </w:tcPr>
          <w:p>
            <w:pPr>
              <w:jc w:val="center"/>
              <w:spacing w:after="0"/>
              <w:rPr>
                <w:rFonts w:ascii="Arial" w:cs="Arial" w:eastAsia="Arial" w:hAnsi="Arial"/>
                <w:sz w:val="17"/>
                <w:szCs w:val="17"/>
                <w:u w:val="single" w:color="auto"/>
                <w:color w:val="0000EE"/>
                <w:w w:val="94"/>
              </w:rPr>
            </w:pPr>
            <w:hyperlink w:anchor="page34">
              <w:r>
                <w:rPr>
                  <w:rFonts w:ascii="Arial" w:cs="Arial" w:eastAsia="Arial" w:hAnsi="Arial"/>
                  <w:sz w:val="17"/>
                  <w:szCs w:val="17"/>
                  <w:u w:val="single" w:color="auto"/>
                  <w:color w:val="0000EE"/>
                  <w:w w:val="94"/>
                </w:rPr>
                <w:t>31</w:t>
              </w:r>
            </w:hyperlink>
          </w:p>
        </w:tc>
      </w:tr>
      <w:tr>
        <w:trPr>
          <w:trHeight w:val="270"/>
        </w:trPr>
        <w:tc>
          <w:tcPr>
            <w:tcW w:w="1000" w:type="dxa"/>
            <w:vAlign w:val="bottom"/>
          </w:tcPr>
          <w:p>
            <w:pPr>
              <w:spacing w:after="0"/>
              <w:rPr>
                <w:sz w:val="23"/>
                <w:szCs w:val="23"/>
                <w:color w:val="auto"/>
              </w:rPr>
            </w:pPr>
          </w:p>
        </w:tc>
        <w:tc>
          <w:tcPr>
            <w:tcW w:w="8440" w:type="dxa"/>
            <w:vAlign w:val="bottom"/>
            <w:gridSpan w:val="2"/>
          </w:tcPr>
          <w:p>
            <w:pPr>
              <w:ind w:left="620"/>
              <w:spacing w:after="0"/>
              <w:rPr>
                <w:rFonts w:ascii="Arial" w:cs="Arial" w:eastAsia="Arial" w:hAnsi="Arial"/>
                <w:sz w:val="17"/>
                <w:szCs w:val="17"/>
                <w:u w:val="single" w:color="auto"/>
                <w:color w:val="0000EE"/>
              </w:rPr>
            </w:pPr>
            <w:hyperlink w:anchor="page37">
              <w:r>
                <w:rPr>
                  <w:rFonts w:ascii="Arial" w:cs="Arial" w:eastAsia="Arial" w:hAnsi="Arial"/>
                  <w:sz w:val="17"/>
                  <w:szCs w:val="17"/>
                  <w:u w:val="single" w:color="auto"/>
                  <w:color w:val="0000EE"/>
                </w:rPr>
                <w:t>17. Business Segments</w:t>
              </w:r>
            </w:hyperlink>
          </w:p>
        </w:tc>
        <w:tc>
          <w:tcPr>
            <w:tcW w:w="1060" w:type="dxa"/>
            <w:vAlign w:val="bottom"/>
          </w:tcPr>
          <w:p>
            <w:pPr>
              <w:jc w:val="center"/>
              <w:spacing w:after="0"/>
              <w:rPr>
                <w:rFonts w:ascii="Arial" w:cs="Arial" w:eastAsia="Arial" w:hAnsi="Arial"/>
                <w:sz w:val="17"/>
                <w:szCs w:val="17"/>
                <w:u w:val="single" w:color="auto"/>
                <w:color w:val="0000EE"/>
                <w:w w:val="94"/>
              </w:rPr>
            </w:pPr>
            <w:hyperlink w:anchor="page37">
              <w:r>
                <w:rPr>
                  <w:rFonts w:ascii="Arial" w:cs="Arial" w:eastAsia="Arial" w:hAnsi="Arial"/>
                  <w:sz w:val="17"/>
                  <w:szCs w:val="17"/>
                  <w:u w:val="single" w:color="auto"/>
                  <w:color w:val="0000EE"/>
                  <w:w w:val="94"/>
                </w:rPr>
                <w:t>34</w:t>
              </w:r>
            </w:hyperlink>
          </w:p>
        </w:tc>
      </w:tr>
      <w:tr>
        <w:trPr>
          <w:trHeight w:val="270"/>
        </w:trPr>
        <w:tc>
          <w:tcPr>
            <w:tcW w:w="1000" w:type="dxa"/>
            <w:vAlign w:val="bottom"/>
          </w:tcPr>
          <w:p>
            <w:pPr>
              <w:ind w:left="240"/>
              <w:spacing w:after="0"/>
              <w:rPr>
                <w:sz w:val="20"/>
                <w:szCs w:val="20"/>
                <w:color w:val="auto"/>
              </w:rPr>
            </w:pPr>
            <w:r>
              <w:rPr>
                <w:rFonts w:ascii="Arial" w:cs="Arial" w:eastAsia="Arial" w:hAnsi="Arial"/>
                <w:sz w:val="17"/>
                <w:szCs w:val="17"/>
                <w:color w:val="auto"/>
              </w:rPr>
              <w:t>Item 2.</w:t>
            </w:r>
          </w:p>
        </w:tc>
        <w:tc>
          <w:tcPr>
            <w:tcW w:w="8440" w:type="dxa"/>
            <w:vAlign w:val="bottom"/>
            <w:gridSpan w:val="2"/>
          </w:tcPr>
          <w:p>
            <w:pPr>
              <w:ind w:left="400"/>
              <w:spacing w:after="0"/>
              <w:rPr>
                <w:rFonts w:ascii="Arial" w:cs="Arial" w:eastAsia="Arial" w:hAnsi="Arial"/>
                <w:sz w:val="17"/>
                <w:szCs w:val="17"/>
                <w:u w:val="single" w:color="auto"/>
                <w:color w:val="0000EE"/>
              </w:rPr>
            </w:pPr>
            <w:hyperlink w:anchor="page39">
              <w:r>
                <w:rPr>
                  <w:rFonts w:ascii="Arial" w:cs="Arial" w:eastAsia="Arial" w:hAnsi="Arial"/>
                  <w:sz w:val="17"/>
                  <w:szCs w:val="17"/>
                  <w:u w:val="single" w:color="auto"/>
                  <w:color w:val="0000EE"/>
                </w:rPr>
                <w:t>Management’s Discussion and Analysis of Financial Condition and Results of Operations</w:t>
              </w:r>
            </w:hyperlink>
          </w:p>
        </w:tc>
        <w:tc>
          <w:tcPr>
            <w:tcW w:w="1060" w:type="dxa"/>
            <w:vAlign w:val="bottom"/>
          </w:tcPr>
          <w:p>
            <w:pPr>
              <w:jc w:val="center"/>
              <w:spacing w:after="0"/>
              <w:rPr>
                <w:rFonts w:ascii="Arial" w:cs="Arial" w:eastAsia="Arial" w:hAnsi="Arial"/>
                <w:sz w:val="17"/>
                <w:szCs w:val="17"/>
                <w:u w:val="single" w:color="auto"/>
                <w:color w:val="0000EE"/>
                <w:w w:val="94"/>
              </w:rPr>
            </w:pPr>
            <w:hyperlink w:anchor="page39">
              <w:r>
                <w:rPr>
                  <w:rFonts w:ascii="Arial" w:cs="Arial" w:eastAsia="Arial" w:hAnsi="Arial"/>
                  <w:sz w:val="17"/>
                  <w:szCs w:val="17"/>
                  <w:u w:val="single" w:color="auto"/>
                  <w:color w:val="0000EE"/>
                  <w:w w:val="94"/>
                </w:rPr>
                <w:t>36</w:t>
              </w:r>
            </w:hyperlink>
          </w:p>
        </w:tc>
      </w:tr>
      <w:tr>
        <w:trPr>
          <w:trHeight w:val="257"/>
        </w:trPr>
        <w:tc>
          <w:tcPr>
            <w:tcW w:w="1000" w:type="dxa"/>
            <w:vAlign w:val="bottom"/>
          </w:tcPr>
          <w:p>
            <w:pPr>
              <w:ind w:left="240"/>
              <w:spacing w:after="0"/>
              <w:rPr>
                <w:sz w:val="20"/>
                <w:szCs w:val="20"/>
                <w:color w:val="auto"/>
              </w:rPr>
            </w:pPr>
            <w:r>
              <w:rPr>
                <w:rFonts w:ascii="Arial" w:cs="Arial" w:eastAsia="Arial" w:hAnsi="Arial"/>
                <w:sz w:val="17"/>
                <w:szCs w:val="17"/>
                <w:color w:val="auto"/>
              </w:rPr>
              <w:t>Item 3.</w:t>
            </w:r>
          </w:p>
        </w:tc>
        <w:tc>
          <w:tcPr>
            <w:tcW w:w="8440" w:type="dxa"/>
            <w:vAlign w:val="bottom"/>
            <w:gridSpan w:val="2"/>
          </w:tcPr>
          <w:p>
            <w:pPr>
              <w:ind w:left="400"/>
              <w:spacing w:after="0"/>
              <w:rPr>
                <w:rFonts w:ascii="Arial" w:cs="Arial" w:eastAsia="Arial" w:hAnsi="Arial"/>
                <w:sz w:val="17"/>
                <w:szCs w:val="17"/>
                <w:u w:val="single" w:color="auto"/>
                <w:color w:val="0000EE"/>
              </w:rPr>
            </w:pPr>
            <w:hyperlink w:anchor="page63">
              <w:r>
                <w:rPr>
                  <w:rFonts w:ascii="Arial" w:cs="Arial" w:eastAsia="Arial" w:hAnsi="Arial"/>
                  <w:sz w:val="17"/>
                  <w:szCs w:val="17"/>
                  <w:u w:val="single" w:color="auto"/>
                  <w:color w:val="0000EE"/>
                </w:rPr>
                <w:t>Quantitative and Qualitative Disclosures About Market Risk</w:t>
              </w:r>
            </w:hyperlink>
          </w:p>
        </w:tc>
        <w:tc>
          <w:tcPr>
            <w:tcW w:w="1060" w:type="dxa"/>
            <w:vAlign w:val="bottom"/>
          </w:tcPr>
          <w:p>
            <w:pPr>
              <w:jc w:val="center"/>
              <w:spacing w:after="0"/>
              <w:rPr>
                <w:rFonts w:ascii="Arial" w:cs="Arial" w:eastAsia="Arial" w:hAnsi="Arial"/>
                <w:sz w:val="17"/>
                <w:szCs w:val="17"/>
                <w:u w:val="single" w:color="auto"/>
                <w:color w:val="0000EE"/>
                <w:w w:val="94"/>
              </w:rPr>
            </w:pPr>
            <w:hyperlink w:anchor="page63">
              <w:r>
                <w:rPr>
                  <w:rFonts w:ascii="Arial" w:cs="Arial" w:eastAsia="Arial" w:hAnsi="Arial"/>
                  <w:sz w:val="17"/>
                  <w:szCs w:val="17"/>
                  <w:u w:val="single" w:color="auto"/>
                  <w:color w:val="0000EE"/>
                  <w:w w:val="94"/>
                </w:rPr>
                <w:t>60</w:t>
              </w:r>
            </w:hyperlink>
          </w:p>
        </w:tc>
      </w:tr>
      <w:tr>
        <w:trPr>
          <w:trHeight w:val="256"/>
        </w:trPr>
        <w:tc>
          <w:tcPr>
            <w:tcW w:w="1000" w:type="dxa"/>
            <w:vAlign w:val="bottom"/>
          </w:tcPr>
          <w:p>
            <w:pPr>
              <w:ind w:left="240"/>
              <w:spacing w:after="0"/>
              <w:rPr>
                <w:sz w:val="20"/>
                <w:szCs w:val="20"/>
                <w:color w:val="auto"/>
              </w:rPr>
            </w:pPr>
            <w:r>
              <w:rPr>
                <w:rFonts w:ascii="Arial" w:cs="Arial" w:eastAsia="Arial" w:hAnsi="Arial"/>
                <w:sz w:val="17"/>
                <w:szCs w:val="17"/>
                <w:color w:val="auto"/>
              </w:rPr>
              <w:t>Item 4.</w:t>
            </w:r>
          </w:p>
        </w:tc>
        <w:tc>
          <w:tcPr>
            <w:tcW w:w="8440" w:type="dxa"/>
            <w:vAlign w:val="bottom"/>
            <w:gridSpan w:val="2"/>
          </w:tcPr>
          <w:p>
            <w:pPr>
              <w:ind w:left="400"/>
              <w:spacing w:after="0"/>
              <w:rPr>
                <w:rFonts w:ascii="Arial" w:cs="Arial" w:eastAsia="Arial" w:hAnsi="Arial"/>
                <w:sz w:val="17"/>
                <w:szCs w:val="17"/>
                <w:u w:val="single" w:color="auto"/>
                <w:color w:val="0000EE"/>
              </w:rPr>
            </w:pPr>
            <w:hyperlink w:anchor="page64">
              <w:r>
                <w:rPr>
                  <w:rFonts w:ascii="Arial" w:cs="Arial" w:eastAsia="Arial" w:hAnsi="Arial"/>
                  <w:sz w:val="17"/>
                  <w:szCs w:val="17"/>
                  <w:u w:val="single" w:color="auto"/>
                  <w:color w:val="0000EE"/>
                </w:rPr>
                <w:t>Controls and Procedures</w:t>
              </w:r>
            </w:hyperlink>
          </w:p>
        </w:tc>
        <w:tc>
          <w:tcPr>
            <w:tcW w:w="1060" w:type="dxa"/>
            <w:vAlign w:val="bottom"/>
          </w:tcPr>
          <w:p>
            <w:pPr>
              <w:jc w:val="center"/>
              <w:spacing w:after="0"/>
              <w:rPr>
                <w:rFonts w:ascii="Arial" w:cs="Arial" w:eastAsia="Arial" w:hAnsi="Arial"/>
                <w:sz w:val="17"/>
                <w:szCs w:val="17"/>
                <w:u w:val="single" w:color="auto"/>
                <w:color w:val="0000EE"/>
                <w:w w:val="94"/>
              </w:rPr>
            </w:pPr>
            <w:hyperlink w:anchor="page64">
              <w:r>
                <w:rPr>
                  <w:rFonts w:ascii="Arial" w:cs="Arial" w:eastAsia="Arial" w:hAnsi="Arial"/>
                  <w:sz w:val="17"/>
                  <w:szCs w:val="17"/>
                  <w:u w:val="single" w:color="auto"/>
                  <w:color w:val="0000EE"/>
                  <w:w w:val="94"/>
                </w:rPr>
                <w:t>61</w:t>
              </w:r>
            </w:hyperlink>
          </w:p>
        </w:tc>
      </w:tr>
      <w:tr>
        <w:trPr>
          <w:trHeight w:val="257"/>
        </w:trPr>
        <w:tc>
          <w:tcPr>
            <w:tcW w:w="1000" w:type="dxa"/>
            <w:vAlign w:val="bottom"/>
          </w:tcPr>
          <w:p>
            <w:pPr>
              <w:spacing w:after="0"/>
              <w:rPr>
                <w:sz w:val="20"/>
                <w:szCs w:val="20"/>
                <w:color w:val="auto"/>
              </w:rPr>
            </w:pPr>
            <w:r>
              <w:rPr>
                <w:rFonts w:ascii="Arial" w:cs="Arial" w:eastAsia="Arial" w:hAnsi="Arial"/>
                <w:sz w:val="17"/>
                <w:szCs w:val="17"/>
                <w:b w:val="1"/>
                <w:bCs w:val="1"/>
                <w:color w:val="auto"/>
              </w:rPr>
              <w:t>Part II.</w:t>
            </w:r>
          </w:p>
        </w:tc>
        <w:tc>
          <w:tcPr>
            <w:tcW w:w="8440" w:type="dxa"/>
            <w:vAlign w:val="bottom"/>
            <w:gridSpan w:val="2"/>
          </w:tcPr>
          <w:p>
            <w:pPr>
              <w:ind w:left="160"/>
              <w:spacing w:after="0"/>
              <w:rPr>
                <w:rFonts w:ascii="Arial" w:cs="Arial" w:eastAsia="Arial" w:hAnsi="Arial"/>
                <w:sz w:val="17"/>
                <w:szCs w:val="17"/>
                <w:b w:val="1"/>
                <w:bCs w:val="1"/>
                <w:u w:val="single" w:color="auto"/>
                <w:color w:val="0000EE"/>
              </w:rPr>
            </w:pPr>
            <w:hyperlink w:anchor="page64">
              <w:r>
                <w:rPr>
                  <w:rFonts w:ascii="Arial" w:cs="Arial" w:eastAsia="Arial" w:hAnsi="Arial"/>
                  <w:sz w:val="17"/>
                  <w:szCs w:val="17"/>
                  <w:b w:val="1"/>
                  <w:bCs w:val="1"/>
                  <w:u w:val="single" w:color="auto"/>
                  <w:color w:val="0000EE"/>
                </w:rPr>
                <w:t>OTHER INFORMATION</w:t>
              </w:r>
            </w:hyperlink>
          </w:p>
        </w:tc>
        <w:tc>
          <w:tcPr>
            <w:tcW w:w="1060" w:type="dxa"/>
            <w:vAlign w:val="bottom"/>
          </w:tcPr>
          <w:p>
            <w:pPr>
              <w:jc w:val="center"/>
              <w:spacing w:after="0"/>
              <w:rPr>
                <w:rFonts w:ascii="Arial" w:cs="Arial" w:eastAsia="Arial" w:hAnsi="Arial"/>
                <w:sz w:val="17"/>
                <w:szCs w:val="17"/>
                <w:u w:val="single" w:color="auto"/>
                <w:color w:val="0000EE"/>
                <w:w w:val="94"/>
              </w:rPr>
            </w:pPr>
            <w:hyperlink w:anchor="page64">
              <w:r>
                <w:rPr>
                  <w:rFonts w:ascii="Arial" w:cs="Arial" w:eastAsia="Arial" w:hAnsi="Arial"/>
                  <w:sz w:val="17"/>
                  <w:szCs w:val="17"/>
                  <w:u w:val="single" w:color="auto"/>
                  <w:color w:val="0000EE"/>
                  <w:w w:val="94"/>
                </w:rPr>
                <w:t>61</w:t>
              </w:r>
            </w:hyperlink>
          </w:p>
        </w:tc>
      </w:tr>
      <w:tr>
        <w:trPr>
          <w:trHeight w:val="256"/>
        </w:trPr>
        <w:tc>
          <w:tcPr>
            <w:tcW w:w="1000" w:type="dxa"/>
            <w:vAlign w:val="bottom"/>
          </w:tcPr>
          <w:p>
            <w:pPr>
              <w:ind w:left="240"/>
              <w:spacing w:after="0"/>
              <w:rPr>
                <w:sz w:val="20"/>
                <w:szCs w:val="20"/>
                <w:color w:val="auto"/>
              </w:rPr>
            </w:pPr>
            <w:r>
              <w:rPr>
                <w:rFonts w:ascii="Arial" w:cs="Arial" w:eastAsia="Arial" w:hAnsi="Arial"/>
                <w:sz w:val="17"/>
                <w:szCs w:val="17"/>
                <w:color w:val="auto"/>
              </w:rPr>
              <w:t>Item 1.</w:t>
            </w:r>
          </w:p>
        </w:tc>
        <w:tc>
          <w:tcPr>
            <w:tcW w:w="8440" w:type="dxa"/>
            <w:vAlign w:val="bottom"/>
            <w:gridSpan w:val="2"/>
          </w:tcPr>
          <w:p>
            <w:pPr>
              <w:ind w:left="400"/>
              <w:spacing w:after="0"/>
              <w:rPr>
                <w:rFonts w:ascii="Arial" w:cs="Arial" w:eastAsia="Arial" w:hAnsi="Arial"/>
                <w:sz w:val="17"/>
                <w:szCs w:val="17"/>
                <w:u w:val="single" w:color="auto"/>
                <w:color w:val="0000EE"/>
              </w:rPr>
            </w:pPr>
            <w:hyperlink w:anchor="page64">
              <w:r>
                <w:rPr>
                  <w:rFonts w:ascii="Arial" w:cs="Arial" w:eastAsia="Arial" w:hAnsi="Arial"/>
                  <w:sz w:val="17"/>
                  <w:szCs w:val="17"/>
                  <w:u w:val="single" w:color="auto"/>
                  <w:color w:val="0000EE"/>
                </w:rPr>
                <w:t>Legal Proceedings</w:t>
              </w:r>
            </w:hyperlink>
          </w:p>
        </w:tc>
        <w:tc>
          <w:tcPr>
            <w:tcW w:w="1060" w:type="dxa"/>
            <w:vAlign w:val="bottom"/>
          </w:tcPr>
          <w:p>
            <w:pPr>
              <w:jc w:val="center"/>
              <w:spacing w:after="0"/>
              <w:rPr>
                <w:rFonts w:ascii="Arial" w:cs="Arial" w:eastAsia="Arial" w:hAnsi="Arial"/>
                <w:sz w:val="17"/>
                <w:szCs w:val="17"/>
                <w:u w:val="single" w:color="auto"/>
                <w:color w:val="0000EE"/>
                <w:w w:val="94"/>
              </w:rPr>
            </w:pPr>
            <w:hyperlink w:anchor="page64">
              <w:r>
                <w:rPr>
                  <w:rFonts w:ascii="Arial" w:cs="Arial" w:eastAsia="Arial" w:hAnsi="Arial"/>
                  <w:sz w:val="17"/>
                  <w:szCs w:val="17"/>
                  <w:u w:val="single" w:color="auto"/>
                  <w:color w:val="0000EE"/>
                  <w:w w:val="94"/>
                </w:rPr>
                <w:t>61</w:t>
              </w:r>
            </w:hyperlink>
          </w:p>
        </w:tc>
      </w:tr>
      <w:tr>
        <w:trPr>
          <w:trHeight w:val="257"/>
        </w:trPr>
        <w:tc>
          <w:tcPr>
            <w:tcW w:w="1000" w:type="dxa"/>
            <w:vAlign w:val="bottom"/>
          </w:tcPr>
          <w:p>
            <w:pPr>
              <w:ind w:left="240"/>
              <w:spacing w:after="0"/>
              <w:rPr>
                <w:sz w:val="20"/>
                <w:szCs w:val="20"/>
                <w:color w:val="auto"/>
              </w:rPr>
            </w:pPr>
            <w:r>
              <w:rPr>
                <w:rFonts w:ascii="Arial" w:cs="Arial" w:eastAsia="Arial" w:hAnsi="Arial"/>
                <w:sz w:val="17"/>
                <w:szCs w:val="17"/>
                <w:color w:val="auto"/>
              </w:rPr>
              <w:t>Item 1A.</w:t>
            </w:r>
          </w:p>
        </w:tc>
        <w:tc>
          <w:tcPr>
            <w:tcW w:w="8440" w:type="dxa"/>
            <w:vAlign w:val="bottom"/>
            <w:gridSpan w:val="2"/>
          </w:tcPr>
          <w:p>
            <w:pPr>
              <w:ind w:left="400"/>
              <w:spacing w:after="0"/>
              <w:rPr>
                <w:rFonts w:ascii="Arial" w:cs="Arial" w:eastAsia="Arial" w:hAnsi="Arial"/>
                <w:sz w:val="17"/>
                <w:szCs w:val="17"/>
                <w:u w:val="single" w:color="auto"/>
                <w:color w:val="0000EE"/>
              </w:rPr>
            </w:pPr>
            <w:hyperlink w:anchor="page64">
              <w:r>
                <w:rPr>
                  <w:rFonts w:ascii="Arial" w:cs="Arial" w:eastAsia="Arial" w:hAnsi="Arial"/>
                  <w:sz w:val="17"/>
                  <w:szCs w:val="17"/>
                  <w:u w:val="single" w:color="auto"/>
                  <w:color w:val="0000EE"/>
                </w:rPr>
                <w:t>Risk Factors</w:t>
              </w:r>
            </w:hyperlink>
          </w:p>
        </w:tc>
        <w:tc>
          <w:tcPr>
            <w:tcW w:w="1060" w:type="dxa"/>
            <w:vAlign w:val="bottom"/>
          </w:tcPr>
          <w:p>
            <w:pPr>
              <w:jc w:val="center"/>
              <w:spacing w:after="0"/>
              <w:rPr>
                <w:rFonts w:ascii="Arial" w:cs="Arial" w:eastAsia="Arial" w:hAnsi="Arial"/>
                <w:sz w:val="17"/>
                <w:szCs w:val="17"/>
                <w:u w:val="single" w:color="auto"/>
                <w:color w:val="0000EE"/>
                <w:w w:val="94"/>
              </w:rPr>
            </w:pPr>
            <w:hyperlink w:anchor="page64">
              <w:r>
                <w:rPr>
                  <w:rFonts w:ascii="Arial" w:cs="Arial" w:eastAsia="Arial" w:hAnsi="Arial"/>
                  <w:sz w:val="17"/>
                  <w:szCs w:val="17"/>
                  <w:u w:val="single" w:color="auto"/>
                  <w:color w:val="0000EE"/>
                  <w:w w:val="94"/>
                </w:rPr>
                <w:t>61</w:t>
              </w:r>
            </w:hyperlink>
          </w:p>
        </w:tc>
      </w:tr>
      <w:tr>
        <w:trPr>
          <w:trHeight w:val="256"/>
        </w:trPr>
        <w:tc>
          <w:tcPr>
            <w:tcW w:w="1000" w:type="dxa"/>
            <w:vAlign w:val="bottom"/>
          </w:tcPr>
          <w:p>
            <w:pPr>
              <w:ind w:left="240"/>
              <w:spacing w:after="0"/>
              <w:rPr>
                <w:sz w:val="20"/>
                <w:szCs w:val="20"/>
                <w:color w:val="auto"/>
              </w:rPr>
            </w:pPr>
            <w:r>
              <w:rPr>
                <w:rFonts w:ascii="Arial" w:cs="Arial" w:eastAsia="Arial" w:hAnsi="Arial"/>
                <w:sz w:val="17"/>
                <w:szCs w:val="17"/>
                <w:color w:val="auto"/>
              </w:rPr>
              <w:t>Item 2.</w:t>
            </w:r>
          </w:p>
        </w:tc>
        <w:tc>
          <w:tcPr>
            <w:tcW w:w="8440" w:type="dxa"/>
            <w:vAlign w:val="bottom"/>
            <w:gridSpan w:val="2"/>
          </w:tcPr>
          <w:p>
            <w:pPr>
              <w:ind w:left="400"/>
              <w:spacing w:after="0"/>
              <w:rPr>
                <w:rFonts w:ascii="Arial" w:cs="Arial" w:eastAsia="Arial" w:hAnsi="Arial"/>
                <w:sz w:val="17"/>
                <w:szCs w:val="17"/>
                <w:u w:val="single" w:color="auto"/>
                <w:color w:val="0000EE"/>
              </w:rPr>
            </w:pPr>
            <w:hyperlink w:anchor="page66">
              <w:r>
                <w:rPr>
                  <w:rFonts w:ascii="Arial" w:cs="Arial" w:eastAsia="Arial" w:hAnsi="Arial"/>
                  <w:sz w:val="17"/>
                  <w:szCs w:val="17"/>
                  <w:u w:val="single" w:color="auto"/>
                  <w:color w:val="0000EE"/>
                </w:rPr>
                <w:t>Unregistered Sales of Equity Securities and Use of Proceeds</w:t>
              </w:r>
            </w:hyperlink>
          </w:p>
        </w:tc>
        <w:tc>
          <w:tcPr>
            <w:tcW w:w="1060" w:type="dxa"/>
            <w:vAlign w:val="bottom"/>
          </w:tcPr>
          <w:p>
            <w:pPr>
              <w:jc w:val="center"/>
              <w:spacing w:after="0"/>
              <w:rPr>
                <w:rFonts w:ascii="Arial" w:cs="Arial" w:eastAsia="Arial" w:hAnsi="Arial"/>
                <w:sz w:val="17"/>
                <w:szCs w:val="17"/>
                <w:u w:val="single" w:color="auto"/>
                <w:color w:val="0000EE"/>
                <w:w w:val="94"/>
              </w:rPr>
            </w:pPr>
            <w:hyperlink w:anchor="page66">
              <w:r>
                <w:rPr>
                  <w:rFonts w:ascii="Arial" w:cs="Arial" w:eastAsia="Arial" w:hAnsi="Arial"/>
                  <w:sz w:val="17"/>
                  <w:szCs w:val="17"/>
                  <w:u w:val="single" w:color="auto"/>
                  <w:color w:val="0000EE"/>
                  <w:w w:val="94"/>
                </w:rPr>
                <w:t>63</w:t>
              </w:r>
            </w:hyperlink>
          </w:p>
        </w:tc>
      </w:tr>
      <w:tr>
        <w:trPr>
          <w:trHeight w:val="257"/>
        </w:trPr>
        <w:tc>
          <w:tcPr>
            <w:tcW w:w="1000" w:type="dxa"/>
            <w:vAlign w:val="bottom"/>
          </w:tcPr>
          <w:p>
            <w:pPr>
              <w:ind w:left="240"/>
              <w:spacing w:after="0"/>
              <w:rPr>
                <w:sz w:val="20"/>
                <w:szCs w:val="20"/>
                <w:color w:val="auto"/>
              </w:rPr>
            </w:pPr>
            <w:r>
              <w:rPr>
                <w:rFonts w:ascii="Arial" w:cs="Arial" w:eastAsia="Arial" w:hAnsi="Arial"/>
                <w:sz w:val="17"/>
                <w:szCs w:val="17"/>
                <w:color w:val="auto"/>
              </w:rPr>
              <w:t>Item 6.</w:t>
            </w:r>
          </w:p>
        </w:tc>
        <w:tc>
          <w:tcPr>
            <w:tcW w:w="8440" w:type="dxa"/>
            <w:vAlign w:val="bottom"/>
            <w:gridSpan w:val="2"/>
          </w:tcPr>
          <w:p>
            <w:pPr>
              <w:ind w:left="400"/>
              <w:spacing w:after="0"/>
              <w:rPr>
                <w:rFonts w:ascii="Arial" w:cs="Arial" w:eastAsia="Arial" w:hAnsi="Arial"/>
                <w:sz w:val="17"/>
                <w:szCs w:val="17"/>
                <w:u w:val="single" w:color="auto"/>
                <w:color w:val="0000EE"/>
              </w:rPr>
            </w:pPr>
            <w:hyperlink w:anchor="page67">
              <w:r>
                <w:rPr>
                  <w:rFonts w:ascii="Arial" w:cs="Arial" w:eastAsia="Arial" w:hAnsi="Arial"/>
                  <w:sz w:val="17"/>
                  <w:szCs w:val="17"/>
                  <w:u w:val="single" w:color="auto"/>
                  <w:color w:val="0000EE"/>
                </w:rPr>
                <w:t>Exhibits</w:t>
              </w:r>
            </w:hyperlink>
          </w:p>
        </w:tc>
        <w:tc>
          <w:tcPr>
            <w:tcW w:w="1060" w:type="dxa"/>
            <w:vAlign w:val="bottom"/>
          </w:tcPr>
          <w:p>
            <w:pPr>
              <w:jc w:val="center"/>
              <w:spacing w:after="0"/>
              <w:rPr>
                <w:rFonts w:ascii="Arial" w:cs="Arial" w:eastAsia="Arial" w:hAnsi="Arial"/>
                <w:sz w:val="17"/>
                <w:szCs w:val="17"/>
                <w:u w:val="single" w:color="auto"/>
                <w:color w:val="0000EE"/>
                <w:w w:val="94"/>
              </w:rPr>
            </w:pPr>
            <w:hyperlink w:anchor="page67">
              <w:r>
                <w:rPr>
                  <w:rFonts w:ascii="Arial" w:cs="Arial" w:eastAsia="Arial" w:hAnsi="Arial"/>
                  <w:sz w:val="17"/>
                  <w:szCs w:val="17"/>
                  <w:u w:val="single" w:color="auto"/>
                  <w:color w:val="0000EE"/>
                  <w:w w:val="94"/>
                </w:rPr>
                <w:t>64</w:t>
              </w:r>
            </w:hyperlink>
          </w:p>
        </w:tc>
      </w:tr>
      <w:tr>
        <w:trPr>
          <w:trHeight w:val="256"/>
        </w:trPr>
        <w:tc>
          <w:tcPr>
            <w:tcW w:w="1000" w:type="dxa"/>
            <w:vAlign w:val="bottom"/>
          </w:tcPr>
          <w:p>
            <w:pPr>
              <w:spacing w:after="0"/>
              <w:rPr>
                <w:sz w:val="22"/>
                <w:szCs w:val="22"/>
                <w:color w:val="auto"/>
              </w:rPr>
            </w:pPr>
          </w:p>
        </w:tc>
        <w:tc>
          <w:tcPr>
            <w:tcW w:w="8440" w:type="dxa"/>
            <w:vAlign w:val="bottom"/>
            <w:gridSpan w:val="2"/>
          </w:tcPr>
          <w:p>
            <w:pPr>
              <w:ind w:left="160"/>
              <w:spacing w:after="0"/>
              <w:rPr>
                <w:rFonts w:ascii="Arial" w:cs="Arial" w:eastAsia="Arial" w:hAnsi="Arial"/>
                <w:sz w:val="17"/>
                <w:szCs w:val="17"/>
                <w:u w:val="single" w:color="auto"/>
                <w:color w:val="0000EE"/>
              </w:rPr>
            </w:pPr>
            <w:hyperlink w:anchor="page69">
              <w:r>
                <w:rPr>
                  <w:rFonts w:ascii="Arial" w:cs="Arial" w:eastAsia="Arial" w:hAnsi="Arial"/>
                  <w:sz w:val="17"/>
                  <w:szCs w:val="17"/>
                  <w:u w:val="single" w:color="auto"/>
                  <w:color w:val="0000EE"/>
                </w:rPr>
                <w:t>SIGNATURES</w:t>
              </w:r>
            </w:hyperlink>
          </w:p>
        </w:tc>
        <w:tc>
          <w:tcPr>
            <w:tcW w:w="1060" w:type="dxa"/>
            <w:vAlign w:val="bottom"/>
          </w:tcPr>
          <w:p>
            <w:pPr>
              <w:jc w:val="center"/>
              <w:spacing w:after="0"/>
              <w:rPr>
                <w:rFonts w:ascii="Arial" w:cs="Arial" w:eastAsia="Arial" w:hAnsi="Arial"/>
                <w:sz w:val="17"/>
                <w:szCs w:val="17"/>
                <w:u w:val="single" w:color="auto"/>
                <w:color w:val="0000EE"/>
                <w:w w:val="94"/>
              </w:rPr>
            </w:pPr>
            <w:hyperlink w:anchor="page69">
              <w:r>
                <w:rPr>
                  <w:rFonts w:ascii="Arial" w:cs="Arial" w:eastAsia="Arial" w:hAnsi="Arial"/>
                  <w:sz w:val="17"/>
                  <w:szCs w:val="17"/>
                  <w:u w:val="single" w:color="auto"/>
                  <w:color w:val="0000EE"/>
                  <w:w w:val="94"/>
                </w:rPr>
                <w:t>66</w:t>
              </w:r>
            </w:hyperlink>
          </w:p>
        </w:tc>
      </w:tr>
    </w:tbl>
    <w:p>
      <w:pPr>
        <w:sectPr>
          <w:pgSz w:w="11900" w:h="16838" w:orient="portrait"/>
          <w:cols w:equalWidth="0" w:num="1">
            <w:col w:w="10500"/>
          </w:cols>
          <w:pgMar w:left="360" w:top="769" w:right="1039" w:bottom="1440" w:gutter="0" w:footer="0" w:header="0"/>
        </w:sectPr>
      </w:pPr>
    </w:p>
    <w:bookmarkStart w:id="2" w:name="page3"/>
    <w:bookmarkEnd w:id="2"/>
    <w:p>
      <w:pPr>
        <w:ind w:firstLine="648"/>
        <w:spacing w:after="0" w:line="275" w:lineRule="auto"/>
        <w:rPr>
          <w:sz w:val="20"/>
          <w:szCs w:val="20"/>
          <w:color w:val="auto"/>
        </w:rPr>
      </w:pPr>
      <w:r>
        <w:rPr>
          <w:rFonts w:ascii="Arial" w:cs="Arial" w:eastAsia="Arial" w:hAnsi="Arial"/>
          <w:sz w:val="16"/>
          <w:szCs w:val="16"/>
          <w:color w:val="auto"/>
        </w:rPr>
        <w:t xml:space="preserve">Throughout this report, we refer to Marriott Vacations Worldwide Corporation, together with its consolidated subsidiaries, as “Marriott Vacations Worldwide,” “MVW,” “we,” “us,” or “the Company.” We also refer to brands that we own, as well as those brands that we license, as our brands. All brand names, trademarks, service marks and trade names cited in this report are the property of their respective owners, including those of other companies and organizations. Solely for convenience, trademarks, trade names and service marks referred to in this report may appear without the </w:t>
      </w:r>
      <w:r>
        <w:rPr>
          <w:rFonts w:ascii="Arial" w:cs="Arial" w:eastAsia="Arial" w:hAnsi="Arial"/>
          <w:sz w:val="22"/>
          <w:szCs w:val="22"/>
          <w:color w:val="auto"/>
          <w:vertAlign w:val="superscript"/>
        </w:rPr>
        <w:t>®</w:t>
      </w:r>
      <w:r>
        <w:rPr>
          <w:rFonts w:ascii="Arial" w:cs="Arial" w:eastAsia="Arial" w:hAnsi="Arial"/>
          <w:sz w:val="16"/>
          <w:szCs w:val="16"/>
          <w:color w:val="auto"/>
        </w:rPr>
        <w:t xml:space="preserve"> or </w:t>
      </w:r>
      <w:r>
        <w:rPr>
          <w:rFonts w:ascii="Arial" w:cs="Arial" w:eastAsia="Arial" w:hAnsi="Arial"/>
          <w:sz w:val="16"/>
          <w:szCs w:val="16"/>
          <w:color w:val="auto"/>
          <w:vertAlign w:val="superscript"/>
        </w:rPr>
        <w:t>TM</w:t>
      </w:r>
      <w:r>
        <w:rPr>
          <w:rFonts w:ascii="Arial" w:cs="Arial" w:eastAsia="Arial" w:hAnsi="Arial"/>
          <w:sz w:val="16"/>
          <w:szCs w:val="16"/>
          <w:color w:val="auto"/>
        </w:rPr>
        <w:t xml:space="preserve"> symbols, however such references are not intended to indicate in any way that MVW or the owner, as applicable, will not assert, to the fullest extent under applicable law, all rights to such trademarks, trade names and service marks. Capitalized terms used and not specifically defined herein have the same meaning given those terms in our Annual Report on Form 10-K for the year ended December 31, 2019 (the “2019 Annual Report”). When discussing our properties or markets, we refer to the United States, Mexico, Central America and the Caribbean as “North America.”</w:t>
      </w:r>
    </w:p>
    <w:p>
      <w:pPr>
        <w:spacing w:after="0" w:line="70" w:lineRule="exact"/>
        <w:rPr>
          <w:sz w:val="20"/>
          <w:szCs w:val="20"/>
          <w:color w:val="auto"/>
        </w:rPr>
      </w:pPr>
    </w:p>
    <w:p>
      <w:pPr>
        <w:ind w:right="560" w:firstLine="661"/>
        <w:spacing w:after="0" w:line="286" w:lineRule="auto"/>
        <w:rPr>
          <w:sz w:val="20"/>
          <w:szCs w:val="20"/>
          <w:color w:val="auto"/>
        </w:rPr>
      </w:pPr>
      <w:r>
        <w:rPr>
          <w:rFonts w:ascii="Arial" w:cs="Arial" w:eastAsia="Arial" w:hAnsi="Arial"/>
          <w:sz w:val="17"/>
          <w:szCs w:val="17"/>
          <w:color w:val="auto"/>
        </w:rPr>
        <w:t>The COVID-19 pandemic (as defined and discussed further in Footnote 1 “Basis of Presentation”) has caused significant disruptions in international and U.S. economies and markets. We discuss the COVID-19 pandemic and its potential future implications in this report; however, the COVID-19 pandemic is an evolving and challenging situation and its impact on our business in the future remains uncertain.</w:t>
      </w:r>
    </w:p>
    <w:p>
      <w:pPr>
        <w:spacing w:after="0" w:line="57" w:lineRule="exact"/>
        <w:rPr>
          <w:sz w:val="20"/>
          <w:szCs w:val="20"/>
          <w:color w:val="auto"/>
        </w:rPr>
      </w:pPr>
    </w:p>
    <w:p>
      <w:pPr>
        <w:ind w:firstLine="661"/>
        <w:spacing w:after="0" w:line="253" w:lineRule="auto"/>
        <w:rPr>
          <w:sz w:val="20"/>
          <w:szCs w:val="20"/>
          <w:color w:val="auto"/>
        </w:rPr>
      </w:pPr>
      <w:r>
        <w:rPr>
          <w:rFonts w:ascii="Arial" w:cs="Arial" w:eastAsia="Arial" w:hAnsi="Arial"/>
          <w:sz w:val="18"/>
          <w:szCs w:val="18"/>
          <w:color w:val="auto"/>
        </w:rPr>
        <w:t>Due to circumstances related to the COVID-19 pandemic, the Company has availed itself of an extension to file this Quarterly Report on Form 10-Q under the Securities and Exchange Commission’s Order under Section 36 of the Securities Exchange Act of 1934 Modifying Exemptions from the Reporting and Proxy Delivery Requirements for Public Companies, dated March 25, 2020 (Release No. 34-88465). The Company’s operations and business have experienced significant disruptions due to the unprecedented conditions surrounding the COVID-19 pandemic. These disruptions include, but are not limited to, the temporary closure of all of the Company’s sales centers, the temporary closure of its resorts in North America to rental guests, the temporary reduction of amenities and operations at all of its resorts based on various government mandates and advisories, and other interruptions of the Company’s business and financial operations associated with or caused by COVID-19. To finalize this Form 10-Q, the Company needed to perform significant valuation work, including, among other things, assessing subsequent events, and determining whether assets were impaired. However, because of mandatory social quarantining/self-isolation, work from home orders and reduced hours, Company personnel had limited availability to perform this work.</w:t>
      </w:r>
    </w:p>
    <w:p>
      <w:pPr>
        <w:sectPr>
          <w:pgSz w:w="11900" w:h="16838" w:orient="portrait"/>
          <w:cols w:equalWidth="0" w:num="1">
            <w:col w:w="11220"/>
          </w:cols>
          <w:pgMar w:left="320" w:top="881" w:right="35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 (UNAUDITED)</w:t>
      </w:r>
    </w:p>
    <w:p>
      <w:pPr>
        <w:spacing w:after="0" w:line="13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Financial Statements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MARRIOTT VACATIONS WORLDWIDE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INTERIM 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60" w:type="dxa"/>
            <w:vAlign w:val="bottom"/>
            <w:gridSpan w:val="4"/>
          </w:tcPr>
          <w:p>
            <w:pPr>
              <w:jc w:val="right"/>
              <w:ind w:right="670"/>
              <w:spacing w:after="0"/>
              <w:rPr>
                <w:sz w:val="20"/>
                <w:szCs w:val="20"/>
                <w:color w:val="auto"/>
              </w:rPr>
            </w:pPr>
            <w:r>
              <w:rPr>
                <w:rFonts w:ascii="Arial" w:cs="Arial" w:eastAsia="Arial" w:hAnsi="Arial"/>
                <w:sz w:val="16"/>
                <w:szCs w:val="16"/>
                <w:b w:val="1"/>
                <w:bCs w:val="1"/>
                <w:color w:val="auto"/>
              </w:rPr>
              <w:t>Three Months Ended</w:t>
            </w:r>
          </w:p>
        </w:tc>
      </w:tr>
      <w:tr>
        <w:trPr>
          <w:trHeight w:val="33"/>
        </w:trPr>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800" w:type="dxa"/>
            <w:vAlign w:val="bottom"/>
          </w:tcPr>
          <w:p>
            <w:pPr>
              <w:spacing w:after="0"/>
              <w:rPr>
                <w:sz w:val="2"/>
                <w:szCs w:val="2"/>
                <w:color w:val="auto"/>
              </w:rPr>
            </w:pPr>
          </w:p>
        </w:tc>
        <w:tc>
          <w:tcPr>
            <w:tcW w:w="53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1"/>
        </w:trPr>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tcPr>
          <w:p>
            <w:pPr>
              <w:ind w:left="20"/>
              <w:spacing w:after="0"/>
              <w:rPr>
                <w:sz w:val="20"/>
                <w:szCs w:val="20"/>
                <w:color w:val="auto"/>
              </w:rPr>
            </w:pPr>
            <w:r>
              <w:rPr>
                <w:rFonts w:ascii="Arial" w:cs="Arial" w:eastAsia="Arial" w:hAnsi="Arial"/>
                <w:sz w:val="16"/>
                <w:szCs w:val="16"/>
                <w:b w:val="1"/>
                <w:bCs w:val="1"/>
                <w:color w:val="auto"/>
              </w:rPr>
              <w:t>March 31, 2020</w:t>
            </w:r>
          </w:p>
        </w:tc>
        <w:tc>
          <w:tcPr>
            <w:tcW w:w="160" w:type="dxa"/>
            <w:vAlign w:val="bottom"/>
          </w:tcPr>
          <w:p>
            <w:pPr>
              <w:spacing w:after="0"/>
              <w:rPr>
                <w:sz w:val="20"/>
                <w:szCs w:val="20"/>
                <w:color w:val="auto"/>
              </w:rPr>
            </w:pPr>
          </w:p>
        </w:tc>
        <w:tc>
          <w:tcPr>
            <w:tcW w:w="1300" w:type="dxa"/>
            <w:vAlign w:val="bottom"/>
          </w:tcPr>
          <w:p>
            <w:pPr>
              <w:jc w:val="right"/>
              <w:ind w:right="110"/>
              <w:spacing w:after="0"/>
              <w:rPr>
                <w:sz w:val="20"/>
                <w:szCs w:val="20"/>
                <w:color w:val="auto"/>
              </w:rPr>
            </w:pPr>
            <w:r>
              <w:rPr>
                <w:rFonts w:ascii="Arial" w:cs="Arial" w:eastAsia="Arial" w:hAnsi="Arial"/>
                <w:sz w:val="16"/>
                <w:szCs w:val="16"/>
                <w:b w:val="1"/>
                <w:bCs w:val="1"/>
                <w:color w:val="auto"/>
                <w:w w:val="94"/>
              </w:rPr>
              <w:t>March 31, 2019</w:t>
            </w:r>
          </w:p>
        </w:tc>
      </w:tr>
      <w:tr>
        <w:trPr>
          <w:trHeight w:val="33"/>
        </w:trPr>
        <w:tc>
          <w:tcPr>
            <w:tcW w:w="4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162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53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shd w:val="clear" w:color="auto" w:fill="CCEEFF"/>
              </w:rPr>
              <w:t>REVENUES</w:t>
            </w:r>
          </w:p>
        </w:tc>
        <w:tc>
          <w:tcPr>
            <w:tcW w:w="800" w:type="dxa"/>
            <w:vAlign w:val="bottom"/>
            <w:tcBorders>
              <w:bottom w:val="single" w:sz="8" w:color="CCEEFF"/>
            </w:tcBorders>
            <w:shd w:val="clear" w:color="auto" w:fill="CCEEFF"/>
          </w:tcPr>
          <w:p>
            <w:pPr>
              <w:spacing w:after="0"/>
              <w:rPr>
                <w:sz w:val="21"/>
                <w:szCs w:val="21"/>
                <w:color w:val="auto"/>
              </w:rPr>
            </w:pPr>
          </w:p>
        </w:tc>
        <w:tc>
          <w:tcPr>
            <w:tcW w:w="53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8180" w:type="dxa"/>
            <w:vAlign w:val="bottom"/>
            <w:gridSpan w:val="4"/>
          </w:tcPr>
          <w:p>
            <w:pPr>
              <w:ind w:left="240"/>
              <w:spacing w:after="0"/>
              <w:rPr>
                <w:sz w:val="20"/>
                <w:szCs w:val="20"/>
                <w:color w:val="auto"/>
              </w:rPr>
            </w:pPr>
            <w:r>
              <w:rPr>
                <w:rFonts w:ascii="Arial" w:cs="Arial" w:eastAsia="Arial" w:hAnsi="Arial"/>
                <w:sz w:val="18"/>
                <w:szCs w:val="18"/>
                <w:color w:val="auto"/>
              </w:rPr>
              <w:t>Sale of vacation ownership products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258</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293</w:t>
            </w:r>
          </w:p>
        </w:tc>
      </w:tr>
      <w:tr>
        <w:trPr>
          <w:trHeight w:val="27"/>
        </w:trPr>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800" w:type="dxa"/>
            <w:vAlign w:val="bottom"/>
          </w:tcPr>
          <w:p>
            <w:pPr>
              <w:spacing w:after="0"/>
              <w:rPr>
                <w:sz w:val="2"/>
                <w:szCs w:val="2"/>
                <w:color w:val="auto"/>
              </w:rPr>
            </w:pPr>
          </w:p>
        </w:tc>
        <w:tc>
          <w:tcPr>
            <w:tcW w:w="5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88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8"/>
                <w:szCs w:val="18"/>
                <w:color w:val="auto"/>
                <w:shd w:val="clear" w:color="auto" w:fill="CCEEFF"/>
              </w:rPr>
              <w:t>Management and exchange</w:t>
            </w:r>
          </w:p>
        </w:tc>
        <w:tc>
          <w:tcPr>
            <w:tcW w:w="53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239</w:t>
            </w:r>
          </w:p>
        </w:tc>
      </w:tr>
      <w:tr>
        <w:trPr>
          <w:trHeight w:val="243"/>
        </w:trPr>
        <w:tc>
          <w:tcPr>
            <w:tcW w:w="40" w:type="dxa"/>
            <w:vAlign w:val="bottom"/>
          </w:tcPr>
          <w:p>
            <w:pPr>
              <w:spacing w:after="0"/>
              <w:rPr>
                <w:sz w:val="21"/>
                <w:szCs w:val="21"/>
                <w:color w:val="auto"/>
              </w:rPr>
            </w:pPr>
          </w:p>
        </w:tc>
        <w:tc>
          <w:tcPr>
            <w:tcW w:w="8180" w:type="dxa"/>
            <w:vAlign w:val="bottom"/>
            <w:gridSpan w:val="4"/>
          </w:tcPr>
          <w:p>
            <w:pPr>
              <w:ind w:left="240"/>
              <w:spacing w:after="0"/>
              <w:rPr>
                <w:sz w:val="20"/>
                <w:szCs w:val="20"/>
                <w:color w:val="auto"/>
              </w:rPr>
            </w:pPr>
            <w:r>
              <w:rPr>
                <w:rFonts w:ascii="Arial" w:cs="Arial" w:eastAsia="Arial" w:hAnsi="Arial"/>
                <w:sz w:val="18"/>
                <w:szCs w:val="18"/>
                <w:color w:val="auto"/>
              </w:rPr>
              <w:t>Rental</w:t>
            </w:r>
          </w:p>
        </w:tc>
        <w:tc>
          <w:tcPr>
            <w:tcW w:w="16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147</w:t>
            </w:r>
          </w:p>
        </w:tc>
      </w:tr>
      <w:tr>
        <w:trPr>
          <w:trHeight w:val="27"/>
        </w:trPr>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800" w:type="dxa"/>
            <w:vAlign w:val="bottom"/>
          </w:tcPr>
          <w:p>
            <w:pPr>
              <w:spacing w:after="0"/>
              <w:rPr>
                <w:sz w:val="2"/>
                <w:szCs w:val="2"/>
                <w:color w:val="auto"/>
              </w:rPr>
            </w:pPr>
          </w:p>
        </w:tc>
        <w:tc>
          <w:tcPr>
            <w:tcW w:w="5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shd w:val="clear" w:color="auto" w:fill="CCEEFF"/>
              </w:rPr>
              <w:t>Financing</w:t>
            </w:r>
          </w:p>
        </w:tc>
        <w:tc>
          <w:tcPr>
            <w:tcW w:w="800" w:type="dxa"/>
            <w:vAlign w:val="bottom"/>
            <w:tcBorders>
              <w:bottom w:val="single" w:sz="8" w:color="CCEEFF"/>
            </w:tcBorders>
            <w:shd w:val="clear" w:color="auto" w:fill="CCEEFF"/>
          </w:tcPr>
          <w:p>
            <w:pPr>
              <w:spacing w:after="0"/>
              <w:rPr>
                <w:sz w:val="21"/>
                <w:szCs w:val="21"/>
                <w:color w:val="auto"/>
              </w:rPr>
            </w:pPr>
          </w:p>
        </w:tc>
        <w:tc>
          <w:tcPr>
            <w:tcW w:w="53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w:t>
            </w:r>
          </w:p>
        </w:tc>
      </w:tr>
      <w:tr>
        <w:trPr>
          <w:trHeight w:val="243"/>
        </w:trPr>
        <w:tc>
          <w:tcPr>
            <w:tcW w:w="40" w:type="dxa"/>
            <w:vAlign w:val="bottom"/>
          </w:tcPr>
          <w:p>
            <w:pPr>
              <w:spacing w:after="0"/>
              <w:rPr>
                <w:sz w:val="21"/>
                <w:szCs w:val="21"/>
                <w:color w:val="auto"/>
              </w:rPr>
            </w:pPr>
          </w:p>
        </w:tc>
        <w:tc>
          <w:tcPr>
            <w:tcW w:w="8180" w:type="dxa"/>
            <w:vAlign w:val="bottom"/>
            <w:gridSpan w:val="4"/>
          </w:tcPr>
          <w:p>
            <w:pPr>
              <w:ind w:left="240"/>
              <w:spacing w:after="0"/>
              <w:rPr>
                <w:sz w:val="20"/>
                <w:szCs w:val="20"/>
                <w:color w:val="auto"/>
              </w:rPr>
            </w:pPr>
            <w:r>
              <w:rPr>
                <w:rFonts w:ascii="Arial" w:cs="Arial" w:eastAsia="Arial" w:hAnsi="Arial"/>
                <w:sz w:val="18"/>
                <w:szCs w:val="18"/>
                <w:color w:val="auto"/>
              </w:rPr>
              <w:t>Cost reimbursements</w:t>
            </w:r>
          </w:p>
        </w:tc>
        <w:tc>
          <w:tcPr>
            <w:tcW w:w="16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318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287</w:t>
            </w:r>
          </w:p>
        </w:tc>
      </w:tr>
      <w:tr>
        <w:trPr>
          <w:trHeight w:val="27"/>
        </w:trPr>
        <w:tc>
          <w:tcPr>
            <w:tcW w:w="4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162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53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w w:val="97"/>
                <w:shd w:val="clear" w:color="auto" w:fill="CCEEFF"/>
              </w:rPr>
              <w:t>TOTAL REVENUES</w:t>
            </w:r>
          </w:p>
        </w:tc>
        <w:tc>
          <w:tcPr>
            <w:tcW w:w="800" w:type="dxa"/>
            <w:vAlign w:val="bottom"/>
            <w:tcBorders>
              <w:bottom w:val="single" w:sz="8" w:color="CCEEFF"/>
            </w:tcBorders>
            <w:shd w:val="clear" w:color="auto" w:fill="CCEEFF"/>
          </w:tcPr>
          <w:p>
            <w:pPr>
              <w:spacing w:after="0"/>
              <w:rPr>
                <w:sz w:val="22"/>
                <w:szCs w:val="22"/>
                <w:color w:val="auto"/>
              </w:rPr>
            </w:pPr>
          </w:p>
        </w:tc>
        <w:tc>
          <w:tcPr>
            <w:tcW w:w="53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1,010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1,034</w:t>
            </w:r>
          </w:p>
        </w:tc>
      </w:tr>
      <w:tr>
        <w:trPr>
          <w:trHeight w:val="237"/>
        </w:trPr>
        <w:tc>
          <w:tcPr>
            <w:tcW w:w="40" w:type="dxa"/>
            <w:vAlign w:val="bottom"/>
          </w:tcPr>
          <w:p>
            <w:pPr>
              <w:spacing w:after="0"/>
              <w:rPr>
                <w:sz w:val="20"/>
                <w:szCs w:val="20"/>
                <w:color w:val="auto"/>
              </w:rPr>
            </w:pPr>
          </w:p>
        </w:tc>
        <w:tc>
          <w:tcPr>
            <w:tcW w:w="8180" w:type="dxa"/>
            <w:vAlign w:val="bottom"/>
            <w:gridSpan w:val="4"/>
          </w:tcPr>
          <w:p>
            <w:pPr>
              <w:spacing w:after="0"/>
              <w:rPr>
                <w:sz w:val="20"/>
                <w:szCs w:val="20"/>
                <w:color w:val="auto"/>
              </w:rPr>
            </w:pPr>
            <w:r>
              <w:rPr>
                <w:rFonts w:ascii="Arial" w:cs="Arial" w:eastAsia="Arial" w:hAnsi="Arial"/>
                <w:sz w:val="18"/>
                <w:szCs w:val="18"/>
                <w:b w:val="1"/>
                <w:bCs w:val="1"/>
                <w:color w:val="auto"/>
              </w:rPr>
              <w:t>EXPENSES</w:t>
            </w:r>
          </w:p>
        </w:tc>
        <w:tc>
          <w:tcPr>
            <w:tcW w:w="16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800" w:type="dxa"/>
            <w:vAlign w:val="bottom"/>
          </w:tcPr>
          <w:p>
            <w:pPr>
              <w:spacing w:after="0"/>
              <w:rPr>
                <w:sz w:val="2"/>
                <w:szCs w:val="2"/>
                <w:color w:val="auto"/>
              </w:rPr>
            </w:pPr>
          </w:p>
        </w:tc>
        <w:tc>
          <w:tcPr>
            <w:tcW w:w="5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88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8"/>
                <w:szCs w:val="18"/>
                <w:color w:val="auto"/>
                <w:w w:val="90"/>
                <w:shd w:val="clear" w:color="auto" w:fill="CCEEFF"/>
              </w:rPr>
              <w:t>Cost of vacation ownership products</w:t>
            </w:r>
          </w:p>
        </w:tc>
        <w:tc>
          <w:tcPr>
            <w:tcW w:w="53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w:t>
            </w:r>
          </w:p>
        </w:tc>
      </w:tr>
      <w:tr>
        <w:trPr>
          <w:trHeight w:val="243"/>
        </w:trPr>
        <w:tc>
          <w:tcPr>
            <w:tcW w:w="40" w:type="dxa"/>
            <w:vAlign w:val="bottom"/>
          </w:tcPr>
          <w:p>
            <w:pPr>
              <w:spacing w:after="0"/>
              <w:rPr>
                <w:sz w:val="21"/>
                <w:szCs w:val="21"/>
                <w:color w:val="auto"/>
              </w:rPr>
            </w:pPr>
          </w:p>
        </w:tc>
        <w:tc>
          <w:tcPr>
            <w:tcW w:w="8180" w:type="dxa"/>
            <w:vAlign w:val="bottom"/>
            <w:gridSpan w:val="4"/>
          </w:tcPr>
          <w:p>
            <w:pPr>
              <w:ind w:left="240"/>
              <w:spacing w:after="0"/>
              <w:rPr>
                <w:sz w:val="20"/>
                <w:szCs w:val="20"/>
                <w:color w:val="auto"/>
              </w:rPr>
            </w:pPr>
            <w:r>
              <w:rPr>
                <w:rFonts w:ascii="Arial" w:cs="Arial" w:eastAsia="Arial" w:hAnsi="Arial"/>
                <w:sz w:val="18"/>
                <w:szCs w:val="18"/>
                <w:color w:val="auto"/>
              </w:rPr>
              <w:t>Marketing and sales</w:t>
            </w:r>
          </w:p>
        </w:tc>
        <w:tc>
          <w:tcPr>
            <w:tcW w:w="16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183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186</w:t>
            </w:r>
          </w:p>
        </w:tc>
      </w:tr>
      <w:tr>
        <w:trPr>
          <w:trHeight w:val="27"/>
        </w:trPr>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800" w:type="dxa"/>
            <w:vAlign w:val="bottom"/>
          </w:tcPr>
          <w:p>
            <w:pPr>
              <w:spacing w:after="0"/>
              <w:rPr>
                <w:sz w:val="2"/>
                <w:szCs w:val="2"/>
                <w:color w:val="auto"/>
              </w:rPr>
            </w:pPr>
          </w:p>
        </w:tc>
        <w:tc>
          <w:tcPr>
            <w:tcW w:w="5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88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8"/>
                <w:szCs w:val="18"/>
                <w:color w:val="auto"/>
                <w:shd w:val="clear" w:color="auto" w:fill="CCEEFF"/>
              </w:rPr>
              <w:t>Management and exchange</w:t>
            </w:r>
          </w:p>
        </w:tc>
        <w:tc>
          <w:tcPr>
            <w:tcW w:w="53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133</w:t>
            </w:r>
          </w:p>
        </w:tc>
      </w:tr>
      <w:tr>
        <w:trPr>
          <w:trHeight w:val="243"/>
        </w:trPr>
        <w:tc>
          <w:tcPr>
            <w:tcW w:w="40" w:type="dxa"/>
            <w:vAlign w:val="bottom"/>
          </w:tcPr>
          <w:p>
            <w:pPr>
              <w:spacing w:after="0"/>
              <w:rPr>
                <w:sz w:val="21"/>
                <w:szCs w:val="21"/>
                <w:color w:val="auto"/>
              </w:rPr>
            </w:pPr>
          </w:p>
        </w:tc>
        <w:tc>
          <w:tcPr>
            <w:tcW w:w="8180" w:type="dxa"/>
            <w:vAlign w:val="bottom"/>
            <w:gridSpan w:val="4"/>
          </w:tcPr>
          <w:p>
            <w:pPr>
              <w:ind w:left="240"/>
              <w:spacing w:after="0"/>
              <w:rPr>
                <w:sz w:val="20"/>
                <w:szCs w:val="20"/>
                <w:color w:val="auto"/>
              </w:rPr>
            </w:pPr>
            <w:r>
              <w:rPr>
                <w:rFonts w:ascii="Arial" w:cs="Arial" w:eastAsia="Arial" w:hAnsi="Arial"/>
                <w:sz w:val="18"/>
                <w:szCs w:val="18"/>
                <w:color w:val="auto"/>
              </w:rPr>
              <w:t>Rental</w:t>
            </w:r>
          </w:p>
        </w:tc>
        <w:tc>
          <w:tcPr>
            <w:tcW w:w="16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80</w:t>
            </w:r>
          </w:p>
        </w:tc>
      </w:tr>
      <w:tr>
        <w:trPr>
          <w:trHeight w:val="27"/>
        </w:trPr>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800" w:type="dxa"/>
            <w:vAlign w:val="bottom"/>
          </w:tcPr>
          <w:p>
            <w:pPr>
              <w:spacing w:after="0"/>
              <w:rPr>
                <w:sz w:val="2"/>
                <w:szCs w:val="2"/>
                <w:color w:val="auto"/>
              </w:rPr>
            </w:pPr>
          </w:p>
        </w:tc>
        <w:tc>
          <w:tcPr>
            <w:tcW w:w="5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shd w:val="clear" w:color="auto" w:fill="CCEEFF"/>
              </w:rPr>
              <w:t>Financing</w:t>
            </w:r>
          </w:p>
        </w:tc>
        <w:tc>
          <w:tcPr>
            <w:tcW w:w="800" w:type="dxa"/>
            <w:vAlign w:val="bottom"/>
            <w:tcBorders>
              <w:bottom w:val="single" w:sz="8" w:color="CCEEFF"/>
            </w:tcBorders>
            <w:shd w:val="clear" w:color="auto" w:fill="CCEEFF"/>
          </w:tcPr>
          <w:p>
            <w:pPr>
              <w:spacing w:after="0"/>
              <w:rPr>
                <w:sz w:val="21"/>
                <w:szCs w:val="21"/>
                <w:color w:val="auto"/>
              </w:rPr>
            </w:pPr>
          </w:p>
        </w:tc>
        <w:tc>
          <w:tcPr>
            <w:tcW w:w="53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w:t>
            </w:r>
          </w:p>
        </w:tc>
      </w:tr>
      <w:tr>
        <w:trPr>
          <w:trHeight w:val="243"/>
        </w:trPr>
        <w:tc>
          <w:tcPr>
            <w:tcW w:w="40" w:type="dxa"/>
            <w:vAlign w:val="bottom"/>
          </w:tcPr>
          <w:p>
            <w:pPr>
              <w:spacing w:after="0"/>
              <w:rPr>
                <w:sz w:val="21"/>
                <w:szCs w:val="21"/>
                <w:color w:val="auto"/>
              </w:rPr>
            </w:pPr>
          </w:p>
        </w:tc>
        <w:tc>
          <w:tcPr>
            <w:tcW w:w="8180" w:type="dxa"/>
            <w:vAlign w:val="bottom"/>
            <w:gridSpan w:val="4"/>
          </w:tcPr>
          <w:p>
            <w:pPr>
              <w:ind w:left="240"/>
              <w:spacing w:after="0"/>
              <w:rPr>
                <w:sz w:val="20"/>
                <w:szCs w:val="20"/>
                <w:color w:val="auto"/>
              </w:rPr>
            </w:pPr>
            <w:r>
              <w:rPr>
                <w:rFonts w:ascii="Arial" w:cs="Arial" w:eastAsia="Arial" w:hAnsi="Arial"/>
                <w:sz w:val="18"/>
                <w:szCs w:val="18"/>
                <w:color w:val="auto"/>
              </w:rPr>
              <w:t>General and administrative</w:t>
            </w:r>
          </w:p>
        </w:tc>
        <w:tc>
          <w:tcPr>
            <w:tcW w:w="16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67</w:t>
            </w:r>
          </w:p>
        </w:tc>
      </w:tr>
      <w:tr>
        <w:trPr>
          <w:trHeight w:val="27"/>
        </w:trPr>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800" w:type="dxa"/>
            <w:vAlign w:val="bottom"/>
          </w:tcPr>
          <w:p>
            <w:pPr>
              <w:spacing w:after="0"/>
              <w:rPr>
                <w:sz w:val="2"/>
                <w:szCs w:val="2"/>
                <w:color w:val="auto"/>
              </w:rPr>
            </w:pPr>
          </w:p>
        </w:tc>
        <w:tc>
          <w:tcPr>
            <w:tcW w:w="5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88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8"/>
                <w:szCs w:val="18"/>
                <w:color w:val="auto"/>
                <w:shd w:val="clear" w:color="auto" w:fill="CCEEFF"/>
              </w:rPr>
              <w:t>Depreciation and amortization</w:t>
            </w:r>
          </w:p>
        </w:tc>
        <w:tc>
          <w:tcPr>
            <w:tcW w:w="53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w:t>
            </w:r>
          </w:p>
        </w:tc>
      </w:tr>
      <w:tr>
        <w:trPr>
          <w:trHeight w:val="243"/>
        </w:trPr>
        <w:tc>
          <w:tcPr>
            <w:tcW w:w="40" w:type="dxa"/>
            <w:vAlign w:val="bottom"/>
          </w:tcPr>
          <w:p>
            <w:pPr>
              <w:spacing w:after="0"/>
              <w:rPr>
                <w:sz w:val="21"/>
                <w:szCs w:val="21"/>
                <w:color w:val="auto"/>
              </w:rPr>
            </w:pPr>
          </w:p>
        </w:tc>
        <w:tc>
          <w:tcPr>
            <w:tcW w:w="8180" w:type="dxa"/>
            <w:vAlign w:val="bottom"/>
            <w:gridSpan w:val="4"/>
          </w:tcPr>
          <w:p>
            <w:pPr>
              <w:ind w:left="240"/>
              <w:spacing w:after="0"/>
              <w:rPr>
                <w:sz w:val="20"/>
                <w:szCs w:val="20"/>
                <w:color w:val="auto"/>
              </w:rPr>
            </w:pPr>
            <w:r>
              <w:rPr>
                <w:rFonts w:ascii="Arial" w:cs="Arial" w:eastAsia="Arial" w:hAnsi="Arial"/>
                <w:sz w:val="18"/>
                <w:szCs w:val="18"/>
                <w:color w:val="auto"/>
              </w:rPr>
              <w:t>Litigation charges</w:t>
            </w:r>
          </w:p>
        </w:tc>
        <w:tc>
          <w:tcPr>
            <w:tcW w:w="16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w:t>
            </w:r>
          </w:p>
        </w:tc>
      </w:tr>
      <w:tr>
        <w:trPr>
          <w:trHeight w:val="27"/>
        </w:trPr>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800" w:type="dxa"/>
            <w:vAlign w:val="bottom"/>
          </w:tcPr>
          <w:p>
            <w:pPr>
              <w:spacing w:after="0"/>
              <w:rPr>
                <w:sz w:val="2"/>
                <w:szCs w:val="2"/>
                <w:color w:val="auto"/>
              </w:rPr>
            </w:pPr>
          </w:p>
        </w:tc>
        <w:tc>
          <w:tcPr>
            <w:tcW w:w="5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180" w:type="dxa"/>
            <w:vAlign w:val="bottom"/>
            <w:tcBorders>
              <w:bottom w:val="single" w:sz="8" w:color="CCEEFF"/>
            </w:tcBorders>
            <w:gridSpan w:val="4"/>
            <w:shd w:val="clear" w:color="auto" w:fill="CCEEFF"/>
          </w:tcPr>
          <w:p>
            <w:pPr>
              <w:ind w:left="240"/>
              <w:spacing w:after="0"/>
              <w:rPr>
                <w:sz w:val="20"/>
                <w:szCs w:val="20"/>
                <w:color w:val="auto"/>
              </w:rPr>
            </w:pPr>
            <w:r>
              <w:rPr>
                <w:rFonts w:ascii="Arial" w:cs="Arial" w:eastAsia="Arial" w:hAnsi="Arial"/>
                <w:sz w:val="18"/>
                <w:szCs w:val="18"/>
                <w:color w:val="auto"/>
              </w:rPr>
              <w:t>Royalty fee</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w:t>
            </w:r>
          </w:p>
        </w:tc>
      </w:tr>
      <w:tr>
        <w:trPr>
          <w:trHeight w:val="243"/>
        </w:trPr>
        <w:tc>
          <w:tcPr>
            <w:tcW w:w="40" w:type="dxa"/>
            <w:vAlign w:val="bottom"/>
          </w:tcPr>
          <w:p>
            <w:pPr>
              <w:spacing w:after="0"/>
              <w:rPr>
                <w:sz w:val="21"/>
                <w:szCs w:val="21"/>
                <w:color w:val="auto"/>
              </w:rPr>
            </w:pPr>
          </w:p>
        </w:tc>
        <w:tc>
          <w:tcPr>
            <w:tcW w:w="8180" w:type="dxa"/>
            <w:vAlign w:val="bottom"/>
            <w:gridSpan w:val="4"/>
          </w:tcPr>
          <w:p>
            <w:pPr>
              <w:ind w:left="240"/>
              <w:spacing w:after="0"/>
              <w:rPr>
                <w:sz w:val="20"/>
                <w:szCs w:val="20"/>
                <w:color w:val="auto"/>
              </w:rPr>
            </w:pPr>
            <w:r>
              <w:rPr>
                <w:rFonts w:ascii="Arial" w:cs="Arial" w:eastAsia="Arial" w:hAnsi="Arial"/>
                <w:sz w:val="18"/>
                <w:szCs w:val="18"/>
                <w:color w:val="auto"/>
              </w:rPr>
              <w:t>Impairment</w:t>
            </w:r>
          </w:p>
        </w:tc>
        <w:tc>
          <w:tcPr>
            <w:tcW w:w="16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26</w:t>
            </w:r>
          </w:p>
        </w:tc>
      </w:tr>
      <w:tr>
        <w:trPr>
          <w:trHeight w:val="27"/>
        </w:trPr>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800" w:type="dxa"/>
            <w:vAlign w:val="bottom"/>
          </w:tcPr>
          <w:p>
            <w:pPr>
              <w:spacing w:after="0"/>
              <w:rPr>
                <w:sz w:val="2"/>
                <w:szCs w:val="2"/>
                <w:color w:val="auto"/>
              </w:rPr>
            </w:pPr>
          </w:p>
        </w:tc>
        <w:tc>
          <w:tcPr>
            <w:tcW w:w="5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8180" w:type="dxa"/>
            <w:vAlign w:val="bottom"/>
            <w:tcBorders>
              <w:bottom w:val="single" w:sz="8" w:color="CCEEFF"/>
            </w:tcBorders>
            <w:gridSpan w:val="4"/>
            <w:shd w:val="clear" w:color="auto" w:fill="CCEEFF"/>
          </w:tcPr>
          <w:p>
            <w:pPr>
              <w:ind w:left="240"/>
              <w:spacing w:after="0"/>
              <w:rPr>
                <w:sz w:val="20"/>
                <w:szCs w:val="20"/>
                <w:color w:val="auto"/>
              </w:rPr>
            </w:pPr>
            <w:r>
              <w:rPr>
                <w:rFonts w:ascii="Arial" w:cs="Arial" w:eastAsia="Arial" w:hAnsi="Arial"/>
                <w:sz w:val="18"/>
                <w:szCs w:val="18"/>
                <w:color w:val="auto"/>
              </w:rPr>
              <w:t>Cost reimbursements</w:t>
            </w: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287</w:t>
            </w:r>
          </w:p>
        </w:tc>
      </w:tr>
      <w:tr>
        <w:trPr>
          <w:trHeight w:val="237"/>
        </w:trPr>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720" w:type="dxa"/>
            <w:vAlign w:val="bottom"/>
            <w:gridSpan w:val="3"/>
          </w:tcPr>
          <w:p>
            <w:pPr>
              <w:spacing w:after="0"/>
              <w:rPr>
                <w:sz w:val="20"/>
                <w:szCs w:val="20"/>
                <w:color w:val="auto"/>
              </w:rPr>
            </w:pPr>
            <w:r>
              <w:rPr>
                <w:rFonts w:ascii="Arial" w:cs="Arial" w:eastAsia="Arial" w:hAnsi="Arial"/>
                <w:sz w:val="18"/>
                <w:szCs w:val="18"/>
                <w:b w:val="1"/>
                <w:bCs w:val="1"/>
                <w:color w:val="auto"/>
              </w:rPr>
              <w:t>TOTAL EXPENSES</w:t>
            </w:r>
          </w:p>
        </w:tc>
        <w:tc>
          <w:tcPr>
            <w:tcW w:w="16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1,060</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943</w:t>
            </w:r>
          </w:p>
        </w:tc>
      </w:tr>
      <w:tr>
        <w:trPr>
          <w:trHeight w:val="27"/>
        </w:trPr>
        <w:tc>
          <w:tcPr>
            <w:tcW w:w="4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162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53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8180" w:type="dxa"/>
            <w:vAlign w:val="bottom"/>
            <w:tcBorders>
              <w:bottom w:val="single" w:sz="8" w:color="CCEEFF"/>
            </w:tcBorders>
            <w:gridSpan w:val="4"/>
            <w:shd w:val="clear" w:color="auto" w:fill="CCEEFF"/>
          </w:tcPr>
          <w:p>
            <w:pPr>
              <w:ind w:left="240"/>
              <w:spacing w:after="0"/>
              <w:rPr>
                <w:sz w:val="20"/>
                <w:szCs w:val="20"/>
                <w:color w:val="auto"/>
              </w:rPr>
            </w:pPr>
            <w:r>
              <w:rPr>
                <w:rFonts w:ascii="Arial" w:cs="Arial" w:eastAsia="Arial" w:hAnsi="Arial"/>
                <w:sz w:val="18"/>
                <w:szCs w:val="18"/>
                <w:color w:val="auto"/>
              </w:rPr>
              <w:t>(Losses) gains and other (expense) income, net</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w:t>
            </w:r>
          </w:p>
        </w:tc>
      </w:tr>
      <w:tr>
        <w:trPr>
          <w:trHeight w:val="243"/>
        </w:trPr>
        <w:tc>
          <w:tcPr>
            <w:tcW w:w="40" w:type="dxa"/>
            <w:vAlign w:val="bottom"/>
          </w:tcPr>
          <w:p>
            <w:pPr>
              <w:spacing w:after="0"/>
              <w:rPr>
                <w:sz w:val="21"/>
                <w:szCs w:val="21"/>
                <w:color w:val="auto"/>
              </w:rPr>
            </w:pPr>
          </w:p>
        </w:tc>
        <w:tc>
          <w:tcPr>
            <w:tcW w:w="8180" w:type="dxa"/>
            <w:vAlign w:val="bottom"/>
            <w:gridSpan w:val="4"/>
          </w:tcPr>
          <w:p>
            <w:pPr>
              <w:ind w:left="240"/>
              <w:spacing w:after="0"/>
              <w:rPr>
                <w:sz w:val="20"/>
                <w:szCs w:val="20"/>
                <w:color w:val="auto"/>
              </w:rPr>
            </w:pPr>
            <w:r>
              <w:rPr>
                <w:rFonts w:ascii="Arial" w:cs="Arial" w:eastAsia="Arial" w:hAnsi="Arial"/>
                <w:sz w:val="18"/>
                <w:szCs w:val="18"/>
                <w:color w:val="auto"/>
              </w:rPr>
              <w:t>Interest expense</w:t>
            </w: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7"/>
        </w:trPr>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800" w:type="dxa"/>
            <w:vAlign w:val="bottom"/>
          </w:tcPr>
          <w:p>
            <w:pPr>
              <w:spacing w:after="0"/>
              <w:rPr>
                <w:sz w:val="2"/>
                <w:szCs w:val="2"/>
                <w:color w:val="auto"/>
              </w:rPr>
            </w:pPr>
          </w:p>
        </w:tc>
        <w:tc>
          <w:tcPr>
            <w:tcW w:w="5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180" w:type="dxa"/>
            <w:vAlign w:val="bottom"/>
            <w:tcBorders>
              <w:bottom w:val="single" w:sz="8" w:color="CCEEFF"/>
            </w:tcBorders>
            <w:gridSpan w:val="4"/>
            <w:shd w:val="clear" w:color="auto" w:fill="CCEEFF"/>
          </w:tcPr>
          <w:p>
            <w:pPr>
              <w:ind w:left="240"/>
              <w:spacing w:after="0"/>
              <w:rPr>
                <w:sz w:val="20"/>
                <w:szCs w:val="20"/>
                <w:color w:val="auto"/>
              </w:rPr>
            </w:pPr>
            <w:r>
              <w:rPr>
                <w:rFonts w:ascii="Arial" w:cs="Arial" w:eastAsia="Arial" w:hAnsi="Arial"/>
                <w:sz w:val="18"/>
                <w:szCs w:val="18"/>
                <w:color w:val="auto"/>
              </w:rPr>
              <w:t>ILG acquisition-related costs</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43"/>
        </w:trPr>
        <w:tc>
          <w:tcPr>
            <w:tcW w:w="40" w:type="dxa"/>
            <w:vAlign w:val="bottom"/>
          </w:tcPr>
          <w:p>
            <w:pPr>
              <w:spacing w:after="0"/>
              <w:rPr>
                <w:sz w:val="21"/>
                <w:szCs w:val="21"/>
                <w:color w:val="auto"/>
              </w:rPr>
            </w:pPr>
          </w:p>
        </w:tc>
        <w:tc>
          <w:tcPr>
            <w:tcW w:w="8180" w:type="dxa"/>
            <w:vAlign w:val="bottom"/>
            <w:gridSpan w:val="4"/>
          </w:tcPr>
          <w:p>
            <w:pPr>
              <w:ind w:left="240"/>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162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53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818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b w:val="1"/>
                <w:bCs w:val="1"/>
                <w:color w:val="auto"/>
              </w:rPr>
              <w:t>(LOSS) INCOME BEFORE INCOME TAXES AND NONCONTROLLING INTERESTS</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w:t>
            </w:r>
          </w:p>
        </w:tc>
      </w:tr>
      <w:tr>
        <w:trPr>
          <w:trHeight w:val="243"/>
        </w:trPr>
        <w:tc>
          <w:tcPr>
            <w:tcW w:w="40" w:type="dxa"/>
            <w:vAlign w:val="bottom"/>
          </w:tcPr>
          <w:p>
            <w:pPr>
              <w:spacing w:after="0"/>
              <w:rPr>
                <w:sz w:val="21"/>
                <w:szCs w:val="21"/>
                <w:color w:val="auto"/>
              </w:rPr>
            </w:pPr>
          </w:p>
        </w:tc>
        <w:tc>
          <w:tcPr>
            <w:tcW w:w="8180" w:type="dxa"/>
            <w:vAlign w:val="bottom"/>
            <w:gridSpan w:val="4"/>
          </w:tcPr>
          <w:p>
            <w:pPr>
              <w:spacing w:after="0"/>
              <w:rPr>
                <w:sz w:val="20"/>
                <w:szCs w:val="20"/>
                <w:color w:val="auto"/>
              </w:rPr>
            </w:pPr>
            <w:r>
              <w:rPr>
                <w:rFonts w:ascii="Arial" w:cs="Arial" w:eastAsia="Arial" w:hAnsi="Arial"/>
                <w:sz w:val="18"/>
                <w:szCs w:val="18"/>
                <w:color w:val="auto"/>
              </w:rPr>
              <w:t>Benefit (provision) for income taxes</w:t>
            </w:r>
          </w:p>
        </w:tc>
        <w:tc>
          <w:tcPr>
            <w:tcW w:w="16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7"/>
        </w:trPr>
        <w:tc>
          <w:tcPr>
            <w:tcW w:w="4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162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53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3"/>
        </w:trPr>
        <w:tc>
          <w:tcPr>
            <w:tcW w:w="40" w:type="dxa"/>
            <w:vAlign w:val="bottom"/>
            <w:tcBorders>
              <w:bottom w:val="single" w:sz="8" w:color="CCEEFF"/>
            </w:tcBorders>
            <w:shd w:val="clear" w:color="auto" w:fill="CCEEFF"/>
          </w:tcPr>
          <w:p>
            <w:pPr>
              <w:spacing w:after="0"/>
              <w:rPr>
                <w:sz w:val="21"/>
                <w:szCs w:val="21"/>
                <w:color w:val="auto"/>
              </w:rPr>
            </w:pPr>
          </w:p>
        </w:tc>
        <w:tc>
          <w:tcPr>
            <w:tcW w:w="818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b w:val="1"/>
                <w:bCs w:val="1"/>
                <w:color w:val="auto"/>
              </w:rPr>
              <w:t>NET (LOSS) INCOME</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w:t>
            </w:r>
          </w:p>
        </w:tc>
      </w:tr>
      <w:tr>
        <w:trPr>
          <w:trHeight w:val="243"/>
        </w:trPr>
        <w:tc>
          <w:tcPr>
            <w:tcW w:w="40" w:type="dxa"/>
            <w:vAlign w:val="bottom"/>
          </w:tcPr>
          <w:p>
            <w:pPr>
              <w:spacing w:after="0"/>
              <w:rPr>
                <w:sz w:val="21"/>
                <w:szCs w:val="21"/>
                <w:color w:val="auto"/>
              </w:rPr>
            </w:pPr>
          </w:p>
        </w:tc>
        <w:tc>
          <w:tcPr>
            <w:tcW w:w="8180" w:type="dxa"/>
            <w:vAlign w:val="bottom"/>
            <w:gridSpan w:val="4"/>
          </w:tcPr>
          <w:p>
            <w:pPr>
              <w:spacing w:after="0"/>
              <w:rPr>
                <w:sz w:val="20"/>
                <w:szCs w:val="20"/>
                <w:color w:val="auto"/>
              </w:rPr>
            </w:pPr>
            <w:r>
              <w:rPr>
                <w:rFonts w:ascii="Arial" w:cs="Arial" w:eastAsia="Arial" w:hAnsi="Arial"/>
                <w:sz w:val="18"/>
                <w:szCs w:val="18"/>
                <w:color w:val="auto"/>
              </w:rPr>
              <w:t>Net income attributable to noncontrolling interests</w:t>
            </w: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162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53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818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b w:val="1"/>
                <w:bCs w:val="1"/>
                <w:color w:val="auto"/>
              </w:rPr>
              <w:t>NET (LOSS) INCOME ATTRIBUTABLE TO COMMON SHAREHOLDERS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24</w:t>
            </w:r>
          </w:p>
        </w:tc>
      </w:tr>
      <w:tr>
        <w:trPr>
          <w:trHeight w:val="20"/>
        </w:trPr>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16"/>
        </w:trPr>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18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b w:val="1"/>
                <w:bCs w:val="1"/>
                <w:color w:val="auto"/>
              </w:rPr>
              <w:t>(LOSS) EARNINGS PER SHARE ATTRIBUTABLE TO COMMON SHAREHOLDERS</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8180" w:type="dxa"/>
            <w:vAlign w:val="bottom"/>
            <w:gridSpan w:val="4"/>
          </w:tcPr>
          <w:p>
            <w:pPr>
              <w:ind w:left="240"/>
              <w:spacing w:after="0"/>
              <w:rPr>
                <w:sz w:val="20"/>
                <w:szCs w:val="20"/>
                <w:color w:val="auto"/>
              </w:rPr>
            </w:pPr>
            <w:r>
              <w:rPr>
                <w:rFonts w:ascii="Arial" w:cs="Arial" w:eastAsia="Arial" w:hAnsi="Arial"/>
                <w:sz w:val="18"/>
                <w:szCs w:val="18"/>
                <w:color w:val="auto"/>
              </w:rPr>
              <w:t>Basic</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(2.56)</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0.52</w:t>
            </w:r>
          </w:p>
        </w:tc>
      </w:tr>
      <w:tr>
        <w:trPr>
          <w:trHeight w:val="27"/>
        </w:trPr>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800" w:type="dxa"/>
            <w:vAlign w:val="bottom"/>
          </w:tcPr>
          <w:p>
            <w:pPr>
              <w:spacing w:after="0"/>
              <w:rPr>
                <w:sz w:val="2"/>
                <w:szCs w:val="2"/>
                <w:color w:val="auto"/>
              </w:rPr>
            </w:pPr>
          </w:p>
        </w:tc>
        <w:tc>
          <w:tcPr>
            <w:tcW w:w="5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180" w:type="dxa"/>
            <w:vAlign w:val="bottom"/>
            <w:tcBorders>
              <w:bottom w:val="single" w:sz="8" w:color="CCEEFF"/>
            </w:tcBorders>
            <w:gridSpan w:val="4"/>
            <w:shd w:val="clear" w:color="auto" w:fill="CCEEFF"/>
          </w:tcPr>
          <w:p>
            <w:pPr>
              <w:ind w:left="240"/>
              <w:spacing w:after="0"/>
              <w:rPr>
                <w:sz w:val="20"/>
                <w:szCs w:val="20"/>
                <w:color w:val="auto"/>
              </w:rPr>
            </w:pPr>
            <w:r>
              <w:rPr>
                <w:rFonts w:ascii="Arial" w:cs="Arial" w:eastAsia="Arial" w:hAnsi="Arial"/>
                <w:sz w:val="18"/>
                <w:szCs w:val="18"/>
                <w:color w:val="auto"/>
              </w:rPr>
              <w:t>Diluted</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0.51</w:t>
            </w:r>
          </w:p>
        </w:tc>
      </w:tr>
      <w:tr>
        <w:trPr>
          <w:trHeight w:val="324"/>
        </w:trPr>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18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b w:val="1"/>
                <w:bCs w:val="1"/>
                <w:color w:val="auto"/>
              </w:rPr>
              <w:t>CASH DIVIDENDS DECLARED PER SHARE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0.54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0.45</w:t>
            </w:r>
          </w:p>
        </w:tc>
      </w:tr>
      <w:tr>
        <w:trPr>
          <w:trHeight w:val="324"/>
        </w:trPr>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300" w:type="dxa"/>
            <w:vAlign w:val="bottom"/>
          </w:tcPr>
          <w:p>
            <w:pPr>
              <w:jc w:val="center"/>
              <w:ind w:left="10"/>
              <w:spacing w:after="0"/>
              <w:rPr>
                <w:sz w:val="20"/>
                <w:szCs w:val="20"/>
                <w:color w:val="auto"/>
              </w:rPr>
            </w:pPr>
            <w:r>
              <w:rPr>
                <w:rFonts w:ascii="Arial" w:cs="Arial" w:eastAsia="Arial" w:hAnsi="Arial"/>
                <w:sz w:val="18"/>
                <w:szCs w:val="18"/>
                <w:b w:val="1"/>
                <w:bCs w:val="1"/>
                <w:color w:val="auto"/>
                <w:w w:val="89"/>
              </w:rPr>
              <w:t>See Notes to Interim Consolidated Financial Statements</w:t>
            </w: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432"/>
        </w:trPr>
        <w:tc>
          <w:tcPr>
            <w:tcW w:w="8220" w:type="dxa"/>
            <w:vAlign w:val="bottom"/>
            <w:gridSpan w:val="5"/>
          </w:tcPr>
          <w:p>
            <w:pPr>
              <w:jc w:val="right"/>
              <w:ind w:right="2470"/>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r>
    </w:tbl>
    <w:p>
      <w:pPr>
        <w:sectPr>
          <w:pgSz w:w="11900" w:h="16838" w:orient="portrait"/>
          <w:cols w:equalWidth="0" w:num="1">
            <w:col w:w="11240"/>
          </w:cols>
          <w:pgMar w:left="320" w:top="125" w:right="3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MARRIOTT VACATIONS WORLDWIDE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INTERIM CONSOLIDATED STATEMENTS OF COMPREHENSIVE INCOME</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(Unaudited)</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60" w:type="dxa"/>
            <w:vAlign w:val="bottom"/>
            <w:gridSpan w:val="4"/>
          </w:tcPr>
          <w:p>
            <w:pPr>
              <w:jc w:val="right"/>
              <w:ind w:right="671"/>
              <w:spacing w:after="0"/>
              <w:rPr>
                <w:sz w:val="20"/>
                <w:szCs w:val="20"/>
                <w:color w:val="auto"/>
              </w:rPr>
            </w:pPr>
            <w:r>
              <w:rPr>
                <w:rFonts w:ascii="Arial" w:cs="Arial" w:eastAsia="Arial" w:hAnsi="Arial"/>
                <w:sz w:val="16"/>
                <w:szCs w:val="16"/>
                <w:b w:val="1"/>
                <w:bCs w:val="1"/>
                <w:color w:val="auto"/>
              </w:rPr>
              <w:t>Three Months Ended</w:t>
            </w:r>
          </w:p>
        </w:tc>
        <w:tc>
          <w:tcPr>
            <w:tcW w:w="0" w:type="dxa"/>
            <w:vAlign w:val="bottom"/>
          </w:tcPr>
          <w:p>
            <w:pPr>
              <w:spacing w:after="0"/>
              <w:rPr>
                <w:sz w:val="1"/>
                <w:szCs w:val="1"/>
                <w:color w:val="auto"/>
              </w:rPr>
            </w:pPr>
          </w:p>
        </w:tc>
      </w:tr>
      <w:tr>
        <w:trPr>
          <w:trHeight w:val="33"/>
        </w:trPr>
        <w:tc>
          <w:tcPr>
            <w:tcW w:w="82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8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tcPr>
          <w:p>
            <w:pPr>
              <w:ind w:left="20"/>
              <w:spacing w:after="0"/>
              <w:rPr>
                <w:sz w:val="20"/>
                <w:szCs w:val="20"/>
                <w:color w:val="auto"/>
              </w:rPr>
            </w:pPr>
            <w:r>
              <w:rPr>
                <w:rFonts w:ascii="Arial" w:cs="Arial" w:eastAsia="Arial" w:hAnsi="Arial"/>
                <w:sz w:val="16"/>
                <w:szCs w:val="16"/>
                <w:b w:val="1"/>
                <w:bCs w:val="1"/>
                <w:color w:val="auto"/>
              </w:rPr>
              <w:t>March 31, 2020</w:t>
            </w:r>
          </w:p>
        </w:tc>
        <w:tc>
          <w:tcPr>
            <w:tcW w:w="160" w:type="dxa"/>
            <w:vAlign w:val="bottom"/>
          </w:tcPr>
          <w:p>
            <w:pPr>
              <w:spacing w:after="0"/>
              <w:rPr>
                <w:sz w:val="20"/>
                <w:szCs w:val="20"/>
                <w:color w:val="auto"/>
              </w:rPr>
            </w:pPr>
          </w:p>
        </w:tc>
        <w:tc>
          <w:tcPr>
            <w:tcW w:w="1300" w:type="dxa"/>
            <w:vAlign w:val="bottom"/>
          </w:tcPr>
          <w:p>
            <w:pPr>
              <w:jc w:val="right"/>
              <w:ind w:right="111"/>
              <w:spacing w:after="0"/>
              <w:rPr>
                <w:sz w:val="20"/>
                <w:szCs w:val="20"/>
                <w:color w:val="auto"/>
              </w:rPr>
            </w:pPr>
            <w:r>
              <w:rPr>
                <w:rFonts w:ascii="Arial" w:cs="Arial" w:eastAsia="Arial" w:hAnsi="Arial"/>
                <w:sz w:val="16"/>
                <w:szCs w:val="16"/>
                <w:b w:val="1"/>
                <w:bCs w:val="1"/>
                <w:color w:val="auto"/>
                <w:w w:val="94"/>
              </w:rPr>
              <w:t>March 31, 2019</w:t>
            </w:r>
          </w:p>
        </w:tc>
        <w:tc>
          <w:tcPr>
            <w:tcW w:w="0" w:type="dxa"/>
            <w:vAlign w:val="bottom"/>
          </w:tcPr>
          <w:p>
            <w:pPr>
              <w:spacing w:after="0"/>
              <w:rPr>
                <w:sz w:val="1"/>
                <w:szCs w:val="1"/>
                <w:color w:val="auto"/>
              </w:rPr>
            </w:pPr>
          </w:p>
        </w:tc>
      </w:tr>
      <w:tr>
        <w:trPr>
          <w:trHeight w:val="33"/>
        </w:trPr>
        <w:tc>
          <w:tcPr>
            <w:tcW w:w="8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(LOSS) INCOME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324"/>
        </w:trPr>
        <w:tc>
          <w:tcPr>
            <w:tcW w:w="8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2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Foreign currency translation adjustments</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8220" w:type="dxa"/>
            <w:vAlign w:val="bottom"/>
          </w:tcPr>
          <w:p>
            <w:pPr>
              <w:ind w:left="280"/>
              <w:spacing w:after="0"/>
              <w:rPr>
                <w:sz w:val="20"/>
                <w:szCs w:val="20"/>
                <w:color w:val="auto"/>
              </w:rPr>
            </w:pPr>
            <w:r>
              <w:rPr>
                <w:rFonts w:ascii="Arial" w:cs="Arial" w:eastAsia="Arial" w:hAnsi="Arial"/>
                <w:sz w:val="18"/>
                <w:szCs w:val="18"/>
                <w:color w:val="auto"/>
              </w:rPr>
              <w:t>Derivative instrument adjustment, net of tax</w:t>
            </w: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8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COMPREHENSIVE LOSS, NET OF TAX</w:t>
            </w:r>
          </w:p>
        </w:tc>
        <w:tc>
          <w:tcPr>
            <w:tcW w:w="16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318"/>
        </w:trPr>
        <w:tc>
          <w:tcPr>
            <w:tcW w:w="82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2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income attributable to noncontrolling interests</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220" w:type="dxa"/>
            <w:vAlign w:val="bottom"/>
          </w:tcPr>
          <w:p>
            <w:pPr>
              <w:ind w:left="280"/>
              <w:spacing w:after="0"/>
              <w:rPr>
                <w:sz w:val="20"/>
                <w:szCs w:val="20"/>
                <w:color w:val="auto"/>
              </w:rPr>
            </w:pPr>
            <w:r>
              <w:rPr>
                <w:rFonts w:ascii="Arial" w:cs="Arial" w:eastAsia="Arial" w:hAnsi="Arial"/>
                <w:sz w:val="18"/>
                <w:szCs w:val="18"/>
                <w:color w:val="auto"/>
              </w:rPr>
              <w:t>Other comprehensive income attributable to noncontrolling interests</w:t>
            </w:r>
          </w:p>
        </w:tc>
        <w:tc>
          <w:tcPr>
            <w:tcW w:w="160" w:type="dxa"/>
            <w:vAlign w:val="bottom"/>
          </w:tcPr>
          <w:p>
            <w:pPr>
              <w:spacing w:after="0"/>
              <w:rPr>
                <w:sz w:val="21"/>
                <w:szCs w:val="21"/>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COMPREHENSIVE INCOME ATTRIBUTABLE TO NONCONTROLLING INTERESTS</w:t>
            </w:r>
          </w:p>
        </w:tc>
        <w:tc>
          <w:tcPr>
            <w:tcW w:w="16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18"/>
        </w:trPr>
        <w:tc>
          <w:tcPr>
            <w:tcW w:w="82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130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1300" w:type="dxa"/>
            <w:vAlign w:val="bottom"/>
            <w:tcBorders>
              <w:top w:val="single" w:sz="8" w:color="auto"/>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COMPREHENSIVE (LOSS) INCOME ATTRIBUTABLE TO COMMON SHAREHOLDERS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
        </w:trPr>
        <w:tc>
          <w:tcPr>
            <w:tcW w:w="8220" w:type="dxa"/>
            <w:vAlign w:val="bottom"/>
            <w:vMerge w:val="restart"/>
          </w:tcPr>
          <w:p>
            <w:pPr>
              <w:ind w:left="3340"/>
              <w:spacing w:after="0"/>
              <w:rPr>
                <w:sz w:val="20"/>
                <w:szCs w:val="20"/>
                <w:color w:val="auto"/>
              </w:rPr>
            </w:pPr>
            <w:r>
              <w:rPr>
                <w:rFonts w:ascii="Arial" w:cs="Arial" w:eastAsia="Arial" w:hAnsi="Arial"/>
                <w:sz w:val="18"/>
                <w:szCs w:val="18"/>
                <w:b w:val="1"/>
                <w:bCs w:val="1"/>
                <w:color w:val="auto"/>
                <w:w w:val="95"/>
              </w:rPr>
              <w:t>See Notes to the Interim Consolidated Financial Statements</w:t>
            </w: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822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64"/>
        </w:trPr>
        <w:tc>
          <w:tcPr>
            <w:tcW w:w="8220" w:type="dxa"/>
            <w:vAlign w:val="bottom"/>
          </w:tcPr>
          <w:p>
            <w:pPr>
              <w:ind w:left="5580"/>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MARRIOTT VACATIONS WORLDWIDE CORPORATION</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INTERIM CONSOLIDATED BALANCE SHEETS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(In millions, except share and per share data)</w:t>
      </w:r>
    </w:p>
    <w:p>
      <w:pPr>
        <w:spacing w:after="0" w:line="157" w:lineRule="exact"/>
        <w:rPr>
          <w:sz w:val="20"/>
          <w:szCs w:val="20"/>
          <w:color w:val="auto"/>
        </w:rPr>
      </w:pPr>
    </w:p>
    <w:tbl>
      <w:tblPr>
        <w:tblLayout w:type="fixed"/>
        <w:tblInd w:w="60" w:type="dxa"/>
        <w:tblCellMar>
          <w:top w:w="0" w:type="dxa"/>
          <w:left w:w="0" w:type="dxa"/>
          <w:bottom w:w="0" w:type="dxa"/>
          <w:right w:w="0" w:type="dxa"/>
        </w:tblCellMar>
      </w:tblPr>
      <w:tr>
        <w:trPr>
          <w:trHeight w:val="203"/>
        </w:trPr>
        <w:tc>
          <w:tcPr>
            <w:tcW w:w="7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60" w:type="dxa"/>
            <w:vAlign w:val="bottom"/>
            <w:gridSpan w:val="2"/>
          </w:tcPr>
          <w:p>
            <w:pPr>
              <w:ind w:left="20"/>
              <w:spacing w:after="0"/>
              <w:rPr>
                <w:sz w:val="20"/>
                <w:szCs w:val="20"/>
                <w:color w:val="auto"/>
              </w:rPr>
            </w:pPr>
            <w:r>
              <w:rPr>
                <w:rFonts w:ascii="Arial" w:cs="Arial" w:eastAsia="Arial" w:hAnsi="Arial"/>
                <w:sz w:val="16"/>
                <w:szCs w:val="16"/>
                <w:b w:val="1"/>
                <w:bCs w:val="1"/>
                <w:color w:val="auto"/>
              </w:rPr>
              <w:t>Unaudited March 31,</w:t>
            </w:r>
          </w:p>
        </w:tc>
        <w:tc>
          <w:tcPr>
            <w:tcW w:w="16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210"/>
        </w:trPr>
        <w:tc>
          <w:tcPr>
            <w:tcW w:w="7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tcPr>
          <w:p>
            <w:pPr>
              <w:jc w:val="right"/>
              <w:ind w:right="631"/>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jc w:val="right"/>
              <w:ind w:right="150"/>
              <w:spacing w:after="0"/>
              <w:rPr>
                <w:sz w:val="20"/>
                <w:szCs w:val="20"/>
                <w:color w:val="auto"/>
              </w:rPr>
            </w:pPr>
            <w:r>
              <w:rPr>
                <w:rFonts w:ascii="Arial" w:cs="Arial" w:eastAsia="Arial" w:hAnsi="Arial"/>
                <w:sz w:val="16"/>
                <w:szCs w:val="16"/>
                <w:b w:val="1"/>
                <w:bCs w:val="1"/>
                <w:color w:val="auto"/>
                <w:w w:val="94"/>
              </w:rPr>
              <w:t>December 31, 2019</w:t>
            </w:r>
          </w:p>
        </w:tc>
      </w:tr>
      <w:tr>
        <w:trPr>
          <w:trHeight w:val="33"/>
        </w:trPr>
        <w:tc>
          <w:tcPr>
            <w:tcW w:w="74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43"/>
        </w:trPr>
        <w:tc>
          <w:tcPr>
            <w:tcW w:w="7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4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r>
      <w:tr>
        <w:trPr>
          <w:trHeight w:val="243"/>
        </w:trPr>
        <w:tc>
          <w:tcPr>
            <w:tcW w:w="746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ind w:right="11"/>
              <w:spacing w:after="0"/>
              <w:rPr>
                <w:sz w:val="20"/>
                <w:szCs w:val="20"/>
                <w:color w:val="auto"/>
              </w:rPr>
            </w:pPr>
            <w:r>
              <w:rPr>
                <w:rFonts w:ascii="Arial" w:cs="Arial" w:eastAsia="Arial" w:hAnsi="Arial"/>
                <w:sz w:val="18"/>
                <w:szCs w:val="18"/>
                <w:color w:val="auto"/>
              </w:rPr>
              <w:t>651</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287</w:t>
            </w:r>
          </w:p>
        </w:tc>
      </w:tr>
      <w:tr>
        <w:trPr>
          <w:trHeight w:val="27"/>
        </w:trPr>
        <w:tc>
          <w:tcPr>
            <w:tcW w:w="7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7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Restricted cash (including $71 and $64 from VIEs, respectively)</w:t>
            </w:r>
          </w:p>
        </w:tc>
        <w:tc>
          <w:tcPr>
            <w:tcW w:w="14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414</w:t>
            </w:r>
          </w:p>
        </w:tc>
      </w:tr>
      <w:tr>
        <w:trPr>
          <w:trHeight w:val="243"/>
        </w:trPr>
        <w:tc>
          <w:tcPr>
            <w:tcW w:w="7460" w:type="dxa"/>
            <w:vAlign w:val="bottom"/>
          </w:tcPr>
          <w:p>
            <w:pPr>
              <w:ind w:left="20"/>
              <w:spacing w:after="0"/>
              <w:rPr>
                <w:sz w:val="20"/>
                <w:szCs w:val="20"/>
                <w:color w:val="auto"/>
              </w:rPr>
            </w:pPr>
            <w:r>
              <w:rPr>
                <w:rFonts w:ascii="Arial" w:cs="Arial" w:eastAsia="Arial" w:hAnsi="Arial"/>
                <w:sz w:val="18"/>
                <w:szCs w:val="18"/>
                <w:color w:val="auto"/>
              </w:rPr>
              <w:t>Accounts receivable, net (including $13 and $13 from VIEs, respectively)</w:t>
            </w:r>
          </w:p>
        </w:tc>
        <w:tc>
          <w:tcPr>
            <w:tcW w:w="140" w:type="dxa"/>
            <w:vAlign w:val="bottom"/>
          </w:tcPr>
          <w:p>
            <w:pPr>
              <w:spacing w:after="0"/>
              <w:rPr>
                <w:sz w:val="21"/>
                <w:szCs w:val="21"/>
                <w:color w:val="auto"/>
              </w:rPr>
            </w:pPr>
          </w:p>
        </w:tc>
        <w:tc>
          <w:tcPr>
            <w:tcW w:w="1640" w:type="dxa"/>
            <w:vAlign w:val="bottom"/>
          </w:tcPr>
          <w:p>
            <w:pPr>
              <w:jc w:val="right"/>
              <w:ind w:right="11"/>
              <w:spacing w:after="0"/>
              <w:rPr>
                <w:sz w:val="20"/>
                <w:szCs w:val="20"/>
                <w:color w:val="auto"/>
              </w:rPr>
            </w:pPr>
            <w:r>
              <w:rPr>
                <w:rFonts w:ascii="Arial" w:cs="Arial" w:eastAsia="Arial" w:hAnsi="Arial"/>
                <w:sz w:val="18"/>
                <w:szCs w:val="18"/>
                <w:color w:val="auto"/>
              </w:rPr>
              <w:t>267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323</w:t>
            </w:r>
          </w:p>
        </w:tc>
      </w:tr>
      <w:tr>
        <w:trPr>
          <w:trHeight w:val="27"/>
        </w:trPr>
        <w:tc>
          <w:tcPr>
            <w:tcW w:w="7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7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7"/>
              </w:rPr>
              <w:t>Vacation ownership notes receivable, net (including $1,822 and $1,750 from VIEs, respectively)</w:t>
            </w:r>
          </w:p>
        </w:tc>
        <w:tc>
          <w:tcPr>
            <w:tcW w:w="14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2,159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2,233</w:t>
            </w:r>
          </w:p>
        </w:tc>
      </w:tr>
      <w:tr>
        <w:trPr>
          <w:trHeight w:val="243"/>
        </w:trPr>
        <w:tc>
          <w:tcPr>
            <w:tcW w:w="7460" w:type="dxa"/>
            <w:vAlign w:val="bottom"/>
          </w:tcPr>
          <w:p>
            <w:pPr>
              <w:ind w:left="20"/>
              <w:spacing w:after="0"/>
              <w:rPr>
                <w:sz w:val="20"/>
                <w:szCs w:val="20"/>
                <w:color w:val="auto"/>
              </w:rPr>
            </w:pPr>
            <w:r>
              <w:rPr>
                <w:rFonts w:ascii="Arial" w:cs="Arial" w:eastAsia="Arial" w:hAnsi="Arial"/>
                <w:sz w:val="18"/>
                <w:szCs w:val="18"/>
                <w:color w:val="auto"/>
              </w:rPr>
              <w:t>Inventory</w:t>
            </w:r>
          </w:p>
        </w:tc>
        <w:tc>
          <w:tcPr>
            <w:tcW w:w="140" w:type="dxa"/>
            <w:vAlign w:val="bottom"/>
          </w:tcPr>
          <w:p>
            <w:pPr>
              <w:spacing w:after="0"/>
              <w:rPr>
                <w:sz w:val="21"/>
                <w:szCs w:val="21"/>
                <w:color w:val="auto"/>
              </w:rPr>
            </w:pPr>
          </w:p>
        </w:tc>
        <w:tc>
          <w:tcPr>
            <w:tcW w:w="1640" w:type="dxa"/>
            <w:vAlign w:val="bottom"/>
          </w:tcPr>
          <w:p>
            <w:pPr>
              <w:jc w:val="right"/>
              <w:ind w:right="11"/>
              <w:spacing w:after="0"/>
              <w:rPr>
                <w:sz w:val="20"/>
                <w:szCs w:val="20"/>
                <w:color w:val="auto"/>
              </w:rPr>
            </w:pPr>
            <w:r>
              <w:rPr>
                <w:rFonts w:ascii="Arial" w:cs="Arial" w:eastAsia="Arial" w:hAnsi="Arial"/>
                <w:sz w:val="18"/>
                <w:szCs w:val="18"/>
                <w:color w:val="auto"/>
              </w:rPr>
              <w:t>776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859</w:t>
            </w:r>
          </w:p>
        </w:tc>
      </w:tr>
      <w:tr>
        <w:trPr>
          <w:trHeight w:val="27"/>
        </w:trPr>
        <w:tc>
          <w:tcPr>
            <w:tcW w:w="7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7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Property and equipment</w:t>
            </w:r>
          </w:p>
        </w:tc>
        <w:tc>
          <w:tcPr>
            <w:tcW w:w="14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833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718</w:t>
            </w:r>
          </w:p>
        </w:tc>
      </w:tr>
      <w:tr>
        <w:trPr>
          <w:trHeight w:val="243"/>
        </w:trPr>
        <w:tc>
          <w:tcPr>
            <w:tcW w:w="7460" w:type="dxa"/>
            <w:vAlign w:val="bottom"/>
          </w:tcPr>
          <w:p>
            <w:pPr>
              <w:ind w:left="20"/>
              <w:spacing w:after="0"/>
              <w:rPr>
                <w:sz w:val="20"/>
                <w:szCs w:val="20"/>
                <w:color w:val="auto"/>
              </w:rPr>
            </w:pPr>
            <w:r>
              <w:rPr>
                <w:rFonts w:ascii="Arial" w:cs="Arial" w:eastAsia="Arial" w:hAnsi="Arial"/>
                <w:sz w:val="18"/>
                <w:szCs w:val="18"/>
                <w:color w:val="auto"/>
              </w:rPr>
              <w:t>Goodwill</w:t>
            </w:r>
          </w:p>
        </w:tc>
        <w:tc>
          <w:tcPr>
            <w:tcW w:w="140" w:type="dxa"/>
            <w:vAlign w:val="bottom"/>
          </w:tcPr>
          <w:p>
            <w:pPr>
              <w:spacing w:after="0"/>
              <w:rPr>
                <w:sz w:val="21"/>
                <w:szCs w:val="21"/>
                <w:color w:val="auto"/>
              </w:rPr>
            </w:pPr>
          </w:p>
        </w:tc>
        <w:tc>
          <w:tcPr>
            <w:tcW w:w="1640" w:type="dxa"/>
            <w:vAlign w:val="bottom"/>
          </w:tcPr>
          <w:p>
            <w:pPr>
              <w:jc w:val="right"/>
              <w:ind w:right="11"/>
              <w:spacing w:after="0"/>
              <w:rPr>
                <w:sz w:val="20"/>
                <w:szCs w:val="20"/>
                <w:color w:val="auto"/>
              </w:rPr>
            </w:pPr>
            <w:r>
              <w:rPr>
                <w:rFonts w:ascii="Arial" w:cs="Arial" w:eastAsia="Arial" w:hAnsi="Arial"/>
                <w:sz w:val="18"/>
                <w:szCs w:val="18"/>
                <w:color w:val="auto"/>
              </w:rPr>
              <w:t>2,817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2,892</w:t>
            </w:r>
          </w:p>
        </w:tc>
      </w:tr>
      <w:tr>
        <w:trPr>
          <w:trHeight w:val="27"/>
        </w:trPr>
        <w:tc>
          <w:tcPr>
            <w:tcW w:w="7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7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Intangibles, net</w:t>
            </w:r>
          </w:p>
        </w:tc>
        <w:tc>
          <w:tcPr>
            <w:tcW w:w="14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989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1,027</w:t>
            </w:r>
          </w:p>
        </w:tc>
      </w:tr>
      <w:tr>
        <w:trPr>
          <w:trHeight w:val="243"/>
        </w:trPr>
        <w:tc>
          <w:tcPr>
            <w:tcW w:w="7460" w:type="dxa"/>
            <w:vAlign w:val="bottom"/>
          </w:tcPr>
          <w:p>
            <w:pPr>
              <w:ind w:left="20"/>
              <w:spacing w:after="0"/>
              <w:rPr>
                <w:sz w:val="20"/>
                <w:szCs w:val="20"/>
                <w:color w:val="auto"/>
              </w:rPr>
            </w:pPr>
            <w:r>
              <w:rPr>
                <w:rFonts w:ascii="Arial" w:cs="Arial" w:eastAsia="Arial" w:hAnsi="Arial"/>
                <w:sz w:val="18"/>
                <w:szCs w:val="18"/>
                <w:color w:val="auto"/>
              </w:rPr>
              <w:t>Other (including $36 and $39 from VIEs, respectively)</w:t>
            </w:r>
          </w:p>
        </w:tc>
        <w:tc>
          <w:tcPr>
            <w:tcW w:w="140" w:type="dxa"/>
            <w:vAlign w:val="bottom"/>
          </w:tcPr>
          <w:p>
            <w:pPr>
              <w:spacing w:after="0"/>
              <w:rPr>
                <w:sz w:val="21"/>
                <w:szCs w:val="21"/>
                <w:color w:val="auto"/>
              </w:rPr>
            </w:pPr>
          </w:p>
        </w:tc>
        <w:tc>
          <w:tcPr>
            <w:tcW w:w="1640" w:type="dxa"/>
            <w:vAlign w:val="bottom"/>
          </w:tcPr>
          <w:p>
            <w:pPr>
              <w:jc w:val="right"/>
              <w:ind w:right="11"/>
              <w:spacing w:after="0"/>
              <w:rPr>
                <w:sz w:val="20"/>
                <w:szCs w:val="20"/>
                <w:color w:val="auto"/>
              </w:rPr>
            </w:pPr>
            <w:r>
              <w:rPr>
                <w:rFonts w:ascii="Arial" w:cs="Arial" w:eastAsia="Arial" w:hAnsi="Arial"/>
                <w:sz w:val="18"/>
                <w:szCs w:val="18"/>
                <w:color w:val="auto"/>
              </w:rPr>
              <w:t>571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461</w:t>
            </w:r>
          </w:p>
        </w:tc>
      </w:tr>
      <w:tr>
        <w:trPr>
          <w:trHeight w:val="27"/>
        </w:trPr>
        <w:tc>
          <w:tcPr>
            <w:tcW w:w="74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57"/>
        </w:trPr>
        <w:tc>
          <w:tcPr>
            <w:tcW w:w="74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b w:val="1"/>
                <w:bCs w:val="1"/>
                <w:color w:val="auto"/>
              </w:rPr>
              <w:t>TOTAL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9,432</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9,214</w:t>
            </w:r>
          </w:p>
        </w:tc>
      </w:tr>
      <w:tr>
        <w:trPr>
          <w:trHeight w:val="20"/>
        </w:trPr>
        <w:tc>
          <w:tcPr>
            <w:tcW w:w="74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r>
        <w:trPr>
          <w:trHeight w:val="284"/>
        </w:trPr>
        <w:tc>
          <w:tcPr>
            <w:tcW w:w="7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250"/>
        </w:trPr>
        <w:tc>
          <w:tcPr>
            <w:tcW w:w="7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 AND EQUITY</w:t>
            </w:r>
          </w:p>
        </w:tc>
        <w:tc>
          <w:tcPr>
            <w:tcW w:w="14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r>
      <w:tr>
        <w:trPr>
          <w:trHeight w:val="243"/>
        </w:trPr>
        <w:tc>
          <w:tcPr>
            <w:tcW w:w="7460" w:type="dxa"/>
            <w:vAlign w:val="bottom"/>
          </w:tcPr>
          <w:p>
            <w:pPr>
              <w:ind w:left="20"/>
              <w:spacing w:after="0"/>
              <w:rPr>
                <w:sz w:val="20"/>
                <w:szCs w:val="20"/>
                <w:color w:val="auto"/>
              </w:rPr>
            </w:pPr>
            <w:r>
              <w:rPr>
                <w:rFonts w:ascii="Arial" w:cs="Arial" w:eastAsia="Arial" w:hAnsi="Arial"/>
                <w:sz w:val="18"/>
                <w:szCs w:val="18"/>
                <w:color w:val="auto"/>
              </w:rPr>
              <w:t>Accounts payable</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ind w:right="11"/>
              <w:spacing w:after="0"/>
              <w:rPr>
                <w:sz w:val="20"/>
                <w:szCs w:val="20"/>
                <w:color w:val="auto"/>
              </w:rPr>
            </w:pPr>
            <w:r>
              <w:rPr>
                <w:rFonts w:ascii="Arial" w:cs="Arial" w:eastAsia="Arial" w:hAnsi="Arial"/>
                <w:sz w:val="18"/>
                <w:szCs w:val="18"/>
                <w:color w:val="auto"/>
              </w:rPr>
              <w:t>169</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286</w:t>
            </w:r>
          </w:p>
        </w:tc>
      </w:tr>
      <w:tr>
        <w:trPr>
          <w:trHeight w:val="27"/>
        </w:trPr>
        <w:tc>
          <w:tcPr>
            <w:tcW w:w="7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7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Advance deposits</w:t>
            </w:r>
          </w:p>
        </w:tc>
        <w:tc>
          <w:tcPr>
            <w:tcW w:w="14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187</w:t>
            </w:r>
          </w:p>
        </w:tc>
      </w:tr>
      <w:tr>
        <w:trPr>
          <w:trHeight w:val="243"/>
        </w:trPr>
        <w:tc>
          <w:tcPr>
            <w:tcW w:w="7460" w:type="dxa"/>
            <w:vAlign w:val="bottom"/>
          </w:tcPr>
          <w:p>
            <w:pPr>
              <w:ind w:left="20"/>
              <w:spacing w:after="0"/>
              <w:rPr>
                <w:sz w:val="20"/>
                <w:szCs w:val="20"/>
                <w:color w:val="auto"/>
              </w:rPr>
            </w:pPr>
            <w:r>
              <w:rPr>
                <w:rFonts w:ascii="Arial" w:cs="Arial" w:eastAsia="Arial" w:hAnsi="Arial"/>
                <w:sz w:val="18"/>
                <w:szCs w:val="18"/>
                <w:color w:val="auto"/>
              </w:rPr>
              <w:t>Accrued liabilities (including $2 and $2 from VIEs, respectively)</w:t>
            </w:r>
          </w:p>
        </w:tc>
        <w:tc>
          <w:tcPr>
            <w:tcW w:w="140" w:type="dxa"/>
            <w:vAlign w:val="bottom"/>
          </w:tcPr>
          <w:p>
            <w:pPr>
              <w:spacing w:after="0"/>
              <w:rPr>
                <w:sz w:val="21"/>
                <w:szCs w:val="21"/>
                <w:color w:val="auto"/>
              </w:rPr>
            </w:pPr>
          </w:p>
        </w:tc>
        <w:tc>
          <w:tcPr>
            <w:tcW w:w="1640" w:type="dxa"/>
            <w:vAlign w:val="bottom"/>
          </w:tcPr>
          <w:p>
            <w:pPr>
              <w:jc w:val="right"/>
              <w:ind w:right="11"/>
              <w:spacing w:after="0"/>
              <w:rPr>
                <w:sz w:val="20"/>
                <w:szCs w:val="20"/>
                <w:color w:val="auto"/>
              </w:rPr>
            </w:pPr>
            <w:r>
              <w:rPr>
                <w:rFonts w:ascii="Arial" w:cs="Arial" w:eastAsia="Arial" w:hAnsi="Arial"/>
                <w:sz w:val="18"/>
                <w:szCs w:val="18"/>
                <w:color w:val="auto"/>
              </w:rPr>
              <w:t>344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397</w:t>
            </w:r>
          </w:p>
        </w:tc>
      </w:tr>
      <w:tr>
        <w:trPr>
          <w:trHeight w:val="27"/>
        </w:trPr>
        <w:tc>
          <w:tcPr>
            <w:tcW w:w="7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7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revenue</w:t>
            </w:r>
          </w:p>
        </w:tc>
        <w:tc>
          <w:tcPr>
            <w:tcW w:w="14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433</w:t>
            </w:r>
          </w:p>
        </w:tc>
      </w:tr>
      <w:tr>
        <w:trPr>
          <w:trHeight w:val="243"/>
        </w:trPr>
        <w:tc>
          <w:tcPr>
            <w:tcW w:w="7460" w:type="dxa"/>
            <w:vAlign w:val="bottom"/>
          </w:tcPr>
          <w:p>
            <w:pPr>
              <w:ind w:left="20"/>
              <w:spacing w:after="0"/>
              <w:rPr>
                <w:sz w:val="20"/>
                <w:szCs w:val="20"/>
                <w:color w:val="auto"/>
              </w:rPr>
            </w:pPr>
            <w:r>
              <w:rPr>
                <w:rFonts w:ascii="Arial" w:cs="Arial" w:eastAsia="Arial" w:hAnsi="Arial"/>
                <w:sz w:val="18"/>
                <w:szCs w:val="18"/>
                <w:color w:val="auto"/>
              </w:rPr>
              <w:t>Payroll and benefits liability</w:t>
            </w:r>
          </w:p>
        </w:tc>
        <w:tc>
          <w:tcPr>
            <w:tcW w:w="140" w:type="dxa"/>
            <w:vAlign w:val="bottom"/>
          </w:tcPr>
          <w:p>
            <w:pPr>
              <w:spacing w:after="0"/>
              <w:rPr>
                <w:sz w:val="21"/>
                <w:szCs w:val="21"/>
                <w:color w:val="auto"/>
              </w:rPr>
            </w:pPr>
          </w:p>
        </w:tc>
        <w:tc>
          <w:tcPr>
            <w:tcW w:w="1640" w:type="dxa"/>
            <w:vAlign w:val="bottom"/>
          </w:tcPr>
          <w:p>
            <w:pPr>
              <w:jc w:val="right"/>
              <w:ind w:right="11"/>
              <w:spacing w:after="0"/>
              <w:rPr>
                <w:sz w:val="20"/>
                <w:szCs w:val="20"/>
                <w:color w:val="auto"/>
              </w:rPr>
            </w:pPr>
            <w:r>
              <w:rPr>
                <w:rFonts w:ascii="Arial" w:cs="Arial" w:eastAsia="Arial" w:hAnsi="Arial"/>
                <w:sz w:val="18"/>
                <w:szCs w:val="18"/>
                <w:color w:val="auto"/>
              </w:rPr>
              <w:t>164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186</w:t>
            </w:r>
          </w:p>
        </w:tc>
      </w:tr>
      <w:tr>
        <w:trPr>
          <w:trHeight w:val="27"/>
        </w:trPr>
        <w:tc>
          <w:tcPr>
            <w:tcW w:w="7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7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compensation liability</w:t>
            </w:r>
          </w:p>
        </w:tc>
        <w:tc>
          <w:tcPr>
            <w:tcW w:w="14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110</w:t>
            </w:r>
          </w:p>
        </w:tc>
      </w:tr>
      <w:tr>
        <w:trPr>
          <w:trHeight w:val="243"/>
        </w:trPr>
        <w:tc>
          <w:tcPr>
            <w:tcW w:w="7460" w:type="dxa"/>
            <w:vAlign w:val="bottom"/>
          </w:tcPr>
          <w:p>
            <w:pPr>
              <w:ind w:left="20"/>
              <w:spacing w:after="0"/>
              <w:rPr>
                <w:sz w:val="20"/>
                <w:szCs w:val="20"/>
                <w:color w:val="auto"/>
              </w:rPr>
            </w:pPr>
            <w:r>
              <w:rPr>
                <w:rFonts w:ascii="Arial" w:cs="Arial" w:eastAsia="Arial" w:hAnsi="Arial"/>
                <w:sz w:val="18"/>
                <w:szCs w:val="18"/>
                <w:color w:val="auto"/>
              </w:rPr>
              <w:t>Securitized debt, net (including $1,925 and $1,871 from VIEs, respectively)</w:t>
            </w:r>
          </w:p>
        </w:tc>
        <w:tc>
          <w:tcPr>
            <w:tcW w:w="140" w:type="dxa"/>
            <w:vAlign w:val="bottom"/>
          </w:tcPr>
          <w:p>
            <w:pPr>
              <w:spacing w:after="0"/>
              <w:rPr>
                <w:sz w:val="21"/>
                <w:szCs w:val="21"/>
                <w:color w:val="auto"/>
              </w:rPr>
            </w:pPr>
          </w:p>
        </w:tc>
        <w:tc>
          <w:tcPr>
            <w:tcW w:w="1640" w:type="dxa"/>
            <w:vAlign w:val="bottom"/>
          </w:tcPr>
          <w:p>
            <w:pPr>
              <w:jc w:val="right"/>
              <w:ind w:right="11"/>
              <w:spacing w:after="0"/>
              <w:rPr>
                <w:sz w:val="20"/>
                <w:szCs w:val="20"/>
                <w:color w:val="auto"/>
              </w:rPr>
            </w:pPr>
            <w:r>
              <w:rPr>
                <w:rFonts w:ascii="Arial" w:cs="Arial" w:eastAsia="Arial" w:hAnsi="Arial"/>
                <w:sz w:val="18"/>
                <w:szCs w:val="18"/>
                <w:color w:val="auto"/>
              </w:rPr>
              <w:t>1,926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1,871</w:t>
            </w:r>
          </w:p>
        </w:tc>
      </w:tr>
      <w:tr>
        <w:trPr>
          <w:trHeight w:val="27"/>
        </w:trPr>
        <w:tc>
          <w:tcPr>
            <w:tcW w:w="7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7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Debt, net</w:t>
            </w:r>
          </w:p>
        </w:tc>
        <w:tc>
          <w:tcPr>
            <w:tcW w:w="14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2,778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2,216</w:t>
            </w:r>
          </w:p>
        </w:tc>
      </w:tr>
      <w:tr>
        <w:trPr>
          <w:trHeight w:val="243"/>
        </w:trPr>
        <w:tc>
          <w:tcPr>
            <w:tcW w:w="7460" w:type="dxa"/>
            <w:vAlign w:val="bottom"/>
          </w:tcPr>
          <w:p>
            <w:pPr>
              <w:ind w:left="20"/>
              <w:spacing w:after="0"/>
              <w:rPr>
                <w:sz w:val="20"/>
                <w:szCs w:val="20"/>
                <w:color w:val="auto"/>
              </w:rPr>
            </w:pPr>
            <w:r>
              <w:rPr>
                <w:rFonts w:ascii="Arial" w:cs="Arial" w:eastAsia="Arial" w:hAnsi="Arial"/>
                <w:sz w:val="18"/>
                <w:szCs w:val="18"/>
                <w:color w:val="auto"/>
              </w:rPr>
              <w:t>Other</w:t>
            </w:r>
          </w:p>
        </w:tc>
        <w:tc>
          <w:tcPr>
            <w:tcW w:w="140" w:type="dxa"/>
            <w:vAlign w:val="bottom"/>
          </w:tcPr>
          <w:p>
            <w:pPr>
              <w:spacing w:after="0"/>
              <w:rPr>
                <w:sz w:val="21"/>
                <w:szCs w:val="21"/>
                <w:color w:val="auto"/>
              </w:rPr>
            </w:pPr>
          </w:p>
        </w:tc>
        <w:tc>
          <w:tcPr>
            <w:tcW w:w="1640" w:type="dxa"/>
            <w:vAlign w:val="bottom"/>
          </w:tcPr>
          <w:p>
            <w:pPr>
              <w:jc w:val="right"/>
              <w:ind w:right="11"/>
              <w:spacing w:after="0"/>
              <w:rPr>
                <w:sz w:val="20"/>
                <w:szCs w:val="20"/>
                <w:color w:val="auto"/>
              </w:rPr>
            </w:pPr>
            <w:r>
              <w:rPr>
                <w:rFonts w:ascii="Arial" w:cs="Arial" w:eastAsia="Arial" w:hAnsi="Arial"/>
                <w:sz w:val="18"/>
                <w:szCs w:val="18"/>
                <w:color w:val="auto"/>
              </w:rPr>
              <w:t>189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197</w:t>
            </w:r>
          </w:p>
        </w:tc>
      </w:tr>
      <w:tr>
        <w:trPr>
          <w:trHeight w:val="27"/>
        </w:trPr>
        <w:tc>
          <w:tcPr>
            <w:tcW w:w="7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70"/>
        </w:trPr>
        <w:tc>
          <w:tcPr>
            <w:tcW w:w="7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taxes</w:t>
            </w:r>
          </w:p>
        </w:tc>
        <w:tc>
          <w:tcPr>
            <w:tcW w:w="14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290</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300</w:t>
            </w:r>
          </w:p>
        </w:tc>
      </w:tr>
      <w:tr>
        <w:trPr>
          <w:trHeight w:val="237"/>
        </w:trPr>
        <w:tc>
          <w:tcPr>
            <w:tcW w:w="7460" w:type="dxa"/>
            <w:vAlign w:val="bottom"/>
          </w:tcPr>
          <w:p>
            <w:pPr>
              <w:ind w:left="480"/>
              <w:spacing w:after="0"/>
              <w:rPr>
                <w:sz w:val="20"/>
                <w:szCs w:val="20"/>
                <w:color w:val="auto"/>
              </w:rPr>
            </w:pPr>
            <w:r>
              <w:rPr>
                <w:rFonts w:ascii="Arial" w:cs="Arial" w:eastAsia="Arial" w:hAnsi="Arial"/>
                <w:sz w:val="18"/>
                <w:szCs w:val="18"/>
                <w:b w:val="1"/>
                <w:bCs w:val="1"/>
                <w:color w:val="auto"/>
              </w:rPr>
              <w:t>TOTAL LIABILITIES</w:t>
            </w:r>
          </w:p>
        </w:tc>
        <w:tc>
          <w:tcPr>
            <w:tcW w:w="14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6,660</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6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6,183</w:t>
            </w:r>
          </w:p>
        </w:tc>
      </w:tr>
      <w:tr>
        <w:trPr>
          <w:trHeight w:val="27"/>
        </w:trPr>
        <w:tc>
          <w:tcPr>
            <w:tcW w:w="74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43"/>
        </w:trPr>
        <w:tc>
          <w:tcPr>
            <w:tcW w:w="7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Contingencies and Commitments (Note 11)</w:t>
            </w:r>
          </w:p>
        </w:tc>
        <w:tc>
          <w:tcPr>
            <w:tcW w:w="14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r>
      <w:tr>
        <w:trPr>
          <w:trHeight w:val="243"/>
        </w:trPr>
        <w:tc>
          <w:tcPr>
            <w:tcW w:w="7460" w:type="dxa"/>
            <w:vAlign w:val="bottom"/>
          </w:tcPr>
          <w:p>
            <w:pPr>
              <w:ind w:left="20"/>
              <w:spacing w:after="0"/>
              <w:rPr>
                <w:sz w:val="20"/>
                <w:szCs w:val="20"/>
                <w:color w:val="auto"/>
              </w:rPr>
            </w:pPr>
            <w:r>
              <w:rPr>
                <w:rFonts w:ascii="Arial" w:cs="Arial" w:eastAsia="Arial" w:hAnsi="Arial"/>
                <w:sz w:val="18"/>
                <w:szCs w:val="18"/>
                <w:color w:val="auto"/>
              </w:rPr>
              <w:t>Preferred stock — $0.01 par value; 2,000,000 shares authorized; none issued or outstanding</w:t>
            </w:r>
          </w:p>
        </w:tc>
        <w:tc>
          <w:tcPr>
            <w:tcW w:w="140" w:type="dxa"/>
            <w:vAlign w:val="bottom"/>
          </w:tcPr>
          <w:p>
            <w:pPr>
              <w:spacing w:after="0"/>
              <w:rPr>
                <w:sz w:val="21"/>
                <w:szCs w:val="21"/>
                <w:color w:val="auto"/>
              </w:rPr>
            </w:pPr>
          </w:p>
        </w:tc>
        <w:tc>
          <w:tcPr>
            <w:tcW w:w="1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7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29"/>
        </w:trPr>
        <w:tc>
          <w:tcPr>
            <w:tcW w:w="74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0"/>
              </w:rPr>
              <w:t>Common stock — $0.01 par value; 100,000,000 shares authorized; 75,235,823 and 75,020,272 shares</w:t>
            </w:r>
          </w:p>
        </w:tc>
        <w:tc>
          <w:tcPr>
            <w:tcW w:w="14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r>
      <w:tr>
        <w:trPr>
          <w:trHeight w:val="237"/>
        </w:trPr>
        <w:tc>
          <w:tcPr>
            <w:tcW w:w="7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issued, respectively</w:t>
            </w:r>
          </w:p>
        </w:tc>
        <w:tc>
          <w:tcPr>
            <w:tcW w:w="14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r>
      <w:tr>
        <w:trPr>
          <w:trHeight w:val="243"/>
        </w:trPr>
        <w:tc>
          <w:tcPr>
            <w:tcW w:w="7460" w:type="dxa"/>
            <w:vAlign w:val="bottom"/>
          </w:tcPr>
          <w:p>
            <w:pPr>
              <w:ind w:left="20"/>
              <w:spacing w:after="0"/>
              <w:rPr>
                <w:sz w:val="20"/>
                <w:szCs w:val="20"/>
                <w:color w:val="auto"/>
              </w:rPr>
            </w:pPr>
            <w:r>
              <w:rPr>
                <w:rFonts w:ascii="Arial" w:cs="Arial" w:eastAsia="Arial" w:hAnsi="Arial"/>
                <w:sz w:val="18"/>
                <w:szCs w:val="18"/>
                <w:color w:val="auto"/>
              </w:rPr>
              <w:t>Treasury stock — at cost; 34,196,625 and 33,438,176 shares, respectively</w:t>
            </w:r>
          </w:p>
        </w:tc>
        <w:tc>
          <w:tcPr>
            <w:tcW w:w="14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(1,335)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(1,253)</w:t>
            </w:r>
          </w:p>
        </w:tc>
      </w:tr>
      <w:tr>
        <w:trPr>
          <w:trHeight w:val="27"/>
        </w:trPr>
        <w:tc>
          <w:tcPr>
            <w:tcW w:w="7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7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Additional paid-in capital</w:t>
            </w:r>
          </w:p>
        </w:tc>
        <w:tc>
          <w:tcPr>
            <w:tcW w:w="14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3,729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3,738</w:t>
            </w:r>
          </w:p>
        </w:tc>
      </w:tr>
      <w:tr>
        <w:trPr>
          <w:trHeight w:val="243"/>
        </w:trPr>
        <w:tc>
          <w:tcPr>
            <w:tcW w:w="7460" w:type="dxa"/>
            <w:vAlign w:val="bottom"/>
          </w:tcPr>
          <w:p>
            <w:pPr>
              <w:ind w:left="20"/>
              <w:spacing w:after="0"/>
              <w:rPr>
                <w:sz w:val="20"/>
                <w:szCs w:val="20"/>
                <w:color w:val="auto"/>
              </w:rPr>
            </w:pPr>
            <w:r>
              <w:rPr>
                <w:rFonts w:ascii="Arial" w:cs="Arial" w:eastAsia="Arial" w:hAnsi="Arial"/>
                <w:sz w:val="18"/>
                <w:szCs w:val="18"/>
                <w:color w:val="auto"/>
              </w:rPr>
              <w:t>Accumulated other comprehensive loss</w:t>
            </w:r>
          </w:p>
        </w:tc>
        <w:tc>
          <w:tcPr>
            <w:tcW w:w="14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(77)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7"/>
        </w:trPr>
        <w:tc>
          <w:tcPr>
            <w:tcW w:w="7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70"/>
        </w:trPr>
        <w:tc>
          <w:tcPr>
            <w:tcW w:w="7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Retained earnings</w:t>
            </w:r>
          </w:p>
        </w:tc>
        <w:tc>
          <w:tcPr>
            <w:tcW w:w="14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441</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569</w:t>
            </w:r>
          </w:p>
        </w:tc>
      </w:tr>
      <w:tr>
        <w:trPr>
          <w:trHeight w:val="237"/>
        </w:trPr>
        <w:tc>
          <w:tcPr>
            <w:tcW w:w="7460" w:type="dxa"/>
            <w:vAlign w:val="bottom"/>
          </w:tcPr>
          <w:p>
            <w:pPr>
              <w:ind w:left="480"/>
              <w:spacing w:after="0"/>
              <w:rPr>
                <w:sz w:val="20"/>
                <w:szCs w:val="20"/>
                <w:color w:val="auto"/>
              </w:rPr>
            </w:pPr>
            <w:r>
              <w:rPr>
                <w:rFonts w:ascii="Arial" w:cs="Arial" w:eastAsia="Arial" w:hAnsi="Arial"/>
                <w:sz w:val="18"/>
                <w:szCs w:val="18"/>
                <w:b w:val="1"/>
                <w:bCs w:val="1"/>
                <w:color w:val="auto"/>
              </w:rPr>
              <w:t>TOTAL MVW SHAREHOLDERS' EQUITY</w:t>
            </w:r>
          </w:p>
        </w:tc>
        <w:tc>
          <w:tcPr>
            <w:tcW w:w="14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2,759</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6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3,019</w:t>
            </w:r>
          </w:p>
        </w:tc>
      </w:tr>
      <w:tr>
        <w:trPr>
          <w:trHeight w:val="27"/>
        </w:trPr>
        <w:tc>
          <w:tcPr>
            <w:tcW w:w="7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70"/>
        </w:trPr>
        <w:tc>
          <w:tcPr>
            <w:tcW w:w="7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Noncontrolling interests</w:t>
            </w:r>
          </w:p>
        </w:tc>
        <w:tc>
          <w:tcPr>
            <w:tcW w:w="14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w:t>
            </w:r>
          </w:p>
        </w:tc>
      </w:tr>
      <w:tr>
        <w:trPr>
          <w:trHeight w:val="237"/>
        </w:trPr>
        <w:tc>
          <w:tcPr>
            <w:tcW w:w="7460" w:type="dxa"/>
            <w:vAlign w:val="bottom"/>
          </w:tcPr>
          <w:p>
            <w:pPr>
              <w:ind w:left="480"/>
              <w:spacing w:after="0"/>
              <w:rPr>
                <w:sz w:val="20"/>
                <w:szCs w:val="20"/>
                <w:color w:val="auto"/>
              </w:rPr>
            </w:pPr>
            <w:r>
              <w:rPr>
                <w:rFonts w:ascii="Arial" w:cs="Arial" w:eastAsia="Arial" w:hAnsi="Arial"/>
                <w:sz w:val="18"/>
                <w:szCs w:val="18"/>
                <w:b w:val="1"/>
                <w:bCs w:val="1"/>
                <w:color w:val="auto"/>
              </w:rPr>
              <w:t>TOTAL EQUITY</w:t>
            </w:r>
          </w:p>
        </w:tc>
        <w:tc>
          <w:tcPr>
            <w:tcW w:w="14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2,772</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6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3,031</w:t>
            </w:r>
          </w:p>
        </w:tc>
      </w:tr>
      <w:tr>
        <w:trPr>
          <w:trHeight w:val="27"/>
        </w:trPr>
        <w:tc>
          <w:tcPr>
            <w:tcW w:w="74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57"/>
        </w:trPr>
        <w:tc>
          <w:tcPr>
            <w:tcW w:w="74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b w:val="1"/>
                <w:bCs w:val="1"/>
                <w:color w:val="auto"/>
              </w:rPr>
              <w:t>TOTAL LIABILITIES AND EQUITY</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9,432</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9,214</w:t>
            </w:r>
          </w:p>
        </w:tc>
      </w:tr>
      <w:tr>
        <w:trPr>
          <w:trHeight w:val="20"/>
        </w:trPr>
        <w:tc>
          <w:tcPr>
            <w:tcW w:w="74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abbreviation VIEs above means Variable Interest Entities.</w:t>
      </w: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See Notes to Interim Consolidated Financial Statements</w:t>
      </w: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00"/>
          </w:cols>
          <w:pgMar w:left="320" w:top="125" w:right="37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MARRIOTT VACATIONS WORLDWIDE CORPORATION</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INTERIM CONSOLIDATED STATEMENTS OF CASH FLOWS</w:t>
      </w:r>
    </w:p>
    <w:p>
      <w:pPr>
        <w:spacing w:after="0" w:line="27"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(Unaudited)</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60" w:type="dxa"/>
            <w:vAlign w:val="bottom"/>
            <w:gridSpan w:val="4"/>
          </w:tcPr>
          <w:p>
            <w:pPr>
              <w:jc w:val="right"/>
              <w:ind w:right="670"/>
              <w:spacing w:after="0"/>
              <w:rPr>
                <w:sz w:val="20"/>
                <w:szCs w:val="20"/>
                <w:color w:val="auto"/>
              </w:rPr>
            </w:pPr>
            <w:r>
              <w:rPr>
                <w:rFonts w:ascii="Arial" w:cs="Arial" w:eastAsia="Arial" w:hAnsi="Arial"/>
                <w:sz w:val="16"/>
                <w:szCs w:val="16"/>
                <w:b w:val="1"/>
                <w:bCs w:val="1"/>
                <w:color w:val="auto"/>
              </w:rPr>
              <w:t>Three Months Ended</w:t>
            </w:r>
          </w:p>
        </w:tc>
      </w:tr>
      <w:tr>
        <w:trPr>
          <w:trHeight w:val="33"/>
        </w:trPr>
        <w:tc>
          <w:tcPr>
            <w:tcW w:w="82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1"/>
        </w:trPr>
        <w:tc>
          <w:tcPr>
            <w:tcW w:w="8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tcPr>
          <w:p>
            <w:pPr>
              <w:ind w:left="20"/>
              <w:spacing w:after="0"/>
              <w:rPr>
                <w:sz w:val="20"/>
                <w:szCs w:val="20"/>
                <w:color w:val="auto"/>
              </w:rPr>
            </w:pPr>
            <w:r>
              <w:rPr>
                <w:rFonts w:ascii="Arial" w:cs="Arial" w:eastAsia="Arial" w:hAnsi="Arial"/>
                <w:sz w:val="16"/>
                <w:szCs w:val="16"/>
                <w:b w:val="1"/>
                <w:bCs w:val="1"/>
                <w:color w:val="auto"/>
              </w:rPr>
              <w:t>March 31, 2020</w:t>
            </w:r>
          </w:p>
        </w:tc>
        <w:tc>
          <w:tcPr>
            <w:tcW w:w="160" w:type="dxa"/>
            <w:vAlign w:val="bottom"/>
          </w:tcPr>
          <w:p>
            <w:pPr>
              <w:spacing w:after="0"/>
              <w:rPr>
                <w:sz w:val="20"/>
                <w:szCs w:val="20"/>
                <w:color w:val="auto"/>
              </w:rPr>
            </w:pPr>
          </w:p>
        </w:tc>
        <w:tc>
          <w:tcPr>
            <w:tcW w:w="1300" w:type="dxa"/>
            <w:vAlign w:val="bottom"/>
          </w:tcPr>
          <w:p>
            <w:pPr>
              <w:jc w:val="right"/>
              <w:ind w:right="110"/>
              <w:spacing w:after="0"/>
              <w:rPr>
                <w:sz w:val="20"/>
                <w:szCs w:val="20"/>
                <w:color w:val="auto"/>
              </w:rPr>
            </w:pPr>
            <w:r>
              <w:rPr>
                <w:rFonts w:ascii="Arial" w:cs="Arial" w:eastAsia="Arial" w:hAnsi="Arial"/>
                <w:sz w:val="16"/>
                <w:szCs w:val="16"/>
                <w:b w:val="1"/>
                <w:bCs w:val="1"/>
                <w:color w:val="auto"/>
                <w:w w:val="94"/>
              </w:rPr>
              <w:t>March 31, 2019</w:t>
            </w:r>
          </w:p>
        </w:tc>
      </w:tr>
      <w:tr>
        <w:trPr>
          <w:trHeight w:val="33"/>
        </w:trPr>
        <w:tc>
          <w:tcPr>
            <w:tcW w:w="8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3"/>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ACTIVITIES</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8220" w:type="dxa"/>
            <w:vAlign w:val="bottom"/>
          </w:tcPr>
          <w:p>
            <w:pPr>
              <w:ind w:left="40"/>
              <w:spacing w:after="0"/>
              <w:rPr>
                <w:sz w:val="20"/>
                <w:szCs w:val="20"/>
                <w:color w:val="auto"/>
              </w:rPr>
            </w:pPr>
            <w:r>
              <w:rPr>
                <w:rFonts w:ascii="Arial" w:cs="Arial" w:eastAsia="Arial" w:hAnsi="Arial"/>
                <w:sz w:val="18"/>
                <w:szCs w:val="18"/>
                <w:color w:val="auto"/>
              </w:rPr>
              <w:t>Net (loss) income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24</w:t>
            </w:r>
          </w:p>
        </w:tc>
      </w:tr>
      <w:tr>
        <w:trPr>
          <w:trHeight w:val="27"/>
        </w:trPr>
        <w:tc>
          <w:tcPr>
            <w:tcW w:w="8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29"/>
        </w:trPr>
        <w:tc>
          <w:tcPr>
            <w:tcW w:w="82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4"/>
              </w:rPr>
              <w:t>Adjustments to reconcile net income to net cash, cash equivalents and restricted cash provided by operating</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37"/>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activities:</w:t>
            </w:r>
          </w:p>
        </w:tc>
        <w:tc>
          <w:tcPr>
            <w:tcW w:w="1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r>
      <w:tr>
        <w:trPr>
          <w:trHeight w:val="243"/>
        </w:trPr>
        <w:tc>
          <w:tcPr>
            <w:tcW w:w="8220" w:type="dxa"/>
            <w:vAlign w:val="bottom"/>
          </w:tcPr>
          <w:p>
            <w:pPr>
              <w:ind w:left="280"/>
              <w:spacing w:after="0"/>
              <w:rPr>
                <w:sz w:val="20"/>
                <w:szCs w:val="20"/>
                <w:color w:val="auto"/>
              </w:rPr>
            </w:pPr>
            <w:r>
              <w:rPr>
                <w:rFonts w:ascii="Arial" w:cs="Arial" w:eastAsia="Arial" w:hAnsi="Arial"/>
                <w:sz w:val="18"/>
                <w:szCs w:val="18"/>
                <w:color w:val="auto"/>
              </w:rPr>
              <w:t>Depreciation and amortization of intangibles</w:t>
            </w:r>
          </w:p>
        </w:tc>
        <w:tc>
          <w:tcPr>
            <w:tcW w:w="16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37</w:t>
            </w:r>
          </w:p>
        </w:tc>
      </w:tr>
      <w:tr>
        <w:trPr>
          <w:trHeight w:val="27"/>
        </w:trPr>
        <w:tc>
          <w:tcPr>
            <w:tcW w:w="8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Amortization of debt discount and issuance costs</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w:t>
            </w:r>
          </w:p>
        </w:tc>
      </w:tr>
      <w:tr>
        <w:trPr>
          <w:trHeight w:val="243"/>
        </w:trPr>
        <w:tc>
          <w:tcPr>
            <w:tcW w:w="8220" w:type="dxa"/>
            <w:vAlign w:val="bottom"/>
          </w:tcPr>
          <w:p>
            <w:pPr>
              <w:ind w:left="280"/>
              <w:spacing w:after="0"/>
              <w:rPr>
                <w:sz w:val="20"/>
                <w:szCs w:val="20"/>
                <w:color w:val="auto"/>
              </w:rPr>
            </w:pPr>
            <w:r>
              <w:rPr>
                <w:rFonts w:ascii="Arial" w:cs="Arial" w:eastAsia="Arial" w:hAnsi="Arial"/>
                <w:sz w:val="18"/>
                <w:szCs w:val="18"/>
                <w:color w:val="auto"/>
              </w:rPr>
              <w:t>Vacation ownership notes receivable reserve</w:t>
            </w:r>
          </w:p>
        </w:tc>
        <w:tc>
          <w:tcPr>
            <w:tcW w:w="16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20</w:t>
            </w:r>
          </w:p>
        </w:tc>
      </w:tr>
      <w:tr>
        <w:trPr>
          <w:trHeight w:val="27"/>
        </w:trPr>
        <w:tc>
          <w:tcPr>
            <w:tcW w:w="8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Share-based compensation</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w:t>
            </w:r>
          </w:p>
        </w:tc>
      </w:tr>
      <w:tr>
        <w:trPr>
          <w:trHeight w:val="243"/>
        </w:trPr>
        <w:tc>
          <w:tcPr>
            <w:tcW w:w="8220" w:type="dxa"/>
            <w:vAlign w:val="bottom"/>
          </w:tcPr>
          <w:p>
            <w:pPr>
              <w:ind w:left="280"/>
              <w:spacing w:after="0"/>
              <w:rPr>
                <w:sz w:val="20"/>
                <w:szCs w:val="20"/>
                <w:color w:val="auto"/>
              </w:rPr>
            </w:pPr>
            <w:r>
              <w:rPr>
                <w:rFonts w:ascii="Arial" w:cs="Arial" w:eastAsia="Arial" w:hAnsi="Arial"/>
                <w:sz w:val="18"/>
                <w:szCs w:val="18"/>
                <w:color w:val="auto"/>
              </w:rPr>
              <w:t>Impairment charges</w:t>
            </w:r>
          </w:p>
        </w:tc>
        <w:tc>
          <w:tcPr>
            <w:tcW w:w="16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26</w:t>
            </w:r>
          </w:p>
        </w:tc>
      </w:tr>
      <w:tr>
        <w:trPr>
          <w:trHeight w:val="27"/>
        </w:trPr>
        <w:tc>
          <w:tcPr>
            <w:tcW w:w="8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Deferred income taxes</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w:t>
            </w:r>
          </w:p>
        </w:tc>
      </w:tr>
      <w:tr>
        <w:trPr>
          <w:trHeight w:val="243"/>
        </w:trPr>
        <w:tc>
          <w:tcPr>
            <w:tcW w:w="8220" w:type="dxa"/>
            <w:vAlign w:val="bottom"/>
          </w:tcPr>
          <w:p>
            <w:pPr>
              <w:ind w:left="280"/>
              <w:spacing w:after="0"/>
              <w:rPr>
                <w:sz w:val="20"/>
                <w:szCs w:val="20"/>
                <w:color w:val="auto"/>
              </w:rPr>
            </w:pPr>
            <w:r>
              <w:rPr>
                <w:rFonts w:ascii="Arial" w:cs="Arial" w:eastAsia="Arial" w:hAnsi="Arial"/>
                <w:sz w:val="18"/>
                <w:szCs w:val="18"/>
                <w:color w:val="auto"/>
              </w:rPr>
              <w:t>Net change in assets and liabilities, net of the effects of acquisition:</w:t>
            </w:r>
          </w:p>
        </w:tc>
        <w:tc>
          <w:tcPr>
            <w:tcW w:w="1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8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Accounts receivable</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r>
      <w:tr>
        <w:trPr>
          <w:trHeight w:val="243"/>
        </w:trPr>
        <w:tc>
          <w:tcPr>
            <w:tcW w:w="8220" w:type="dxa"/>
            <w:vAlign w:val="bottom"/>
          </w:tcPr>
          <w:p>
            <w:pPr>
              <w:ind w:left="500"/>
              <w:spacing w:after="0"/>
              <w:rPr>
                <w:sz w:val="20"/>
                <w:szCs w:val="20"/>
                <w:color w:val="auto"/>
              </w:rPr>
            </w:pPr>
            <w:r>
              <w:rPr>
                <w:rFonts w:ascii="Arial" w:cs="Arial" w:eastAsia="Arial" w:hAnsi="Arial"/>
                <w:sz w:val="18"/>
                <w:szCs w:val="18"/>
                <w:color w:val="auto"/>
              </w:rPr>
              <w:t>Vacation ownership notes receivable originations</w:t>
            </w: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(174)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(194)</w:t>
            </w:r>
          </w:p>
        </w:tc>
      </w:tr>
      <w:tr>
        <w:trPr>
          <w:trHeight w:val="27"/>
        </w:trPr>
        <w:tc>
          <w:tcPr>
            <w:tcW w:w="8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Vacation ownership notes receivable collections</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154</w:t>
            </w:r>
          </w:p>
        </w:tc>
      </w:tr>
      <w:tr>
        <w:trPr>
          <w:trHeight w:val="243"/>
        </w:trPr>
        <w:tc>
          <w:tcPr>
            <w:tcW w:w="8220" w:type="dxa"/>
            <w:vAlign w:val="bottom"/>
          </w:tcPr>
          <w:p>
            <w:pPr>
              <w:ind w:left="500"/>
              <w:spacing w:after="0"/>
              <w:rPr>
                <w:sz w:val="20"/>
                <w:szCs w:val="20"/>
                <w:color w:val="auto"/>
              </w:rPr>
            </w:pPr>
            <w:r>
              <w:rPr>
                <w:rFonts w:ascii="Arial" w:cs="Arial" w:eastAsia="Arial" w:hAnsi="Arial"/>
                <w:sz w:val="18"/>
                <w:szCs w:val="18"/>
                <w:color w:val="auto"/>
              </w:rPr>
              <w:t>Inventory</w:t>
            </w: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39</w:t>
            </w:r>
          </w:p>
        </w:tc>
      </w:tr>
      <w:tr>
        <w:trPr>
          <w:trHeight w:val="27"/>
        </w:trPr>
        <w:tc>
          <w:tcPr>
            <w:tcW w:w="8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Purchase of vacation ownership units for future transfer to inventory</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220" w:type="dxa"/>
            <w:vAlign w:val="bottom"/>
          </w:tcPr>
          <w:p>
            <w:pPr>
              <w:ind w:left="500"/>
              <w:spacing w:after="0"/>
              <w:rPr>
                <w:sz w:val="20"/>
                <w:szCs w:val="20"/>
                <w:color w:val="auto"/>
              </w:rPr>
            </w:pPr>
            <w:r>
              <w:rPr>
                <w:rFonts w:ascii="Arial" w:cs="Arial" w:eastAsia="Arial" w:hAnsi="Arial"/>
                <w:sz w:val="18"/>
                <w:szCs w:val="18"/>
                <w:color w:val="auto"/>
              </w:rPr>
              <w:t>Other assets</w:t>
            </w: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(102)</w:t>
            </w:r>
          </w:p>
        </w:tc>
      </w:tr>
      <w:tr>
        <w:trPr>
          <w:trHeight w:val="27"/>
        </w:trPr>
        <w:tc>
          <w:tcPr>
            <w:tcW w:w="8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Accounts payable, advance deposits and accrued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w:t>
            </w:r>
          </w:p>
        </w:tc>
      </w:tr>
      <w:tr>
        <w:trPr>
          <w:trHeight w:val="243"/>
        </w:trPr>
        <w:tc>
          <w:tcPr>
            <w:tcW w:w="8220" w:type="dxa"/>
            <w:vAlign w:val="bottom"/>
          </w:tcPr>
          <w:p>
            <w:pPr>
              <w:ind w:left="500"/>
              <w:spacing w:after="0"/>
              <w:rPr>
                <w:sz w:val="20"/>
                <w:szCs w:val="20"/>
                <w:color w:val="auto"/>
              </w:rPr>
            </w:pPr>
            <w:r>
              <w:rPr>
                <w:rFonts w:ascii="Arial" w:cs="Arial" w:eastAsia="Arial" w:hAnsi="Arial"/>
                <w:sz w:val="18"/>
                <w:szCs w:val="18"/>
                <w:color w:val="auto"/>
              </w:rPr>
              <w:t>Deferred revenue</w:t>
            </w:r>
          </w:p>
        </w:tc>
        <w:tc>
          <w:tcPr>
            <w:tcW w:w="16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117</w:t>
            </w:r>
          </w:p>
        </w:tc>
      </w:tr>
      <w:tr>
        <w:trPr>
          <w:trHeight w:val="27"/>
        </w:trPr>
        <w:tc>
          <w:tcPr>
            <w:tcW w:w="8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Payroll and benefit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r>
      <w:tr>
        <w:trPr>
          <w:trHeight w:val="243"/>
        </w:trPr>
        <w:tc>
          <w:tcPr>
            <w:tcW w:w="8220" w:type="dxa"/>
            <w:vAlign w:val="bottom"/>
          </w:tcPr>
          <w:p>
            <w:pPr>
              <w:ind w:left="500"/>
              <w:spacing w:after="0"/>
              <w:rPr>
                <w:sz w:val="20"/>
                <w:szCs w:val="20"/>
                <w:color w:val="auto"/>
              </w:rPr>
            </w:pPr>
            <w:r>
              <w:rPr>
                <w:rFonts w:ascii="Arial" w:cs="Arial" w:eastAsia="Arial" w:hAnsi="Arial"/>
                <w:sz w:val="18"/>
                <w:szCs w:val="18"/>
                <w:color w:val="auto"/>
              </w:rPr>
              <w:t>Deferred compensation liability</w:t>
            </w: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6</w:t>
            </w:r>
          </w:p>
        </w:tc>
      </w:tr>
      <w:tr>
        <w:trPr>
          <w:trHeight w:val="27"/>
        </w:trPr>
        <w:tc>
          <w:tcPr>
            <w:tcW w:w="8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Other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r>
      <w:tr>
        <w:trPr>
          <w:trHeight w:val="243"/>
        </w:trPr>
        <w:tc>
          <w:tcPr>
            <w:tcW w:w="8220" w:type="dxa"/>
            <w:vAlign w:val="bottom"/>
          </w:tcPr>
          <w:p>
            <w:pPr>
              <w:ind w:left="280"/>
              <w:spacing w:after="0"/>
              <w:rPr>
                <w:sz w:val="20"/>
                <w:szCs w:val="20"/>
                <w:color w:val="auto"/>
              </w:rPr>
            </w:pPr>
            <w:r>
              <w:rPr>
                <w:rFonts w:ascii="Arial" w:cs="Arial" w:eastAsia="Arial" w:hAnsi="Arial"/>
                <w:sz w:val="18"/>
                <w:szCs w:val="18"/>
                <w:color w:val="auto"/>
              </w:rPr>
              <w:t>Other, net</w:t>
            </w:r>
          </w:p>
        </w:tc>
        <w:tc>
          <w:tcPr>
            <w:tcW w:w="16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w:t>
            </w:r>
          </w:p>
        </w:tc>
      </w:tr>
      <w:tr>
        <w:trPr>
          <w:trHeight w:val="27"/>
        </w:trPr>
        <w:tc>
          <w:tcPr>
            <w:tcW w:w="8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4"/>
        </w:trPr>
        <w:tc>
          <w:tcPr>
            <w:tcW w:w="82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Net cash, cash equivalents and restricted cash (used in) provided by operating activities</w:t>
            </w:r>
          </w:p>
        </w:tc>
        <w:tc>
          <w:tcPr>
            <w:tcW w:w="16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w:t>
            </w:r>
          </w:p>
        </w:tc>
      </w:tr>
      <w:tr>
        <w:trPr>
          <w:trHeight w:val="237"/>
        </w:trPr>
        <w:tc>
          <w:tcPr>
            <w:tcW w:w="8220" w:type="dxa"/>
            <w:vAlign w:val="bottom"/>
          </w:tcPr>
          <w:p>
            <w:pPr>
              <w:ind w:left="40"/>
              <w:spacing w:after="0"/>
              <w:rPr>
                <w:sz w:val="20"/>
                <w:szCs w:val="20"/>
                <w:color w:val="auto"/>
              </w:rPr>
            </w:pPr>
            <w:r>
              <w:rPr>
                <w:rFonts w:ascii="Arial" w:cs="Arial" w:eastAsia="Arial" w:hAnsi="Arial"/>
                <w:sz w:val="18"/>
                <w:szCs w:val="18"/>
                <w:b w:val="1"/>
                <w:bCs w:val="1"/>
                <w:color w:val="auto"/>
              </w:rPr>
              <w:t>INVESTING ACTIVITIES</w:t>
            </w:r>
          </w:p>
        </w:tc>
        <w:tc>
          <w:tcPr>
            <w:tcW w:w="16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r>
      <w:tr>
        <w:trPr>
          <w:trHeight w:val="27"/>
        </w:trPr>
        <w:tc>
          <w:tcPr>
            <w:tcW w:w="8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Capital expenditures for property and equipment (excluding inventory)</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43"/>
        </w:trPr>
        <w:tc>
          <w:tcPr>
            <w:tcW w:w="8220" w:type="dxa"/>
            <w:vAlign w:val="bottom"/>
          </w:tcPr>
          <w:p>
            <w:pPr>
              <w:ind w:left="280"/>
              <w:spacing w:after="0"/>
              <w:rPr>
                <w:sz w:val="20"/>
                <w:szCs w:val="20"/>
                <w:color w:val="auto"/>
              </w:rPr>
            </w:pPr>
            <w:r>
              <w:rPr>
                <w:rFonts w:ascii="Arial" w:cs="Arial" w:eastAsia="Arial" w:hAnsi="Arial"/>
                <w:sz w:val="18"/>
                <w:szCs w:val="18"/>
                <w:color w:val="auto"/>
              </w:rPr>
              <w:t>Proceeds from collection of notes receivable</w:t>
            </w:r>
          </w:p>
        </w:tc>
        <w:tc>
          <w:tcPr>
            <w:tcW w:w="160" w:type="dxa"/>
            <w:vAlign w:val="bottom"/>
          </w:tcPr>
          <w:p>
            <w:pPr>
              <w:spacing w:after="0"/>
              <w:rPr>
                <w:sz w:val="21"/>
                <w:szCs w:val="21"/>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38</w:t>
            </w:r>
          </w:p>
        </w:tc>
      </w:tr>
      <w:tr>
        <w:trPr>
          <w:trHeight w:val="27"/>
        </w:trPr>
        <w:tc>
          <w:tcPr>
            <w:tcW w:w="8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82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Purchase of company owned life insurance</w:t>
            </w: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37"/>
        </w:trPr>
        <w:tc>
          <w:tcPr>
            <w:tcW w:w="8220" w:type="dxa"/>
            <w:vAlign w:val="bottom"/>
          </w:tcPr>
          <w:p>
            <w:pPr>
              <w:ind w:left="720"/>
              <w:spacing w:after="0"/>
              <w:rPr>
                <w:sz w:val="20"/>
                <w:szCs w:val="20"/>
                <w:color w:val="auto"/>
              </w:rPr>
            </w:pPr>
            <w:r>
              <w:rPr>
                <w:rFonts w:ascii="Arial" w:cs="Arial" w:eastAsia="Arial" w:hAnsi="Arial"/>
                <w:sz w:val="18"/>
                <w:szCs w:val="18"/>
                <w:color w:val="auto"/>
              </w:rPr>
              <w:t>Net cash, cash equivalents and restricted cash (used in) provided by investing activities</w:t>
            </w:r>
          </w:p>
        </w:tc>
        <w:tc>
          <w:tcPr>
            <w:tcW w:w="16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27</w:t>
            </w:r>
          </w:p>
        </w:tc>
      </w:tr>
      <w:tr>
        <w:trPr>
          <w:trHeight w:val="27"/>
        </w:trPr>
        <w:tc>
          <w:tcPr>
            <w:tcW w:w="82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Continued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Notes to Interim Consolidated Financial Statements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125" w:right="3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MARRIOTT VACATIONS WORLDWIDE CORPORATION</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INTERIM CONSOLIDATED STATEMENTS OF CASH FLOWS (CONTINUED)</w:t>
      </w:r>
    </w:p>
    <w:p>
      <w:pPr>
        <w:spacing w:after="0" w:line="27"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(Unaudited)</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60" w:type="dxa"/>
            <w:vAlign w:val="bottom"/>
            <w:gridSpan w:val="4"/>
          </w:tcPr>
          <w:p>
            <w:pPr>
              <w:jc w:val="right"/>
              <w:ind w:right="670"/>
              <w:spacing w:after="0"/>
              <w:rPr>
                <w:sz w:val="20"/>
                <w:szCs w:val="20"/>
                <w:color w:val="auto"/>
              </w:rPr>
            </w:pPr>
            <w:r>
              <w:rPr>
                <w:rFonts w:ascii="Arial" w:cs="Arial" w:eastAsia="Arial" w:hAnsi="Arial"/>
                <w:sz w:val="16"/>
                <w:szCs w:val="16"/>
                <w:b w:val="1"/>
                <w:bCs w:val="1"/>
                <w:color w:val="auto"/>
              </w:rPr>
              <w:t>Three Months Ended</w:t>
            </w:r>
          </w:p>
        </w:tc>
      </w:tr>
      <w:tr>
        <w:trPr>
          <w:trHeight w:val="33"/>
        </w:trPr>
        <w:tc>
          <w:tcPr>
            <w:tcW w:w="82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1"/>
        </w:trPr>
        <w:tc>
          <w:tcPr>
            <w:tcW w:w="8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tcPr>
          <w:p>
            <w:pPr>
              <w:ind w:left="20"/>
              <w:spacing w:after="0"/>
              <w:rPr>
                <w:sz w:val="20"/>
                <w:szCs w:val="20"/>
                <w:color w:val="auto"/>
              </w:rPr>
            </w:pPr>
            <w:r>
              <w:rPr>
                <w:rFonts w:ascii="Arial" w:cs="Arial" w:eastAsia="Arial" w:hAnsi="Arial"/>
                <w:sz w:val="16"/>
                <w:szCs w:val="16"/>
                <w:b w:val="1"/>
                <w:bCs w:val="1"/>
                <w:color w:val="auto"/>
              </w:rPr>
              <w:t>March 31, 2020</w:t>
            </w:r>
          </w:p>
        </w:tc>
        <w:tc>
          <w:tcPr>
            <w:tcW w:w="160" w:type="dxa"/>
            <w:vAlign w:val="bottom"/>
          </w:tcPr>
          <w:p>
            <w:pPr>
              <w:spacing w:after="0"/>
              <w:rPr>
                <w:sz w:val="20"/>
                <w:szCs w:val="20"/>
                <w:color w:val="auto"/>
              </w:rPr>
            </w:pPr>
          </w:p>
        </w:tc>
        <w:tc>
          <w:tcPr>
            <w:tcW w:w="1300" w:type="dxa"/>
            <w:vAlign w:val="bottom"/>
          </w:tcPr>
          <w:p>
            <w:pPr>
              <w:jc w:val="right"/>
              <w:ind w:right="110"/>
              <w:spacing w:after="0"/>
              <w:rPr>
                <w:sz w:val="20"/>
                <w:szCs w:val="20"/>
                <w:color w:val="auto"/>
              </w:rPr>
            </w:pPr>
            <w:r>
              <w:rPr>
                <w:rFonts w:ascii="Arial" w:cs="Arial" w:eastAsia="Arial" w:hAnsi="Arial"/>
                <w:sz w:val="16"/>
                <w:szCs w:val="16"/>
                <w:b w:val="1"/>
                <w:bCs w:val="1"/>
                <w:color w:val="auto"/>
                <w:w w:val="94"/>
              </w:rPr>
              <w:t>March 31, 2019</w:t>
            </w:r>
          </w:p>
        </w:tc>
      </w:tr>
      <w:tr>
        <w:trPr>
          <w:trHeight w:val="33"/>
        </w:trPr>
        <w:tc>
          <w:tcPr>
            <w:tcW w:w="8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3"/>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FINANCING ACTIVITIES</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8220" w:type="dxa"/>
            <w:vAlign w:val="bottom"/>
          </w:tcPr>
          <w:p>
            <w:pPr>
              <w:ind w:left="280"/>
              <w:spacing w:after="0"/>
              <w:rPr>
                <w:sz w:val="20"/>
                <w:szCs w:val="20"/>
                <w:color w:val="auto"/>
              </w:rPr>
            </w:pPr>
            <w:r>
              <w:rPr>
                <w:rFonts w:ascii="Arial" w:cs="Arial" w:eastAsia="Arial" w:hAnsi="Arial"/>
                <w:sz w:val="18"/>
                <w:szCs w:val="18"/>
                <w:color w:val="auto"/>
              </w:rPr>
              <w:t>Borrowings from securitization transactions</w:t>
            </w:r>
          </w:p>
        </w:tc>
        <w:tc>
          <w:tcPr>
            <w:tcW w:w="16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202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124</w:t>
            </w:r>
          </w:p>
        </w:tc>
      </w:tr>
      <w:tr>
        <w:trPr>
          <w:trHeight w:val="27"/>
        </w:trPr>
        <w:tc>
          <w:tcPr>
            <w:tcW w:w="8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Repayment of debt related to securitization transactions</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w:t>
            </w:r>
          </w:p>
        </w:tc>
      </w:tr>
      <w:tr>
        <w:trPr>
          <w:trHeight w:val="243"/>
        </w:trPr>
        <w:tc>
          <w:tcPr>
            <w:tcW w:w="8220" w:type="dxa"/>
            <w:vAlign w:val="bottom"/>
          </w:tcPr>
          <w:p>
            <w:pPr>
              <w:ind w:left="280"/>
              <w:spacing w:after="0"/>
              <w:rPr>
                <w:sz w:val="20"/>
                <w:szCs w:val="20"/>
                <w:color w:val="auto"/>
              </w:rPr>
            </w:pPr>
            <w:r>
              <w:rPr>
                <w:rFonts w:ascii="Arial" w:cs="Arial" w:eastAsia="Arial" w:hAnsi="Arial"/>
                <w:sz w:val="18"/>
                <w:szCs w:val="18"/>
                <w:color w:val="auto"/>
              </w:rPr>
              <w:t>Proceeds from debt</w:t>
            </w:r>
          </w:p>
        </w:tc>
        <w:tc>
          <w:tcPr>
            <w:tcW w:w="16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666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125</w:t>
            </w:r>
          </w:p>
        </w:tc>
      </w:tr>
      <w:tr>
        <w:trPr>
          <w:trHeight w:val="27"/>
        </w:trPr>
        <w:tc>
          <w:tcPr>
            <w:tcW w:w="8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Repayments of debt</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r>
      <w:tr>
        <w:trPr>
          <w:trHeight w:val="243"/>
        </w:trPr>
        <w:tc>
          <w:tcPr>
            <w:tcW w:w="8220" w:type="dxa"/>
            <w:vAlign w:val="bottom"/>
          </w:tcPr>
          <w:p>
            <w:pPr>
              <w:ind w:left="280"/>
              <w:spacing w:after="0"/>
              <w:rPr>
                <w:sz w:val="20"/>
                <w:szCs w:val="20"/>
                <w:color w:val="auto"/>
              </w:rPr>
            </w:pPr>
            <w:r>
              <w:rPr>
                <w:rFonts w:ascii="Arial" w:cs="Arial" w:eastAsia="Arial" w:hAnsi="Arial"/>
                <w:sz w:val="18"/>
                <w:szCs w:val="18"/>
                <w:color w:val="auto"/>
              </w:rPr>
              <w:t>Finance lease payment</w:t>
            </w: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Repurchase of common stock</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w:t>
            </w:r>
          </w:p>
        </w:tc>
      </w:tr>
      <w:tr>
        <w:trPr>
          <w:trHeight w:val="243"/>
        </w:trPr>
        <w:tc>
          <w:tcPr>
            <w:tcW w:w="8220" w:type="dxa"/>
            <w:vAlign w:val="bottom"/>
          </w:tcPr>
          <w:p>
            <w:pPr>
              <w:ind w:left="280"/>
              <w:spacing w:after="0"/>
              <w:rPr>
                <w:sz w:val="20"/>
                <w:szCs w:val="20"/>
                <w:color w:val="auto"/>
              </w:rPr>
            </w:pPr>
            <w:r>
              <w:rPr>
                <w:rFonts w:ascii="Arial" w:cs="Arial" w:eastAsia="Arial" w:hAnsi="Arial"/>
                <w:sz w:val="18"/>
                <w:szCs w:val="18"/>
                <w:color w:val="auto"/>
              </w:rPr>
              <w:t>Payment of dividends</w:t>
            </w: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7"/>
        </w:trPr>
        <w:tc>
          <w:tcPr>
            <w:tcW w:w="8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82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Payment of withholding taxes on vesting of restricted stock units</w:t>
            </w: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37"/>
        </w:trPr>
        <w:tc>
          <w:tcPr>
            <w:tcW w:w="8220" w:type="dxa"/>
            <w:vAlign w:val="bottom"/>
          </w:tcPr>
          <w:p>
            <w:pPr>
              <w:ind w:left="720"/>
              <w:spacing w:after="0"/>
              <w:rPr>
                <w:sz w:val="20"/>
                <w:szCs w:val="20"/>
                <w:color w:val="auto"/>
              </w:rPr>
            </w:pPr>
            <w:r>
              <w:rPr>
                <w:rFonts w:ascii="Arial" w:cs="Arial" w:eastAsia="Arial" w:hAnsi="Arial"/>
                <w:sz w:val="18"/>
                <w:szCs w:val="18"/>
                <w:color w:val="auto"/>
              </w:rPr>
              <w:t>Net cash, cash equivalents and restricted cash provided by (used in) financing activities</w:t>
            </w:r>
          </w:p>
        </w:tc>
        <w:tc>
          <w:tcPr>
            <w:tcW w:w="16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468</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w:t>
            </w:r>
          </w:p>
        </w:tc>
      </w:tr>
      <w:tr>
        <w:trPr>
          <w:trHeight w:val="27"/>
        </w:trPr>
        <w:tc>
          <w:tcPr>
            <w:tcW w:w="8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3"/>
        </w:trPr>
        <w:tc>
          <w:tcPr>
            <w:tcW w:w="82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Effect of changes in exchange rates on cash, cash equivalents and restricted cash</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r>
      <w:tr>
        <w:trPr>
          <w:trHeight w:val="243"/>
        </w:trPr>
        <w:tc>
          <w:tcPr>
            <w:tcW w:w="8220" w:type="dxa"/>
            <w:vAlign w:val="bottom"/>
          </w:tcPr>
          <w:p>
            <w:pPr>
              <w:ind w:left="40"/>
              <w:spacing w:after="0"/>
              <w:rPr>
                <w:sz w:val="20"/>
                <w:szCs w:val="20"/>
                <w:color w:val="auto"/>
              </w:rPr>
            </w:pPr>
            <w:r>
              <w:rPr>
                <w:rFonts w:ascii="Arial" w:cs="Arial" w:eastAsia="Arial" w:hAnsi="Arial"/>
                <w:sz w:val="18"/>
                <w:szCs w:val="18"/>
                <w:color w:val="auto"/>
              </w:rPr>
              <w:t>Change in cash, cash equivalents and restricted cash</w:t>
            </w:r>
          </w:p>
        </w:tc>
        <w:tc>
          <w:tcPr>
            <w:tcW w:w="16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319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7"/>
        </w:trPr>
        <w:tc>
          <w:tcPr>
            <w:tcW w:w="8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cash equivalents and restricted cash, beginning of period</w:t>
            </w: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701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614</w:t>
            </w:r>
          </w:p>
        </w:tc>
      </w:tr>
      <w:tr>
        <w:trPr>
          <w:trHeight w:val="297"/>
        </w:trPr>
        <w:tc>
          <w:tcPr>
            <w:tcW w:w="82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Cash, cash equivalents and restricted cash, end of period</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1,020</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578</w:t>
            </w:r>
          </w:p>
        </w:tc>
      </w:tr>
      <w:tr>
        <w:trPr>
          <w:trHeight w:val="284"/>
        </w:trPr>
        <w:tc>
          <w:tcPr>
            <w:tcW w:w="82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r>
      <w:tr>
        <w:trPr>
          <w:trHeight w:val="243"/>
        </w:trPr>
        <w:tc>
          <w:tcPr>
            <w:tcW w:w="8220" w:type="dxa"/>
            <w:vAlign w:val="bottom"/>
          </w:tcPr>
          <w:p>
            <w:pPr>
              <w:ind w:left="40"/>
              <w:spacing w:after="0"/>
              <w:rPr>
                <w:sz w:val="20"/>
                <w:szCs w:val="20"/>
                <w:color w:val="auto"/>
              </w:rPr>
            </w:pPr>
            <w:r>
              <w:rPr>
                <w:rFonts w:ascii="Arial" w:cs="Arial" w:eastAsia="Arial" w:hAnsi="Arial"/>
                <w:sz w:val="18"/>
                <w:szCs w:val="18"/>
                <w:b w:val="1"/>
                <w:bCs w:val="1"/>
                <w:color w:val="auto"/>
              </w:rPr>
              <w:t>SUPPLEMENTAL DISCLOSURES</w:t>
            </w:r>
          </w:p>
        </w:tc>
        <w:tc>
          <w:tcPr>
            <w:tcW w:w="1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8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Non-cash transfer from property and equipment to inventory</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w:t>
            </w:r>
          </w:p>
        </w:tc>
      </w:tr>
      <w:tr>
        <w:trPr>
          <w:trHeight w:val="243"/>
        </w:trPr>
        <w:tc>
          <w:tcPr>
            <w:tcW w:w="8220" w:type="dxa"/>
            <w:vAlign w:val="bottom"/>
          </w:tcPr>
          <w:p>
            <w:pPr>
              <w:ind w:left="280"/>
              <w:spacing w:after="0"/>
              <w:rPr>
                <w:sz w:val="20"/>
                <w:szCs w:val="20"/>
                <w:color w:val="auto"/>
              </w:rPr>
            </w:pPr>
            <w:r>
              <w:rPr>
                <w:rFonts w:ascii="Arial" w:cs="Arial" w:eastAsia="Arial" w:hAnsi="Arial"/>
                <w:sz w:val="18"/>
                <w:szCs w:val="18"/>
                <w:color w:val="auto"/>
              </w:rPr>
              <w:t>Non-cash transfer from inventory to property and equipment</w:t>
            </w:r>
          </w:p>
        </w:tc>
        <w:tc>
          <w:tcPr>
            <w:tcW w:w="16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Non-cash issuance of treasury stock for employee stock purchase plan</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r>
      <w:tr>
        <w:trPr>
          <w:trHeight w:val="243"/>
        </w:trPr>
        <w:tc>
          <w:tcPr>
            <w:tcW w:w="8220" w:type="dxa"/>
            <w:vAlign w:val="bottom"/>
          </w:tcPr>
          <w:p>
            <w:pPr>
              <w:ind w:left="280"/>
              <w:spacing w:after="0"/>
              <w:rPr>
                <w:sz w:val="20"/>
                <w:szCs w:val="20"/>
                <w:color w:val="auto"/>
              </w:rPr>
            </w:pPr>
            <w:r>
              <w:rPr>
                <w:rFonts w:ascii="Arial" w:cs="Arial" w:eastAsia="Arial" w:hAnsi="Arial"/>
                <w:sz w:val="18"/>
                <w:szCs w:val="18"/>
                <w:color w:val="auto"/>
              </w:rPr>
              <w:t>Interest paid, net of amounts capitalized</w:t>
            </w:r>
          </w:p>
        </w:tc>
        <w:tc>
          <w:tcPr>
            <w:tcW w:w="16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54</w:t>
            </w:r>
          </w:p>
        </w:tc>
      </w:tr>
      <w:tr>
        <w:trPr>
          <w:trHeight w:val="27"/>
        </w:trPr>
        <w:tc>
          <w:tcPr>
            <w:tcW w:w="8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43"/>
        </w:trPr>
        <w:tc>
          <w:tcPr>
            <w:tcW w:w="82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Income taxes paid, net of refunds</w:t>
            </w:r>
          </w:p>
        </w:tc>
        <w:tc>
          <w:tcPr>
            <w:tcW w:w="16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w:t>
            </w:r>
          </w:p>
        </w:tc>
      </w:tr>
      <w:tr>
        <w:trPr>
          <w:trHeight w:val="27"/>
        </w:trPr>
        <w:tc>
          <w:tcPr>
            <w:tcW w:w="82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Notes to Interim Consolidated Financial Statements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125"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MARRIOTT VACATIONS WORLDWIDE CORPORATION</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INTERIM CONSOLIDATED STATEMENTS OF SHAREHOLDERS’ EQUITY</w:t>
      </w:r>
    </w:p>
    <w:p>
      <w:pPr>
        <w:spacing w:after="0" w:line="27"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Common</w:t>
            </w:r>
          </w:p>
        </w:tc>
        <w:tc>
          <w:tcPr>
            <w:tcW w:w="3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3"/>
              </w:rPr>
              <w:t>Additional</w:t>
            </w:r>
          </w:p>
        </w:tc>
        <w:tc>
          <w:tcPr>
            <w:tcW w:w="11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3"/>
              </w:rPr>
              <w:t>Accumulated</w:t>
            </w:r>
          </w:p>
        </w:tc>
        <w:tc>
          <w:tcPr>
            <w:tcW w:w="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rPr>
              <w:t>Total MVW</w:t>
            </w: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720" w:type="dxa"/>
            <w:vAlign w:val="bottom"/>
            <w:vMerge w:val="continue"/>
          </w:tcPr>
          <w:p>
            <w:pPr>
              <w:spacing w:after="0"/>
              <w:rPr>
                <w:sz w:val="12"/>
                <w:szCs w:val="12"/>
                <w:color w:val="auto"/>
              </w:rPr>
            </w:pPr>
          </w:p>
        </w:tc>
        <w:tc>
          <w:tcPr>
            <w:tcW w:w="3100" w:type="dxa"/>
            <w:vAlign w:val="bottom"/>
          </w:tcPr>
          <w:p>
            <w:pPr>
              <w:spacing w:after="0"/>
              <w:rPr>
                <w:sz w:val="12"/>
                <w:szCs w:val="12"/>
                <w:color w:val="auto"/>
              </w:rPr>
            </w:pPr>
          </w:p>
        </w:tc>
        <w:tc>
          <w:tcPr>
            <w:tcW w:w="88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5"/>
              </w:rPr>
              <w:t>Common</w:t>
            </w:r>
          </w:p>
        </w:tc>
        <w:tc>
          <w:tcPr>
            <w:tcW w:w="86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1"/>
              </w:rPr>
              <w:t>Treasury</w:t>
            </w:r>
          </w:p>
        </w:tc>
        <w:tc>
          <w:tcPr>
            <w:tcW w:w="88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rPr>
              <w:t>Other</w:t>
            </w:r>
          </w:p>
        </w:tc>
        <w:tc>
          <w:tcPr>
            <w:tcW w:w="86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Retained</w:t>
            </w:r>
          </w:p>
        </w:tc>
        <w:tc>
          <w:tcPr>
            <w:tcW w:w="1020" w:type="dxa"/>
            <w:vAlign w:val="bottom"/>
            <w:gridSpan w:val="3"/>
            <w:vMerge w:val="continue"/>
          </w:tcPr>
          <w:p>
            <w:pPr>
              <w:spacing w:after="0"/>
              <w:rPr>
                <w:sz w:val="12"/>
                <w:szCs w:val="12"/>
                <w:color w:val="auto"/>
              </w:rPr>
            </w:pPr>
          </w:p>
        </w:tc>
        <w:tc>
          <w:tcPr>
            <w:tcW w:w="10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Noncontrolling</w:t>
            </w:r>
          </w:p>
        </w:tc>
        <w:tc>
          <w:tcPr>
            <w:tcW w:w="140" w:type="dxa"/>
            <w:vAlign w:val="bottom"/>
          </w:tcPr>
          <w:p>
            <w:pPr>
              <w:spacing w:after="0"/>
              <w:rPr>
                <w:sz w:val="12"/>
                <w:szCs w:val="12"/>
                <w:color w:val="auto"/>
              </w:rPr>
            </w:pPr>
          </w:p>
        </w:tc>
        <w:tc>
          <w:tcPr>
            <w:tcW w:w="600" w:type="dxa"/>
            <w:vAlign w:val="bottom"/>
            <w:vMerge w:val="restart"/>
          </w:tcPr>
          <w:p>
            <w:pPr>
              <w:jc w:val="center"/>
              <w:ind w:right="61"/>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8"/>
        </w:trPr>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Stock</w:t>
            </w:r>
          </w:p>
        </w:tc>
        <w:tc>
          <w:tcPr>
            <w:tcW w:w="3100" w:type="dxa"/>
            <w:vAlign w:val="bottom"/>
          </w:tcPr>
          <w:p>
            <w:pPr>
              <w:spacing w:after="0"/>
              <w:rPr>
                <w:sz w:val="12"/>
                <w:szCs w:val="12"/>
                <w:color w:val="auto"/>
              </w:rPr>
            </w:pPr>
          </w:p>
        </w:tc>
        <w:tc>
          <w:tcPr>
            <w:tcW w:w="880" w:type="dxa"/>
            <w:vAlign w:val="bottom"/>
            <w:gridSpan w:val="3"/>
            <w:vMerge w:val="continue"/>
          </w:tcPr>
          <w:p>
            <w:pPr>
              <w:spacing w:after="0"/>
              <w:rPr>
                <w:sz w:val="12"/>
                <w:szCs w:val="12"/>
                <w:color w:val="auto"/>
              </w:rPr>
            </w:pPr>
          </w:p>
        </w:tc>
        <w:tc>
          <w:tcPr>
            <w:tcW w:w="86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rPr>
              <w:t>Paid-In</w:t>
            </w:r>
          </w:p>
        </w:tc>
        <w:tc>
          <w:tcPr>
            <w:tcW w:w="11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860" w:type="dxa"/>
            <w:vAlign w:val="bottom"/>
            <w:gridSpan w:val="3"/>
            <w:vMerge w:val="continue"/>
          </w:tcPr>
          <w:p>
            <w:pPr>
              <w:spacing w:after="0"/>
              <w:rPr>
                <w:sz w:val="12"/>
                <w:szCs w:val="12"/>
                <w:color w:val="auto"/>
              </w:rPr>
            </w:pPr>
          </w:p>
        </w:tc>
        <w:tc>
          <w:tcPr>
            <w:tcW w:w="102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Shareholders'</w:t>
            </w:r>
          </w:p>
        </w:tc>
        <w:tc>
          <w:tcPr>
            <w:tcW w:w="108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90"/>
              </w:rPr>
              <w:t>Issued</w:t>
            </w:r>
          </w:p>
        </w:tc>
        <w:tc>
          <w:tcPr>
            <w:tcW w:w="3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Stock</w:t>
            </w:r>
          </w:p>
        </w:tc>
        <w:tc>
          <w:tcPr>
            <w:tcW w:w="140" w:type="dxa"/>
            <w:vAlign w:val="bottom"/>
          </w:tcPr>
          <w:p>
            <w:pPr>
              <w:spacing w:after="0"/>
              <w:rPr>
                <w:sz w:val="16"/>
                <w:szCs w:val="16"/>
                <w:color w:val="auto"/>
              </w:rPr>
            </w:pPr>
          </w:p>
        </w:tc>
        <w:tc>
          <w:tcPr>
            <w:tcW w:w="7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Stock</w:t>
            </w:r>
          </w:p>
        </w:tc>
        <w:tc>
          <w:tcPr>
            <w:tcW w:w="120" w:type="dxa"/>
            <w:vAlign w:val="bottom"/>
          </w:tcPr>
          <w:p>
            <w:pPr>
              <w:spacing w:after="0"/>
              <w:rPr>
                <w:sz w:val="16"/>
                <w:szCs w:val="16"/>
                <w:color w:val="auto"/>
              </w:rPr>
            </w:pPr>
          </w:p>
        </w:tc>
        <w:tc>
          <w:tcPr>
            <w:tcW w:w="7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Capital</w:t>
            </w:r>
          </w:p>
        </w:tc>
        <w:tc>
          <w:tcPr>
            <w:tcW w:w="200" w:type="dxa"/>
            <w:vAlign w:val="bottom"/>
          </w:tcPr>
          <w:p>
            <w:pPr>
              <w:spacing w:after="0"/>
              <w:rPr>
                <w:sz w:val="16"/>
                <w:szCs w:val="16"/>
                <w:color w:val="auto"/>
              </w:rPr>
            </w:pPr>
          </w:p>
        </w:tc>
        <w:tc>
          <w:tcPr>
            <w:tcW w:w="9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5"/>
              </w:rPr>
              <w:t>Loss</w:t>
            </w:r>
          </w:p>
        </w:tc>
        <w:tc>
          <w:tcPr>
            <w:tcW w:w="860" w:type="dxa"/>
            <w:vAlign w:val="bottom"/>
            <w:gridSpan w:val="3"/>
          </w:tcPr>
          <w:p>
            <w:pPr>
              <w:ind w:left="100"/>
              <w:spacing w:after="0"/>
              <w:rPr>
                <w:sz w:val="20"/>
                <w:szCs w:val="20"/>
                <w:color w:val="auto"/>
              </w:rPr>
            </w:pPr>
            <w:r>
              <w:rPr>
                <w:rFonts w:ascii="Arial" w:cs="Arial" w:eastAsia="Arial" w:hAnsi="Arial"/>
                <w:sz w:val="14"/>
                <w:szCs w:val="14"/>
                <w:b w:val="1"/>
                <w:bCs w:val="1"/>
                <w:color w:val="auto"/>
              </w:rPr>
              <w:t>Earnings</w:t>
            </w:r>
          </w:p>
        </w:tc>
        <w:tc>
          <w:tcPr>
            <w:tcW w:w="180" w:type="dxa"/>
            <w:vAlign w:val="bottom"/>
          </w:tcPr>
          <w:p>
            <w:pPr>
              <w:spacing w:after="0"/>
              <w:rPr>
                <w:sz w:val="16"/>
                <w:szCs w:val="16"/>
                <w:color w:val="auto"/>
              </w:rPr>
            </w:pPr>
          </w:p>
        </w:tc>
        <w:tc>
          <w:tcPr>
            <w:tcW w:w="8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8"/>
              </w:rPr>
              <w:t>Equity</w:t>
            </w:r>
          </w:p>
        </w:tc>
        <w:tc>
          <w:tcPr>
            <w:tcW w:w="160" w:type="dxa"/>
            <w:vAlign w:val="bottom"/>
          </w:tcPr>
          <w:p>
            <w:pPr>
              <w:spacing w:after="0"/>
              <w:rPr>
                <w:sz w:val="16"/>
                <w:szCs w:val="16"/>
                <w:color w:val="auto"/>
              </w:rPr>
            </w:pPr>
          </w:p>
        </w:tc>
        <w:tc>
          <w:tcPr>
            <w:tcW w:w="920" w:type="dxa"/>
            <w:vAlign w:val="bottom"/>
            <w:gridSpan w:val="2"/>
          </w:tcPr>
          <w:p>
            <w:pPr>
              <w:ind w:left="60"/>
              <w:spacing w:after="0"/>
              <w:rPr>
                <w:sz w:val="20"/>
                <w:szCs w:val="20"/>
                <w:color w:val="auto"/>
              </w:rPr>
            </w:pPr>
            <w:r>
              <w:rPr>
                <w:rFonts w:ascii="Arial" w:cs="Arial" w:eastAsia="Arial" w:hAnsi="Arial"/>
                <w:sz w:val="14"/>
                <w:szCs w:val="14"/>
                <w:b w:val="1"/>
                <w:bCs w:val="1"/>
                <w:color w:val="auto"/>
              </w:rPr>
              <w:t>Interests</w:t>
            </w:r>
          </w:p>
        </w:tc>
        <w:tc>
          <w:tcPr>
            <w:tcW w:w="140" w:type="dxa"/>
            <w:vAlign w:val="bottom"/>
          </w:tcPr>
          <w:p>
            <w:pPr>
              <w:spacing w:after="0"/>
              <w:rPr>
                <w:sz w:val="16"/>
                <w:szCs w:val="16"/>
                <w:color w:val="auto"/>
              </w:rPr>
            </w:pPr>
          </w:p>
        </w:tc>
        <w:tc>
          <w:tcPr>
            <w:tcW w:w="600" w:type="dxa"/>
            <w:vAlign w:val="bottom"/>
          </w:tcPr>
          <w:p>
            <w:pPr>
              <w:jc w:val="center"/>
              <w:ind w:right="61"/>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36"/>
        </w:trPr>
        <w:tc>
          <w:tcPr>
            <w:tcW w:w="720" w:type="dxa"/>
            <w:vAlign w:val="bottom"/>
            <w:tcBorders>
              <w:top w:val="single" w:sz="8" w:color="auto"/>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75.0</w:t>
            </w:r>
          </w:p>
        </w:tc>
        <w:tc>
          <w:tcPr>
            <w:tcW w:w="310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6"/>
                <w:szCs w:val="16"/>
                <w:b w:val="1"/>
                <w:bCs w:val="1"/>
                <w:color w:val="auto"/>
              </w:rPr>
              <w:t>BALANCE AT DECEMBER 31, 2019</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(1,253)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top w:val="single" w:sz="8" w:color="auto"/>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3,738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CCEEFF"/>
            </w:tcBorders>
            <w:shd w:val="clear" w:color="auto" w:fill="CCEEFF"/>
          </w:tcPr>
          <w:p>
            <w:pPr>
              <w:jc w:val="right"/>
              <w:ind w:right="64"/>
              <w:spacing w:after="0"/>
              <w:rPr>
                <w:sz w:val="20"/>
                <w:szCs w:val="20"/>
                <w:color w:val="auto"/>
              </w:rPr>
            </w:pPr>
            <w:r>
              <w:rPr>
                <w:rFonts w:ascii="Arial" w:cs="Arial" w:eastAsia="Arial" w:hAnsi="Arial"/>
                <w:sz w:val="16"/>
                <w:szCs w:val="16"/>
                <w:color w:val="auto"/>
                <w:w w:val="89"/>
              </w:rPr>
              <w:t>$</w:t>
            </w:r>
          </w:p>
        </w:tc>
        <w:tc>
          <w:tcPr>
            <w:tcW w:w="52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569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3,019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Borders>
              <w:top w:val="single" w:sz="8" w:color="auto"/>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3,031</w:t>
            </w:r>
          </w:p>
        </w:tc>
        <w:tc>
          <w:tcPr>
            <w:tcW w:w="0" w:type="dxa"/>
            <w:vAlign w:val="bottom"/>
          </w:tcPr>
          <w:p>
            <w:pPr>
              <w:spacing w:after="0"/>
              <w:rPr>
                <w:sz w:val="1"/>
                <w:szCs w:val="1"/>
                <w:color w:val="auto"/>
              </w:rPr>
            </w:pPr>
          </w:p>
        </w:tc>
      </w:tr>
      <w:tr>
        <w:trPr>
          <w:trHeight w:val="237"/>
        </w:trPr>
        <w:tc>
          <w:tcPr>
            <w:tcW w:w="72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3100" w:type="dxa"/>
            <w:vAlign w:val="bottom"/>
          </w:tcPr>
          <w:p>
            <w:pPr>
              <w:ind w:left="380"/>
              <w:spacing w:after="0"/>
              <w:rPr>
                <w:sz w:val="20"/>
                <w:szCs w:val="20"/>
                <w:color w:val="auto"/>
              </w:rPr>
            </w:pPr>
            <w:r>
              <w:rPr>
                <w:rFonts w:ascii="Arial" w:cs="Arial" w:eastAsia="Arial" w:hAnsi="Arial"/>
                <w:sz w:val="16"/>
                <w:szCs w:val="16"/>
                <w:color w:val="auto"/>
              </w:rPr>
              <w:t>Net (loss) income</w:t>
            </w:r>
          </w:p>
        </w:tc>
        <w:tc>
          <w:tcPr>
            <w:tcW w:w="160" w:type="dxa"/>
            <w:vAlign w:val="bottom"/>
          </w:tcPr>
          <w:p>
            <w:pPr>
              <w:spacing w:after="0"/>
              <w:rPr>
                <w:sz w:val="20"/>
                <w:szCs w:val="20"/>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(106)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(106)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(105)</w:t>
            </w:r>
          </w:p>
        </w:tc>
        <w:tc>
          <w:tcPr>
            <w:tcW w:w="0" w:type="dxa"/>
            <w:vAlign w:val="bottom"/>
          </w:tcPr>
          <w:p>
            <w:pPr>
              <w:spacing w:after="0"/>
              <w:rPr>
                <w:sz w:val="1"/>
                <w:szCs w:val="1"/>
                <w:color w:val="auto"/>
              </w:rPr>
            </w:pPr>
          </w:p>
        </w:tc>
      </w:tr>
      <w:tr>
        <w:trPr>
          <w:trHeight w:val="33"/>
        </w:trPr>
        <w:tc>
          <w:tcPr>
            <w:tcW w:w="72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720" w:type="dxa"/>
            <w:vAlign w:val="bottom"/>
            <w:shd w:val="clear" w:color="auto" w:fill="CCEEFF"/>
          </w:tcPr>
          <w:p>
            <w:pPr>
              <w:spacing w:after="0"/>
              <w:rPr>
                <w:sz w:val="19"/>
                <w:szCs w:val="19"/>
                <w:color w:val="auto"/>
              </w:rPr>
            </w:pPr>
          </w:p>
        </w:tc>
        <w:tc>
          <w:tcPr>
            <w:tcW w:w="3100" w:type="dxa"/>
            <w:vAlign w:val="bottom"/>
            <w:shd w:val="clear" w:color="auto" w:fill="CCEEFF"/>
          </w:tcPr>
          <w:p>
            <w:pPr>
              <w:ind w:left="380"/>
              <w:spacing w:after="0"/>
              <w:rPr>
                <w:sz w:val="20"/>
                <w:szCs w:val="20"/>
                <w:color w:val="auto"/>
              </w:rPr>
            </w:pPr>
            <w:r>
              <w:rPr>
                <w:rFonts w:ascii="Arial" w:cs="Arial" w:eastAsia="Arial" w:hAnsi="Arial"/>
                <w:sz w:val="16"/>
                <w:szCs w:val="16"/>
                <w:color w:val="auto"/>
              </w:rPr>
              <w:t>Foreign currency translation</w:t>
            </w:r>
          </w:p>
        </w:tc>
        <w:tc>
          <w:tcPr>
            <w:tcW w:w="1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2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3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adjustments</w:t>
            </w:r>
          </w:p>
        </w:tc>
        <w:tc>
          <w:tcPr>
            <w:tcW w:w="16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37"/>
        </w:trPr>
        <w:tc>
          <w:tcPr>
            <w:tcW w:w="72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3100" w:type="dxa"/>
            <w:vAlign w:val="bottom"/>
          </w:tcPr>
          <w:p>
            <w:pPr>
              <w:ind w:left="380"/>
              <w:spacing w:after="0"/>
              <w:rPr>
                <w:sz w:val="20"/>
                <w:szCs w:val="20"/>
                <w:color w:val="auto"/>
              </w:rPr>
            </w:pPr>
            <w:r>
              <w:rPr>
                <w:rFonts w:ascii="Arial" w:cs="Arial" w:eastAsia="Arial" w:hAnsi="Arial"/>
                <w:sz w:val="16"/>
                <w:szCs w:val="16"/>
                <w:color w:val="auto"/>
              </w:rPr>
              <w:t>Derivative instrument adjustment</w:t>
            </w:r>
          </w:p>
        </w:tc>
        <w:tc>
          <w:tcPr>
            <w:tcW w:w="160" w:type="dxa"/>
            <w:vAlign w:val="bottom"/>
          </w:tcPr>
          <w:p>
            <w:pPr>
              <w:spacing w:after="0"/>
              <w:rPr>
                <w:sz w:val="20"/>
                <w:szCs w:val="20"/>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33"/>
        </w:trPr>
        <w:tc>
          <w:tcPr>
            <w:tcW w:w="72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0.2</w:t>
            </w:r>
          </w:p>
        </w:tc>
        <w:tc>
          <w:tcPr>
            <w:tcW w:w="3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Share-based compensation plans</w:t>
            </w: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37"/>
        </w:trPr>
        <w:tc>
          <w:tcPr>
            <w:tcW w:w="72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3100" w:type="dxa"/>
            <w:vAlign w:val="bottom"/>
          </w:tcPr>
          <w:p>
            <w:pPr>
              <w:ind w:left="380"/>
              <w:spacing w:after="0"/>
              <w:rPr>
                <w:sz w:val="20"/>
                <w:szCs w:val="20"/>
                <w:color w:val="auto"/>
              </w:rPr>
            </w:pPr>
            <w:r>
              <w:rPr>
                <w:rFonts w:ascii="Arial" w:cs="Arial" w:eastAsia="Arial" w:hAnsi="Arial"/>
                <w:sz w:val="16"/>
                <w:szCs w:val="16"/>
                <w:color w:val="auto"/>
              </w:rPr>
              <w:t>Repurchase of common stock</w:t>
            </w:r>
          </w:p>
        </w:tc>
        <w:tc>
          <w:tcPr>
            <w:tcW w:w="160" w:type="dxa"/>
            <w:vAlign w:val="bottom"/>
          </w:tcPr>
          <w:p>
            <w:pPr>
              <w:spacing w:after="0"/>
              <w:rPr>
                <w:sz w:val="20"/>
                <w:szCs w:val="20"/>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(82)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(82)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(82)</w:t>
            </w:r>
          </w:p>
        </w:tc>
        <w:tc>
          <w:tcPr>
            <w:tcW w:w="0" w:type="dxa"/>
            <w:vAlign w:val="bottom"/>
          </w:tcPr>
          <w:p>
            <w:pPr>
              <w:spacing w:after="0"/>
              <w:rPr>
                <w:sz w:val="1"/>
                <w:szCs w:val="1"/>
                <w:color w:val="auto"/>
              </w:rPr>
            </w:pPr>
          </w:p>
        </w:tc>
      </w:tr>
      <w:tr>
        <w:trPr>
          <w:trHeight w:val="33"/>
        </w:trPr>
        <w:tc>
          <w:tcPr>
            <w:tcW w:w="72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3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Dividends</w:t>
            </w: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37"/>
        </w:trPr>
        <w:tc>
          <w:tcPr>
            <w:tcW w:w="72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3100" w:type="dxa"/>
            <w:vAlign w:val="bottom"/>
          </w:tcPr>
          <w:p>
            <w:pPr>
              <w:ind w:left="380"/>
              <w:spacing w:after="0"/>
              <w:rPr>
                <w:sz w:val="20"/>
                <w:szCs w:val="20"/>
                <w:color w:val="auto"/>
              </w:rPr>
            </w:pPr>
            <w:r>
              <w:rPr>
                <w:rFonts w:ascii="Arial" w:cs="Arial" w:eastAsia="Arial" w:hAnsi="Arial"/>
                <w:sz w:val="16"/>
                <w:szCs w:val="16"/>
                <w:color w:val="auto"/>
              </w:rPr>
              <w:t>Employee stock plan issuance</w:t>
            </w:r>
          </w:p>
        </w:tc>
        <w:tc>
          <w:tcPr>
            <w:tcW w:w="160" w:type="dxa"/>
            <w:vAlign w:val="bottom"/>
          </w:tcPr>
          <w:p>
            <w:pPr>
              <w:spacing w:after="0"/>
              <w:rPr>
                <w:sz w:val="20"/>
                <w:szCs w:val="20"/>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60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720" w:type="dxa"/>
            <w:vAlign w:val="bottom"/>
            <w:tcBorders>
              <w:bottom w:val="single" w:sz="8" w:color="auto"/>
            </w:tcBorders>
          </w:tcPr>
          <w:p>
            <w:pPr>
              <w:spacing w:after="0"/>
              <w:rPr>
                <w:sz w:val="2"/>
                <w:szCs w:val="2"/>
                <w:color w:val="auto"/>
              </w:rPr>
            </w:pPr>
          </w:p>
        </w:tc>
        <w:tc>
          <w:tcPr>
            <w:tcW w:w="3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75.2</w:t>
            </w:r>
          </w:p>
        </w:tc>
        <w:tc>
          <w:tcPr>
            <w:tcW w:w="31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b w:val="1"/>
                <w:bCs w:val="1"/>
                <w:color w:val="auto"/>
              </w:rPr>
              <w:t>BALANCE AT MARCH 31, 2020</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(1,335)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3,729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441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2,759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2,772</w:t>
            </w:r>
          </w:p>
        </w:tc>
        <w:tc>
          <w:tcPr>
            <w:tcW w:w="0" w:type="dxa"/>
            <w:vAlign w:val="bottom"/>
          </w:tcPr>
          <w:p>
            <w:pPr>
              <w:spacing w:after="0"/>
              <w:rPr>
                <w:sz w:val="1"/>
                <w:szCs w:val="1"/>
                <w:color w:val="auto"/>
              </w:rPr>
            </w:pPr>
          </w:p>
        </w:tc>
      </w:tr>
      <w:tr>
        <w:trPr>
          <w:trHeight w:val="20"/>
        </w:trPr>
        <w:tc>
          <w:tcPr>
            <w:tcW w:w="720" w:type="dxa"/>
            <w:vAlign w:val="bottom"/>
            <w:tcBorders>
              <w:bottom w:val="single" w:sz="8" w:color="auto"/>
            </w:tcBorders>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34"/>
        </w:trPr>
        <w:tc>
          <w:tcPr>
            <w:tcW w:w="7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Common</w:t>
            </w:r>
          </w:p>
        </w:tc>
        <w:tc>
          <w:tcPr>
            <w:tcW w:w="3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3"/>
              </w:rPr>
              <w:t>Additional</w:t>
            </w:r>
          </w:p>
        </w:tc>
        <w:tc>
          <w:tcPr>
            <w:tcW w:w="11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3"/>
              </w:rPr>
              <w:t>Accumulated</w:t>
            </w: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rPr>
              <w:t>Total MVW</w:t>
            </w: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720" w:type="dxa"/>
            <w:vAlign w:val="bottom"/>
            <w:vMerge w:val="continue"/>
          </w:tcPr>
          <w:p>
            <w:pPr>
              <w:spacing w:after="0"/>
              <w:rPr>
                <w:sz w:val="12"/>
                <w:szCs w:val="12"/>
                <w:color w:val="auto"/>
              </w:rPr>
            </w:pPr>
          </w:p>
        </w:tc>
        <w:tc>
          <w:tcPr>
            <w:tcW w:w="3100" w:type="dxa"/>
            <w:vAlign w:val="bottom"/>
          </w:tcPr>
          <w:p>
            <w:pPr>
              <w:spacing w:after="0"/>
              <w:rPr>
                <w:sz w:val="12"/>
                <w:szCs w:val="12"/>
                <w:color w:val="auto"/>
              </w:rPr>
            </w:pPr>
          </w:p>
        </w:tc>
        <w:tc>
          <w:tcPr>
            <w:tcW w:w="88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5"/>
              </w:rPr>
              <w:t>Common</w:t>
            </w:r>
          </w:p>
        </w:tc>
        <w:tc>
          <w:tcPr>
            <w:tcW w:w="86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1"/>
              </w:rPr>
              <w:t>Treasury</w:t>
            </w:r>
          </w:p>
        </w:tc>
        <w:tc>
          <w:tcPr>
            <w:tcW w:w="88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rPr>
              <w:t>Other</w:t>
            </w:r>
          </w:p>
        </w:tc>
        <w:tc>
          <w:tcPr>
            <w:tcW w:w="86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Retained</w:t>
            </w:r>
          </w:p>
        </w:tc>
        <w:tc>
          <w:tcPr>
            <w:tcW w:w="1020" w:type="dxa"/>
            <w:vAlign w:val="bottom"/>
            <w:gridSpan w:val="3"/>
            <w:vMerge w:val="continue"/>
          </w:tcPr>
          <w:p>
            <w:pPr>
              <w:spacing w:after="0"/>
              <w:rPr>
                <w:sz w:val="12"/>
                <w:szCs w:val="12"/>
                <w:color w:val="auto"/>
              </w:rPr>
            </w:pPr>
          </w:p>
        </w:tc>
        <w:tc>
          <w:tcPr>
            <w:tcW w:w="10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Noncontrolling</w:t>
            </w:r>
          </w:p>
        </w:tc>
        <w:tc>
          <w:tcPr>
            <w:tcW w:w="140" w:type="dxa"/>
            <w:vAlign w:val="bottom"/>
          </w:tcPr>
          <w:p>
            <w:pPr>
              <w:spacing w:after="0"/>
              <w:rPr>
                <w:sz w:val="12"/>
                <w:szCs w:val="12"/>
                <w:color w:val="auto"/>
              </w:rPr>
            </w:pPr>
          </w:p>
        </w:tc>
        <w:tc>
          <w:tcPr>
            <w:tcW w:w="600" w:type="dxa"/>
            <w:vAlign w:val="bottom"/>
            <w:vMerge w:val="restart"/>
          </w:tcPr>
          <w:p>
            <w:pPr>
              <w:jc w:val="center"/>
              <w:ind w:right="61"/>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Stock</w:t>
            </w:r>
          </w:p>
        </w:tc>
        <w:tc>
          <w:tcPr>
            <w:tcW w:w="3100" w:type="dxa"/>
            <w:vAlign w:val="bottom"/>
          </w:tcPr>
          <w:p>
            <w:pPr>
              <w:spacing w:after="0"/>
              <w:rPr>
                <w:sz w:val="12"/>
                <w:szCs w:val="12"/>
                <w:color w:val="auto"/>
              </w:rPr>
            </w:pPr>
          </w:p>
        </w:tc>
        <w:tc>
          <w:tcPr>
            <w:tcW w:w="880" w:type="dxa"/>
            <w:vAlign w:val="bottom"/>
            <w:gridSpan w:val="3"/>
            <w:vMerge w:val="continue"/>
          </w:tcPr>
          <w:p>
            <w:pPr>
              <w:spacing w:after="0"/>
              <w:rPr>
                <w:sz w:val="12"/>
                <w:szCs w:val="12"/>
                <w:color w:val="auto"/>
              </w:rPr>
            </w:pPr>
          </w:p>
        </w:tc>
        <w:tc>
          <w:tcPr>
            <w:tcW w:w="86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rPr>
              <w:t>Paid-In</w:t>
            </w:r>
          </w:p>
        </w:tc>
        <w:tc>
          <w:tcPr>
            <w:tcW w:w="11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860" w:type="dxa"/>
            <w:vAlign w:val="bottom"/>
            <w:gridSpan w:val="3"/>
            <w:vMerge w:val="continue"/>
          </w:tcPr>
          <w:p>
            <w:pPr>
              <w:spacing w:after="0"/>
              <w:rPr>
                <w:sz w:val="12"/>
                <w:szCs w:val="12"/>
                <w:color w:val="auto"/>
              </w:rPr>
            </w:pPr>
          </w:p>
        </w:tc>
        <w:tc>
          <w:tcPr>
            <w:tcW w:w="102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Shareholders'</w:t>
            </w:r>
          </w:p>
        </w:tc>
        <w:tc>
          <w:tcPr>
            <w:tcW w:w="108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90"/>
              </w:rPr>
              <w:t>Issued</w:t>
            </w:r>
          </w:p>
        </w:tc>
        <w:tc>
          <w:tcPr>
            <w:tcW w:w="3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Stock</w:t>
            </w:r>
          </w:p>
        </w:tc>
        <w:tc>
          <w:tcPr>
            <w:tcW w:w="140" w:type="dxa"/>
            <w:vAlign w:val="bottom"/>
          </w:tcPr>
          <w:p>
            <w:pPr>
              <w:spacing w:after="0"/>
              <w:rPr>
                <w:sz w:val="16"/>
                <w:szCs w:val="16"/>
                <w:color w:val="auto"/>
              </w:rPr>
            </w:pPr>
          </w:p>
        </w:tc>
        <w:tc>
          <w:tcPr>
            <w:tcW w:w="7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Stock</w:t>
            </w:r>
          </w:p>
        </w:tc>
        <w:tc>
          <w:tcPr>
            <w:tcW w:w="120" w:type="dxa"/>
            <w:vAlign w:val="bottom"/>
          </w:tcPr>
          <w:p>
            <w:pPr>
              <w:spacing w:after="0"/>
              <w:rPr>
                <w:sz w:val="16"/>
                <w:szCs w:val="16"/>
                <w:color w:val="auto"/>
              </w:rPr>
            </w:pPr>
          </w:p>
        </w:tc>
        <w:tc>
          <w:tcPr>
            <w:tcW w:w="7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Capital</w:t>
            </w:r>
          </w:p>
        </w:tc>
        <w:tc>
          <w:tcPr>
            <w:tcW w:w="11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0"/>
              </w:rPr>
              <w:t>Income (Loss)</w:t>
            </w:r>
          </w:p>
        </w:tc>
        <w:tc>
          <w:tcPr>
            <w:tcW w:w="860" w:type="dxa"/>
            <w:vAlign w:val="bottom"/>
            <w:gridSpan w:val="3"/>
          </w:tcPr>
          <w:p>
            <w:pPr>
              <w:ind w:left="100"/>
              <w:spacing w:after="0"/>
              <w:rPr>
                <w:sz w:val="20"/>
                <w:szCs w:val="20"/>
                <w:color w:val="auto"/>
              </w:rPr>
            </w:pPr>
            <w:r>
              <w:rPr>
                <w:rFonts w:ascii="Arial" w:cs="Arial" w:eastAsia="Arial" w:hAnsi="Arial"/>
                <w:sz w:val="14"/>
                <w:szCs w:val="14"/>
                <w:b w:val="1"/>
                <w:bCs w:val="1"/>
                <w:color w:val="auto"/>
              </w:rPr>
              <w:t>Earnings</w:t>
            </w:r>
          </w:p>
        </w:tc>
        <w:tc>
          <w:tcPr>
            <w:tcW w:w="180" w:type="dxa"/>
            <w:vAlign w:val="bottom"/>
          </w:tcPr>
          <w:p>
            <w:pPr>
              <w:spacing w:after="0"/>
              <w:rPr>
                <w:sz w:val="16"/>
                <w:szCs w:val="16"/>
                <w:color w:val="auto"/>
              </w:rPr>
            </w:pPr>
          </w:p>
        </w:tc>
        <w:tc>
          <w:tcPr>
            <w:tcW w:w="8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8"/>
              </w:rPr>
              <w:t>Equity</w:t>
            </w:r>
          </w:p>
        </w:tc>
        <w:tc>
          <w:tcPr>
            <w:tcW w:w="160" w:type="dxa"/>
            <w:vAlign w:val="bottom"/>
          </w:tcPr>
          <w:p>
            <w:pPr>
              <w:spacing w:after="0"/>
              <w:rPr>
                <w:sz w:val="16"/>
                <w:szCs w:val="16"/>
                <w:color w:val="auto"/>
              </w:rPr>
            </w:pPr>
          </w:p>
        </w:tc>
        <w:tc>
          <w:tcPr>
            <w:tcW w:w="920" w:type="dxa"/>
            <w:vAlign w:val="bottom"/>
            <w:gridSpan w:val="2"/>
          </w:tcPr>
          <w:p>
            <w:pPr>
              <w:ind w:left="60"/>
              <w:spacing w:after="0"/>
              <w:rPr>
                <w:sz w:val="20"/>
                <w:szCs w:val="20"/>
                <w:color w:val="auto"/>
              </w:rPr>
            </w:pPr>
            <w:r>
              <w:rPr>
                <w:rFonts w:ascii="Arial" w:cs="Arial" w:eastAsia="Arial" w:hAnsi="Arial"/>
                <w:sz w:val="14"/>
                <w:szCs w:val="14"/>
                <w:b w:val="1"/>
                <w:bCs w:val="1"/>
                <w:color w:val="auto"/>
              </w:rPr>
              <w:t>Interests</w:t>
            </w:r>
          </w:p>
        </w:tc>
        <w:tc>
          <w:tcPr>
            <w:tcW w:w="140" w:type="dxa"/>
            <w:vAlign w:val="bottom"/>
          </w:tcPr>
          <w:p>
            <w:pPr>
              <w:spacing w:after="0"/>
              <w:rPr>
                <w:sz w:val="16"/>
                <w:szCs w:val="16"/>
                <w:color w:val="auto"/>
              </w:rPr>
            </w:pPr>
          </w:p>
        </w:tc>
        <w:tc>
          <w:tcPr>
            <w:tcW w:w="600" w:type="dxa"/>
            <w:vAlign w:val="bottom"/>
          </w:tcPr>
          <w:p>
            <w:pPr>
              <w:jc w:val="center"/>
              <w:ind w:right="61"/>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36"/>
        </w:trPr>
        <w:tc>
          <w:tcPr>
            <w:tcW w:w="720" w:type="dxa"/>
            <w:vAlign w:val="bottom"/>
            <w:tcBorders>
              <w:top w:val="single" w:sz="8" w:color="auto"/>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57.6</w:t>
            </w:r>
          </w:p>
        </w:tc>
        <w:tc>
          <w:tcPr>
            <w:tcW w:w="310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6"/>
                <w:szCs w:val="16"/>
                <w:b w:val="1"/>
                <w:bCs w:val="1"/>
                <w:color w:val="auto"/>
              </w:rPr>
              <w:t>BALANCE AT DECEMBER 31, 2018</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(790)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top w:val="single" w:sz="8" w:color="auto"/>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3,721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CCEEFF"/>
            </w:tcBorders>
            <w:shd w:val="clear" w:color="auto" w:fill="CCEEFF"/>
          </w:tcPr>
          <w:p>
            <w:pPr>
              <w:jc w:val="right"/>
              <w:ind w:right="64"/>
              <w:spacing w:after="0"/>
              <w:rPr>
                <w:sz w:val="20"/>
                <w:szCs w:val="20"/>
                <w:color w:val="auto"/>
              </w:rPr>
            </w:pPr>
            <w:r>
              <w:rPr>
                <w:rFonts w:ascii="Arial" w:cs="Arial" w:eastAsia="Arial" w:hAnsi="Arial"/>
                <w:sz w:val="16"/>
                <w:szCs w:val="16"/>
                <w:color w:val="auto"/>
                <w:w w:val="89"/>
              </w:rPr>
              <w:t>$</w:t>
            </w:r>
          </w:p>
        </w:tc>
        <w:tc>
          <w:tcPr>
            <w:tcW w:w="52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523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3,461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Borders>
              <w:top w:val="single" w:sz="8" w:color="auto"/>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3,466</w:t>
            </w:r>
          </w:p>
        </w:tc>
        <w:tc>
          <w:tcPr>
            <w:tcW w:w="0" w:type="dxa"/>
            <w:vAlign w:val="bottom"/>
          </w:tcPr>
          <w:p>
            <w:pPr>
              <w:spacing w:after="0"/>
              <w:rPr>
                <w:sz w:val="1"/>
                <w:szCs w:val="1"/>
                <w:color w:val="auto"/>
              </w:rPr>
            </w:pPr>
          </w:p>
        </w:tc>
      </w:tr>
      <w:tr>
        <w:trPr>
          <w:trHeight w:val="237"/>
        </w:trPr>
        <w:tc>
          <w:tcPr>
            <w:tcW w:w="72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3100" w:type="dxa"/>
            <w:vAlign w:val="bottom"/>
          </w:tcPr>
          <w:p>
            <w:pPr>
              <w:ind w:left="380"/>
              <w:spacing w:after="0"/>
              <w:rPr>
                <w:sz w:val="20"/>
                <w:szCs w:val="20"/>
                <w:color w:val="auto"/>
              </w:rPr>
            </w:pPr>
            <w:r>
              <w:rPr>
                <w:rFonts w:ascii="Arial" w:cs="Arial" w:eastAsia="Arial" w:hAnsi="Arial"/>
                <w:sz w:val="16"/>
                <w:szCs w:val="16"/>
                <w:color w:val="auto"/>
              </w:rPr>
              <w:t>Impact of adoption of ASU 2016-02</w:t>
            </w:r>
          </w:p>
        </w:tc>
        <w:tc>
          <w:tcPr>
            <w:tcW w:w="160" w:type="dxa"/>
            <w:vAlign w:val="bottom"/>
          </w:tcPr>
          <w:p>
            <w:pPr>
              <w:spacing w:after="0"/>
              <w:rPr>
                <w:sz w:val="20"/>
                <w:szCs w:val="20"/>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33"/>
        </w:trPr>
        <w:tc>
          <w:tcPr>
            <w:tcW w:w="720" w:type="dxa"/>
            <w:vAlign w:val="bottom"/>
            <w:tcBorders>
              <w:bottom w:val="single" w:sz="8" w:color="auto"/>
            </w:tcBorders>
          </w:tcPr>
          <w:p>
            <w:pPr>
              <w:spacing w:after="0"/>
              <w:rPr>
                <w:sz w:val="2"/>
                <w:szCs w:val="2"/>
                <w:color w:val="auto"/>
              </w:rPr>
            </w:pPr>
          </w:p>
        </w:tc>
        <w:tc>
          <w:tcPr>
            <w:tcW w:w="3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2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57.6</w:t>
            </w:r>
          </w:p>
        </w:tc>
        <w:tc>
          <w:tcPr>
            <w:tcW w:w="31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b w:val="1"/>
                <w:bCs w:val="1"/>
                <w:color w:val="auto"/>
              </w:rPr>
              <w:t>OPENING BALANCE 2019</w:t>
            </w:r>
          </w:p>
        </w:tc>
        <w:tc>
          <w:tcPr>
            <w:tcW w:w="16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(790)</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3,721</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515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3,453</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3,458</w:t>
            </w:r>
          </w:p>
        </w:tc>
        <w:tc>
          <w:tcPr>
            <w:tcW w:w="0" w:type="dxa"/>
            <w:vAlign w:val="bottom"/>
          </w:tcPr>
          <w:p>
            <w:pPr>
              <w:spacing w:after="0"/>
              <w:rPr>
                <w:sz w:val="1"/>
                <w:szCs w:val="1"/>
                <w:color w:val="auto"/>
              </w:rPr>
            </w:pPr>
          </w:p>
        </w:tc>
      </w:tr>
      <w:tr>
        <w:trPr>
          <w:trHeight w:val="237"/>
        </w:trPr>
        <w:tc>
          <w:tcPr>
            <w:tcW w:w="72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3100" w:type="dxa"/>
            <w:vAlign w:val="bottom"/>
          </w:tcPr>
          <w:p>
            <w:pPr>
              <w:ind w:left="380"/>
              <w:spacing w:after="0"/>
              <w:rPr>
                <w:sz w:val="20"/>
                <w:szCs w:val="20"/>
                <w:color w:val="auto"/>
              </w:rPr>
            </w:pPr>
            <w:r>
              <w:rPr>
                <w:rFonts w:ascii="Arial" w:cs="Arial" w:eastAsia="Arial" w:hAnsi="Arial"/>
                <w:sz w:val="16"/>
                <w:szCs w:val="16"/>
                <w:color w:val="auto"/>
              </w:rPr>
              <w:t>Net income</w:t>
            </w:r>
          </w:p>
        </w:tc>
        <w:tc>
          <w:tcPr>
            <w:tcW w:w="160" w:type="dxa"/>
            <w:vAlign w:val="bottom"/>
          </w:tcPr>
          <w:p>
            <w:pPr>
              <w:spacing w:after="0"/>
              <w:rPr>
                <w:sz w:val="20"/>
                <w:szCs w:val="20"/>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520" w:type="dxa"/>
            <w:vAlign w:val="bottom"/>
          </w:tcPr>
          <w:p>
            <w:pPr>
              <w:jc w:val="right"/>
              <w:ind w:right="39"/>
              <w:spacing w:after="0"/>
              <w:rPr>
                <w:sz w:val="20"/>
                <w:szCs w:val="20"/>
                <w:color w:val="auto"/>
              </w:rPr>
            </w:pPr>
            <w:r>
              <w:rPr>
                <w:rFonts w:ascii="Arial" w:cs="Arial" w:eastAsia="Arial" w:hAnsi="Arial"/>
                <w:sz w:val="16"/>
                <w:szCs w:val="16"/>
                <w:color w:val="auto"/>
              </w:rPr>
              <w:t>24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ind w:right="20"/>
              <w:spacing w:after="0"/>
              <w:rPr>
                <w:sz w:val="20"/>
                <w:szCs w:val="20"/>
                <w:color w:val="auto"/>
              </w:rPr>
            </w:pPr>
            <w:r>
              <w:rPr>
                <w:rFonts w:ascii="Arial" w:cs="Arial" w:eastAsia="Arial" w:hAnsi="Arial"/>
                <w:sz w:val="16"/>
                <w:szCs w:val="16"/>
                <w:color w:val="auto"/>
              </w:rPr>
              <w:t>24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600" w:type="dxa"/>
            <w:vAlign w:val="bottom"/>
          </w:tcPr>
          <w:p>
            <w:pPr>
              <w:jc w:val="right"/>
              <w:ind w:right="21"/>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33"/>
        </w:trPr>
        <w:tc>
          <w:tcPr>
            <w:tcW w:w="72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720" w:type="dxa"/>
            <w:vAlign w:val="bottom"/>
            <w:shd w:val="clear" w:color="auto" w:fill="CCEEFF"/>
          </w:tcPr>
          <w:p>
            <w:pPr>
              <w:spacing w:after="0"/>
              <w:rPr>
                <w:sz w:val="19"/>
                <w:szCs w:val="19"/>
                <w:color w:val="auto"/>
              </w:rPr>
            </w:pPr>
          </w:p>
        </w:tc>
        <w:tc>
          <w:tcPr>
            <w:tcW w:w="3100" w:type="dxa"/>
            <w:vAlign w:val="bottom"/>
            <w:shd w:val="clear" w:color="auto" w:fill="CCEEFF"/>
          </w:tcPr>
          <w:p>
            <w:pPr>
              <w:ind w:left="380"/>
              <w:spacing w:after="0"/>
              <w:rPr>
                <w:sz w:val="20"/>
                <w:szCs w:val="20"/>
                <w:color w:val="auto"/>
              </w:rPr>
            </w:pPr>
            <w:r>
              <w:rPr>
                <w:rFonts w:ascii="Arial" w:cs="Arial" w:eastAsia="Arial" w:hAnsi="Arial"/>
                <w:sz w:val="16"/>
                <w:szCs w:val="16"/>
                <w:color w:val="auto"/>
              </w:rPr>
              <w:t>Foreign currency translation</w:t>
            </w:r>
          </w:p>
        </w:tc>
        <w:tc>
          <w:tcPr>
            <w:tcW w:w="1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2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3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adjustments</w:t>
            </w:r>
          </w:p>
        </w:tc>
        <w:tc>
          <w:tcPr>
            <w:tcW w:w="16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37"/>
        </w:trPr>
        <w:tc>
          <w:tcPr>
            <w:tcW w:w="72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3100" w:type="dxa"/>
            <w:vAlign w:val="bottom"/>
          </w:tcPr>
          <w:p>
            <w:pPr>
              <w:ind w:left="380"/>
              <w:spacing w:after="0"/>
              <w:rPr>
                <w:sz w:val="20"/>
                <w:szCs w:val="20"/>
                <w:color w:val="auto"/>
              </w:rPr>
            </w:pPr>
            <w:r>
              <w:rPr>
                <w:rFonts w:ascii="Arial" w:cs="Arial" w:eastAsia="Arial" w:hAnsi="Arial"/>
                <w:sz w:val="16"/>
                <w:szCs w:val="16"/>
                <w:color w:val="auto"/>
              </w:rPr>
              <w:t>Derivative instrument adjustment</w:t>
            </w:r>
          </w:p>
        </w:tc>
        <w:tc>
          <w:tcPr>
            <w:tcW w:w="160" w:type="dxa"/>
            <w:vAlign w:val="bottom"/>
          </w:tcPr>
          <w:p>
            <w:pPr>
              <w:spacing w:after="0"/>
              <w:rPr>
                <w:sz w:val="20"/>
                <w:szCs w:val="20"/>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33"/>
        </w:trPr>
        <w:tc>
          <w:tcPr>
            <w:tcW w:w="72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0.2</w:t>
            </w:r>
          </w:p>
        </w:tc>
        <w:tc>
          <w:tcPr>
            <w:tcW w:w="3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Share-based compensation plans</w:t>
            </w: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37"/>
        </w:trPr>
        <w:tc>
          <w:tcPr>
            <w:tcW w:w="72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3100" w:type="dxa"/>
            <w:vAlign w:val="bottom"/>
          </w:tcPr>
          <w:p>
            <w:pPr>
              <w:ind w:left="380"/>
              <w:spacing w:after="0"/>
              <w:rPr>
                <w:sz w:val="20"/>
                <w:szCs w:val="20"/>
                <w:color w:val="auto"/>
              </w:rPr>
            </w:pPr>
            <w:r>
              <w:rPr>
                <w:rFonts w:ascii="Arial" w:cs="Arial" w:eastAsia="Arial" w:hAnsi="Arial"/>
                <w:sz w:val="16"/>
                <w:szCs w:val="16"/>
                <w:color w:val="auto"/>
              </w:rPr>
              <w:t>Repurchase of common stock</w:t>
            </w:r>
          </w:p>
        </w:tc>
        <w:tc>
          <w:tcPr>
            <w:tcW w:w="160" w:type="dxa"/>
            <w:vAlign w:val="bottom"/>
          </w:tcPr>
          <w:p>
            <w:pPr>
              <w:spacing w:after="0"/>
              <w:rPr>
                <w:sz w:val="20"/>
                <w:szCs w:val="20"/>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(106)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(106)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(106)</w:t>
            </w:r>
          </w:p>
        </w:tc>
        <w:tc>
          <w:tcPr>
            <w:tcW w:w="0" w:type="dxa"/>
            <w:vAlign w:val="bottom"/>
          </w:tcPr>
          <w:p>
            <w:pPr>
              <w:spacing w:after="0"/>
              <w:rPr>
                <w:sz w:val="1"/>
                <w:szCs w:val="1"/>
                <w:color w:val="auto"/>
              </w:rPr>
            </w:pPr>
          </w:p>
        </w:tc>
      </w:tr>
      <w:tr>
        <w:trPr>
          <w:trHeight w:val="33"/>
        </w:trPr>
        <w:tc>
          <w:tcPr>
            <w:tcW w:w="72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3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Dividends</w:t>
            </w: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43"/>
        </w:trPr>
        <w:tc>
          <w:tcPr>
            <w:tcW w:w="720" w:type="dxa"/>
            <w:vAlign w:val="bottom"/>
          </w:tcPr>
          <w:p>
            <w:pPr>
              <w:jc w:val="right"/>
              <w:ind w:right="1"/>
              <w:spacing w:after="0"/>
              <w:rPr>
                <w:sz w:val="20"/>
                <w:szCs w:val="20"/>
                <w:color w:val="auto"/>
              </w:rPr>
            </w:pPr>
            <w:r>
              <w:rPr>
                <w:rFonts w:ascii="Arial" w:cs="Arial" w:eastAsia="Arial" w:hAnsi="Arial"/>
                <w:sz w:val="18"/>
                <w:szCs w:val="18"/>
                <w:color w:val="auto"/>
              </w:rPr>
              <w:t>—</w:t>
            </w:r>
          </w:p>
        </w:tc>
        <w:tc>
          <w:tcPr>
            <w:tcW w:w="3100" w:type="dxa"/>
            <w:vAlign w:val="bottom"/>
          </w:tcPr>
          <w:p>
            <w:pPr>
              <w:ind w:left="380"/>
              <w:spacing w:after="0"/>
              <w:rPr>
                <w:sz w:val="20"/>
                <w:szCs w:val="20"/>
                <w:color w:val="auto"/>
              </w:rPr>
            </w:pPr>
            <w:r>
              <w:rPr>
                <w:rFonts w:ascii="Arial" w:cs="Arial" w:eastAsia="Arial" w:hAnsi="Arial"/>
                <w:sz w:val="16"/>
                <w:szCs w:val="16"/>
                <w:color w:val="auto"/>
              </w:rPr>
              <w:t>Employee stock plan issuance</w:t>
            </w:r>
          </w:p>
        </w:tc>
        <w:tc>
          <w:tcPr>
            <w:tcW w:w="160" w:type="dxa"/>
            <w:vAlign w:val="bottom"/>
          </w:tcPr>
          <w:p>
            <w:pPr>
              <w:spacing w:after="0"/>
              <w:rPr>
                <w:sz w:val="21"/>
                <w:szCs w:val="21"/>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1"/>
                <w:szCs w:val="21"/>
                <w:color w:val="auto"/>
              </w:rPr>
            </w:pPr>
          </w:p>
        </w:tc>
        <w:tc>
          <w:tcPr>
            <w:tcW w:w="600" w:type="dxa"/>
            <w:vAlign w:val="bottom"/>
          </w:tcPr>
          <w:p>
            <w:pPr>
              <w:jc w:val="right"/>
              <w:ind w:right="20"/>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1"/>
                <w:szCs w:val="21"/>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1"/>
                <w:szCs w:val="21"/>
                <w:color w:val="auto"/>
              </w:rPr>
            </w:pPr>
          </w:p>
        </w:tc>
        <w:tc>
          <w:tcPr>
            <w:tcW w:w="720" w:type="dxa"/>
            <w:vAlign w:val="bottom"/>
          </w:tcPr>
          <w:p>
            <w:pPr>
              <w:jc w:val="right"/>
              <w:ind w:right="20"/>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1"/>
                <w:szCs w:val="21"/>
                <w:color w:val="auto"/>
              </w:rPr>
            </w:pPr>
          </w:p>
        </w:tc>
        <w:tc>
          <w:tcPr>
            <w:tcW w:w="600" w:type="dxa"/>
            <w:vAlign w:val="bottom"/>
          </w:tcPr>
          <w:p>
            <w:pPr>
              <w:jc w:val="right"/>
              <w:ind w:right="21"/>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7"/>
        </w:trPr>
        <w:tc>
          <w:tcPr>
            <w:tcW w:w="720" w:type="dxa"/>
            <w:vAlign w:val="bottom"/>
            <w:tcBorders>
              <w:bottom w:val="single" w:sz="8" w:color="auto"/>
            </w:tcBorders>
          </w:tcPr>
          <w:p>
            <w:pPr>
              <w:spacing w:after="0"/>
              <w:rPr>
                <w:sz w:val="2"/>
                <w:szCs w:val="2"/>
                <w:color w:val="auto"/>
              </w:rPr>
            </w:pPr>
          </w:p>
        </w:tc>
        <w:tc>
          <w:tcPr>
            <w:tcW w:w="3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57.8</w:t>
            </w:r>
          </w:p>
        </w:tc>
        <w:tc>
          <w:tcPr>
            <w:tcW w:w="31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b w:val="1"/>
                <w:bCs w:val="1"/>
                <w:color w:val="auto"/>
              </w:rPr>
              <w:t>BALANCE AT MARCH 31, 2019</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3,717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519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3,346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3,351</w:t>
            </w:r>
          </w:p>
        </w:tc>
        <w:tc>
          <w:tcPr>
            <w:tcW w:w="0" w:type="dxa"/>
            <w:vAlign w:val="bottom"/>
          </w:tcPr>
          <w:p>
            <w:pPr>
              <w:spacing w:after="0"/>
              <w:rPr>
                <w:sz w:val="1"/>
                <w:szCs w:val="1"/>
                <w:color w:val="auto"/>
              </w:rPr>
            </w:pPr>
          </w:p>
        </w:tc>
      </w:tr>
      <w:tr>
        <w:trPr>
          <w:trHeight w:val="20"/>
        </w:trPr>
        <w:tc>
          <w:tcPr>
            <w:tcW w:w="720" w:type="dxa"/>
            <w:vAlign w:val="bottom"/>
            <w:tcBorders>
              <w:bottom w:val="single" w:sz="8" w:color="auto"/>
            </w:tcBorders>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Notes to Interim Consolidated Financial Statements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486" w:right="3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2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MARRIOTT VACATIONS WORLDWIDE CORPORATION</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INTERIM CONSOLIDATED FINANCIAL STATEMENTS</w:t>
      </w:r>
    </w:p>
    <w:p>
      <w:pPr>
        <w:spacing w:after="0" w:line="369" w:lineRule="exact"/>
        <w:rPr>
          <w:sz w:val="20"/>
          <w:szCs w:val="20"/>
          <w:color w:val="auto"/>
        </w:rPr>
      </w:pPr>
    </w:p>
    <w:p>
      <w:pPr>
        <w:ind w:left="380" w:hanging="345"/>
        <w:spacing w:after="0"/>
        <w:tabs>
          <w:tab w:leader="none" w:pos="38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148" w:lineRule="exact"/>
        <w:rPr>
          <w:sz w:val="20"/>
          <w:szCs w:val="20"/>
          <w:color w:val="auto"/>
        </w:rPr>
      </w:pPr>
    </w:p>
    <w:p>
      <w:pPr>
        <w:ind w:right="20" w:firstLine="661"/>
        <w:spacing w:after="0" w:line="289" w:lineRule="auto"/>
        <w:rPr>
          <w:sz w:val="20"/>
          <w:szCs w:val="20"/>
          <w:color w:val="auto"/>
        </w:rPr>
      </w:pPr>
      <w:r>
        <w:rPr>
          <w:rFonts w:ascii="Arial" w:cs="Arial" w:eastAsia="Arial" w:hAnsi="Arial"/>
          <w:sz w:val="16"/>
          <w:szCs w:val="16"/>
          <w:color w:val="auto"/>
        </w:rPr>
        <w:t>The Interim Consolidated Financial Statements present the results of operations, financial position and cash flows of Marriott Vacations Worldwide Corporation (referred to in this report as (i) “we,” “us,” “Marriott Vacations Worldwide,” “MVW” or “the Company,” which includes our consolidated subsidiaries except where the context of the reference is to a single corporate entity, or (ii) “MVWC,” which shall refer only to Marriott Vacations Worldwide Corporation, without its consolidated subsidiaries). In order to make this report easier to read, we refer throughout to (i) our Interim Consolidated Financial Statements as our “Financial Statements,” (ii) our Interim Consolidated Statements of Income as our “Income Statements,” (iii) our Interim Consolidated Balance Sheets as our “Balance Sheets,” and (iv) our Interim Consolidated Statements of Cash Flows as our “Cash Flows.” In addition, references throughout to numbered “Footnotes” refer to the numbered Notes in these Notes to Interim Consolidated Financial Statements, unless otherwise noted. Capitalized terms used and not specifically defined herein have the same meaning given those terms in our Annual Report on Form 10-K for the fiscal year ended December 31, 2019 (the “2019 Annual Report”). We use certain other terms that are defined within these Financial Statements.</w:t>
      </w:r>
    </w:p>
    <w:p>
      <w:pPr>
        <w:spacing w:after="0" w:line="58"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The Financial Statements presented herein and discussed below include 100 percent of the assets, liabilities, revenues, expenses and cash flows of Marriott Vacations Worldwide, all entities in which Marriott Vacations Worldwide has a controlling voting interest (“subsidiaries”), and those variable interest entities (“VIEs”) for which Marriott Vacations Worldwide is the primary beneficiary in accordance with consolidation accounting guidance. References in these Financial Statements to net income attributable to common shareholders and MVW shareholders’ equity do not include noncontrolling interests, which represent the outside ownership of our consolidated non-wholly owned entities and are reported separately. Intercompany accounts and transactions between consolidated companies have been eliminated in consolidation.</w:t>
      </w:r>
    </w:p>
    <w:p>
      <w:pPr>
        <w:spacing w:after="0" w:line="70" w:lineRule="exact"/>
        <w:rPr>
          <w:sz w:val="20"/>
          <w:szCs w:val="20"/>
          <w:color w:val="auto"/>
        </w:rPr>
      </w:pPr>
    </w:p>
    <w:p>
      <w:pPr>
        <w:ind w:right="80" w:firstLine="648"/>
        <w:spacing w:after="0" w:line="291" w:lineRule="auto"/>
        <w:rPr>
          <w:sz w:val="20"/>
          <w:szCs w:val="20"/>
          <w:color w:val="auto"/>
        </w:rPr>
      </w:pPr>
      <w:r>
        <w:rPr>
          <w:rFonts w:ascii="Arial" w:cs="Arial" w:eastAsia="Arial" w:hAnsi="Arial"/>
          <w:sz w:val="16"/>
          <w:szCs w:val="16"/>
          <w:color w:val="auto"/>
        </w:rPr>
        <w:t>These Financial Statements reflect our financial position, results of operations and cash flows as prepared in conformity with United States Generally Accepted Accounting Principles (“GAAP”). The preparation of financial statements in conformity with GAAP requires management to make estimates and assumptions that affect amounts reported in the financial statements and accompanying notes. Such estimates include, but are not limited to, revenue recognition, allocations of the purchase price paid in business combinations, cost of vacation ownership products, inventory valuation, goodwill and intangibles valuation, property and equipment valuation, accounting for acquired vacation ownership notes receivable, vacation ownership notes receivable reserves, income taxes and loss contingencies. The uncertainty created by the COVID-19 pandemic (defined below), and efforts to contain it, has made such estimates more difficult and subjective. Accordingly, ultimate results could differ from those estimates.</w:t>
      </w:r>
    </w:p>
    <w:p>
      <w:pPr>
        <w:spacing w:after="0" w:line="58"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In our opinion, our Financial Statements reflect all normal and recurring adjustments necessary to present fairly our financial position, the results of our operations and cash flows for the periods presented. Interim results may not be indicative of fiscal year performance because of, among other reasons, the impact of the COVID-19 pandemic (defined below) and seasonal and short-term variations. These Financial Statements have not been audited. We have condensed or omitted certain information and footnote disclosures normally included in financial statements presented in accordance with GAAP. Although we believe our footnote disclosures are adequate to make the information presented not misleading, the Financial Statements in this report should be read in conjunction with the consolidated financial statements and notes thereto in our 2019 Annual Report.</w:t>
      </w:r>
    </w:p>
    <w:p>
      <w:pPr>
        <w:spacing w:after="0" w:line="56"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The accompanying Financial Statements also reflect our adoption of new accounting standards. See Footnote 2 “Significant Accounting Policies and Recent Accounting Standards” for additional information.</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COVID-19 Pandemic</w:t>
      </w:r>
    </w:p>
    <w:p>
      <w:pPr>
        <w:spacing w:after="0" w:line="117"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In March 2020, the World Health Organization declared the coronavirus (COVID-19) a global pandemic (the “COVID-19 pandemic”). National, federal, state, and local governments have since implemented various restrictions, border closings, restrictions on public gatherings, quarantining of people who may have been exposed to the virus, shelter-in-place restrictions and limitations on business operations. The speed with which the effects of the COVID-19 pandemic have changed the U.S. and global economic landscape, outlook and, in particular, the travel and hospitality industries has been swift and unexpected.</w:t>
      </w:r>
    </w:p>
    <w:p>
      <w:pPr>
        <w:spacing w:after="0" w:line="80" w:lineRule="exact"/>
        <w:rPr>
          <w:sz w:val="20"/>
          <w:szCs w:val="20"/>
          <w:color w:val="auto"/>
        </w:rPr>
      </w:pPr>
    </w:p>
    <w:p>
      <w:pPr>
        <w:ind w:right="140" w:firstLine="648"/>
        <w:spacing w:after="0" w:line="296" w:lineRule="auto"/>
        <w:rPr>
          <w:sz w:val="20"/>
          <w:szCs w:val="20"/>
          <w:color w:val="auto"/>
        </w:rPr>
      </w:pPr>
      <w:r>
        <w:rPr>
          <w:rFonts w:ascii="Arial" w:cs="Arial" w:eastAsia="Arial" w:hAnsi="Arial"/>
          <w:sz w:val="16"/>
          <w:szCs w:val="16"/>
          <w:color w:val="auto"/>
        </w:rPr>
        <w:t>Our business has experienced significant disruptions due to the unprecedented conditions surrounding the COVID-19 pandemic. In our Vacation Ownership business, in response to quickly accelerating travel restrictions and restrictions on business operations as a result of the COVID-19 pandemic, we have closed all of our sales centers, and, beginning March 25, 2020, we closed our resorts for rental guests with stays at our branded North America vacation ownership resorts. In addition, based on various governmental mandates and advisories, we have closed many of our resorts, and have reduced operations and amenities at our resorts that remain open. At this time, we are unable to determine when we will be able to re-open our sales</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00"/>
          </w:cols>
          <w:pgMar w:left="320" w:top="125" w:right="37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right="120"/>
        <w:spacing w:after="0" w:line="311" w:lineRule="auto"/>
        <w:rPr>
          <w:sz w:val="20"/>
          <w:szCs w:val="20"/>
          <w:color w:val="auto"/>
        </w:rPr>
      </w:pPr>
      <w:r>
        <w:rPr>
          <w:rFonts w:ascii="Arial" w:cs="Arial" w:eastAsia="Arial" w:hAnsi="Arial"/>
          <w:sz w:val="16"/>
          <w:szCs w:val="16"/>
          <w:color w:val="auto"/>
        </w:rPr>
        <w:t>centers, and the re-opening of our resorts is dependent upon when, and the extent to which, government restrictions are lifted, which cannot be determined at this time. Additionally, in our Exchange &amp; Third-Party Management business, the closures of certain affiliated resorts and managed properties had a significant impact on our business, and we have implemented certain temporary adjustments to cancellation policies for near-term travel.</w:t>
      </w:r>
    </w:p>
    <w:p>
      <w:pPr>
        <w:spacing w:after="0" w:line="41" w:lineRule="exact"/>
        <w:rPr>
          <w:sz w:val="20"/>
          <w:szCs w:val="20"/>
          <w:color w:val="auto"/>
        </w:rPr>
      </w:pPr>
    </w:p>
    <w:p>
      <w:pPr>
        <w:jc w:val="both"/>
        <w:ind w:right="120" w:firstLine="648"/>
        <w:spacing w:after="0" w:line="263" w:lineRule="auto"/>
        <w:rPr>
          <w:sz w:val="20"/>
          <w:szCs w:val="20"/>
          <w:color w:val="auto"/>
        </w:rPr>
      </w:pPr>
      <w:r>
        <w:rPr>
          <w:rFonts w:ascii="Arial" w:cs="Arial" w:eastAsia="Arial" w:hAnsi="Arial"/>
          <w:sz w:val="18"/>
          <w:szCs w:val="18"/>
          <w:color w:val="auto"/>
        </w:rPr>
        <w:t>We have also implemented furloughs and reduced work hours for our associates and have instituted “work from home” measures for many of our associates. We are monitoring the situation and will reopen our sales centers as conditions permit; however, extended or further closures may be required. This situation is unprecedented and rapidly changing and has unknown duration and severity.</w:t>
      </w:r>
    </w:p>
    <w:p>
      <w:pPr>
        <w:spacing w:after="0" w:line="76"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See Footnote 12 “Securitized Debt” and Footnote 13 “Debt” for discussion of events subsequent to the first quarter of 2020 related to our financial flexibility in light of the impact on global markets resulting from the COVID-19 pandemic.</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Reclassifications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reclassified certain prior year amounts to conform to our current year presentation.</w:t>
      </w:r>
    </w:p>
    <w:p>
      <w:pPr>
        <w:spacing w:after="0" w:line="200" w:lineRule="exact"/>
        <w:rPr>
          <w:sz w:val="20"/>
          <w:szCs w:val="20"/>
          <w:color w:val="auto"/>
        </w:rPr>
      </w:pPr>
    </w:p>
    <w:p>
      <w:pPr>
        <w:spacing w:after="0" w:line="291" w:lineRule="exact"/>
        <w:rPr>
          <w:sz w:val="20"/>
          <w:szCs w:val="20"/>
          <w:color w:val="auto"/>
        </w:rPr>
      </w:pPr>
    </w:p>
    <w:p>
      <w:pPr>
        <w:ind w:left="380" w:hanging="345"/>
        <w:spacing w:after="0"/>
        <w:tabs>
          <w:tab w:leader="none" w:pos="38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ACCOUNTING POLICIES AND RECENT ACCOUNTING STANDARDS</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Accounting Standards</w:t>
      </w:r>
    </w:p>
    <w:p>
      <w:pPr>
        <w:spacing w:after="0" w:line="117" w:lineRule="exact"/>
        <w:rPr>
          <w:sz w:val="20"/>
          <w:szCs w:val="20"/>
          <w:color w:val="auto"/>
        </w:rPr>
      </w:pPr>
    </w:p>
    <w:p>
      <w:pPr>
        <w:ind w:right="660" w:firstLine="648"/>
        <w:spacing w:after="0" w:line="277" w:lineRule="auto"/>
        <w:rPr>
          <w:sz w:val="20"/>
          <w:szCs w:val="20"/>
          <w:color w:val="auto"/>
        </w:rPr>
      </w:pPr>
      <w:r>
        <w:rPr>
          <w:rFonts w:ascii="Arial" w:cs="Arial" w:eastAsia="Arial" w:hAnsi="Arial"/>
          <w:sz w:val="18"/>
          <w:szCs w:val="18"/>
          <w:color w:val="auto"/>
        </w:rPr>
        <w:t>Accounting Standards Update 2016-13 – “</w:t>
      </w:r>
      <w:r>
        <w:rPr>
          <w:rFonts w:ascii="Arial" w:cs="Arial" w:eastAsia="Arial" w:hAnsi="Arial"/>
          <w:sz w:val="18"/>
          <w:szCs w:val="18"/>
          <w:i w:val="1"/>
          <w:iCs w:val="1"/>
          <w:color w:val="auto"/>
        </w:rPr>
        <w:t>Financial Instruments – Credit Losses (Topic 326), Measurement of Credit Losses on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Instruments</w:t>
      </w:r>
      <w:r>
        <w:rPr>
          <w:rFonts w:ascii="Arial" w:cs="Arial" w:eastAsia="Arial" w:hAnsi="Arial"/>
          <w:sz w:val="18"/>
          <w:szCs w:val="18"/>
          <w:color w:val="auto"/>
        </w:rPr>
        <w:t>” (“ASU 2016-13”)</w:t>
      </w:r>
    </w:p>
    <w:p>
      <w:pPr>
        <w:spacing w:after="0" w:line="62" w:lineRule="exact"/>
        <w:rPr>
          <w:sz w:val="20"/>
          <w:szCs w:val="20"/>
          <w:color w:val="auto"/>
        </w:rPr>
      </w:pPr>
    </w:p>
    <w:p>
      <w:pPr>
        <w:ind w:right="220" w:firstLine="648"/>
        <w:spacing w:after="0" w:line="293" w:lineRule="auto"/>
        <w:rPr>
          <w:sz w:val="20"/>
          <w:szCs w:val="20"/>
          <w:color w:val="auto"/>
        </w:rPr>
      </w:pPr>
      <w:r>
        <w:rPr>
          <w:rFonts w:ascii="Arial" w:cs="Arial" w:eastAsia="Arial" w:hAnsi="Arial"/>
          <w:sz w:val="16"/>
          <w:szCs w:val="16"/>
          <w:color w:val="auto"/>
        </w:rPr>
        <w:t>In the first quarter of 2020, we adopted ASU 2016-13, which replaces the incurred loss impairment methodology in current GAAP with a methodology that reflects expected credit losses and requires consideration of a broader range of reasonable and supportable information to inform credit loss estimates. The update is intended to provide financial statement users with more decision-useful information about the expected credit losses on financial instruments and other commitments to extend credit held by a reporting entity at each reporting date. The current expected credit loss model provides that an initial estimate of expected credit losses over the contractual life of the financial instrument is reflected in the allowance for credit losses and any changes to that estimate are recognized as adjustments to the allowance. ASU 2016-13 did not have a material impact upon adoption.</w:t>
      </w:r>
    </w:p>
    <w:p>
      <w:pPr>
        <w:spacing w:after="0" w:line="5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Vacation Ownership Notes Receivable</w:t>
      </w:r>
    </w:p>
    <w:p>
      <w:pPr>
        <w:spacing w:after="0" w:line="117"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Our originated vacation ownership notes receivable are recorded net of a reserve that is calculated in accordance with ASC 606 so there was no material impact upon adoption of ASU 2016-13. Our acquired vacation ownership notes receivable have historically been accounted for using the expected cash flow method of recognizing discount accretion based on the expected cash flows of those instruments. Upon adoption of ASU 2016-13, we established a reserve for credit losses and a corresponding increase in the book value of the acquired vacation ownership notes receivable, resulting in no impact to the recorded balance. In addition, we recorded a noncredit discount of $2 million, which represents the difference between the amortized cost basis and the par value of our acquired vacation ownership notes receivable. The noncredit discount will be amortized to interest expense over the contractual life of the acquired vacation ownership notes receivable and is recorded as Financing expenses on our Income Statements. For additional information on our vacation ownership notes receivable, including information on the related reserves, see Footnote 6 “Vacation Ownership Notes Receivable.”</w:t>
      </w:r>
    </w:p>
    <w:p>
      <w:pPr>
        <w:spacing w:after="0" w:line="5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Accounts Receivable</w:t>
      </w:r>
    </w:p>
    <w:p>
      <w:pPr>
        <w:spacing w:after="0" w:line="117"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Our Accounts receivable include amounts due from customers, principally credit card receivables, and amounts due from resort developers, members and managed properties. These amounts are typically due within one year and are presented net of an allowance for credit losses. Subsequent to our adoption of ASU 2016-13 we estimate expected credit losses for our accounts receivable by considering a number of factors, including previous loss history and the condition of the general economy as well as any other significant events that may impact the collectibility of the specific accounts receivable. There was no material impact to our financial statements or disclosures related to adoption of ASU 2016-13 for accounts receivable, and also no material change in our allowance for credit losses during the first quarter of 2020.</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Future Adoption of Accounting Standards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Accounting Standards Update 2019-12 – </w:t>
      </w:r>
      <w:r>
        <w:rPr>
          <w:rFonts w:ascii="Arial" w:cs="Arial" w:eastAsia="Arial" w:hAnsi="Arial"/>
          <w:sz w:val="18"/>
          <w:szCs w:val="18"/>
          <w:i w:val="1"/>
          <w:iCs w:val="1"/>
          <w:color w:val="auto"/>
        </w:rPr>
        <w:t>“Income Taxes (Topic 740): Simplifying the Accounting for Income Taxes”</w:t>
      </w:r>
      <w:r>
        <w:rPr>
          <w:rFonts w:ascii="Arial" w:cs="Arial" w:eastAsia="Arial" w:hAnsi="Arial"/>
          <w:sz w:val="18"/>
          <w:szCs w:val="18"/>
          <w:color w:val="auto"/>
        </w:rPr>
        <w:t xml:space="preserve"> (“ASU 2019-12”)</w:t>
      </w:r>
    </w:p>
    <w:p>
      <w:pPr>
        <w:spacing w:after="0" w:line="117" w:lineRule="exact"/>
        <w:rPr>
          <w:sz w:val="20"/>
          <w:szCs w:val="20"/>
          <w:color w:val="auto"/>
        </w:rPr>
      </w:pPr>
    </w:p>
    <w:p>
      <w:pPr>
        <w:ind w:right="180" w:firstLine="648"/>
        <w:spacing w:after="0" w:line="263" w:lineRule="auto"/>
        <w:rPr>
          <w:sz w:val="20"/>
          <w:szCs w:val="20"/>
          <w:color w:val="auto"/>
        </w:rPr>
      </w:pPr>
      <w:r>
        <w:rPr>
          <w:rFonts w:ascii="Arial" w:cs="Arial" w:eastAsia="Arial" w:hAnsi="Arial"/>
          <w:sz w:val="18"/>
          <w:szCs w:val="18"/>
          <w:color w:val="auto"/>
        </w:rPr>
        <w:t>In December 2019, the FASB issued ASU 2019-12, which amends and simplifies existing guidance in an effort to reduce the complexity of accounting for income taxes while maintaining or enhancing the helpfulness of information provided to financial statement users. This update is effective for fiscal years beginning after December 15, 2020, including interim</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125" w:right="3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periods therein, with early adoption permitted. We expect to adopt ASU 2019-12 commencing in fiscal year 2021 and continue to evaluate the impact that adoption of this update will have on our financial statements and disclosures.</w:t>
      </w:r>
    </w:p>
    <w:p>
      <w:pPr>
        <w:spacing w:after="0" w:line="62"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Accounting Standards Update 2020-04 – “</w:t>
      </w:r>
      <w:r>
        <w:rPr>
          <w:rFonts w:ascii="Arial" w:cs="Arial" w:eastAsia="Arial" w:hAnsi="Arial"/>
          <w:sz w:val="18"/>
          <w:szCs w:val="18"/>
          <w:i w:val="1"/>
          <w:iCs w:val="1"/>
          <w:color w:val="auto"/>
        </w:rPr>
        <w:t>Reference Rate Reform (Topic 848), Facilitation of the Effects of Reference Rate Reform on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Reporting</w:t>
      </w:r>
      <w:r>
        <w:rPr>
          <w:rFonts w:ascii="Arial" w:cs="Arial" w:eastAsia="Arial" w:hAnsi="Arial"/>
          <w:sz w:val="18"/>
          <w:szCs w:val="18"/>
          <w:color w:val="auto"/>
        </w:rPr>
        <w:t>” (“ASU 2020-04”)</w:t>
      </w:r>
    </w:p>
    <w:p>
      <w:pPr>
        <w:spacing w:after="0" w:line="62"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In March 2020, the FASB issued ASU 2020-04, as amended, which provides optional expedients and exceptions to existing guidance on contract modifications and hedge accounting in an effort to ease the financial reporting burdens related to the expected market transition from the LIBOR and other interbank offered rates to alternative reference rates. This update can be adopted no later than December 1, 2022, with early adoption permitted. We expect to adopt ASU 2020-04 in fiscal year 2022 and continue to evaluate the impact that adoption of this update will have on our financial statements and disclosures.</w:t>
      </w:r>
    </w:p>
    <w:p>
      <w:pPr>
        <w:spacing w:after="0" w:line="200" w:lineRule="exact"/>
        <w:rPr>
          <w:sz w:val="20"/>
          <w:szCs w:val="20"/>
          <w:color w:val="auto"/>
        </w:rPr>
      </w:pPr>
    </w:p>
    <w:p>
      <w:pPr>
        <w:spacing w:after="0" w:line="254" w:lineRule="exact"/>
        <w:rPr>
          <w:sz w:val="20"/>
          <w:szCs w:val="20"/>
          <w:color w:val="auto"/>
        </w:rPr>
      </w:pPr>
    </w:p>
    <w:p>
      <w:pPr>
        <w:ind w:left="380" w:hanging="345"/>
        <w:spacing w:after="0"/>
        <w:tabs>
          <w:tab w:leader="none" w:pos="38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ACQUISITIONS AND DISPOSITIONS</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York, New York</w:t>
      </w:r>
    </w:p>
    <w:p>
      <w:pPr>
        <w:spacing w:after="0" w:line="117"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During the first quarter of 2020, we acquired 57 completed vacation ownership units, as well as office and ancillary space, located at our Marriott Vacation Club Pulse, New York City property for $89 million, of which $22 million was a prepayment for future tranches and $20 million was paid in December 2019. We accounted for the transaction as an asset acquisition with the purchase price allocated to Other assets ($22 million) and Property and equipment ($67 million).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San Francisco, California</w:t>
      </w:r>
    </w:p>
    <w:p>
      <w:pPr>
        <w:spacing w:after="0" w:line="117" w:lineRule="exact"/>
        <w:rPr>
          <w:sz w:val="20"/>
          <w:szCs w:val="20"/>
          <w:color w:val="auto"/>
        </w:rPr>
      </w:pPr>
    </w:p>
    <w:p>
      <w:pPr>
        <w:ind w:right="220" w:firstLine="648"/>
        <w:spacing w:after="0" w:line="286" w:lineRule="auto"/>
        <w:rPr>
          <w:sz w:val="20"/>
          <w:szCs w:val="20"/>
          <w:color w:val="auto"/>
        </w:rPr>
      </w:pPr>
      <w:r>
        <w:rPr>
          <w:rFonts w:ascii="Arial" w:cs="Arial" w:eastAsia="Arial" w:hAnsi="Arial"/>
          <w:sz w:val="17"/>
          <w:szCs w:val="17"/>
          <w:color w:val="auto"/>
        </w:rPr>
        <w:t>During the first quarter of 2020, we acquired 34 completed vacation ownership units located at our Marriott Vacation Club Pulse, San Francisco property for $26 million, of which $5 million was a prepayment for future tranches. We accounted for the transaction as an asset acquisition with the purchase price allocated to Inventory ($18 million), Other assets ($5 million), and Property and equipment ($3 million).</w:t>
      </w:r>
    </w:p>
    <w:p>
      <w:pPr>
        <w:spacing w:after="0" w:line="200" w:lineRule="exact"/>
        <w:rPr>
          <w:sz w:val="20"/>
          <w:szCs w:val="20"/>
          <w:color w:val="auto"/>
        </w:rPr>
      </w:pPr>
    </w:p>
    <w:p>
      <w:pPr>
        <w:spacing w:after="0" w:line="231" w:lineRule="exact"/>
        <w:rPr>
          <w:sz w:val="20"/>
          <w:szCs w:val="20"/>
          <w:color w:val="auto"/>
        </w:rPr>
      </w:pPr>
    </w:p>
    <w:p>
      <w:pPr>
        <w:ind w:left="380" w:hanging="345"/>
        <w:spacing w:after="0"/>
        <w:tabs>
          <w:tab w:leader="none" w:pos="38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REVENUE</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Sources of Revenue by Segment</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detail the sources of revenue by segment for the time periods presented.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960" w:type="dxa"/>
            <w:vAlign w:val="bottom"/>
            <w:gridSpan w:val="3"/>
          </w:tcPr>
          <w:p>
            <w:pPr>
              <w:ind w:left="320"/>
              <w:spacing w:after="0"/>
              <w:rPr>
                <w:sz w:val="20"/>
                <w:szCs w:val="20"/>
                <w:color w:val="auto"/>
              </w:rPr>
            </w:pPr>
            <w:r>
              <w:rPr>
                <w:rFonts w:ascii="Arial" w:cs="Arial" w:eastAsia="Arial" w:hAnsi="Arial"/>
                <w:sz w:val="16"/>
                <w:szCs w:val="16"/>
                <w:b w:val="1"/>
                <w:bCs w:val="1"/>
                <w:color w:val="auto"/>
                <w:w w:val="94"/>
              </w:rPr>
              <w:t>Three Months Ended March 31, 2020</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33"/>
        </w:trPr>
        <w:tc>
          <w:tcPr>
            <w:tcW w:w="4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2"/>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9"/>
        </w:trPr>
        <w:tc>
          <w:tcPr>
            <w:tcW w:w="4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gridSpan w:val="2"/>
          </w:tcPr>
          <w:p>
            <w:pPr>
              <w:ind w:left="40"/>
              <w:spacing w:after="0"/>
              <w:rPr>
                <w:sz w:val="20"/>
                <w:szCs w:val="20"/>
                <w:color w:val="auto"/>
              </w:rPr>
            </w:pPr>
            <w:r>
              <w:rPr>
                <w:rFonts w:ascii="Arial" w:cs="Arial" w:eastAsia="Arial" w:hAnsi="Arial"/>
                <w:sz w:val="16"/>
                <w:szCs w:val="16"/>
                <w:b w:val="1"/>
                <w:bCs w:val="1"/>
                <w:color w:val="auto"/>
              </w:rPr>
              <w:t>Exchange &amp; Third-</w:t>
            </w:r>
          </w:p>
        </w:tc>
        <w:tc>
          <w:tcPr>
            <w:tcW w:w="1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37"/>
        </w:trPr>
        <w:tc>
          <w:tcPr>
            <w:tcW w:w="41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14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ind w:right="51"/>
              <w:spacing w:after="0"/>
              <w:rPr>
                <w:sz w:val="20"/>
                <w:szCs w:val="20"/>
                <w:color w:val="auto"/>
              </w:rPr>
            </w:pPr>
            <w:r>
              <w:rPr>
                <w:rFonts w:ascii="Arial" w:cs="Arial" w:eastAsia="Arial" w:hAnsi="Arial"/>
                <w:sz w:val="16"/>
                <w:szCs w:val="16"/>
                <w:b w:val="1"/>
                <w:bCs w:val="1"/>
                <w:color w:val="auto"/>
                <w:w w:val="90"/>
              </w:rPr>
              <w:t>Vacation Ownership</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Party Management</w:t>
            </w:r>
          </w:p>
        </w:tc>
        <w:tc>
          <w:tcPr>
            <w:tcW w:w="120" w:type="dxa"/>
            <w:vAlign w:val="bottom"/>
            <w:tcBorders>
              <w:bottom w:val="single" w:sz="8" w:color="CCEEFF"/>
            </w:tcBorders>
          </w:tcPr>
          <w:p>
            <w:pPr>
              <w:spacing w:after="0"/>
              <w:rPr>
                <w:sz w:val="20"/>
                <w:szCs w:val="20"/>
                <w:color w:val="auto"/>
              </w:rPr>
            </w:pPr>
          </w:p>
        </w:tc>
        <w:tc>
          <w:tcPr>
            <w:tcW w:w="168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6"/>
                <w:szCs w:val="16"/>
                <w:b w:val="1"/>
                <w:bCs w:val="1"/>
                <w:color w:val="auto"/>
                <w:w w:val="99"/>
              </w:rPr>
              <w:t>Corporate and Other</w:t>
            </w:r>
          </w:p>
        </w:tc>
        <w:tc>
          <w:tcPr>
            <w:tcW w:w="12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71"/>
              <w:spacing w:after="0"/>
              <w:rPr>
                <w:sz w:val="20"/>
                <w:szCs w:val="20"/>
                <w:color w:val="auto"/>
              </w:rPr>
            </w:pPr>
            <w:r>
              <w:rPr>
                <w:rFonts w:ascii="Arial" w:cs="Arial" w:eastAsia="Arial" w:hAnsi="Arial"/>
                <w:sz w:val="16"/>
                <w:szCs w:val="16"/>
                <w:b w:val="1"/>
                <w:bCs w:val="1"/>
                <w:color w:val="auto"/>
              </w:rPr>
              <w:t>Total</w:t>
            </w:r>
          </w:p>
        </w:tc>
      </w:tr>
      <w:tr>
        <w:trPr>
          <w:trHeight w:val="249"/>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Sale of vacation ownership products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1093"/>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258</w:t>
            </w:r>
          </w:p>
        </w:tc>
      </w:tr>
      <w:tr>
        <w:trPr>
          <w:trHeight w:val="324"/>
        </w:trPr>
        <w:tc>
          <w:tcPr>
            <w:tcW w:w="4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50"/>
        </w:trPr>
        <w:tc>
          <w:tcPr>
            <w:tcW w:w="4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Ancillary revenues</w:t>
            </w: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w:t>
            </w:r>
          </w:p>
        </w:tc>
      </w:tr>
      <w:tr>
        <w:trPr>
          <w:trHeight w:val="243"/>
        </w:trPr>
        <w:tc>
          <w:tcPr>
            <w:tcW w:w="4160" w:type="dxa"/>
            <w:vAlign w:val="bottom"/>
          </w:tcPr>
          <w:p>
            <w:pPr>
              <w:ind w:left="280"/>
              <w:spacing w:after="0"/>
              <w:rPr>
                <w:sz w:val="20"/>
                <w:szCs w:val="20"/>
                <w:color w:val="auto"/>
              </w:rPr>
            </w:pPr>
            <w:r>
              <w:rPr>
                <w:rFonts w:ascii="Arial" w:cs="Arial" w:eastAsia="Arial" w:hAnsi="Arial"/>
                <w:sz w:val="18"/>
                <w:szCs w:val="18"/>
                <w:color w:val="auto"/>
              </w:rPr>
              <w:t>Management fee revenues</w:t>
            </w:r>
          </w:p>
        </w:tc>
        <w:tc>
          <w:tcPr>
            <w:tcW w:w="140" w:type="dxa"/>
            <w:vAlign w:val="bottom"/>
          </w:tcPr>
          <w:p>
            <w:pPr>
              <w:spacing w:after="0"/>
              <w:rPr>
                <w:sz w:val="21"/>
                <w:szCs w:val="21"/>
                <w:color w:val="auto"/>
              </w:rPr>
            </w:pPr>
          </w:p>
        </w:tc>
        <w:tc>
          <w:tcPr>
            <w:tcW w:w="1560" w:type="dxa"/>
            <w:vAlign w:val="bottom"/>
          </w:tcPr>
          <w:p>
            <w:pPr>
              <w:jc w:val="right"/>
              <w:ind w:right="31"/>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40" w:type="dxa"/>
            <w:vAlign w:val="bottom"/>
          </w:tcPr>
          <w:p>
            <w:pPr>
              <w:jc w:val="right"/>
              <w:ind w:right="12"/>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44</w:t>
            </w:r>
          </w:p>
        </w:tc>
      </w:tr>
      <w:tr>
        <w:trPr>
          <w:trHeight w:val="27"/>
        </w:trPr>
        <w:tc>
          <w:tcPr>
            <w:tcW w:w="4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4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services revenues</w:t>
            </w:r>
          </w:p>
        </w:tc>
        <w:tc>
          <w:tcPr>
            <w:tcW w:w="14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61</w:t>
            </w:r>
          </w:p>
        </w:tc>
        <w:tc>
          <w:tcPr>
            <w:tcW w:w="1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136</w:t>
            </w:r>
          </w:p>
        </w:tc>
      </w:tr>
      <w:tr>
        <w:trPr>
          <w:trHeight w:val="237"/>
        </w:trPr>
        <w:tc>
          <w:tcPr>
            <w:tcW w:w="4160" w:type="dxa"/>
            <w:vAlign w:val="bottom"/>
          </w:tcPr>
          <w:p>
            <w:pPr>
              <w:ind w:left="40"/>
              <w:spacing w:after="0"/>
              <w:rPr>
                <w:sz w:val="20"/>
                <w:szCs w:val="20"/>
                <w:color w:val="auto"/>
              </w:rPr>
            </w:pPr>
            <w:r>
              <w:rPr>
                <w:rFonts w:ascii="Arial" w:cs="Arial" w:eastAsia="Arial" w:hAnsi="Arial"/>
                <w:sz w:val="18"/>
                <w:szCs w:val="18"/>
                <w:color w:val="auto"/>
              </w:rPr>
              <w:t>Management and exchange</w:t>
            </w:r>
          </w:p>
        </w:tc>
        <w:tc>
          <w:tcPr>
            <w:tcW w:w="14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72</w:t>
            </w:r>
          </w:p>
        </w:tc>
        <w:tc>
          <w:tcPr>
            <w:tcW w:w="120" w:type="dxa"/>
            <w:vAlign w:val="bottom"/>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227</w:t>
            </w:r>
          </w:p>
        </w:tc>
      </w:tr>
      <w:tr>
        <w:trPr>
          <w:trHeight w:val="27"/>
        </w:trPr>
        <w:tc>
          <w:tcPr>
            <w:tcW w:w="4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324"/>
        </w:trPr>
        <w:tc>
          <w:tcPr>
            <w:tcW w:w="41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5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r>
      <w:tr>
        <w:trPr>
          <w:trHeight w:val="243"/>
        </w:trPr>
        <w:tc>
          <w:tcPr>
            <w:tcW w:w="4160" w:type="dxa"/>
            <w:vAlign w:val="bottom"/>
          </w:tcPr>
          <w:p>
            <w:pPr>
              <w:ind w:left="40"/>
              <w:spacing w:after="0"/>
              <w:rPr>
                <w:sz w:val="20"/>
                <w:szCs w:val="20"/>
                <w:color w:val="auto"/>
              </w:rPr>
            </w:pPr>
            <w:r>
              <w:rPr>
                <w:rFonts w:ascii="Arial" w:cs="Arial" w:eastAsia="Arial" w:hAnsi="Arial"/>
                <w:sz w:val="18"/>
                <w:szCs w:val="18"/>
                <w:color w:val="auto"/>
              </w:rPr>
              <w:t>Rental</w:t>
            </w:r>
          </w:p>
        </w:tc>
        <w:tc>
          <w:tcPr>
            <w:tcW w:w="140" w:type="dxa"/>
            <w:vAlign w:val="bottom"/>
          </w:tcPr>
          <w:p>
            <w:pPr>
              <w:spacing w:after="0"/>
              <w:rPr>
                <w:sz w:val="21"/>
                <w:szCs w:val="21"/>
                <w:color w:val="auto"/>
              </w:rPr>
            </w:pPr>
          </w:p>
        </w:tc>
        <w:tc>
          <w:tcPr>
            <w:tcW w:w="1560" w:type="dxa"/>
            <w:vAlign w:val="bottom"/>
          </w:tcPr>
          <w:p>
            <w:pPr>
              <w:jc w:val="right"/>
              <w:ind w:right="31"/>
              <w:spacing w:after="0"/>
              <w:rPr>
                <w:sz w:val="20"/>
                <w:szCs w:val="20"/>
                <w:color w:val="auto"/>
              </w:rPr>
            </w:pPr>
            <w:r>
              <w:rPr>
                <w:rFonts w:ascii="Arial" w:cs="Arial" w:eastAsia="Arial" w:hAnsi="Arial"/>
                <w:sz w:val="18"/>
                <w:szCs w:val="18"/>
                <w:color w:val="auto"/>
              </w:rPr>
              <w:t>122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40" w:type="dxa"/>
            <w:vAlign w:val="bottom"/>
          </w:tcPr>
          <w:p>
            <w:pPr>
              <w:jc w:val="right"/>
              <w:ind w:right="12"/>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135</w:t>
            </w:r>
          </w:p>
        </w:tc>
      </w:tr>
      <w:tr>
        <w:trPr>
          <w:trHeight w:val="27"/>
        </w:trPr>
        <w:tc>
          <w:tcPr>
            <w:tcW w:w="4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324"/>
        </w:trPr>
        <w:tc>
          <w:tcPr>
            <w:tcW w:w="41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5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r>
      <w:tr>
        <w:trPr>
          <w:trHeight w:val="243"/>
        </w:trPr>
        <w:tc>
          <w:tcPr>
            <w:tcW w:w="4160" w:type="dxa"/>
            <w:vAlign w:val="bottom"/>
          </w:tcPr>
          <w:p>
            <w:pPr>
              <w:ind w:left="40"/>
              <w:spacing w:after="0"/>
              <w:rPr>
                <w:sz w:val="20"/>
                <w:szCs w:val="20"/>
                <w:color w:val="auto"/>
              </w:rPr>
            </w:pPr>
            <w:r>
              <w:rPr>
                <w:rFonts w:ascii="Arial" w:cs="Arial" w:eastAsia="Arial" w:hAnsi="Arial"/>
                <w:sz w:val="18"/>
                <w:szCs w:val="18"/>
                <w:color w:val="auto"/>
              </w:rPr>
              <w:t>Cost reimbursements</w:t>
            </w:r>
          </w:p>
        </w:tc>
        <w:tc>
          <w:tcPr>
            <w:tcW w:w="140" w:type="dxa"/>
            <w:vAlign w:val="bottom"/>
          </w:tcPr>
          <w:p>
            <w:pPr>
              <w:spacing w:after="0"/>
              <w:rPr>
                <w:sz w:val="21"/>
                <w:szCs w:val="21"/>
                <w:color w:val="auto"/>
              </w:rPr>
            </w:pPr>
          </w:p>
        </w:tc>
        <w:tc>
          <w:tcPr>
            <w:tcW w:w="1560" w:type="dxa"/>
            <w:vAlign w:val="bottom"/>
          </w:tcPr>
          <w:p>
            <w:pPr>
              <w:jc w:val="right"/>
              <w:ind w:right="31"/>
              <w:spacing w:after="0"/>
              <w:rPr>
                <w:sz w:val="20"/>
                <w:szCs w:val="20"/>
                <w:color w:val="auto"/>
              </w:rPr>
            </w:pPr>
            <w:r>
              <w:rPr>
                <w:rFonts w:ascii="Arial" w:cs="Arial" w:eastAsia="Arial" w:hAnsi="Arial"/>
                <w:sz w:val="18"/>
                <w:szCs w:val="18"/>
                <w:color w:val="auto"/>
              </w:rPr>
              <w:t>345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40" w:type="dxa"/>
            <w:vAlign w:val="bottom"/>
          </w:tcPr>
          <w:p>
            <w:pPr>
              <w:jc w:val="right"/>
              <w:ind w:right="12"/>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99"/>
              </w:rPr>
              <w:t>(48)</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318</w:t>
            </w:r>
          </w:p>
        </w:tc>
      </w:tr>
      <w:tr>
        <w:trPr>
          <w:trHeight w:val="27"/>
        </w:trPr>
        <w:tc>
          <w:tcPr>
            <w:tcW w:w="41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3"/>
        </w:trPr>
        <w:tc>
          <w:tcPr>
            <w:tcW w:w="4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Revenue from contracts with customers</w:t>
            </w: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837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106</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938</w:t>
            </w:r>
          </w:p>
        </w:tc>
      </w:tr>
      <w:tr>
        <w:trPr>
          <w:trHeight w:val="324"/>
        </w:trPr>
        <w:tc>
          <w:tcPr>
            <w:tcW w:w="4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70"/>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Financing</w:t>
            </w:r>
          </w:p>
        </w:tc>
        <w:tc>
          <w:tcPr>
            <w:tcW w:w="14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w:t>
            </w:r>
          </w:p>
        </w:tc>
      </w:tr>
      <w:tr>
        <w:trPr>
          <w:trHeight w:val="257"/>
        </w:trPr>
        <w:tc>
          <w:tcPr>
            <w:tcW w:w="4160" w:type="dxa"/>
            <w:vAlign w:val="bottom"/>
          </w:tcPr>
          <w:p>
            <w:pPr>
              <w:ind w:left="280"/>
              <w:spacing w:after="0"/>
              <w:rPr>
                <w:sz w:val="20"/>
                <w:szCs w:val="20"/>
                <w:color w:val="auto"/>
              </w:rPr>
            </w:pPr>
            <w:r>
              <w:rPr>
                <w:rFonts w:ascii="Arial" w:cs="Arial" w:eastAsia="Arial" w:hAnsi="Arial"/>
                <w:sz w:val="18"/>
                <w:szCs w:val="18"/>
                <w:color w:val="auto"/>
              </w:rPr>
              <w:t>Total Revenues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908</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107</w:t>
            </w:r>
          </w:p>
        </w:tc>
        <w:tc>
          <w:tcPr>
            <w:tcW w:w="120" w:type="dxa"/>
            <w:vAlign w:val="bottom"/>
          </w:tcPr>
          <w:p>
            <w:pPr>
              <w:spacing w:after="0"/>
              <w:rPr>
                <w:sz w:val="22"/>
                <w:szCs w:val="22"/>
                <w:color w:val="auto"/>
              </w:rPr>
            </w:pPr>
          </w:p>
        </w:tc>
        <w:tc>
          <w:tcPr>
            <w:tcW w:w="1300" w:type="dxa"/>
            <w:vAlign w:val="bottom"/>
            <w:tcBorders>
              <w:top w:val="single" w:sz="8" w:color="auto"/>
              <w:bottom w:val="single" w:sz="8" w:color="auto"/>
            </w:tcBorders>
          </w:tcPr>
          <w:p>
            <w:pPr>
              <w:jc w:val="right"/>
              <w:ind w:right="1093"/>
              <w:spacing w:after="0"/>
              <w:rPr>
                <w:sz w:val="20"/>
                <w:szCs w:val="20"/>
                <w:color w:val="auto"/>
              </w:rPr>
            </w:pPr>
            <w:r>
              <w:rPr>
                <w:rFonts w:ascii="Arial" w:cs="Arial" w:eastAsia="Arial" w:hAnsi="Arial"/>
                <w:sz w:val="18"/>
                <w:szCs w:val="18"/>
                <w:color w:val="auto"/>
                <w:w w:val="99"/>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1,010</w:t>
            </w:r>
          </w:p>
        </w:tc>
      </w:tr>
      <w:tr>
        <w:trPr>
          <w:trHeight w:val="20"/>
        </w:trPr>
        <w:tc>
          <w:tcPr>
            <w:tcW w:w="4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419"/>
        </w:trPr>
        <w:tc>
          <w:tcPr>
            <w:tcW w:w="4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60" w:type="dxa"/>
            <w:vAlign w:val="bottom"/>
          </w:tcPr>
          <w:p>
            <w:pPr>
              <w:jc w:val="right"/>
              <w:ind w:right="111"/>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r>
    </w:tbl>
    <w:p>
      <w:pPr>
        <w:sectPr>
          <w:pgSz w:w="11900" w:h="16838" w:orient="portrait"/>
          <w:cols w:equalWidth="0" w:num="1">
            <w:col w:w="11240"/>
          </w:cols>
          <w:pgMar w:left="320" w:top="125" w:right="3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960" w:type="dxa"/>
            <w:vAlign w:val="bottom"/>
            <w:gridSpan w:val="3"/>
          </w:tcPr>
          <w:p>
            <w:pPr>
              <w:ind w:left="320"/>
              <w:spacing w:after="0"/>
              <w:rPr>
                <w:sz w:val="20"/>
                <w:szCs w:val="20"/>
                <w:color w:val="auto"/>
              </w:rPr>
            </w:pPr>
            <w:r>
              <w:rPr>
                <w:rFonts w:ascii="Arial" w:cs="Arial" w:eastAsia="Arial" w:hAnsi="Arial"/>
                <w:sz w:val="16"/>
                <w:szCs w:val="16"/>
                <w:b w:val="1"/>
                <w:bCs w:val="1"/>
                <w:color w:val="auto"/>
                <w:w w:val="94"/>
              </w:rPr>
              <w:t>Three Months Ended March 31, 2019</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33"/>
        </w:trPr>
        <w:tc>
          <w:tcPr>
            <w:tcW w:w="4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2"/>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9"/>
        </w:trPr>
        <w:tc>
          <w:tcPr>
            <w:tcW w:w="4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gridSpan w:val="2"/>
          </w:tcPr>
          <w:p>
            <w:pPr>
              <w:ind w:left="40"/>
              <w:spacing w:after="0"/>
              <w:rPr>
                <w:sz w:val="20"/>
                <w:szCs w:val="20"/>
                <w:color w:val="auto"/>
              </w:rPr>
            </w:pPr>
            <w:r>
              <w:rPr>
                <w:rFonts w:ascii="Arial" w:cs="Arial" w:eastAsia="Arial" w:hAnsi="Arial"/>
                <w:sz w:val="16"/>
                <w:szCs w:val="16"/>
                <w:b w:val="1"/>
                <w:bCs w:val="1"/>
                <w:color w:val="auto"/>
              </w:rPr>
              <w:t>Exchange &amp; Third-</w:t>
            </w:r>
          </w:p>
        </w:tc>
        <w:tc>
          <w:tcPr>
            <w:tcW w:w="1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37"/>
        </w:trPr>
        <w:tc>
          <w:tcPr>
            <w:tcW w:w="41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14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ind w:right="51"/>
              <w:spacing w:after="0"/>
              <w:rPr>
                <w:sz w:val="20"/>
                <w:szCs w:val="20"/>
                <w:color w:val="auto"/>
              </w:rPr>
            </w:pPr>
            <w:r>
              <w:rPr>
                <w:rFonts w:ascii="Arial" w:cs="Arial" w:eastAsia="Arial" w:hAnsi="Arial"/>
                <w:sz w:val="16"/>
                <w:szCs w:val="16"/>
                <w:b w:val="1"/>
                <w:bCs w:val="1"/>
                <w:color w:val="auto"/>
                <w:w w:val="90"/>
              </w:rPr>
              <w:t>Vacation Ownership</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Party Management</w:t>
            </w:r>
          </w:p>
        </w:tc>
        <w:tc>
          <w:tcPr>
            <w:tcW w:w="120" w:type="dxa"/>
            <w:vAlign w:val="bottom"/>
            <w:tcBorders>
              <w:bottom w:val="single" w:sz="8" w:color="CCEEFF"/>
            </w:tcBorders>
          </w:tcPr>
          <w:p>
            <w:pPr>
              <w:spacing w:after="0"/>
              <w:rPr>
                <w:sz w:val="20"/>
                <w:szCs w:val="20"/>
                <w:color w:val="auto"/>
              </w:rPr>
            </w:pPr>
          </w:p>
        </w:tc>
        <w:tc>
          <w:tcPr>
            <w:tcW w:w="168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6"/>
                <w:szCs w:val="16"/>
                <w:b w:val="1"/>
                <w:bCs w:val="1"/>
                <w:color w:val="auto"/>
                <w:w w:val="99"/>
              </w:rPr>
              <w:t>Corporate and Other</w:t>
            </w:r>
          </w:p>
        </w:tc>
        <w:tc>
          <w:tcPr>
            <w:tcW w:w="12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71"/>
              <w:spacing w:after="0"/>
              <w:rPr>
                <w:sz w:val="20"/>
                <w:szCs w:val="20"/>
                <w:color w:val="auto"/>
              </w:rPr>
            </w:pPr>
            <w:r>
              <w:rPr>
                <w:rFonts w:ascii="Arial" w:cs="Arial" w:eastAsia="Arial" w:hAnsi="Arial"/>
                <w:sz w:val="16"/>
                <w:szCs w:val="16"/>
                <w:b w:val="1"/>
                <w:bCs w:val="1"/>
                <w:color w:val="auto"/>
              </w:rPr>
              <w:t>Total</w:t>
            </w:r>
          </w:p>
        </w:tc>
      </w:tr>
      <w:tr>
        <w:trPr>
          <w:trHeight w:val="250"/>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Sale of vacation ownership products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1093"/>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293</w:t>
            </w:r>
          </w:p>
        </w:tc>
      </w:tr>
      <w:tr>
        <w:trPr>
          <w:trHeight w:val="324"/>
        </w:trPr>
        <w:tc>
          <w:tcPr>
            <w:tcW w:w="4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50"/>
        </w:trPr>
        <w:tc>
          <w:tcPr>
            <w:tcW w:w="4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Ancillary revenues</w:t>
            </w: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w:t>
            </w:r>
          </w:p>
        </w:tc>
      </w:tr>
      <w:tr>
        <w:trPr>
          <w:trHeight w:val="243"/>
        </w:trPr>
        <w:tc>
          <w:tcPr>
            <w:tcW w:w="4160" w:type="dxa"/>
            <w:vAlign w:val="bottom"/>
          </w:tcPr>
          <w:p>
            <w:pPr>
              <w:ind w:left="280"/>
              <w:spacing w:after="0"/>
              <w:rPr>
                <w:sz w:val="20"/>
                <w:szCs w:val="20"/>
                <w:color w:val="auto"/>
              </w:rPr>
            </w:pPr>
            <w:r>
              <w:rPr>
                <w:rFonts w:ascii="Arial" w:cs="Arial" w:eastAsia="Arial" w:hAnsi="Arial"/>
                <w:sz w:val="18"/>
                <w:szCs w:val="18"/>
                <w:color w:val="auto"/>
              </w:rPr>
              <w:t>Management fee revenues</w:t>
            </w:r>
          </w:p>
        </w:tc>
        <w:tc>
          <w:tcPr>
            <w:tcW w:w="140" w:type="dxa"/>
            <w:vAlign w:val="bottom"/>
          </w:tcPr>
          <w:p>
            <w:pPr>
              <w:spacing w:after="0"/>
              <w:rPr>
                <w:sz w:val="21"/>
                <w:szCs w:val="21"/>
                <w:color w:val="auto"/>
              </w:rPr>
            </w:pPr>
          </w:p>
        </w:tc>
        <w:tc>
          <w:tcPr>
            <w:tcW w:w="1560" w:type="dxa"/>
            <w:vAlign w:val="bottom"/>
          </w:tcPr>
          <w:p>
            <w:pPr>
              <w:jc w:val="right"/>
              <w:ind w:right="31"/>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40" w:type="dxa"/>
            <w:vAlign w:val="bottom"/>
          </w:tcPr>
          <w:p>
            <w:pPr>
              <w:jc w:val="right"/>
              <w:ind w:right="12"/>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47</w:t>
            </w:r>
          </w:p>
        </w:tc>
      </w:tr>
      <w:tr>
        <w:trPr>
          <w:trHeight w:val="27"/>
        </w:trPr>
        <w:tc>
          <w:tcPr>
            <w:tcW w:w="4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4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services revenues</w:t>
            </w:r>
          </w:p>
        </w:tc>
        <w:tc>
          <w:tcPr>
            <w:tcW w:w="14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66</w:t>
            </w:r>
          </w:p>
        </w:tc>
        <w:tc>
          <w:tcPr>
            <w:tcW w:w="1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134</w:t>
            </w:r>
          </w:p>
        </w:tc>
      </w:tr>
      <w:tr>
        <w:trPr>
          <w:trHeight w:val="237"/>
        </w:trPr>
        <w:tc>
          <w:tcPr>
            <w:tcW w:w="4160" w:type="dxa"/>
            <w:vAlign w:val="bottom"/>
          </w:tcPr>
          <w:p>
            <w:pPr>
              <w:ind w:left="40"/>
              <w:spacing w:after="0"/>
              <w:rPr>
                <w:sz w:val="20"/>
                <w:szCs w:val="20"/>
                <w:color w:val="auto"/>
              </w:rPr>
            </w:pPr>
            <w:r>
              <w:rPr>
                <w:rFonts w:ascii="Arial" w:cs="Arial" w:eastAsia="Arial" w:hAnsi="Arial"/>
                <w:sz w:val="18"/>
                <w:szCs w:val="18"/>
                <w:color w:val="auto"/>
              </w:rPr>
              <w:t>Management and exchange</w:t>
            </w:r>
          </w:p>
        </w:tc>
        <w:tc>
          <w:tcPr>
            <w:tcW w:w="14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82</w:t>
            </w:r>
          </w:p>
        </w:tc>
        <w:tc>
          <w:tcPr>
            <w:tcW w:w="120" w:type="dxa"/>
            <w:vAlign w:val="bottom"/>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239</w:t>
            </w:r>
          </w:p>
        </w:tc>
      </w:tr>
      <w:tr>
        <w:trPr>
          <w:trHeight w:val="27"/>
        </w:trPr>
        <w:tc>
          <w:tcPr>
            <w:tcW w:w="4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324"/>
        </w:trPr>
        <w:tc>
          <w:tcPr>
            <w:tcW w:w="41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5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r>
      <w:tr>
        <w:trPr>
          <w:trHeight w:val="243"/>
        </w:trPr>
        <w:tc>
          <w:tcPr>
            <w:tcW w:w="4160" w:type="dxa"/>
            <w:vAlign w:val="bottom"/>
          </w:tcPr>
          <w:p>
            <w:pPr>
              <w:ind w:left="40"/>
              <w:spacing w:after="0"/>
              <w:rPr>
                <w:sz w:val="20"/>
                <w:szCs w:val="20"/>
                <w:color w:val="auto"/>
              </w:rPr>
            </w:pPr>
            <w:r>
              <w:rPr>
                <w:rFonts w:ascii="Arial" w:cs="Arial" w:eastAsia="Arial" w:hAnsi="Arial"/>
                <w:sz w:val="18"/>
                <w:szCs w:val="18"/>
                <w:color w:val="auto"/>
              </w:rPr>
              <w:t>Rental</w:t>
            </w:r>
          </w:p>
        </w:tc>
        <w:tc>
          <w:tcPr>
            <w:tcW w:w="140" w:type="dxa"/>
            <w:vAlign w:val="bottom"/>
          </w:tcPr>
          <w:p>
            <w:pPr>
              <w:spacing w:after="0"/>
              <w:rPr>
                <w:sz w:val="21"/>
                <w:szCs w:val="21"/>
                <w:color w:val="auto"/>
              </w:rPr>
            </w:pPr>
          </w:p>
        </w:tc>
        <w:tc>
          <w:tcPr>
            <w:tcW w:w="1560" w:type="dxa"/>
            <w:vAlign w:val="bottom"/>
          </w:tcPr>
          <w:p>
            <w:pPr>
              <w:jc w:val="right"/>
              <w:ind w:right="31"/>
              <w:spacing w:after="0"/>
              <w:rPr>
                <w:sz w:val="20"/>
                <w:szCs w:val="20"/>
                <w:color w:val="auto"/>
              </w:rPr>
            </w:pPr>
            <w:r>
              <w:rPr>
                <w:rFonts w:ascii="Arial" w:cs="Arial" w:eastAsia="Arial" w:hAnsi="Arial"/>
                <w:sz w:val="18"/>
                <w:szCs w:val="18"/>
                <w:color w:val="auto"/>
              </w:rPr>
              <w:t>129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40" w:type="dxa"/>
            <w:vAlign w:val="bottom"/>
          </w:tcPr>
          <w:p>
            <w:pPr>
              <w:jc w:val="right"/>
              <w:ind w:right="12"/>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38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147</w:t>
            </w:r>
          </w:p>
        </w:tc>
      </w:tr>
      <w:tr>
        <w:trPr>
          <w:trHeight w:val="27"/>
        </w:trPr>
        <w:tc>
          <w:tcPr>
            <w:tcW w:w="4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324"/>
        </w:trPr>
        <w:tc>
          <w:tcPr>
            <w:tcW w:w="41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5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r>
      <w:tr>
        <w:trPr>
          <w:trHeight w:val="243"/>
        </w:trPr>
        <w:tc>
          <w:tcPr>
            <w:tcW w:w="4160" w:type="dxa"/>
            <w:vAlign w:val="bottom"/>
          </w:tcPr>
          <w:p>
            <w:pPr>
              <w:ind w:left="40"/>
              <w:spacing w:after="0"/>
              <w:rPr>
                <w:sz w:val="20"/>
                <w:szCs w:val="20"/>
                <w:color w:val="auto"/>
              </w:rPr>
            </w:pPr>
            <w:r>
              <w:rPr>
                <w:rFonts w:ascii="Arial" w:cs="Arial" w:eastAsia="Arial" w:hAnsi="Arial"/>
                <w:sz w:val="18"/>
                <w:szCs w:val="18"/>
                <w:color w:val="auto"/>
              </w:rPr>
              <w:t>Cost reimbursements</w:t>
            </w:r>
          </w:p>
        </w:tc>
        <w:tc>
          <w:tcPr>
            <w:tcW w:w="140" w:type="dxa"/>
            <w:vAlign w:val="bottom"/>
          </w:tcPr>
          <w:p>
            <w:pPr>
              <w:spacing w:after="0"/>
              <w:rPr>
                <w:sz w:val="21"/>
                <w:szCs w:val="21"/>
                <w:color w:val="auto"/>
              </w:rPr>
            </w:pPr>
          </w:p>
        </w:tc>
        <w:tc>
          <w:tcPr>
            <w:tcW w:w="1560" w:type="dxa"/>
            <w:vAlign w:val="bottom"/>
          </w:tcPr>
          <w:p>
            <w:pPr>
              <w:jc w:val="right"/>
              <w:ind w:right="31"/>
              <w:spacing w:after="0"/>
              <w:rPr>
                <w:sz w:val="20"/>
                <w:szCs w:val="20"/>
                <w:color w:val="auto"/>
              </w:rPr>
            </w:pPr>
            <w:r>
              <w:rPr>
                <w:rFonts w:ascii="Arial" w:cs="Arial" w:eastAsia="Arial" w:hAnsi="Arial"/>
                <w:sz w:val="18"/>
                <w:szCs w:val="18"/>
                <w:color w:val="auto"/>
              </w:rPr>
              <w:t>291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40" w:type="dxa"/>
            <w:vAlign w:val="bottom"/>
          </w:tcPr>
          <w:p>
            <w:pPr>
              <w:jc w:val="right"/>
              <w:ind w:right="12"/>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99"/>
              </w:rPr>
              <w:t>(28)</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287</w:t>
            </w:r>
          </w:p>
        </w:tc>
      </w:tr>
      <w:tr>
        <w:trPr>
          <w:trHeight w:val="27"/>
        </w:trPr>
        <w:tc>
          <w:tcPr>
            <w:tcW w:w="41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4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Revenue from contracts with customers</w:t>
            </w: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838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123</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966</w:t>
            </w:r>
          </w:p>
        </w:tc>
      </w:tr>
      <w:tr>
        <w:trPr>
          <w:trHeight w:val="324"/>
        </w:trPr>
        <w:tc>
          <w:tcPr>
            <w:tcW w:w="4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70"/>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Financing</w:t>
            </w:r>
          </w:p>
        </w:tc>
        <w:tc>
          <w:tcPr>
            <w:tcW w:w="14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w:t>
            </w:r>
          </w:p>
        </w:tc>
      </w:tr>
      <w:tr>
        <w:trPr>
          <w:trHeight w:val="257"/>
        </w:trPr>
        <w:tc>
          <w:tcPr>
            <w:tcW w:w="4160" w:type="dxa"/>
            <w:vAlign w:val="bottom"/>
          </w:tcPr>
          <w:p>
            <w:pPr>
              <w:ind w:left="280"/>
              <w:spacing w:after="0"/>
              <w:rPr>
                <w:sz w:val="20"/>
                <w:szCs w:val="20"/>
                <w:color w:val="auto"/>
              </w:rPr>
            </w:pPr>
            <w:r>
              <w:rPr>
                <w:rFonts w:ascii="Arial" w:cs="Arial" w:eastAsia="Arial" w:hAnsi="Arial"/>
                <w:sz w:val="18"/>
                <w:szCs w:val="18"/>
                <w:color w:val="auto"/>
              </w:rPr>
              <w:t>Total Revenues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905</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124</w:t>
            </w:r>
          </w:p>
        </w:tc>
        <w:tc>
          <w:tcPr>
            <w:tcW w:w="120" w:type="dxa"/>
            <w:vAlign w:val="bottom"/>
          </w:tcPr>
          <w:p>
            <w:pPr>
              <w:spacing w:after="0"/>
              <w:rPr>
                <w:sz w:val="22"/>
                <w:szCs w:val="22"/>
                <w:color w:val="auto"/>
              </w:rPr>
            </w:pPr>
          </w:p>
        </w:tc>
        <w:tc>
          <w:tcPr>
            <w:tcW w:w="1300" w:type="dxa"/>
            <w:vAlign w:val="bottom"/>
            <w:tcBorders>
              <w:top w:val="single" w:sz="8" w:color="auto"/>
              <w:bottom w:val="single" w:sz="8" w:color="auto"/>
            </w:tcBorders>
          </w:tcPr>
          <w:p>
            <w:pPr>
              <w:jc w:val="right"/>
              <w:ind w:right="1093"/>
              <w:spacing w:after="0"/>
              <w:rPr>
                <w:sz w:val="20"/>
                <w:szCs w:val="20"/>
                <w:color w:val="auto"/>
              </w:rPr>
            </w:pPr>
            <w:r>
              <w:rPr>
                <w:rFonts w:ascii="Arial" w:cs="Arial" w:eastAsia="Arial" w:hAnsi="Arial"/>
                <w:sz w:val="18"/>
                <w:szCs w:val="18"/>
                <w:color w:val="auto"/>
                <w:w w:val="99"/>
              </w:rPr>
              <w:t>$</w:t>
            </w:r>
          </w:p>
        </w:tc>
        <w:tc>
          <w:tcPr>
            <w:tcW w:w="3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1,034</w:t>
            </w:r>
          </w:p>
        </w:tc>
      </w:tr>
      <w:tr>
        <w:trPr>
          <w:trHeight w:val="20"/>
        </w:trPr>
        <w:tc>
          <w:tcPr>
            <w:tcW w:w="4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Timing of Revenue from Contracts with Customers by Segment</w:t>
      </w:r>
    </w:p>
    <w:p>
      <w:pPr>
        <w:spacing w:after="0" w:line="9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detail the timing of revenue from contracts with customers by segment for the time periods presented.</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40"/>
        <w:spacing w:after="0"/>
        <w:rPr>
          <w:sz w:val="20"/>
          <w:szCs w:val="20"/>
          <w:color w:val="auto"/>
        </w:rPr>
      </w:pPr>
      <w:r>
        <w:rPr>
          <w:rFonts w:ascii="Arial" w:cs="Arial" w:eastAsia="Arial" w:hAnsi="Arial"/>
          <w:sz w:val="14"/>
          <w:szCs w:val="14"/>
          <w:b w:val="1"/>
          <w:bCs w:val="1"/>
          <w:i w:val="1"/>
          <w:iCs w:val="1"/>
          <w:color w:val="auto"/>
        </w:rPr>
        <w:t>($ in millions)</w:t>
      </w:r>
    </w:p>
    <w:p>
      <w:pPr>
        <w:spacing w:after="0" w:line="59" w:lineRule="exact"/>
        <w:rPr>
          <w:sz w:val="20"/>
          <w:szCs w:val="20"/>
          <w:color w:val="auto"/>
        </w:rPr>
      </w:pPr>
    </w:p>
    <w:p>
      <w:pPr>
        <w:ind w:left="40"/>
        <w:spacing w:after="0"/>
        <w:rPr>
          <w:sz w:val="20"/>
          <w:szCs w:val="20"/>
          <w:color w:val="auto"/>
        </w:rPr>
      </w:pPr>
      <w:r>
        <w:rPr>
          <w:rFonts w:ascii="Arial" w:cs="Arial" w:eastAsia="Arial" w:hAnsi="Arial"/>
          <w:sz w:val="18"/>
          <w:szCs w:val="18"/>
          <w:color w:val="auto"/>
        </w:rPr>
        <w:t>Services transferred over time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6"/>
          <w:szCs w:val="16"/>
          <w:color w:val="auto"/>
        </w:rPr>
        <w:t>Goods or services transferred at a point in time</w:t>
      </w:r>
    </w:p>
    <w:p>
      <w:pPr>
        <w:spacing w:after="0" w:line="113" w:lineRule="exact"/>
        <w:rPr>
          <w:sz w:val="20"/>
          <w:szCs w:val="20"/>
          <w:color w:val="auto"/>
        </w:rPr>
      </w:pPr>
    </w:p>
    <w:p>
      <w:pPr>
        <w:ind w:left="280"/>
        <w:spacing w:after="0"/>
        <w:rPr>
          <w:sz w:val="20"/>
          <w:szCs w:val="20"/>
          <w:color w:val="auto"/>
        </w:rPr>
      </w:pPr>
      <w:r>
        <w:rPr>
          <w:rFonts w:ascii="Arial" w:cs="Arial" w:eastAsia="Arial" w:hAnsi="Arial"/>
          <w:sz w:val="17"/>
          <w:szCs w:val="17"/>
          <w:color w:val="auto"/>
        </w:rPr>
        <w:t>Revenue from contracts with customers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40"/>
        <w:spacing w:after="0"/>
        <w:rPr>
          <w:sz w:val="20"/>
          <w:szCs w:val="20"/>
          <w:color w:val="auto"/>
        </w:rPr>
      </w:pPr>
      <w:r>
        <w:rPr>
          <w:rFonts w:ascii="Arial" w:cs="Arial" w:eastAsia="Arial" w:hAnsi="Arial"/>
          <w:sz w:val="14"/>
          <w:szCs w:val="14"/>
          <w:b w:val="1"/>
          <w:bCs w:val="1"/>
          <w:i w:val="1"/>
          <w:iCs w:val="1"/>
          <w:color w:val="auto"/>
        </w:rPr>
        <w:t>($ in millions)</w:t>
      </w:r>
    </w:p>
    <w:p>
      <w:pPr>
        <w:spacing w:after="0" w:line="59" w:lineRule="exact"/>
        <w:rPr>
          <w:sz w:val="20"/>
          <w:szCs w:val="20"/>
          <w:color w:val="auto"/>
        </w:rPr>
      </w:pPr>
    </w:p>
    <w:p>
      <w:pPr>
        <w:ind w:left="40"/>
        <w:spacing w:after="0"/>
        <w:rPr>
          <w:sz w:val="20"/>
          <w:szCs w:val="20"/>
          <w:color w:val="auto"/>
        </w:rPr>
      </w:pPr>
      <w:r>
        <w:rPr>
          <w:rFonts w:ascii="Arial" w:cs="Arial" w:eastAsia="Arial" w:hAnsi="Arial"/>
          <w:sz w:val="18"/>
          <w:szCs w:val="18"/>
          <w:color w:val="auto"/>
          <w:shd w:val="clear" w:color="auto" w:fill="CCEEFF"/>
        </w:rPr>
        <w:t>Services transferred over time</w:t>
      </w:r>
    </w:p>
    <w:p>
      <w:pPr>
        <w:spacing w:after="0" w:line="63" w:lineRule="exact"/>
        <w:rPr>
          <w:sz w:val="20"/>
          <w:szCs w:val="20"/>
          <w:color w:val="auto"/>
        </w:rPr>
      </w:pPr>
    </w:p>
    <w:p>
      <w:pPr>
        <w:ind w:left="280" w:right="480" w:hanging="242"/>
        <w:spacing w:after="0" w:line="447" w:lineRule="auto"/>
        <w:rPr>
          <w:sz w:val="20"/>
          <w:szCs w:val="20"/>
          <w:color w:val="auto"/>
        </w:rPr>
      </w:pPr>
      <w:r>
        <w:rPr>
          <w:rFonts w:ascii="Arial" w:cs="Arial" w:eastAsia="Arial" w:hAnsi="Arial"/>
          <w:sz w:val="16"/>
          <w:szCs w:val="16"/>
          <w:color w:val="auto"/>
        </w:rPr>
        <w:t>Goods or services transferred at a point in time Revenue from contracts with customers</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ind w:left="2040"/>
        <w:spacing w:after="0"/>
        <w:rPr>
          <w:sz w:val="20"/>
          <w:szCs w:val="20"/>
          <w:color w:val="auto"/>
        </w:rPr>
      </w:pPr>
      <w:r>
        <w:rPr>
          <w:rFonts w:ascii="Arial" w:cs="Arial" w:eastAsia="Arial" w:hAnsi="Arial"/>
          <w:sz w:val="16"/>
          <w:szCs w:val="16"/>
          <w:b w:val="1"/>
          <w:bCs w:val="1"/>
          <w:color w:val="auto"/>
        </w:rPr>
        <w:t>Three Months Ended March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37465</wp:posOffset>
            </wp:positionV>
            <wp:extent cx="420052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200525" cy="8890"/>
                    </a:xfrm>
                    <a:prstGeom prst="rect">
                      <a:avLst/>
                    </a:prstGeom>
                    <a:noFill/>
                  </pic:spPr>
                </pic:pic>
              </a:graphicData>
            </a:graphic>
          </wp:anchor>
        </w:drawing>
      </w:r>
    </w:p>
    <w:p>
      <w:pPr>
        <w:spacing w:after="0" w:line="66" w:lineRule="exact"/>
        <w:rPr>
          <w:sz w:val="20"/>
          <w:szCs w:val="20"/>
          <w:color w:val="auto"/>
        </w:rPr>
      </w:pPr>
    </w:p>
    <w:p>
      <w:pPr>
        <w:ind w:left="1820"/>
        <w:spacing w:after="0"/>
        <w:rPr>
          <w:sz w:val="20"/>
          <w:szCs w:val="20"/>
          <w:color w:val="auto"/>
        </w:rPr>
      </w:pPr>
      <w:r>
        <w:rPr>
          <w:rFonts w:ascii="Arial" w:cs="Arial" w:eastAsia="Arial" w:hAnsi="Arial"/>
          <w:sz w:val="16"/>
          <w:szCs w:val="16"/>
          <w:b w:val="1"/>
          <w:bCs w:val="1"/>
          <w:color w:val="auto"/>
        </w:rPr>
        <w:t>Exchange &amp; Third-</w:t>
      </w:r>
    </w:p>
    <w:p>
      <w:pPr>
        <w:spacing w:after="0" w:line="26" w:lineRule="exact"/>
        <w:rPr>
          <w:sz w:val="20"/>
          <w:szCs w:val="20"/>
          <w:color w:val="auto"/>
        </w:rPr>
      </w:pPr>
    </w:p>
    <w:p>
      <w:pPr>
        <w:ind w:left="100"/>
        <w:spacing w:after="0"/>
        <w:tabs>
          <w:tab w:leader="none" w:pos="1800" w:val="left"/>
          <w:tab w:leader="none" w:pos="3400" w:val="left"/>
          <w:tab w:leader="none" w:pos="5640" w:val="left"/>
        </w:tabs>
        <w:rPr>
          <w:sz w:val="20"/>
          <w:szCs w:val="20"/>
          <w:color w:val="auto"/>
        </w:rPr>
      </w:pPr>
      <w:r>
        <w:rPr>
          <w:rFonts w:ascii="Arial" w:cs="Arial" w:eastAsia="Arial" w:hAnsi="Arial"/>
          <w:sz w:val="16"/>
          <w:szCs w:val="16"/>
          <w:b w:val="1"/>
          <w:bCs w:val="1"/>
          <w:color w:val="auto"/>
        </w:rPr>
        <w:t>Vacation Ownership</w:t>
      </w:r>
      <w:r>
        <w:rPr>
          <w:sz w:val="20"/>
          <w:szCs w:val="20"/>
          <w:color w:val="auto"/>
        </w:rPr>
        <w:tab/>
      </w:r>
      <w:r>
        <w:rPr>
          <w:rFonts w:ascii="Arial" w:cs="Arial" w:eastAsia="Arial" w:hAnsi="Arial"/>
          <w:sz w:val="16"/>
          <w:szCs w:val="16"/>
          <w:b w:val="1"/>
          <w:bCs w:val="1"/>
          <w:color w:val="auto"/>
        </w:rPr>
        <w:t>Party Management</w:t>
        <w:tab/>
        <w:t>Corporate and Other</w:t>
      </w:r>
      <w:r>
        <w:rPr>
          <w:sz w:val="20"/>
          <w:szCs w:val="20"/>
          <w:color w:val="auto"/>
        </w:rPr>
        <w:tab/>
      </w:r>
      <w:r>
        <w:rPr>
          <w:rFonts w:ascii="Arial" w:cs="Arial" w:eastAsia="Arial" w:hAnsi="Arial"/>
          <w:sz w:val="15"/>
          <w:szCs w:val="15"/>
          <w:b w:val="1"/>
          <w:bCs w:val="1"/>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-2927985</wp:posOffset>
            </wp:positionH>
            <wp:positionV relativeFrom="paragraph">
              <wp:posOffset>33020</wp:posOffset>
            </wp:positionV>
            <wp:extent cx="7132320" cy="1803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0" w:type="dxa"/>
            <w:vAlign w:val="bottom"/>
          </w:tcPr>
          <w:p>
            <w:pPr>
              <w:jc w:val="right"/>
              <w:ind w:right="472"/>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530</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32"/>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0"/>
                <w:szCs w:val="20"/>
                <w:color w:val="auto"/>
              </w:rPr>
            </w:pPr>
          </w:p>
        </w:tc>
        <w:tc>
          <w:tcPr>
            <w:tcW w:w="1260" w:type="dxa"/>
            <w:vAlign w:val="bottom"/>
          </w:tcPr>
          <w:p>
            <w:pPr>
              <w:ind w:left="20"/>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579</w:t>
            </w:r>
          </w:p>
        </w:tc>
      </w:tr>
      <w:tr>
        <w:trPr>
          <w:trHeight w:val="270"/>
        </w:trPr>
        <w:tc>
          <w:tcPr>
            <w:tcW w:w="68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307</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60" w:type="dxa"/>
            <w:vAlign w:val="bottom"/>
          </w:tcPr>
          <w:p>
            <w:pPr>
              <w:jc w:val="right"/>
              <w:ind w:right="32"/>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w:t>
            </w:r>
          </w:p>
        </w:tc>
        <w:tc>
          <w:tcPr>
            <w:tcW w:w="360" w:type="dxa"/>
            <w:vAlign w:val="bottom"/>
          </w:tcPr>
          <w:p>
            <w:pPr>
              <w:spacing w:after="0"/>
              <w:rPr>
                <w:sz w:val="23"/>
                <w:szCs w:val="23"/>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359</w:t>
            </w:r>
          </w:p>
        </w:tc>
      </w:tr>
      <w:tr>
        <w:trPr>
          <w:trHeight w:val="27"/>
        </w:trPr>
        <w:tc>
          <w:tcPr>
            <w:tcW w:w="6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7"/>
        </w:trPr>
        <w:tc>
          <w:tcPr>
            <w:tcW w:w="680" w:type="dxa"/>
            <w:vAlign w:val="bottom"/>
          </w:tcPr>
          <w:p>
            <w:pPr>
              <w:jc w:val="right"/>
              <w:ind w:right="472"/>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837</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32"/>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20"/>
                <w:szCs w:val="20"/>
                <w:color w:val="auto"/>
              </w:rPr>
            </w:pPr>
          </w:p>
        </w:tc>
        <w:tc>
          <w:tcPr>
            <w:tcW w:w="1260" w:type="dxa"/>
            <w:vAlign w:val="bottom"/>
          </w:tcPr>
          <w:p>
            <w:pPr>
              <w:ind w:left="20"/>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938</w:t>
            </w:r>
          </w:p>
        </w:tc>
      </w:tr>
      <w:tr>
        <w:trPr>
          <w:trHeight w:val="27"/>
        </w:trPr>
        <w:tc>
          <w:tcPr>
            <w:tcW w:w="6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
        </w:trPr>
        <w:tc>
          <w:tcPr>
            <w:tcW w:w="6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406"/>
        </w:trPr>
        <w:tc>
          <w:tcPr>
            <w:tcW w:w="6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20" w:type="dxa"/>
            <w:vAlign w:val="bottom"/>
            <w:gridSpan w:val="3"/>
          </w:tcPr>
          <w:p>
            <w:pPr>
              <w:ind w:left="220"/>
              <w:spacing w:after="0"/>
              <w:rPr>
                <w:sz w:val="20"/>
                <w:szCs w:val="20"/>
                <w:color w:val="auto"/>
              </w:rPr>
            </w:pPr>
            <w:r>
              <w:rPr>
                <w:rFonts w:ascii="Arial" w:cs="Arial" w:eastAsia="Arial" w:hAnsi="Arial"/>
                <w:sz w:val="16"/>
                <w:szCs w:val="16"/>
                <w:b w:val="1"/>
                <w:bCs w:val="1"/>
                <w:color w:val="auto"/>
                <w:w w:val="93"/>
              </w:rPr>
              <w:t>Three Months Ended March 31, 2019</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33"/>
        </w:trPr>
        <w:tc>
          <w:tcPr>
            <w:tcW w:w="6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3"/>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9"/>
        </w:trPr>
        <w:tc>
          <w:tcPr>
            <w:tcW w:w="6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gridSpan w:val="3"/>
          </w:tcPr>
          <w:p>
            <w:pPr>
              <w:ind w:left="120"/>
              <w:spacing w:after="0"/>
              <w:rPr>
                <w:sz w:val="20"/>
                <w:szCs w:val="20"/>
                <w:color w:val="auto"/>
              </w:rPr>
            </w:pPr>
            <w:r>
              <w:rPr>
                <w:rFonts w:ascii="Arial" w:cs="Arial" w:eastAsia="Arial" w:hAnsi="Arial"/>
                <w:sz w:val="16"/>
                <w:szCs w:val="16"/>
                <w:b w:val="1"/>
                <w:bCs w:val="1"/>
                <w:color w:val="auto"/>
              </w:rPr>
              <w:t>Exchange &amp; Third-</w:t>
            </w:r>
          </w:p>
        </w:tc>
        <w:tc>
          <w:tcPr>
            <w:tcW w:w="1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0"/>
        </w:trPr>
        <w:tc>
          <w:tcPr>
            <w:tcW w:w="1700" w:type="dxa"/>
            <w:vAlign w:val="bottom"/>
            <w:gridSpan w:val="3"/>
          </w:tcPr>
          <w:p>
            <w:pPr>
              <w:ind w:left="100"/>
              <w:spacing w:after="0"/>
              <w:rPr>
                <w:sz w:val="20"/>
                <w:szCs w:val="20"/>
                <w:color w:val="auto"/>
              </w:rPr>
            </w:pPr>
            <w:r>
              <w:rPr>
                <w:rFonts w:ascii="Arial" w:cs="Arial" w:eastAsia="Arial" w:hAnsi="Arial"/>
                <w:sz w:val="16"/>
                <w:szCs w:val="16"/>
                <w:b w:val="1"/>
                <w:bCs w:val="1"/>
                <w:color w:val="auto"/>
              </w:rPr>
              <w:t>Vacation Ownership</w:t>
            </w:r>
          </w:p>
        </w:tc>
        <w:tc>
          <w:tcPr>
            <w:tcW w:w="120" w:type="dxa"/>
            <w:vAlign w:val="bottom"/>
          </w:tcPr>
          <w:p>
            <w:pPr>
              <w:spacing w:after="0"/>
              <w:rPr>
                <w:sz w:val="18"/>
                <w:szCs w:val="18"/>
                <w:color w:val="auto"/>
              </w:rPr>
            </w:pPr>
          </w:p>
        </w:tc>
        <w:tc>
          <w:tcPr>
            <w:tcW w:w="1560" w:type="dxa"/>
            <w:vAlign w:val="bottom"/>
            <w:gridSpan w:val="2"/>
          </w:tcPr>
          <w:p>
            <w:pPr>
              <w:spacing w:after="0"/>
              <w:rPr>
                <w:sz w:val="20"/>
                <w:szCs w:val="20"/>
                <w:color w:val="auto"/>
              </w:rPr>
            </w:pPr>
            <w:r>
              <w:rPr>
                <w:rFonts w:ascii="Arial" w:cs="Arial" w:eastAsia="Arial" w:hAnsi="Arial"/>
                <w:sz w:val="16"/>
                <w:szCs w:val="16"/>
                <w:b w:val="1"/>
                <w:bCs w:val="1"/>
                <w:color w:val="auto"/>
              </w:rPr>
              <w:t>Party Management</w:t>
            </w:r>
          </w:p>
        </w:tc>
        <w:tc>
          <w:tcPr>
            <w:tcW w:w="1680" w:type="dxa"/>
            <w:vAlign w:val="bottom"/>
            <w:gridSpan w:val="3"/>
          </w:tcPr>
          <w:p>
            <w:pPr>
              <w:ind w:left="40"/>
              <w:spacing w:after="0"/>
              <w:rPr>
                <w:sz w:val="20"/>
                <w:szCs w:val="20"/>
                <w:color w:val="auto"/>
              </w:rPr>
            </w:pPr>
            <w:r>
              <w:rPr>
                <w:rFonts w:ascii="Arial" w:cs="Arial" w:eastAsia="Arial" w:hAnsi="Arial"/>
                <w:sz w:val="16"/>
                <w:szCs w:val="16"/>
                <w:b w:val="1"/>
                <w:bCs w:val="1"/>
                <w:color w:val="auto"/>
              </w:rPr>
              <w:t>Corporate and Other</w:t>
            </w:r>
          </w:p>
        </w:tc>
        <w:tc>
          <w:tcPr>
            <w:tcW w:w="360" w:type="dxa"/>
            <w:vAlign w:val="bottom"/>
          </w:tcPr>
          <w:p>
            <w:pPr>
              <w:spacing w:after="0"/>
              <w:rPr>
                <w:sz w:val="18"/>
                <w:szCs w:val="18"/>
                <w:color w:val="auto"/>
              </w:rPr>
            </w:pPr>
          </w:p>
        </w:tc>
        <w:tc>
          <w:tcPr>
            <w:tcW w:w="1200" w:type="dxa"/>
            <w:vAlign w:val="bottom"/>
          </w:tcPr>
          <w:p>
            <w:pPr>
              <w:jc w:val="right"/>
              <w:ind w:right="511"/>
              <w:spacing w:after="0"/>
              <w:rPr>
                <w:sz w:val="20"/>
                <w:szCs w:val="20"/>
                <w:color w:val="auto"/>
              </w:rPr>
            </w:pPr>
            <w:r>
              <w:rPr>
                <w:rFonts w:ascii="Arial" w:cs="Arial" w:eastAsia="Arial" w:hAnsi="Arial"/>
                <w:sz w:val="16"/>
                <w:szCs w:val="16"/>
                <w:b w:val="1"/>
                <w:bCs w:val="1"/>
                <w:color w:val="auto"/>
              </w:rPr>
              <w:t>Total</w:t>
            </w:r>
          </w:p>
        </w:tc>
      </w:tr>
      <w:tr>
        <w:trPr>
          <w:trHeight w:val="33"/>
        </w:trPr>
        <w:tc>
          <w:tcPr>
            <w:tcW w:w="6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7"/>
        </w:trPr>
        <w:tc>
          <w:tcPr>
            <w:tcW w:w="680" w:type="dxa"/>
            <w:vAlign w:val="bottom"/>
          </w:tcPr>
          <w:p>
            <w:pPr>
              <w:jc w:val="right"/>
              <w:ind w:right="472"/>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489</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32"/>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20"/>
                <w:szCs w:val="20"/>
                <w:color w:val="auto"/>
              </w:rPr>
            </w:pPr>
          </w:p>
        </w:tc>
        <w:tc>
          <w:tcPr>
            <w:tcW w:w="1260" w:type="dxa"/>
            <w:vAlign w:val="bottom"/>
          </w:tcPr>
          <w:p>
            <w:pPr>
              <w:ind w:left="2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553</w:t>
            </w:r>
          </w:p>
        </w:tc>
      </w:tr>
      <w:tr>
        <w:trPr>
          <w:trHeight w:val="270"/>
        </w:trPr>
        <w:tc>
          <w:tcPr>
            <w:tcW w:w="68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349</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60" w:type="dxa"/>
            <w:vAlign w:val="bottom"/>
          </w:tcPr>
          <w:p>
            <w:pPr>
              <w:jc w:val="right"/>
              <w:ind w:right="32"/>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w:t>
            </w:r>
          </w:p>
        </w:tc>
        <w:tc>
          <w:tcPr>
            <w:tcW w:w="360" w:type="dxa"/>
            <w:vAlign w:val="bottom"/>
          </w:tcPr>
          <w:p>
            <w:pPr>
              <w:spacing w:after="0"/>
              <w:rPr>
                <w:sz w:val="23"/>
                <w:szCs w:val="23"/>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413</w:t>
            </w:r>
          </w:p>
        </w:tc>
      </w:tr>
      <w:tr>
        <w:trPr>
          <w:trHeight w:val="27"/>
        </w:trPr>
        <w:tc>
          <w:tcPr>
            <w:tcW w:w="6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7"/>
        </w:trPr>
        <w:tc>
          <w:tcPr>
            <w:tcW w:w="680" w:type="dxa"/>
            <w:vAlign w:val="bottom"/>
          </w:tcPr>
          <w:p>
            <w:pPr>
              <w:jc w:val="right"/>
              <w:ind w:right="472"/>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838</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32"/>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20"/>
                <w:szCs w:val="20"/>
                <w:color w:val="auto"/>
              </w:rPr>
            </w:pPr>
          </w:p>
        </w:tc>
        <w:tc>
          <w:tcPr>
            <w:tcW w:w="1260" w:type="dxa"/>
            <w:vAlign w:val="bottom"/>
          </w:tcPr>
          <w:p>
            <w:pPr>
              <w:ind w:left="2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966</w:t>
            </w:r>
          </w:p>
        </w:tc>
      </w:tr>
      <w:tr>
        <w:trPr>
          <w:trHeight w:val="27"/>
        </w:trPr>
        <w:tc>
          <w:tcPr>
            <w:tcW w:w="6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
        </w:trPr>
        <w:tc>
          <w:tcPr>
            <w:tcW w:w="6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-2927985</wp:posOffset>
            </wp:positionH>
            <wp:positionV relativeFrom="paragraph">
              <wp:posOffset>-1353820</wp:posOffset>
            </wp:positionV>
            <wp:extent cx="7132320" cy="1885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-2927985</wp:posOffset>
            </wp:positionH>
            <wp:positionV relativeFrom="paragraph">
              <wp:posOffset>-556260</wp:posOffset>
            </wp:positionV>
            <wp:extent cx="7132320" cy="1797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9705"/>
                    </a:xfrm>
                    <a:prstGeom prst="rect">
                      <a:avLst/>
                    </a:prstGeom>
                    <a:noFill/>
                  </pic:spPr>
                </pic:pic>
              </a:graphicData>
            </a:graphic>
          </wp:anchor>
        </w:drawing>
        <w:drawing>
          <wp:anchor simplePos="0" relativeHeight="251657728" behindDoc="1" locked="0" layoutInCell="0" allowOverlap="1">
            <wp:simplePos x="0" y="0"/>
            <wp:positionH relativeFrom="column">
              <wp:posOffset>-2927985</wp:posOffset>
            </wp:positionH>
            <wp:positionV relativeFrom="paragraph">
              <wp:posOffset>-205105</wp:posOffset>
            </wp:positionV>
            <wp:extent cx="7132320" cy="1885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304" w:lineRule="exact"/>
        <w:rPr>
          <w:sz w:val="20"/>
          <w:szCs w:val="20"/>
          <w:color w:val="auto"/>
        </w:rPr>
      </w:pPr>
    </w:p>
    <w:p>
      <w:pPr>
        <w:sectPr>
          <w:pgSz w:w="11900" w:h="16838" w:orient="portrait"/>
          <w:cols w:equalWidth="0" w:num="2">
            <w:col w:w="3900" w:space="720"/>
            <w:col w:w="6620"/>
          </w:cols>
          <w:pgMar w:left="320" w:top="125" w:right="339" w:bottom="1440" w:gutter="0" w:footer="0" w:header="0"/>
          <w:type w:val="continuous"/>
        </w:sectPr>
      </w:pP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 of Vacation Ownership Products</w:t>
      </w:r>
    </w:p>
    <w:p>
      <w:pPr>
        <w:spacing w:after="0" w:line="117" w:lineRule="exact"/>
        <w:rPr>
          <w:sz w:val="20"/>
          <w:szCs w:val="20"/>
          <w:color w:val="auto"/>
        </w:rPr>
      </w:pPr>
    </w:p>
    <w:p>
      <w:pPr>
        <w:ind w:right="220" w:firstLine="661"/>
        <w:spacing w:after="0" w:line="277" w:lineRule="auto"/>
        <w:rPr>
          <w:sz w:val="20"/>
          <w:szCs w:val="20"/>
          <w:color w:val="auto"/>
        </w:rPr>
      </w:pPr>
      <w:r>
        <w:rPr>
          <w:rFonts w:ascii="Arial" w:cs="Arial" w:eastAsia="Arial" w:hAnsi="Arial"/>
          <w:sz w:val="18"/>
          <w:szCs w:val="18"/>
          <w:color w:val="auto"/>
        </w:rPr>
        <w:t>Revenues were reduced during the first quarter of 2020 by $46 million due to changes in our estimate of variable consideration for performance obligations that were satisfied in prior periods.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320" w:top="125" w:right="339" w:bottom="1440" w:gutter="0" w:footer="0" w:header="0"/>
          <w:type w:val="continuous"/>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Receivables, Contract Assets &amp; Contract Liabilities</w:t>
      </w:r>
    </w:p>
    <w:p>
      <w:pPr>
        <w:spacing w:after="0" w:line="117" w:lineRule="exact"/>
        <w:rPr>
          <w:sz w:val="20"/>
          <w:szCs w:val="20"/>
          <w:color w:val="auto"/>
        </w:rPr>
      </w:pPr>
    </w:p>
    <w:p>
      <w:pPr>
        <w:ind w:right="540" w:firstLine="648"/>
        <w:spacing w:after="0" w:line="277" w:lineRule="auto"/>
        <w:rPr>
          <w:sz w:val="20"/>
          <w:szCs w:val="20"/>
          <w:color w:val="auto"/>
        </w:rPr>
      </w:pPr>
      <w:r>
        <w:rPr>
          <w:rFonts w:ascii="Arial" w:cs="Arial" w:eastAsia="Arial" w:hAnsi="Arial"/>
          <w:sz w:val="18"/>
          <w:szCs w:val="18"/>
          <w:color w:val="auto"/>
        </w:rPr>
        <w:t>The following table shows the composition of our receivables and contract liabilities. We had no contract assets at either March 31, 2020 or December 31, 2019.</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64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300" w:type="dxa"/>
            <w:vAlign w:val="bottom"/>
          </w:tcPr>
          <w:p>
            <w:pPr>
              <w:spacing w:after="0"/>
              <w:rPr>
                <w:sz w:val="20"/>
                <w:szCs w:val="20"/>
                <w:color w:val="auto"/>
              </w:rPr>
            </w:pPr>
          </w:p>
        </w:tc>
        <w:tc>
          <w:tcPr>
            <w:tcW w:w="2060" w:type="dxa"/>
            <w:vAlign w:val="bottom"/>
            <w:gridSpan w:val="2"/>
          </w:tcPr>
          <w:p>
            <w:pPr>
              <w:ind w:left="180"/>
              <w:spacing w:after="0"/>
              <w:rPr>
                <w:sz w:val="20"/>
                <w:szCs w:val="20"/>
                <w:color w:val="auto"/>
              </w:rPr>
            </w:pPr>
            <w:r>
              <w:rPr>
                <w:rFonts w:ascii="Arial" w:cs="Arial" w:eastAsia="Arial" w:hAnsi="Arial"/>
                <w:sz w:val="16"/>
                <w:szCs w:val="16"/>
                <w:b w:val="1"/>
                <w:bCs w:val="1"/>
                <w:color w:val="auto"/>
              </w:rPr>
              <w:t>At March 31, 2020</w:t>
            </w:r>
          </w:p>
        </w:tc>
        <w:tc>
          <w:tcPr>
            <w:tcW w:w="240" w:type="dxa"/>
            <w:vAlign w:val="bottom"/>
          </w:tcPr>
          <w:p>
            <w:pPr>
              <w:spacing w:after="0"/>
              <w:rPr>
                <w:sz w:val="20"/>
                <w:szCs w:val="20"/>
                <w:color w:val="auto"/>
              </w:rPr>
            </w:pPr>
          </w:p>
        </w:tc>
        <w:tc>
          <w:tcPr>
            <w:tcW w:w="2000" w:type="dxa"/>
            <w:vAlign w:val="bottom"/>
          </w:tcPr>
          <w:p>
            <w:pPr>
              <w:jc w:val="right"/>
              <w:ind w:right="271"/>
              <w:spacing w:after="0"/>
              <w:rPr>
                <w:sz w:val="20"/>
                <w:szCs w:val="20"/>
                <w:color w:val="auto"/>
              </w:rPr>
            </w:pPr>
            <w:r>
              <w:rPr>
                <w:rFonts w:ascii="Arial" w:cs="Arial" w:eastAsia="Arial" w:hAnsi="Arial"/>
                <w:sz w:val="16"/>
                <w:szCs w:val="16"/>
                <w:b w:val="1"/>
                <w:bCs w:val="1"/>
                <w:color w:val="auto"/>
                <w:w w:val="97"/>
              </w:rPr>
              <w:t>At December 31, 2019</w:t>
            </w:r>
          </w:p>
        </w:tc>
      </w:tr>
      <w:tr>
        <w:trPr>
          <w:trHeight w:val="250"/>
        </w:trPr>
        <w:tc>
          <w:tcPr>
            <w:tcW w:w="66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Receivables</w:t>
            </w: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9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200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6640" w:type="dxa"/>
            <w:vAlign w:val="bottom"/>
          </w:tcPr>
          <w:p>
            <w:pPr>
              <w:ind w:left="280"/>
              <w:spacing w:after="0"/>
              <w:rPr>
                <w:sz w:val="20"/>
                <w:szCs w:val="20"/>
                <w:color w:val="auto"/>
              </w:rPr>
            </w:pPr>
            <w:r>
              <w:rPr>
                <w:rFonts w:ascii="Arial" w:cs="Arial" w:eastAsia="Arial" w:hAnsi="Arial"/>
                <w:sz w:val="18"/>
                <w:szCs w:val="18"/>
                <w:color w:val="auto"/>
              </w:rPr>
              <w:t>Accounts receivable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960" w:type="dxa"/>
            <w:vAlign w:val="bottom"/>
          </w:tcPr>
          <w:p>
            <w:pPr>
              <w:jc w:val="right"/>
              <w:ind w:right="31"/>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2000" w:type="dxa"/>
            <w:vAlign w:val="bottom"/>
          </w:tcPr>
          <w:p>
            <w:pPr>
              <w:jc w:val="right"/>
              <w:ind w:right="11"/>
              <w:spacing w:after="0"/>
              <w:rPr>
                <w:sz w:val="20"/>
                <w:szCs w:val="20"/>
                <w:color w:val="auto"/>
              </w:rPr>
            </w:pPr>
            <w:r>
              <w:rPr>
                <w:rFonts w:ascii="Arial" w:cs="Arial" w:eastAsia="Arial" w:hAnsi="Arial"/>
                <w:sz w:val="18"/>
                <w:szCs w:val="18"/>
                <w:color w:val="auto"/>
              </w:rPr>
              <w:t>166</w:t>
            </w:r>
          </w:p>
        </w:tc>
      </w:tr>
      <w:tr>
        <w:trPr>
          <w:trHeight w:val="27"/>
        </w:trPr>
        <w:tc>
          <w:tcPr>
            <w:tcW w:w="6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70"/>
        </w:trPr>
        <w:tc>
          <w:tcPr>
            <w:tcW w:w="66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Vacation ownership notes receivable, net</w:t>
            </w:r>
          </w:p>
        </w:tc>
        <w:tc>
          <w:tcPr>
            <w:tcW w:w="300" w:type="dxa"/>
            <w:vAlign w:val="bottom"/>
            <w:tcBorders>
              <w:bottom w:val="single" w:sz="8" w:color="CCEEFF"/>
            </w:tcBorders>
            <w:shd w:val="clear" w:color="auto" w:fill="CCEEFF"/>
          </w:tcPr>
          <w:p>
            <w:pPr>
              <w:spacing w:after="0"/>
              <w:rPr>
                <w:sz w:val="23"/>
                <w:szCs w:val="23"/>
                <w:color w:val="auto"/>
              </w:rPr>
            </w:pPr>
          </w:p>
        </w:tc>
        <w:tc>
          <w:tcPr>
            <w:tcW w:w="1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2,159</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2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2,233</w:t>
            </w:r>
          </w:p>
        </w:tc>
      </w:tr>
      <w:tr>
        <w:trPr>
          <w:trHeight w:val="237"/>
        </w:trPr>
        <w:tc>
          <w:tcPr>
            <w:tcW w:w="664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2,282</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2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2,399</w:t>
            </w:r>
          </w:p>
        </w:tc>
      </w:tr>
      <w:tr>
        <w:trPr>
          <w:trHeight w:val="67"/>
        </w:trPr>
        <w:tc>
          <w:tcPr>
            <w:tcW w:w="664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9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2000" w:type="dxa"/>
            <w:vAlign w:val="bottom"/>
            <w:tcBorders>
              <w:bottom w:val="single" w:sz="8" w:color="auto"/>
            </w:tcBorders>
          </w:tcPr>
          <w:p>
            <w:pPr>
              <w:spacing w:after="0"/>
              <w:rPr>
                <w:sz w:val="5"/>
                <w:szCs w:val="5"/>
                <w:color w:val="auto"/>
              </w:rPr>
            </w:pPr>
          </w:p>
        </w:tc>
      </w:tr>
      <w:tr>
        <w:trPr>
          <w:trHeight w:val="231"/>
        </w:trPr>
        <w:tc>
          <w:tcPr>
            <w:tcW w:w="664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Contract Liabilities</w:t>
            </w:r>
          </w:p>
        </w:tc>
        <w:tc>
          <w:tcPr>
            <w:tcW w:w="300" w:type="dxa"/>
            <w:vAlign w:val="bottom"/>
            <w:tcBorders>
              <w:bottom w:val="single" w:sz="8" w:color="CCEEFF"/>
            </w:tcBorders>
            <w:shd w:val="clear" w:color="auto" w:fill="CCEEFF"/>
          </w:tcPr>
          <w:p>
            <w:pPr>
              <w:spacing w:after="0"/>
              <w:rPr>
                <w:sz w:val="20"/>
                <w:szCs w:val="20"/>
                <w:color w:val="auto"/>
              </w:rPr>
            </w:pPr>
          </w:p>
        </w:tc>
        <w:tc>
          <w:tcPr>
            <w:tcW w:w="1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2000" w:type="dxa"/>
            <w:vAlign w:val="bottom"/>
            <w:tcBorders>
              <w:bottom w:val="single" w:sz="8" w:color="CCEEFF"/>
            </w:tcBorders>
            <w:shd w:val="clear" w:color="auto" w:fill="CCEEFF"/>
          </w:tcPr>
          <w:p>
            <w:pPr>
              <w:spacing w:after="0"/>
              <w:rPr>
                <w:sz w:val="20"/>
                <w:szCs w:val="20"/>
                <w:color w:val="auto"/>
              </w:rPr>
            </w:pPr>
          </w:p>
        </w:tc>
      </w:tr>
      <w:tr>
        <w:trPr>
          <w:trHeight w:val="243"/>
        </w:trPr>
        <w:tc>
          <w:tcPr>
            <w:tcW w:w="6640" w:type="dxa"/>
            <w:vAlign w:val="bottom"/>
          </w:tcPr>
          <w:p>
            <w:pPr>
              <w:ind w:left="280"/>
              <w:spacing w:after="0"/>
              <w:rPr>
                <w:sz w:val="20"/>
                <w:szCs w:val="20"/>
                <w:color w:val="auto"/>
              </w:rPr>
            </w:pPr>
            <w:r>
              <w:rPr>
                <w:rFonts w:ascii="Arial" w:cs="Arial" w:eastAsia="Arial" w:hAnsi="Arial"/>
                <w:sz w:val="18"/>
                <w:szCs w:val="18"/>
                <w:color w:val="auto"/>
              </w:rPr>
              <w:t>Advance deposits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960" w:type="dxa"/>
            <w:vAlign w:val="bottom"/>
          </w:tcPr>
          <w:p>
            <w:pPr>
              <w:jc w:val="right"/>
              <w:ind w:right="31"/>
              <w:spacing w:after="0"/>
              <w:rPr>
                <w:sz w:val="20"/>
                <w:szCs w:val="20"/>
                <w:color w:val="auto"/>
              </w:rPr>
            </w:pPr>
            <w:r>
              <w:rPr>
                <w:rFonts w:ascii="Arial" w:cs="Arial" w:eastAsia="Arial" w:hAnsi="Arial"/>
                <w:sz w:val="18"/>
                <w:szCs w:val="18"/>
                <w:color w:val="auto"/>
              </w:rPr>
              <w:t>161</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2000" w:type="dxa"/>
            <w:vAlign w:val="bottom"/>
          </w:tcPr>
          <w:p>
            <w:pPr>
              <w:jc w:val="right"/>
              <w:ind w:right="11"/>
              <w:spacing w:after="0"/>
              <w:rPr>
                <w:sz w:val="20"/>
                <w:szCs w:val="20"/>
                <w:color w:val="auto"/>
              </w:rPr>
            </w:pPr>
            <w:r>
              <w:rPr>
                <w:rFonts w:ascii="Arial" w:cs="Arial" w:eastAsia="Arial" w:hAnsi="Arial"/>
                <w:sz w:val="18"/>
                <w:szCs w:val="18"/>
                <w:color w:val="auto"/>
              </w:rPr>
              <w:t>187</w:t>
            </w:r>
          </w:p>
        </w:tc>
      </w:tr>
      <w:tr>
        <w:trPr>
          <w:trHeight w:val="27"/>
        </w:trPr>
        <w:tc>
          <w:tcPr>
            <w:tcW w:w="6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70"/>
        </w:trPr>
        <w:tc>
          <w:tcPr>
            <w:tcW w:w="66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Deferred revenue</w:t>
            </w:r>
          </w:p>
        </w:tc>
        <w:tc>
          <w:tcPr>
            <w:tcW w:w="300" w:type="dxa"/>
            <w:vAlign w:val="bottom"/>
            <w:tcBorders>
              <w:bottom w:val="single" w:sz="8" w:color="CCEEFF"/>
            </w:tcBorders>
            <w:shd w:val="clear" w:color="auto" w:fill="CCEEFF"/>
          </w:tcPr>
          <w:p>
            <w:pPr>
              <w:spacing w:after="0"/>
              <w:rPr>
                <w:sz w:val="23"/>
                <w:szCs w:val="23"/>
                <w:color w:val="auto"/>
              </w:rPr>
            </w:pPr>
          </w:p>
        </w:tc>
        <w:tc>
          <w:tcPr>
            <w:tcW w:w="1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536</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2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433</w:t>
            </w:r>
          </w:p>
        </w:tc>
      </w:tr>
      <w:tr>
        <w:trPr>
          <w:trHeight w:val="237"/>
        </w:trPr>
        <w:tc>
          <w:tcPr>
            <w:tcW w:w="664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697</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2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620</w:t>
            </w:r>
          </w:p>
        </w:tc>
      </w:tr>
      <w:tr>
        <w:trPr>
          <w:trHeight w:val="27"/>
        </w:trPr>
        <w:tc>
          <w:tcPr>
            <w:tcW w:w="66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r>
      <w:tr>
        <w:trPr>
          <w:trHeight w:val="20"/>
        </w:trPr>
        <w:tc>
          <w:tcPr>
            <w:tcW w:w="66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Revenue recognized during the first quarter of 2020 that was included in our contract liabilities balance at December 31, 2019 was $117 million.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Remaining Performance Obligations</w:t>
      </w:r>
    </w:p>
    <w:p>
      <w:pPr>
        <w:spacing w:after="0" w:line="158" w:lineRule="exact"/>
        <w:rPr>
          <w:sz w:val="20"/>
          <w:szCs w:val="20"/>
          <w:color w:val="auto"/>
        </w:rPr>
      </w:pPr>
    </w:p>
    <w:p>
      <w:pPr>
        <w:ind w:right="780" w:firstLine="648"/>
        <w:spacing w:after="0" w:line="263" w:lineRule="auto"/>
        <w:rPr>
          <w:sz w:val="20"/>
          <w:szCs w:val="20"/>
          <w:color w:val="auto"/>
        </w:rPr>
      </w:pPr>
      <w:r>
        <w:rPr>
          <w:rFonts w:ascii="Arial" w:cs="Arial" w:eastAsia="Arial" w:hAnsi="Arial"/>
          <w:sz w:val="18"/>
          <w:szCs w:val="18"/>
          <w:color w:val="auto"/>
        </w:rPr>
        <w:t>Our remaining performance obligations represent the expected transaction price allocated to our contracts that we expect to recognize as revenue in future periods when we perform under the contracts. At March 31, 2020, approximately 90 percent of this amount is expected to be recognized as revenue over the next two years.</w:t>
      </w:r>
    </w:p>
    <w:p>
      <w:pPr>
        <w:spacing w:after="0" w:line="200" w:lineRule="exact"/>
        <w:rPr>
          <w:sz w:val="20"/>
          <w:szCs w:val="20"/>
          <w:color w:val="auto"/>
        </w:rPr>
      </w:pPr>
    </w:p>
    <w:p>
      <w:pPr>
        <w:spacing w:after="0" w:line="250" w:lineRule="exact"/>
        <w:rPr>
          <w:sz w:val="20"/>
          <w:szCs w:val="20"/>
          <w:color w:val="auto"/>
        </w:rPr>
      </w:pPr>
    </w:p>
    <w:p>
      <w:pPr>
        <w:ind w:left="380" w:hanging="345"/>
        <w:spacing w:after="0"/>
        <w:tabs>
          <w:tab w:leader="none" w:pos="38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48" w:lineRule="exact"/>
        <w:rPr>
          <w:sz w:val="20"/>
          <w:szCs w:val="20"/>
          <w:color w:val="auto"/>
        </w:rPr>
      </w:pPr>
    </w:p>
    <w:p>
      <w:pPr>
        <w:ind w:right="220" w:firstLine="648"/>
        <w:spacing w:after="0" w:line="263" w:lineRule="auto"/>
        <w:rPr>
          <w:sz w:val="20"/>
          <w:szCs w:val="20"/>
          <w:color w:val="auto"/>
        </w:rPr>
      </w:pPr>
      <w:r>
        <w:rPr>
          <w:rFonts w:ascii="Arial" w:cs="Arial" w:eastAsia="Arial" w:hAnsi="Arial"/>
          <w:sz w:val="18"/>
          <w:szCs w:val="18"/>
          <w:color w:val="auto"/>
        </w:rPr>
        <w:t>Our provision for income taxes is calculated using an estimated annual effective tax rate, based upon expected annual income, less losses in certain jurisdictions, permanent items, statutory rates and planned tax strategies in the various jurisdictions in which we operate. However, discrete items related to prior year tax items are treated separately.</w:t>
      </w:r>
    </w:p>
    <w:p>
      <w:pPr>
        <w:spacing w:after="0" w:line="76"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Our interim effective tax rate was 35.4 percent and 40.4 percent for the three months ended March 31, 2020 and March 31, 2019, respectively. The decrease in effective tax rate is predominately attributable to a pre-tax loss and a release in uncertain tax benefits for the three months ended March 31, 2020, and a change in our projected mix of earnings in international jurisdictions with differing tax rates and jurisdictions where valuation allowances are recorded.</w:t>
      </w:r>
    </w:p>
    <w:p>
      <w:pPr>
        <w:spacing w:after="0" w:line="79" w:lineRule="exact"/>
        <w:rPr>
          <w:sz w:val="20"/>
          <w:szCs w:val="20"/>
          <w:color w:val="auto"/>
        </w:rPr>
      </w:pPr>
    </w:p>
    <w:p>
      <w:pPr>
        <w:ind w:right="160" w:firstLine="648"/>
        <w:spacing w:after="0" w:line="275" w:lineRule="auto"/>
        <w:rPr>
          <w:sz w:val="20"/>
          <w:szCs w:val="20"/>
          <w:color w:val="auto"/>
        </w:rPr>
      </w:pPr>
      <w:r>
        <w:rPr>
          <w:rFonts w:ascii="Arial" w:cs="Arial" w:eastAsia="Arial" w:hAnsi="Arial"/>
          <w:sz w:val="17"/>
          <w:szCs w:val="17"/>
          <w:color w:val="auto"/>
        </w:rPr>
        <w:t>We have considered the income tax accounting and disclosure implications of the relief provided by the Coronavirus Aid, Relief, and Economic Security Act (the “CARES Act”) enacted on March 27, 2020. As of March 31, 2020, we evaluated the income tax provisions of the CARES Act and have determined there to be no effect on either the March 31, 2020 tax rate or the computation of the estimated effective tax rate for the year ended December 31, 2020. We will continue to evaluate the income tax provisions of the CARES Act and monitor the developments in the jurisdictions where we have significant operations for tax law changes that could have income tax accounting and disclosure implications.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Unrecognized Tax Benefits</w:t>
      </w:r>
    </w:p>
    <w:p>
      <w:pPr>
        <w:spacing w:after="0" w:line="117"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The following table summarizes the activity related to our unrecognized tax benefits (excluding interest and penalties) during the three months ended March 31, 2020.</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92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20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w w:val="93"/>
              </w:rPr>
              <w:t>Unrecognized Tax Benefits</w:t>
            </w:r>
          </w:p>
        </w:tc>
      </w:tr>
      <w:tr>
        <w:trPr>
          <w:trHeight w:val="250"/>
        </w:trPr>
        <w:tc>
          <w:tcPr>
            <w:tcW w:w="9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2019</w:t>
            </w:r>
          </w:p>
        </w:tc>
        <w:tc>
          <w:tcPr>
            <w:tcW w:w="900" w:type="dxa"/>
            <w:vAlign w:val="bottom"/>
            <w:tcBorders>
              <w:bottom w:val="single" w:sz="8" w:color="CCEEFF"/>
            </w:tcBorders>
            <w:shd w:val="clear" w:color="auto" w:fill="CCEEFF"/>
          </w:tcPr>
          <w:p>
            <w:pPr>
              <w:jc w:val="right"/>
              <w:ind w:right="693"/>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w:t>
            </w:r>
          </w:p>
        </w:tc>
      </w:tr>
      <w:tr>
        <w:trPr>
          <w:trHeight w:val="243"/>
        </w:trPr>
        <w:tc>
          <w:tcPr>
            <w:tcW w:w="9220" w:type="dxa"/>
            <w:vAlign w:val="bottom"/>
          </w:tcPr>
          <w:p>
            <w:pPr>
              <w:ind w:left="280"/>
              <w:spacing w:after="0"/>
              <w:rPr>
                <w:sz w:val="20"/>
                <w:szCs w:val="20"/>
                <w:color w:val="auto"/>
              </w:rPr>
            </w:pPr>
            <w:r>
              <w:rPr>
                <w:rFonts w:ascii="Arial" w:cs="Arial" w:eastAsia="Arial" w:hAnsi="Arial"/>
                <w:sz w:val="18"/>
                <w:szCs w:val="18"/>
                <w:color w:val="auto"/>
              </w:rPr>
              <w:t>Decreases related to settlements with taxing authorities</w:t>
            </w:r>
          </w:p>
        </w:tc>
        <w:tc>
          <w:tcPr>
            <w:tcW w:w="9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7"/>
        </w:trPr>
        <w:tc>
          <w:tcPr>
            <w:tcW w:w="9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92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Decreases related to tax positions taken during a prior period</w:t>
            </w:r>
          </w:p>
        </w:tc>
        <w:tc>
          <w:tcPr>
            <w:tcW w:w="9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36"/>
        </w:trPr>
        <w:tc>
          <w:tcPr>
            <w:tcW w:w="9220" w:type="dxa"/>
            <w:vAlign w:val="bottom"/>
          </w:tcPr>
          <w:p>
            <w:pPr>
              <w:ind w:left="40"/>
              <w:spacing w:after="0"/>
              <w:rPr>
                <w:sz w:val="20"/>
                <w:szCs w:val="20"/>
                <w:color w:val="auto"/>
              </w:rPr>
            </w:pPr>
            <w:r>
              <w:rPr>
                <w:rFonts w:ascii="Arial" w:cs="Arial" w:eastAsia="Arial" w:hAnsi="Arial"/>
                <w:sz w:val="18"/>
                <w:szCs w:val="18"/>
                <w:color w:val="auto"/>
              </w:rPr>
              <w:t>Balance at March 31, 2020</w:t>
            </w:r>
          </w:p>
        </w:tc>
        <w:tc>
          <w:tcPr>
            <w:tcW w:w="900" w:type="dxa"/>
            <w:vAlign w:val="bottom"/>
            <w:tcBorders>
              <w:top w:val="single" w:sz="8" w:color="auto"/>
            </w:tcBorders>
          </w:tcPr>
          <w:p>
            <w:pPr>
              <w:jc w:val="right"/>
              <w:ind w:right="693"/>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w:t>
            </w:r>
          </w:p>
        </w:tc>
      </w:tr>
      <w:tr>
        <w:trPr>
          <w:trHeight w:val="27"/>
        </w:trPr>
        <w:tc>
          <w:tcPr>
            <w:tcW w:w="92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92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The total unrecognized tax benefits related to uncertain income tax positions, which would affect the effective tax rate if recognized, was $10 million at March 31, 2020 and $21 million at December 31, 2019. The total amount of gross interest and penalties accrued was $17 million at March 31, 2020 and $41 million at December 31, 2019. The decrease in our unrecognized tax benefits, including interest and penalties, is offset by a $32 million expense to (Losses) gains and other (expense) income, net for amounts previously recorded as indemnified pursuant to a Tax Matters Agreement dated May 11, 2016, (the “Tax</w:t>
      </w:r>
    </w:p>
    <w:p>
      <w:pPr>
        <w:sectPr>
          <w:pgSz w:w="11900" w:h="16838" w:orient="portrait"/>
          <w:cols w:equalWidth="0" w:num="1">
            <w:col w:w="11240"/>
          </w:cols>
          <w:pgMar w:left="320" w:top="125" w:right="339" w:bottom="1440" w:gutter="0" w:footer="0" w:header="0"/>
        </w:sectPr>
      </w:pP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240"/>
          </w:cols>
          <w:pgMar w:left="320" w:top="125" w:right="339" w:bottom="1440" w:gutter="0" w:footer="0" w:header="0"/>
          <w:type w:val="continuous"/>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spacing w:after="0"/>
        <w:rPr>
          <w:sz w:val="20"/>
          <w:szCs w:val="20"/>
          <w:color w:val="auto"/>
        </w:rPr>
      </w:pPr>
      <w:r>
        <w:rPr>
          <w:rFonts w:ascii="Arial" w:cs="Arial" w:eastAsia="Arial" w:hAnsi="Arial"/>
          <w:sz w:val="16"/>
          <w:szCs w:val="16"/>
          <w:color w:val="auto"/>
        </w:rPr>
        <w:t>Matters Agreement”) by and among Starwood Hotels &amp; Resorts Worldwide, Inc., Vistana Signature Experiences, Inc., and Interval Leisure Group, Inc.</w:t>
      </w:r>
    </w:p>
    <w:p>
      <w:pPr>
        <w:spacing w:after="0" w:line="140"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We anticipate $10 million of unrecognized tax benefits, including interest and penalties, to be indemnified pursuant to the Tax Matters Agreement and consequently have recorded a corresponding indemnification asset. The unrecognized tax benefits, including accrued interest and penalties, are included in other liabilities on our Balance Sheet.</w:t>
      </w:r>
    </w:p>
    <w:p>
      <w:pPr>
        <w:spacing w:after="0" w:line="76" w:lineRule="exact"/>
        <w:rPr>
          <w:sz w:val="20"/>
          <w:szCs w:val="20"/>
          <w:color w:val="auto"/>
        </w:rPr>
      </w:pPr>
    </w:p>
    <w:p>
      <w:pPr>
        <w:jc w:val="both"/>
        <w:ind w:right="140" w:firstLine="648"/>
        <w:spacing w:after="0" w:line="286" w:lineRule="auto"/>
        <w:rPr>
          <w:sz w:val="20"/>
          <w:szCs w:val="20"/>
          <w:color w:val="auto"/>
        </w:rPr>
      </w:pPr>
      <w:r>
        <w:rPr>
          <w:rFonts w:ascii="Arial" w:cs="Arial" w:eastAsia="Arial" w:hAnsi="Arial"/>
          <w:sz w:val="17"/>
          <w:szCs w:val="17"/>
          <w:color w:val="auto"/>
        </w:rPr>
        <w:t>Our income tax returns are subject to examination by relevant tax authorities. Certain of our returns are being audited in various jurisdictions for tax years 2012 through 2017. We reasonably expect the amount of the unrecognized tax benefits will decrease within the next twelve months as a result of certain agreed upon audit settlements with tax authorities, which would not have an impact on net income.</w:t>
      </w:r>
    </w:p>
    <w:p>
      <w:pPr>
        <w:spacing w:after="0" w:line="200" w:lineRule="exact"/>
        <w:rPr>
          <w:sz w:val="20"/>
          <w:szCs w:val="20"/>
          <w:color w:val="auto"/>
        </w:rPr>
      </w:pPr>
    </w:p>
    <w:p>
      <w:pPr>
        <w:spacing w:after="0" w:line="231" w:lineRule="exact"/>
        <w:rPr>
          <w:sz w:val="20"/>
          <w:szCs w:val="20"/>
          <w:color w:val="auto"/>
        </w:rPr>
      </w:pPr>
    </w:p>
    <w:p>
      <w:pPr>
        <w:ind w:left="380" w:hanging="345"/>
        <w:spacing w:after="0"/>
        <w:tabs>
          <w:tab w:leader="none" w:pos="38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VACATION OWNERSHIP NOTES RECEIVABLE</w:t>
      </w:r>
    </w:p>
    <w:p>
      <w:pPr>
        <w:spacing w:after="0" w:line="36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shows the composition of our vacation ownership notes receivable balances, net of reserves.</w:t>
      </w:r>
    </w:p>
    <w:p>
      <w:pPr>
        <w:spacing w:after="0" w:line="185"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3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3"/>
          </w:tcPr>
          <w:p>
            <w:pPr>
              <w:ind w:left="80"/>
              <w:spacing w:after="0"/>
              <w:rPr>
                <w:sz w:val="20"/>
                <w:szCs w:val="20"/>
                <w:color w:val="auto"/>
              </w:rPr>
            </w:pPr>
            <w:r>
              <w:rPr>
                <w:rFonts w:ascii="Arial" w:cs="Arial" w:eastAsia="Arial" w:hAnsi="Arial"/>
                <w:sz w:val="16"/>
                <w:szCs w:val="16"/>
                <w:b w:val="1"/>
                <w:bCs w:val="1"/>
                <w:color w:val="auto"/>
              </w:rPr>
              <w:t>March 31, 2020</w:t>
            </w: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40" w:type="dxa"/>
            <w:vAlign w:val="bottom"/>
            <w:gridSpan w:val="4"/>
          </w:tcPr>
          <w:p>
            <w:pPr>
              <w:ind w:left="80"/>
              <w:spacing w:after="0"/>
              <w:rPr>
                <w:sz w:val="20"/>
                <w:szCs w:val="20"/>
                <w:color w:val="auto"/>
              </w:rPr>
            </w:pPr>
            <w:r>
              <w:rPr>
                <w:rFonts w:ascii="Arial" w:cs="Arial" w:eastAsia="Arial" w:hAnsi="Arial"/>
                <w:sz w:val="16"/>
                <w:szCs w:val="16"/>
                <w:b w:val="1"/>
                <w:bCs w:val="1"/>
                <w:color w:val="auto"/>
                <w:w w:val="92"/>
              </w:rPr>
              <w:t>December 31, 2019</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33"/>
        </w:trPr>
        <w:tc>
          <w:tcPr>
            <w:tcW w:w="32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7"/>
        </w:trPr>
        <w:tc>
          <w:tcPr>
            <w:tcW w:w="32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172"/>
              <w:spacing w:after="0"/>
              <w:rPr>
                <w:sz w:val="20"/>
                <w:szCs w:val="20"/>
                <w:color w:val="auto"/>
              </w:rPr>
            </w:pPr>
            <w:r>
              <w:rPr>
                <w:rFonts w:ascii="Arial" w:cs="Arial" w:eastAsia="Arial" w:hAnsi="Arial"/>
                <w:sz w:val="16"/>
                <w:szCs w:val="16"/>
                <w:b w:val="1"/>
                <w:bCs w:val="1"/>
                <w:color w:val="auto"/>
                <w:w w:val="99"/>
              </w:rPr>
              <w:t>Originated</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192"/>
              <w:spacing w:after="0"/>
              <w:rPr>
                <w:sz w:val="20"/>
                <w:szCs w:val="20"/>
                <w:color w:val="auto"/>
              </w:rPr>
            </w:pPr>
            <w:r>
              <w:rPr>
                <w:rFonts w:ascii="Arial" w:cs="Arial" w:eastAsia="Arial" w:hAnsi="Arial"/>
                <w:sz w:val="16"/>
                <w:szCs w:val="16"/>
                <w:b w:val="1"/>
                <w:bCs w:val="1"/>
                <w:color w:val="auto"/>
              </w:rPr>
              <w:t>Acquired</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52"/>
              <w:spacing w:after="0"/>
              <w:rPr>
                <w:sz w:val="20"/>
                <w:szCs w:val="20"/>
                <w:color w:val="auto"/>
              </w:rPr>
            </w:pPr>
            <w:r>
              <w:rPr>
                <w:rFonts w:ascii="Arial" w:cs="Arial" w:eastAsia="Arial" w:hAnsi="Arial"/>
                <w:sz w:val="16"/>
                <w:szCs w:val="16"/>
                <w:b w:val="1"/>
                <w:bCs w:val="1"/>
                <w:color w:val="auto"/>
              </w:rPr>
              <w:t>Total</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52"/>
              <w:spacing w:after="0"/>
              <w:rPr>
                <w:sz w:val="20"/>
                <w:szCs w:val="20"/>
                <w:color w:val="auto"/>
              </w:rPr>
            </w:pPr>
            <w:r>
              <w:rPr>
                <w:rFonts w:ascii="Arial" w:cs="Arial" w:eastAsia="Arial" w:hAnsi="Arial"/>
                <w:sz w:val="16"/>
                <w:szCs w:val="16"/>
                <w:b w:val="1"/>
                <w:bCs w:val="1"/>
                <w:color w:val="auto"/>
                <w:w w:val="99"/>
              </w:rPr>
              <w:t>Originated</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212"/>
              <w:spacing w:after="0"/>
              <w:rPr>
                <w:sz w:val="20"/>
                <w:szCs w:val="20"/>
                <w:color w:val="auto"/>
              </w:rPr>
            </w:pPr>
            <w:r>
              <w:rPr>
                <w:rFonts w:ascii="Arial" w:cs="Arial" w:eastAsia="Arial" w:hAnsi="Arial"/>
                <w:sz w:val="16"/>
                <w:szCs w:val="16"/>
                <w:b w:val="1"/>
                <w:bCs w:val="1"/>
                <w:color w:val="auto"/>
              </w:rPr>
              <w:t>Acquired</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52"/>
              <w:spacing w:after="0"/>
              <w:rPr>
                <w:sz w:val="20"/>
                <w:szCs w:val="20"/>
                <w:color w:val="auto"/>
              </w:rPr>
            </w:pPr>
            <w:r>
              <w:rPr>
                <w:rFonts w:ascii="Arial" w:cs="Arial" w:eastAsia="Arial" w:hAnsi="Arial"/>
                <w:sz w:val="16"/>
                <w:szCs w:val="16"/>
                <w:b w:val="1"/>
                <w:bCs w:val="1"/>
                <w:color w:val="auto"/>
              </w:rPr>
              <w:t>Total</w:t>
            </w:r>
          </w:p>
        </w:tc>
      </w:tr>
      <w:tr>
        <w:trPr>
          <w:trHeight w:val="250"/>
        </w:trPr>
        <w:tc>
          <w:tcPr>
            <w:tcW w:w="32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Securitized</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1,466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1,822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1,378</w:t>
            </w:r>
          </w:p>
        </w:tc>
        <w:tc>
          <w:tcPr>
            <w:tcW w:w="3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372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1,750</w:t>
            </w:r>
          </w:p>
        </w:tc>
      </w:tr>
      <w:tr>
        <w:trPr>
          <w:trHeight w:val="243"/>
        </w:trPr>
        <w:tc>
          <w:tcPr>
            <w:tcW w:w="3240" w:type="dxa"/>
            <w:vAlign w:val="bottom"/>
          </w:tcPr>
          <w:p>
            <w:pPr>
              <w:ind w:left="160"/>
              <w:spacing w:after="0"/>
              <w:rPr>
                <w:sz w:val="20"/>
                <w:szCs w:val="20"/>
                <w:color w:val="auto"/>
              </w:rPr>
            </w:pPr>
            <w:r>
              <w:rPr>
                <w:rFonts w:ascii="Arial" w:cs="Arial" w:eastAsia="Arial" w:hAnsi="Arial"/>
                <w:sz w:val="18"/>
                <w:szCs w:val="18"/>
                <w:color w:val="auto"/>
              </w:rPr>
              <w:t>Non-securitized</w:t>
            </w: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3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32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Eligible for securitization</w:t>
            </w:r>
            <w:r>
              <w:rPr>
                <w:rFonts w:ascii="Arial" w:cs="Arial" w:eastAsia="Arial" w:hAnsi="Arial"/>
                <w:sz w:val="21"/>
                <w:szCs w:val="21"/>
                <w:color w:val="auto"/>
                <w:vertAlign w:val="superscript"/>
              </w:rPr>
              <w:t>(1)</w:t>
            </w:r>
          </w:p>
        </w:tc>
        <w:tc>
          <w:tcPr>
            <w:tcW w:w="18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70</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77</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155</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165</w:t>
            </w:r>
          </w:p>
        </w:tc>
      </w:tr>
      <w:tr>
        <w:trPr>
          <w:trHeight w:val="270"/>
        </w:trPr>
        <w:tc>
          <w:tcPr>
            <w:tcW w:w="324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Not eligible for securitization</w:t>
            </w:r>
            <w:r>
              <w:rPr>
                <w:rFonts w:ascii="Arial" w:cs="Arial" w:eastAsia="Arial" w:hAnsi="Arial"/>
                <w:sz w:val="21"/>
                <w:szCs w:val="21"/>
                <w:color w:val="auto"/>
                <w:vertAlign w:val="superscript"/>
              </w:rPr>
              <w:t>(1)</w:t>
            </w:r>
          </w:p>
        </w:tc>
        <w:tc>
          <w:tcPr>
            <w:tcW w:w="18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232</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28</w:t>
            </w:r>
          </w:p>
        </w:tc>
        <w:tc>
          <w:tcPr>
            <w:tcW w:w="12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260</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261</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57</w:t>
            </w:r>
          </w:p>
        </w:tc>
        <w:tc>
          <w:tcPr>
            <w:tcW w:w="10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318</w:t>
            </w:r>
          </w:p>
        </w:tc>
      </w:tr>
      <w:tr>
        <w:trPr>
          <w:trHeight w:val="263"/>
        </w:trPr>
        <w:tc>
          <w:tcPr>
            <w:tcW w:w="3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Subtotal</w:t>
            </w: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302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337</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67</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483</w:t>
            </w:r>
          </w:p>
        </w:tc>
      </w:tr>
      <w:tr>
        <w:trPr>
          <w:trHeight w:val="237"/>
        </w:trPr>
        <w:tc>
          <w:tcPr>
            <w:tcW w:w="324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1,768</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391</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2,159</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1,794</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439</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2,233</w:t>
            </w:r>
          </w:p>
        </w:tc>
      </w:tr>
      <w:tr>
        <w:trPr>
          <w:trHeight w:val="27"/>
        </w:trPr>
        <w:tc>
          <w:tcPr>
            <w:tcW w:w="32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0"/>
        </w:trPr>
        <w:tc>
          <w:tcPr>
            <w:tcW w:w="3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w:t>
      </w:r>
    </w:p>
    <w:p>
      <w:pPr>
        <w:spacing w:after="0" w:line="6" w:lineRule="exact"/>
        <w:rPr>
          <w:sz w:val="20"/>
          <w:szCs w:val="20"/>
          <w:color w:val="auto"/>
        </w:rPr>
      </w:pPr>
    </w:p>
    <w:p>
      <w:pPr>
        <w:ind w:left="660" w:hanging="652"/>
        <w:spacing w:after="0"/>
        <w:tabs>
          <w:tab w:leader="none" w:pos="660" w:val="left"/>
        </w:tabs>
        <w:numPr>
          <w:ilvl w:val="0"/>
          <w:numId w:val="9"/>
        </w:numPr>
        <w:rPr>
          <w:rFonts w:ascii="Arial" w:cs="Arial" w:eastAsia="Arial" w:hAnsi="Arial"/>
          <w:sz w:val="25"/>
          <w:szCs w:val="25"/>
          <w:color w:val="auto"/>
          <w:vertAlign w:val="superscript"/>
        </w:rPr>
      </w:pPr>
      <w:r>
        <w:rPr>
          <w:rFonts w:ascii="Arial" w:cs="Arial" w:eastAsia="Arial" w:hAnsi="Arial"/>
          <w:sz w:val="18"/>
          <w:szCs w:val="18"/>
          <w:color w:val="auto"/>
        </w:rPr>
        <w:t>Refer to Footnote 7 “Financial Instruments” for a discussion of eligibility of our vacation ownership notes receivable for securitization.</w:t>
      </w:r>
    </w:p>
    <w:p>
      <w:pPr>
        <w:spacing w:after="0" w:line="202"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We reflect interest income associated with vacation ownership notes receivable in our Income Statements in the Financing revenues caption. The following table summarizes interest income associated with vacation ownership notes receivable.</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60" w:type="dxa"/>
            <w:vAlign w:val="bottom"/>
            <w:gridSpan w:val="4"/>
          </w:tcPr>
          <w:p>
            <w:pPr>
              <w:jc w:val="right"/>
              <w:ind w:right="672"/>
              <w:spacing w:after="0"/>
              <w:rPr>
                <w:sz w:val="20"/>
                <w:szCs w:val="20"/>
                <w:color w:val="auto"/>
              </w:rPr>
            </w:pPr>
            <w:r>
              <w:rPr>
                <w:rFonts w:ascii="Arial" w:cs="Arial" w:eastAsia="Arial" w:hAnsi="Arial"/>
                <w:sz w:val="16"/>
                <w:szCs w:val="16"/>
                <w:b w:val="1"/>
                <w:bCs w:val="1"/>
                <w:color w:val="auto"/>
              </w:rPr>
              <w:t>Three Months Ended</w:t>
            </w:r>
          </w:p>
        </w:tc>
      </w:tr>
      <w:tr>
        <w:trPr>
          <w:trHeight w:val="33"/>
        </w:trPr>
        <w:tc>
          <w:tcPr>
            <w:tcW w:w="82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8"/>
        </w:trPr>
        <w:tc>
          <w:tcPr>
            <w:tcW w:w="822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160" w:type="dxa"/>
            <w:vAlign w:val="bottom"/>
          </w:tcPr>
          <w:p>
            <w:pPr>
              <w:spacing w:after="0"/>
              <w:rPr>
                <w:sz w:val="22"/>
                <w:szCs w:val="22"/>
                <w:color w:val="auto"/>
              </w:rPr>
            </w:pPr>
          </w:p>
        </w:tc>
        <w:tc>
          <w:tcPr>
            <w:tcW w:w="1400" w:type="dxa"/>
            <w:vAlign w:val="bottom"/>
            <w:gridSpan w:val="2"/>
          </w:tcPr>
          <w:p>
            <w:pPr>
              <w:ind w:left="20"/>
              <w:spacing w:after="0"/>
              <w:rPr>
                <w:sz w:val="20"/>
                <w:szCs w:val="20"/>
                <w:color w:val="auto"/>
              </w:rPr>
            </w:pPr>
            <w:r>
              <w:rPr>
                <w:rFonts w:ascii="Arial" w:cs="Arial" w:eastAsia="Arial" w:hAnsi="Arial"/>
                <w:sz w:val="16"/>
                <w:szCs w:val="16"/>
                <w:b w:val="1"/>
                <w:bCs w:val="1"/>
                <w:color w:val="auto"/>
              </w:rPr>
              <w:t>March 31, 2020</w:t>
            </w:r>
          </w:p>
        </w:tc>
        <w:tc>
          <w:tcPr>
            <w:tcW w:w="160" w:type="dxa"/>
            <w:vAlign w:val="bottom"/>
          </w:tcPr>
          <w:p>
            <w:pPr>
              <w:spacing w:after="0"/>
              <w:rPr>
                <w:sz w:val="22"/>
                <w:szCs w:val="22"/>
                <w:color w:val="auto"/>
              </w:rPr>
            </w:pPr>
          </w:p>
        </w:tc>
        <w:tc>
          <w:tcPr>
            <w:tcW w:w="1300" w:type="dxa"/>
            <w:vAlign w:val="bottom"/>
          </w:tcPr>
          <w:p>
            <w:pPr>
              <w:jc w:val="right"/>
              <w:ind w:right="112"/>
              <w:spacing w:after="0"/>
              <w:rPr>
                <w:sz w:val="20"/>
                <w:szCs w:val="20"/>
                <w:color w:val="auto"/>
              </w:rPr>
            </w:pPr>
            <w:r>
              <w:rPr>
                <w:rFonts w:ascii="Arial" w:cs="Arial" w:eastAsia="Arial" w:hAnsi="Arial"/>
                <w:sz w:val="16"/>
                <w:szCs w:val="16"/>
                <w:b w:val="1"/>
                <w:bCs w:val="1"/>
                <w:color w:val="auto"/>
                <w:w w:val="94"/>
              </w:rPr>
              <w:t>March 31, 2019</w:t>
            </w:r>
          </w:p>
        </w:tc>
      </w:tr>
      <w:tr>
        <w:trPr>
          <w:trHeight w:val="249"/>
        </w:trPr>
        <w:tc>
          <w:tcPr>
            <w:tcW w:w="82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 associated with vacation ownership notes receivable — securitized</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59</w:t>
            </w:r>
          </w:p>
        </w:tc>
      </w:tr>
      <w:tr>
        <w:trPr>
          <w:trHeight w:val="243"/>
        </w:trPr>
        <w:tc>
          <w:tcPr>
            <w:tcW w:w="8220" w:type="dxa"/>
            <w:vAlign w:val="bottom"/>
          </w:tcPr>
          <w:p>
            <w:pPr>
              <w:ind w:left="40"/>
              <w:spacing w:after="0"/>
              <w:rPr>
                <w:sz w:val="20"/>
                <w:szCs w:val="20"/>
                <w:color w:val="auto"/>
              </w:rPr>
            </w:pPr>
            <w:r>
              <w:rPr>
                <w:rFonts w:ascii="Arial" w:cs="Arial" w:eastAsia="Arial" w:hAnsi="Arial"/>
                <w:sz w:val="18"/>
                <w:szCs w:val="18"/>
                <w:color w:val="auto"/>
              </w:rPr>
              <w:t>Interest income associated with vacation ownership notes receivable — non-securitized</w:t>
            </w:r>
          </w:p>
        </w:tc>
        <w:tc>
          <w:tcPr>
            <w:tcW w:w="160" w:type="dxa"/>
            <w:vAlign w:val="bottom"/>
          </w:tcPr>
          <w:p>
            <w:pPr>
              <w:spacing w:after="0"/>
              <w:rPr>
                <w:sz w:val="21"/>
                <w:szCs w:val="21"/>
                <w:color w:val="auto"/>
              </w:rPr>
            </w:pPr>
          </w:p>
        </w:tc>
        <w:tc>
          <w:tcPr>
            <w:tcW w:w="1300" w:type="dxa"/>
            <w:vAlign w:val="bottom"/>
          </w:tcPr>
          <w:p>
            <w:pPr>
              <w:jc w:val="right"/>
              <w:ind w:right="34"/>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6</w:t>
            </w:r>
          </w:p>
        </w:tc>
      </w:tr>
      <w:tr>
        <w:trPr>
          <w:trHeight w:val="27"/>
        </w:trPr>
        <w:tc>
          <w:tcPr>
            <w:tcW w:w="8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8"/>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interest income associated with vacation ownership notes receivable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65</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COVID-19 Impact on Vacation Ownership Notes Receivable Reserves</w:t>
      </w:r>
    </w:p>
    <w:p>
      <w:pPr>
        <w:spacing w:after="0" w:line="117"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We evaluated our vacation ownership notes receivable reserves in light of the COVID-19 pandemic, using a reference point of the performance of our vacation ownership notes receivable in response to the 2008/2009 financial crisis. Using this information, we increased our estimated default rates by approximately 50 percent for a 15 month period, to align with the period over which we experienced increased defaults during the previous recessionary period. As a result, we increased our vacation ownership notes receivable reserves by $52 million in the first quarter. This was reflected as a $42 million reduction to Sale of vacation ownership products, a $10 million increase in Financing expenses, and a $15 million reduction in Cost of vacation ownership products on our Income Statement for the first quarter of 2020.</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Acquired Vacation Ownership Notes Receivable</w:t>
      </w:r>
    </w:p>
    <w:p>
      <w:pPr>
        <w:spacing w:after="0" w:line="117"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As part of the ILG Acquisition, we acquired existing portfolios of vacation ownership notes receivable. At acquisition, we recorded these vacation ownership notes receivable at fair value. Upon adoption of ASU 2016-13 on January 1, 2020, we established a reserve for credit losses and a corresponding increase in the book value of the acquired vacation ownership notes receivable, resulting in no impact to the recorded balance. In addition, we established a noncredit discount of $2 million, which represents the difference between the amortized cost basis and the par value of our acquired vacation ownership notes receivable. The noncredit discount will be amortized to interest expense over the contractual life of the acquired vacation ownership notes receivable and is recorded as Financing expenses on our Income Statements.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40"/>
          </w:cols>
          <w:pgMar w:left="320" w:top="125" w:right="3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activity related to our acquired vacation ownership notes receivable reserve.</w:t>
      </w:r>
    </w:p>
    <w:p>
      <w:pPr>
        <w:spacing w:after="0" w:line="185" w:lineRule="exact"/>
        <w:rPr>
          <w:sz w:val="20"/>
          <w:szCs w:val="20"/>
          <w:color w:val="auto"/>
        </w:rPr>
      </w:pPr>
    </w:p>
    <w:tbl>
      <w:tblPr>
        <w:tblLayout w:type="fixed"/>
        <w:tblInd w:w="1040" w:type="dxa"/>
        <w:tblCellMar>
          <w:top w:w="0" w:type="dxa"/>
          <w:left w:w="0" w:type="dxa"/>
          <w:bottom w:w="0" w:type="dxa"/>
          <w:right w:w="0" w:type="dxa"/>
        </w:tblCellMar>
      </w:tblPr>
      <w:tr>
        <w:trPr>
          <w:trHeight w:val="210"/>
        </w:trPr>
        <w:tc>
          <w:tcPr>
            <w:tcW w:w="4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80" w:type="dxa"/>
            <w:vAlign w:val="bottom"/>
            <w:gridSpan w:val="6"/>
          </w:tcPr>
          <w:p>
            <w:pPr>
              <w:jc w:val="right"/>
              <w:spacing w:after="0"/>
              <w:rPr>
                <w:sz w:val="20"/>
                <w:szCs w:val="20"/>
                <w:color w:val="auto"/>
              </w:rPr>
            </w:pPr>
            <w:r>
              <w:rPr>
                <w:rFonts w:ascii="Arial" w:cs="Arial" w:eastAsia="Arial" w:hAnsi="Arial"/>
                <w:sz w:val="16"/>
                <w:szCs w:val="16"/>
                <w:b w:val="1"/>
                <w:bCs w:val="1"/>
                <w:color w:val="auto"/>
                <w:w w:val="96"/>
              </w:rPr>
              <w:t>Acquired Vacation Ownership Notes Receivable Reserve</w:t>
            </w:r>
          </w:p>
        </w:tc>
        <w:tc>
          <w:tcPr>
            <w:tcW w:w="340" w:type="dxa"/>
            <w:vAlign w:val="bottom"/>
          </w:tcPr>
          <w:p>
            <w:pPr>
              <w:spacing w:after="0"/>
              <w:rPr>
                <w:sz w:val="18"/>
                <w:szCs w:val="18"/>
                <w:color w:val="auto"/>
              </w:rPr>
            </w:pPr>
          </w:p>
        </w:tc>
      </w:tr>
      <w:tr>
        <w:trPr>
          <w:trHeight w:val="33"/>
        </w:trPr>
        <w:tc>
          <w:tcPr>
            <w:tcW w:w="43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r>
      <w:tr>
        <w:trPr>
          <w:trHeight w:val="257"/>
        </w:trPr>
        <w:tc>
          <w:tcPr>
            <w:tcW w:w="43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16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132"/>
              <w:spacing w:after="0"/>
              <w:rPr>
                <w:sz w:val="20"/>
                <w:szCs w:val="20"/>
                <w:color w:val="auto"/>
              </w:rPr>
            </w:pPr>
            <w:r>
              <w:rPr>
                <w:rFonts w:ascii="Arial" w:cs="Arial" w:eastAsia="Arial" w:hAnsi="Arial"/>
                <w:sz w:val="16"/>
                <w:szCs w:val="16"/>
                <w:b w:val="1"/>
                <w:bCs w:val="1"/>
                <w:color w:val="auto"/>
                <w:w w:val="93"/>
              </w:rPr>
              <w:t>Non-Securitized</w:t>
            </w:r>
          </w:p>
        </w:tc>
        <w:tc>
          <w:tcPr>
            <w:tcW w:w="100" w:type="dxa"/>
            <w:vAlign w:val="bottom"/>
            <w:tcBorders>
              <w:bottom w:val="single" w:sz="8" w:color="CCEEFF"/>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Securitized</w:t>
            </w:r>
          </w:p>
        </w:tc>
        <w:tc>
          <w:tcPr>
            <w:tcW w:w="3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180" w:type="dxa"/>
            <w:vAlign w:val="bottom"/>
            <w:tcBorders>
              <w:bottom w:val="single" w:sz="8" w:color="auto"/>
            </w:tcBorders>
          </w:tcPr>
          <w:p>
            <w:pPr>
              <w:jc w:val="right"/>
              <w:ind w:right="153"/>
              <w:spacing w:after="0"/>
              <w:rPr>
                <w:sz w:val="20"/>
                <w:szCs w:val="20"/>
                <w:color w:val="auto"/>
              </w:rPr>
            </w:pPr>
            <w:r>
              <w:rPr>
                <w:rFonts w:ascii="Arial" w:cs="Arial" w:eastAsia="Arial" w:hAnsi="Arial"/>
                <w:sz w:val="16"/>
                <w:szCs w:val="16"/>
                <w:b w:val="1"/>
                <w:bCs w:val="1"/>
                <w:color w:val="auto"/>
              </w:rPr>
              <w:t>Total</w:t>
            </w:r>
          </w:p>
        </w:tc>
        <w:tc>
          <w:tcPr>
            <w:tcW w:w="340" w:type="dxa"/>
            <w:vAlign w:val="bottom"/>
            <w:tcBorders>
              <w:bottom w:val="single" w:sz="8" w:color="auto"/>
            </w:tcBorders>
          </w:tcPr>
          <w:p>
            <w:pPr>
              <w:spacing w:after="0"/>
              <w:rPr>
                <w:sz w:val="22"/>
                <w:szCs w:val="22"/>
                <w:color w:val="auto"/>
              </w:rPr>
            </w:pPr>
          </w:p>
        </w:tc>
      </w:tr>
      <w:tr>
        <w:trPr>
          <w:trHeight w:val="250"/>
        </w:trPr>
        <w:tc>
          <w:tcPr>
            <w:tcW w:w="4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2019, as reported</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993"/>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973"/>
              <w:spacing w:after="0"/>
              <w:rPr>
                <w:sz w:val="20"/>
                <w:szCs w:val="20"/>
                <w:color w:val="auto"/>
              </w:rPr>
            </w:pPr>
            <w:r>
              <w:rPr>
                <w:rFonts w:ascii="Arial" w:cs="Arial" w:eastAsia="Arial" w:hAnsi="Arial"/>
                <w:sz w:val="18"/>
                <w:szCs w:val="18"/>
                <w:color w:val="auto"/>
                <w:w w:val="99"/>
              </w:rPr>
              <w:t>$</w:t>
            </w:r>
          </w:p>
        </w:tc>
        <w:tc>
          <w:tcPr>
            <w:tcW w:w="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380" w:type="dxa"/>
            <w:vAlign w:val="bottom"/>
          </w:tcPr>
          <w:p>
            <w:pPr>
              <w:ind w:left="280"/>
              <w:spacing w:after="0"/>
              <w:rPr>
                <w:sz w:val="20"/>
                <w:szCs w:val="20"/>
                <w:color w:val="auto"/>
              </w:rPr>
            </w:pPr>
            <w:r>
              <w:rPr>
                <w:rFonts w:ascii="Arial" w:cs="Arial" w:eastAsia="Arial" w:hAnsi="Arial"/>
                <w:sz w:val="18"/>
                <w:szCs w:val="18"/>
                <w:color w:val="auto"/>
              </w:rPr>
              <w:t>Impact of adoption of ASU 2016-13</w:t>
            </w:r>
          </w:p>
        </w:tc>
        <w:tc>
          <w:tcPr>
            <w:tcW w:w="16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55</w:t>
            </w:r>
          </w:p>
        </w:tc>
      </w:tr>
      <w:tr>
        <w:trPr>
          <w:trHeight w:val="27"/>
        </w:trPr>
        <w:tc>
          <w:tcPr>
            <w:tcW w:w="43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r>
      <w:tr>
        <w:trPr>
          <w:trHeight w:val="243"/>
        </w:trPr>
        <w:tc>
          <w:tcPr>
            <w:tcW w:w="4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Opening Balance at January 1, 2020</w:t>
            </w: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w:t>
            </w:r>
          </w:p>
        </w:tc>
      </w:tr>
      <w:tr>
        <w:trPr>
          <w:trHeight w:val="243"/>
        </w:trPr>
        <w:tc>
          <w:tcPr>
            <w:tcW w:w="4380" w:type="dxa"/>
            <w:vAlign w:val="bottom"/>
          </w:tcPr>
          <w:p>
            <w:pPr>
              <w:ind w:left="280"/>
              <w:spacing w:after="0"/>
              <w:rPr>
                <w:sz w:val="20"/>
                <w:szCs w:val="20"/>
                <w:color w:val="auto"/>
              </w:rPr>
            </w:pPr>
            <w:r>
              <w:rPr>
                <w:rFonts w:ascii="Arial" w:cs="Arial" w:eastAsia="Arial" w:hAnsi="Arial"/>
                <w:sz w:val="18"/>
                <w:szCs w:val="18"/>
                <w:color w:val="auto"/>
              </w:rPr>
              <w:t>Write-offs</w:t>
            </w: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4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80" w:type="dxa"/>
            <w:vAlign w:val="bottom"/>
          </w:tcPr>
          <w:p>
            <w:pPr>
              <w:spacing w:after="0"/>
              <w:rPr>
                <w:sz w:val="21"/>
                <w:szCs w:val="21"/>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7"/>
        </w:trPr>
        <w:tc>
          <w:tcPr>
            <w:tcW w:w="4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40" w:type="dxa"/>
            <w:vAlign w:val="bottom"/>
          </w:tcPr>
          <w:p>
            <w:pPr>
              <w:spacing w:after="0"/>
              <w:rPr>
                <w:sz w:val="2"/>
                <w:szCs w:val="2"/>
                <w:color w:val="auto"/>
              </w:rPr>
            </w:pPr>
          </w:p>
        </w:tc>
      </w:tr>
      <w:tr>
        <w:trPr>
          <w:trHeight w:val="250"/>
        </w:trPr>
        <w:tc>
          <w:tcPr>
            <w:tcW w:w="43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Recoveries</w:t>
            </w: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r>
      <w:tr>
        <w:trPr>
          <w:trHeight w:val="229"/>
        </w:trPr>
        <w:tc>
          <w:tcPr>
            <w:tcW w:w="4380" w:type="dxa"/>
            <w:vAlign w:val="bottom"/>
          </w:tcPr>
          <w:p>
            <w:pPr>
              <w:ind w:left="280"/>
              <w:spacing w:after="0"/>
              <w:rPr>
                <w:sz w:val="20"/>
                <w:szCs w:val="20"/>
                <w:color w:val="auto"/>
              </w:rPr>
            </w:pPr>
            <w:r>
              <w:rPr>
                <w:rFonts w:ascii="Arial" w:cs="Arial" w:eastAsia="Arial" w:hAnsi="Arial"/>
                <w:sz w:val="18"/>
                <w:szCs w:val="18"/>
                <w:color w:val="auto"/>
              </w:rPr>
              <w:t>Increase in vacation ownership notes receivable</w:t>
            </w:r>
          </w:p>
        </w:tc>
        <w:tc>
          <w:tcPr>
            <w:tcW w:w="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40" w:type="dxa"/>
            <w:vAlign w:val="bottom"/>
          </w:tcPr>
          <w:p>
            <w:pPr>
              <w:spacing w:after="0"/>
              <w:rPr>
                <w:sz w:val="19"/>
                <w:szCs w:val="19"/>
                <w:color w:val="auto"/>
              </w:rPr>
            </w:pPr>
          </w:p>
        </w:tc>
      </w:tr>
      <w:tr>
        <w:trPr>
          <w:trHeight w:val="251"/>
        </w:trPr>
        <w:tc>
          <w:tcPr>
            <w:tcW w:w="438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reserve</w:t>
            </w:r>
            <w:r>
              <w:rPr>
                <w:rFonts w:ascii="Arial" w:cs="Arial" w:eastAsia="Arial" w:hAnsi="Arial"/>
                <w:sz w:val="18"/>
                <w:szCs w:val="18"/>
                <w:color w:val="auto"/>
                <w:vertAlign w:val="superscript"/>
              </w:rPr>
              <w:t>(1)</w:t>
            </w:r>
          </w:p>
        </w:tc>
        <w:tc>
          <w:tcPr>
            <w:tcW w:w="16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tcPr>
          <w:p>
            <w:pPr>
              <w:spacing w:after="0"/>
              <w:rPr>
                <w:sz w:val="21"/>
                <w:szCs w:val="21"/>
                <w:color w:val="auto"/>
              </w:rPr>
            </w:pPr>
          </w:p>
        </w:tc>
        <w:tc>
          <w:tcPr>
            <w:tcW w:w="120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tcPr>
          <w:p>
            <w:pPr>
              <w:spacing w:after="0"/>
              <w:rPr>
                <w:sz w:val="21"/>
                <w:szCs w:val="21"/>
                <w:color w:val="auto"/>
              </w:rPr>
            </w:pPr>
          </w:p>
        </w:tc>
        <w:tc>
          <w:tcPr>
            <w:tcW w:w="118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w:t>
            </w:r>
          </w:p>
        </w:tc>
      </w:tr>
      <w:tr>
        <w:trPr>
          <w:trHeight w:val="264"/>
        </w:trPr>
        <w:tc>
          <w:tcPr>
            <w:tcW w:w="4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March 31, 2020</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ind w:right="993"/>
              <w:spacing w:after="0"/>
              <w:rPr>
                <w:sz w:val="20"/>
                <w:szCs w:val="20"/>
                <w:color w:val="auto"/>
              </w:rPr>
            </w:pPr>
            <w:r>
              <w:rPr>
                <w:rFonts w:ascii="Arial" w:cs="Arial" w:eastAsia="Arial" w:hAnsi="Arial"/>
                <w:sz w:val="18"/>
                <w:szCs w:val="18"/>
                <w:color w:val="auto"/>
                <w:w w:val="99"/>
              </w:rPr>
              <w:t>$</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ind w:right="973"/>
              <w:spacing w:after="0"/>
              <w:rPr>
                <w:sz w:val="20"/>
                <w:szCs w:val="20"/>
                <w:color w:val="auto"/>
              </w:rPr>
            </w:pPr>
            <w:r>
              <w:rPr>
                <w:rFonts w:ascii="Arial" w:cs="Arial" w:eastAsia="Arial" w:hAnsi="Arial"/>
                <w:sz w:val="18"/>
                <w:szCs w:val="18"/>
                <w:color w:val="auto"/>
                <w:w w:val="99"/>
              </w:rPr>
              <w:t>$</w:t>
            </w:r>
          </w:p>
        </w:tc>
        <w:tc>
          <w:tcPr>
            <w:tcW w:w="3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63</w:t>
            </w:r>
          </w:p>
        </w:tc>
      </w:tr>
      <w:tr>
        <w:trPr>
          <w:trHeight w:val="20"/>
        </w:trPr>
        <w:tc>
          <w:tcPr>
            <w:tcW w:w="4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w:t>
      </w:r>
    </w:p>
    <w:p>
      <w:pPr>
        <w:spacing w:after="0" w:line="63" w:lineRule="exact"/>
        <w:rPr>
          <w:sz w:val="20"/>
          <w:szCs w:val="20"/>
          <w:color w:val="auto"/>
        </w:rPr>
      </w:pPr>
    </w:p>
    <w:p>
      <w:pPr>
        <w:ind w:left="660" w:right="20" w:hanging="652"/>
        <w:spacing w:after="0" w:line="216" w:lineRule="auto"/>
        <w:tabs>
          <w:tab w:leader="none" w:pos="660" w:val="left"/>
        </w:tabs>
        <w:numPr>
          <w:ilvl w:val="0"/>
          <w:numId w:val="10"/>
        </w:numPr>
        <w:rPr>
          <w:rFonts w:ascii="Arial" w:cs="Arial" w:eastAsia="Arial" w:hAnsi="Arial"/>
          <w:sz w:val="25"/>
          <w:szCs w:val="25"/>
          <w:color w:val="auto"/>
          <w:vertAlign w:val="superscript"/>
        </w:rPr>
      </w:pPr>
      <w:r>
        <w:rPr>
          <w:rFonts w:ascii="Arial" w:cs="Arial" w:eastAsia="Arial" w:hAnsi="Arial"/>
          <w:sz w:val="18"/>
          <w:szCs w:val="18"/>
          <w:color w:val="auto"/>
        </w:rPr>
        <w:t>Increase in vacation ownership notes receivable reserve includes $10 million ($2 million non-securitized and $8 million securitized) attributable to additional reserve resulting from the COVID-19 pandemic.</w:t>
      </w:r>
    </w:p>
    <w:p>
      <w:pPr>
        <w:spacing w:after="0" w:line="203" w:lineRule="exact"/>
        <w:rPr>
          <w:sz w:val="20"/>
          <w:szCs w:val="20"/>
          <w:color w:val="auto"/>
        </w:rPr>
      </w:pPr>
    </w:p>
    <w:p>
      <w:pPr>
        <w:ind w:right="660" w:firstLine="648"/>
        <w:spacing w:after="0" w:line="277" w:lineRule="auto"/>
        <w:rPr>
          <w:sz w:val="20"/>
          <w:szCs w:val="20"/>
          <w:color w:val="auto"/>
        </w:rPr>
      </w:pPr>
      <w:r>
        <w:rPr>
          <w:rFonts w:ascii="Arial" w:cs="Arial" w:eastAsia="Arial" w:hAnsi="Arial"/>
          <w:sz w:val="18"/>
          <w:szCs w:val="18"/>
          <w:color w:val="auto"/>
        </w:rPr>
        <w:t>The following table shows future contractual principal payments, as well as interest rates, for our non-securitized and securitized acquired vacation ownership notes receivable at March 31, 2020.</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300" w:type="dxa"/>
            <w:vAlign w:val="bottom"/>
          </w:tcPr>
          <w:p>
            <w:pPr>
              <w:spacing w:after="0"/>
              <w:rPr>
                <w:sz w:val="18"/>
                <w:szCs w:val="18"/>
                <w:color w:val="auto"/>
              </w:rPr>
            </w:pPr>
          </w:p>
        </w:tc>
        <w:tc>
          <w:tcPr>
            <w:tcW w:w="5540" w:type="dxa"/>
            <w:vAlign w:val="bottom"/>
            <w:gridSpan w:val="7"/>
          </w:tcPr>
          <w:p>
            <w:pPr>
              <w:jc w:val="center"/>
              <w:ind w:left="333"/>
              <w:spacing w:after="0"/>
              <w:rPr>
                <w:sz w:val="20"/>
                <w:szCs w:val="20"/>
                <w:color w:val="auto"/>
              </w:rPr>
            </w:pPr>
            <w:r>
              <w:rPr>
                <w:rFonts w:ascii="Arial" w:cs="Arial" w:eastAsia="Arial" w:hAnsi="Arial"/>
                <w:sz w:val="16"/>
                <w:szCs w:val="16"/>
                <w:b w:val="1"/>
                <w:bCs w:val="1"/>
                <w:color w:val="auto"/>
                <w:w w:val="91"/>
              </w:rPr>
              <w:t>Acquired Vacation Ownership Notes Receivable</w:t>
            </w:r>
          </w:p>
        </w:tc>
        <w:tc>
          <w:tcPr>
            <w:tcW w:w="400" w:type="dxa"/>
            <w:vAlign w:val="bottom"/>
          </w:tcPr>
          <w:p>
            <w:pPr>
              <w:spacing w:after="0"/>
              <w:rPr>
                <w:sz w:val="18"/>
                <w:szCs w:val="18"/>
                <w:color w:val="auto"/>
              </w:rPr>
            </w:pPr>
          </w:p>
        </w:tc>
      </w:tr>
      <w:tr>
        <w:trPr>
          <w:trHeight w:val="33"/>
        </w:trPr>
        <w:tc>
          <w:tcPr>
            <w:tcW w:w="530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r>
      <w:tr>
        <w:trPr>
          <w:trHeight w:val="257"/>
        </w:trPr>
        <w:tc>
          <w:tcPr>
            <w:tcW w:w="53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1580" w:type="dxa"/>
            <w:vAlign w:val="bottom"/>
            <w:tcBorders>
              <w:bottom w:val="single" w:sz="8" w:color="auto"/>
            </w:tcBorders>
          </w:tcPr>
          <w:p>
            <w:pPr>
              <w:jc w:val="center"/>
              <w:ind w:left="253"/>
              <w:spacing w:after="0"/>
              <w:rPr>
                <w:sz w:val="20"/>
                <w:szCs w:val="20"/>
                <w:color w:val="auto"/>
              </w:rPr>
            </w:pPr>
            <w:r>
              <w:rPr>
                <w:rFonts w:ascii="Arial" w:cs="Arial" w:eastAsia="Arial" w:hAnsi="Arial"/>
                <w:sz w:val="16"/>
                <w:szCs w:val="16"/>
                <w:b w:val="1"/>
                <w:bCs w:val="1"/>
                <w:color w:val="auto"/>
                <w:w w:val="91"/>
              </w:rPr>
              <w:t>Non-Securitized</w:t>
            </w:r>
          </w:p>
        </w:tc>
        <w:tc>
          <w:tcPr>
            <w:tcW w:w="3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520" w:type="dxa"/>
            <w:vAlign w:val="bottom"/>
            <w:tcBorders>
              <w:bottom w:val="single" w:sz="8" w:color="auto"/>
            </w:tcBorders>
          </w:tcPr>
          <w:p>
            <w:pPr>
              <w:jc w:val="center"/>
              <w:ind w:left="292"/>
              <w:spacing w:after="0"/>
              <w:rPr>
                <w:sz w:val="20"/>
                <w:szCs w:val="20"/>
                <w:color w:val="auto"/>
              </w:rPr>
            </w:pPr>
            <w:r>
              <w:rPr>
                <w:rFonts w:ascii="Arial" w:cs="Arial" w:eastAsia="Arial" w:hAnsi="Arial"/>
                <w:sz w:val="16"/>
                <w:szCs w:val="16"/>
                <w:b w:val="1"/>
                <w:bCs w:val="1"/>
                <w:color w:val="auto"/>
                <w:w w:val="91"/>
              </w:rPr>
              <w:t>Securitized</w:t>
            </w:r>
          </w:p>
        </w:tc>
        <w:tc>
          <w:tcPr>
            <w:tcW w:w="3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500" w:type="dxa"/>
            <w:vAlign w:val="bottom"/>
            <w:tcBorders>
              <w:bottom w:val="single" w:sz="8" w:color="auto"/>
            </w:tcBorders>
          </w:tcPr>
          <w:p>
            <w:pPr>
              <w:jc w:val="center"/>
              <w:ind w:left="312"/>
              <w:spacing w:after="0"/>
              <w:rPr>
                <w:sz w:val="20"/>
                <w:szCs w:val="20"/>
                <w:color w:val="auto"/>
              </w:rPr>
            </w:pPr>
            <w:r>
              <w:rPr>
                <w:rFonts w:ascii="Arial" w:cs="Arial" w:eastAsia="Arial" w:hAnsi="Arial"/>
                <w:sz w:val="16"/>
                <w:szCs w:val="16"/>
                <w:b w:val="1"/>
                <w:bCs w:val="1"/>
                <w:color w:val="auto"/>
                <w:w w:val="88"/>
              </w:rPr>
              <w:t>Total</w:t>
            </w:r>
          </w:p>
        </w:tc>
        <w:tc>
          <w:tcPr>
            <w:tcW w:w="400" w:type="dxa"/>
            <w:vAlign w:val="bottom"/>
            <w:tcBorders>
              <w:bottom w:val="single" w:sz="8" w:color="auto"/>
            </w:tcBorders>
          </w:tcPr>
          <w:p>
            <w:pPr>
              <w:spacing w:after="0"/>
              <w:rPr>
                <w:sz w:val="22"/>
                <w:szCs w:val="22"/>
                <w:color w:val="auto"/>
              </w:rPr>
            </w:pPr>
          </w:p>
        </w:tc>
      </w:tr>
      <w:tr>
        <w:trPr>
          <w:trHeight w:val="250"/>
        </w:trPr>
        <w:tc>
          <w:tcPr>
            <w:tcW w:w="5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 remaining</w:t>
            </w:r>
          </w:p>
        </w:tc>
        <w:tc>
          <w:tcPr>
            <w:tcW w:w="1580" w:type="dxa"/>
            <w:vAlign w:val="bottom"/>
            <w:tcBorders>
              <w:bottom w:val="single" w:sz="8" w:color="CCEEFF"/>
            </w:tcBorders>
            <w:shd w:val="clear" w:color="auto" w:fill="CCEEFF"/>
          </w:tcPr>
          <w:p>
            <w:pPr>
              <w:jc w:val="right"/>
              <w:ind w:right="1373"/>
              <w:spacing w:after="0"/>
              <w:rPr>
                <w:sz w:val="20"/>
                <w:szCs w:val="20"/>
                <w:color w:val="auto"/>
              </w:rPr>
            </w:pPr>
            <w:r>
              <w:rPr>
                <w:rFonts w:ascii="Arial" w:cs="Arial" w:eastAsia="Arial" w:hAnsi="Arial"/>
                <w:sz w:val="18"/>
                <w:szCs w:val="18"/>
                <w:color w:val="auto"/>
                <w:w w:val="99"/>
              </w:rPr>
              <w:t>$</w:t>
            </w:r>
          </w:p>
        </w:tc>
        <w:tc>
          <w:tcPr>
            <w:tcW w:w="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312"/>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292"/>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w:t>
            </w:r>
          </w:p>
        </w:tc>
      </w:tr>
      <w:tr>
        <w:trPr>
          <w:trHeight w:val="243"/>
        </w:trPr>
        <w:tc>
          <w:tcPr>
            <w:tcW w:w="5300" w:type="dxa"/>
            <w:vAlign w:val="bottom"/>
          </w:tcPr>
          <w:p>
            <w:pPr>
              <w:ind w:left="40"/>
              <w:spacing w:after="0"/>
              <w:rPr>
                <w:sz w:val="20"/>
                <w:szCs w:val="20"/>
                <w:color w:val="auto"/>
              </w:rPr>
            </w:pPr>
            <w:r>
              <w:rPr>
                <w:rFonts w:ascii="Arial" w:cs="Arial" w:eastAsia="Arial" w:hAnsi="Arial"/>
                <w:sz w:val="18"/>
                <w:szCs w:val="18"/>
                <w:color w:val="auto"/>
              </w:rPr>
              <w:t>2021</w:t>
            </w:r>
          </w:p>
        </w:tc>
        <w:tc>
          <w:tcPr>
            <w:tcW w:w="1580" w:type="dxa"/>
            <w:vAlign w:val="bottom"/>
          </w:tcPr>
          <w:p>
            <w:pPr>
              <w:spacing w:after="0"/>
              <w:rPr>
                <w:sz w:val="21"/>
                <w:szCs w:val="21"/>
                <w:color w:val="auto"/>
              </w:rPr>
            </w:pP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380" w:type="dxa"/>
            <w:vAlign w:val="bottom"/>
          </w:tcPr>
          <w:p>
            <w:pPr>
              <w:jc w:val="right"/>
              <w:ind w:right="10"/>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400" w:type="dxa"/>
            <w:vAlign w:val="bottom"/>
          </w:tcPr>
          <w:p>
            <w:pPr>
              <w:jc w:val="right"/>
              <w:ind w:right="10"/>
              <w:spacing w:after="0"/>
              <w:rPr>
                <w:sz w:val="20"/>
                <w:szCs w:val="20"/>
                <w:color w:val="auto"/>
              </w:rPr>
            </w:pPr>
            <w:r>
              <w:rPr>
                <w:rFonts w:ascii="Arial" w:cs="Arial" w:eastAsia="Arial" w:hAnsi="Arial"/>
                <w:sz w:val="18"/>
                <w:szCs w:val="18"/>
                <w:color w:val="auto"/>
              </w:rPr>
              <w:t>49</w:t>
            </w:r>
          </w:p>
        </w:tc>
      </w:tr>
      <w:tr>
        <w:trPr>
          <w:trHeight w:val="27"/>
        </w:trPr>
        <w:tc>
          <w:tcPr>
            <w:tcW w:w="53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400" w:type="dxa"/>
            <w:vAlign w:val="bottom"/>
          </w:tcPr>
          <w:p>
            <w:pPr>
              <w:spacing w:after="0"/>
              <w:rPr>
                <w:sz w:val="2"/>
                <w:szCs w:val="2"/>
                <w:color w:val="auto"/>
              </w:rPr>
            </w:pPr>
          </w:p>
        </w:tc>
      </w:tr>
      <w:tr>
        <w:trPr>
          <w:trHeight w:val="250"/>
        </w:trPr>
        <w:tc>
          <w:tcPr>
            <w:tcW w:w="5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15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w:t>
            </w:r>
          </w:p>
        </w:tc>
      </w:tr>
      <w:tr>
        <w:trPr>
          <w:trHeight w:val="243"/>
        </w:trPr>
        <w:tc>
          <w:tcPr>
            <w:tcW w:w="5300" w:type="dxa"/>
            <w:vAlign w:val="bottom"/>
          </w:tcPr>
          <w:p>
            <w:pPr>
              <w:ind w:left="40"/>
              <w:spacing w:after="0"/>
              <w:rPr>
                <w:sz w:val="20"/>
                <w:szCs w:val="20"/>
                <w:color w:val="auto"/>
              </w:rPr>
            </w:pPr>
            <w:r>
              <w:rPr>
                <w:rFonts w:ascii="Arial" w:cs="Arial" w:eastAsia="Arial" w:hAnsi="Arial"/>
                <w:sz w:val="18"/>
                <w:szCs w:val="18"/>
                <w:color w:val="auto"/>
              </w:rPr>
              <w:t>2023</w:t>
            </w:r>
          </w:p>
        </w:tc>
        <w:tc>
          <w:tcPr>
            <w:tcW w:w="1580" w:type="dxa"/>
            <w:vAlign w:val="bottom"/>
          </w:tcPr>
          <w:p>
            <w:pPr>
              <w:spacing w:after="0"/>
              <w:rPr>
                <w:sz w:val="21"/>
                <w:szCs w:val="21"/>
                <w:color w:val="auto"/>
              </w:rPr>
            </w:pP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380" w:type="dxa"/>
            <w:vAlign w:val="bottom"/>
          </w:tcPr>
          <w:p>
            <w:pPr>
              <w:jc w:val="right"/>
              <w:ind w:right="10"/>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400" w:type="dxa"/>
            <w:vAlign w:val="bottom"/>
          </w:tcPr>
          <w:p>
            <w:pPr>
              <w:jc w:val="right"/>
              <w:ind w:right="10"/>
              <w:spacing w:after="0"/>
              <w:rPr>
                <w:sz w:val="20"/>
                <w:szCs w:val="20"/>
                <w:color w:val="auto"/>
              </w:rPr>
            </w:pPr>
            <w:r>
              <w:rPr>
                <w:rFonts w:ascii="Arial" w:cs="Arial" w:eastAsia="Arial" w:hAnsi="Arial"/>
                <w:sz w:val="18"/>
                <w:szCs w:val="18"/>
                <w:color w:val="auto"/>
              </w:rPr>
              <w:t>48</w:t>
            </w:r>
          </w:p>
        </w:tc>
      </w:tr>
      <w:tr>
        <w:trPr>
          <w:trHeight w:val="27"/>
        </w:trPr>
        <w:tc>
          <w:tcPr>
            <w:tcW w:w="53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400" w:type="dxa"/>
            <w:vAlign w:val="bottom"/>
          </w:tcPr>
          <w:p>
            <w:pPr>
              <w:spacing w:after="0"/>
              <w:rPr>
                <w:sz w:val="2"/>
                <w:szCs w:val="2"/>
                <w:color w:val="auto"/>
              </w:rPr>
            </w:pPr>
          </w:p>
        </w:tc>
      </w:tr>
      <w:tr>
        <w:trPr>
          <w:trHeight w:val="250"/>
        </w:trPr>
        <w:tc>
          <w:tcPr>
            <w:tcW w:w="5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2024</w:t>
            </w:r>
          </w:p>
        </w:tc>
        <w:tc>
          <w:tcPr>
            <w:tcW w:w="15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w:t>
            </w:r>
          </w:p>
        </w:tc>
      </w:tr>
      <w:tr>
        <w:trPr>
          <w:trHeight w:val="243"/>
        </w:trPr>
        <w:tc>
          <w:tcPr>
            <w:tcW w:w="530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1580" w:type="dxa"/>
            <w:vAlign w:val="bottom"/>
          </w:tcPr>
          <w:p>
            <w:pPr>
              <w:spacing w:after="0"/>
              <w:rPr>
                <w:sz w:val="21"/>
                <w:szCs w:val="21"/>
                <w:color w:val="auto"/>
              </w:rPr>
            </w:pPr>
          </w:p>
        </w:tc>
        <w:tc>
          <w:tcPr>
            <w:tcW w:w="340" w:type="dxa"/>
            <w:vAlign w:val="bottom"/>
          </w:tcPr>
          <w:p>
            <w:pPr>
              <w:jc w:val="right"/>
              <w:ind w:right="30"/>
              <w:spacing w:after="0"/>
              <w:rPr>
                <w:sz w:val="20"/>
                <w:szCs w:val="20"/>
                <w:color w:val="auto"/>
              </w:rPr>
            </w:pPr>
            <w:r>
              <w:rPr>
                <w:rFonts w:ascii="Arial" w:cs="Arial" w:eastAsia="Arial" w:hAnsi="Arial"/>
                <w:sz w:val="18"/>
                <w:szCs w:val="18"/>
                <w:color w:val="auto"/>
                <w:w w:val="99"/>
              </w:rPr>
              <w:t>16</w:t>
            </w:r>
          </w:p>
        </w:tc>
        <w:tc>
          <w:tcPr>
            <w:tcW w:w="1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380" w:type="dxa"/>
            <w:vAlign w:val="bottom"/>
          </w:tcPr>
          <w:p>
            <w:pPr>
              <w:jc w:val="right"/>
              <w:ind w:right="10"/>
              <w:spacing w:after="0"/>
              <w:rPr>
                <w:sz w:val="20"/>
                <w:szCs w:val="20"/>
                <w:color w:val="auto"/>
              </w:rPr>
            </w:pPr>
            <w:r>
              <w:rPr>
                <w:rFonts w:ascii="Arial" w:cs="Arial" w:eastAsia="Arial" w:hAnsi="Arial"/>
                <w:sz w:val="18"/>
                <w:szCs w:val="18"/>
                <w:color w:val="auto"/>
                <w:w w:val="86"/>
              </w:rPr>
              <w:t>145</w:t>
            </w:r>
          </w:p>
        </w:tc>
        <w:tc>
          <w:tcPr>
            <w:tcW w:w="1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400" w:type="dxa"/>
            <w:vAlign w:val="bottom"/>
          </w:tcPr>
          <w:p>
            <w:pPr>
              <w:jc w:val="right"/>
              <w:ind w:right="10"/>
              <w:spacing w:after="0"/>
              <w:rPr>
                <w:sz w:val="20"/>
                <w:szCs w:val="20"/>
                <w:color w:val="auto"/>
              </w:rPr>
            </w:pPr>
            <w:r>
              <w:rPr>
                <w:rFonts w:ascii="Arial" w:cs="Arial" w:eastAsia="Arial" w:hAnsi="Arial"/>
                <w:sz w:val="18"/>
                <w:szCs w:val="18"/>
                <w:color w:val="auto"/>
                <w:w w:val="93"/>
              </w:rPr>
              <w:t>161</w:t>
            </w:r>
          </w:p>
        </w:tc>
      </w:tr>
      <w:tr>
        <w:trPr>
          <w:trHeight w:val="27"/>
        </w:trPr>
        <w:tc>
          <w:tcPr>
            <w:tcW w:w="53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r>
      <w:tr>
        <w:trPr>
          <w:trHeight w:val="257"/>
        </w:trPr>
        <w:tc>
          <w:tcPr>
            <w:tcW w:w="5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March 31, 2020</w:t>
            </w:r>
          </w:p>
        </w:tc>
        <w:tc>
          <w:tcPr>
            <w:tcW w:w="1580" w:type="dxa"/>
            <w:vAlign w:val="bottom"/>
            <w:tcBorders>
              <w:bottom w:val="single" w:sz="8" w:color="auto"/>
            </w:tcBorders>
            <w:shd w:val="clear" w:color="auto" w:fill="CCEEFF"/>
          </w:tcPr>
          <w:p>
            <w:pPr>
              <w:jc w:val="right"/>
              <w:ind w:right="1373"/>
              <w:spacing w:after="0"/>
              <w:rPr>
                <w:sz w:val="20"/>
                <w:szCs w:val="20"/>
                <w:color w:val="auto"/>
              </w:rPr>
            </w:pPr>
            <w:r>
              <w:rPr>
                <w:rFonts w:ascii="Arial" w:cs="Arial" w:eastAsia="Arial" w:hAnsi="Arial"/>
                <w:sz w:val="18"/>
                <w:szCs w:val="18"/>
                <w:color w:val="auto"/>
                <w:w w:val="99"/>
              </w:rPr>
              <w:t>$</w:t>
            </w:r>
          </w:p>
        </w:tc>
        <w:tc>
          <w:tcPr>
            <w:tcW w:w="3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35</w:t>
            </w:r>
          </w:p>
        </w:tc>
        <w:tc>
          <w:tcPr>
            <w:tcW w:w="10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auto"/>
            </w:tcBorders>
            <w:shd w:val="clear" w:color="auto" w:fill="CCEEFF"/>
          </w:tcPr>
          <w:p>
            <w:pPr>
              <w:jc w:val="right"/>
              <w:ind w:right="1312"/>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86"/>
              </w:rPr>
              <w:t>356</w:t>
            </w:r>
          </w:p>
        </w:tc>
        <w:tc>
          <w:tcPr>
            <w:tcW w:w="12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auto"/>
            </w:tcBorders>
            <w:shd w:val="clear" w:color="auto" w:fill="CCEEFF"/>
          </w:tcPr>
          <w:p>
            <w:pPr>
              <w:jc w:val="right"/>
              <w:ind w:right="1292"/>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391</w:t>
            </w:r>
          </w:p>
        </w:tc>
      </w:tr>
      <w:tr>
        <w:trPr>
          <w:trHeight w:val="20"/>
        </w:trPr>
        <w:tc>
          <w:tcPr>
            <w:tcW w:w="53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r>
      <w:tr>
        <w:trPr>
          <w:trHeight w:val="230"/>
        </w:trPr>
        <w:tc>
          <w:tcPr>
            <w:tcW w:w="5300" w:type="dxa"/>
            <w:vAlign w:val="bottom"/>
          </w:tcPr>
          <w:p>
            <w:pPr>
              <w:ind w:left="40"/>
              <w:spacing w:after="0"/>
              <w:rPr>
                <w:sz w:val="20"/>
                <w:szCs w:val="20"/>
                <w:color w:val="auto"/>
              </w:rPr>
            </w:pPr>
            <w:r>
              <w:rPr>
                <w:rFonts w:ascii="Arial" w:cs="Arial" w:eastAsia="Arial" w:hAnsi="Arial"/>
                <w:sz w:val="18"/>
                <w:szCs w:val="18"/>
                <w:color w:val="auto"/>
              </w:rPr>
              <w:t>Weighted average stated interest rate</w:t>
            </w:r>
          </w:p>
        </w:tc>
        <w:tc>
          <w:tcPr>
            <w:tcW w:w="1580" w:type="dxa"/>
            <w:vAlign w:val="bottom"/>
          </w:tcPr>
          <w:p>
            <w:pPr>
              <w:jc w:val="center"/>
              <w:ind w:left="253"/>
              <w:spacing w:after="0"/>
              <w:rPr>
                <w:sz w:val="20"/>
                <w:szCs w:val="20"/>
                <w:color w:val="auto"/>
              </w:rPr>
            </w:pPr>
            <w:r>
              <w:rPr>
                <w:rFonts w:ascii="Arial" w:cs="Arial" w:eastAsia="Arial" w:hAnsi="Arial"/>
                <w:sz w:val="18"/>
                <w:szCs w:val="18"/>
                <w:color w:val="auto"/>
                <w:w w:val="93"/>
              </w:rPr>
              <w:t>13.4%</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tcPr>
          <w:p>
            <w:pPr>
              <w:jc w:val="center"/>
              <w:ind w:left="292"/>
              <w:spacing w:after="0"/>
              <w:rPr>
                <w:sz w:val="20"/>
                <w:szCs w:val="20"/>
                <w:color w:val="auto"/>
              </w:rPr>
            </w:pPr>
            <w:r>
              <w:rPr>
                <w:rFonts w:ascii="Arial" w:cs="Arial" w:eastAsia="Arial" w:hAnsi="Arial"/>
                <w:sz w:val="18"/>
                <w:szCs w:val="18"/>
                <w:color w:val="auto"/>
                <w:w w:val="90"/>
              </w:rPr>
              <w:t>13.4%</w:t>
            </w: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tcPr>
          <w:p>
            <w:pPr>
              <w:jc w:val="center"/>
              <w:ind w:left="312"/>
              <w:spacing w:after="0"/>
              <w:rPr>
                <w:sz w:val="20"/>
                <w:szCs w:val="20"/>
                <w:color w:val="auto"/>
              </w:rPr>
            </w:pPr>
            <w:r>
              <w:rPr>
                <w:rFonts w:ascii="Arial" w:cs="Arial" w:eastAsia="Arial" w:hAnsi="Arial"/>
                <w:sz w:val="18"/>
                <w:szCs w:val="18"/>
                <w:color w:val="auto"/>
                <w:w w:val="90"/>
              </w:rPr>
              <w:t>13.4%</w:t>
            </w:r>
          </w:p>
        </w:tc>
        <w:tc>
          <w:tcPr>
            <w:tcW w:w="400" w:type="dxa"/>
            <w:vAlign w:val="bottom"/>
          </w:tcPr>
          <w:p>
            <w:pPr>
              <w:spacing w:after="0"/>
              <w:rPr>
                <w:sz w:val="20"/>
                <w:szCs w:val="20"/>
                <w:color w:val="auto"/>
              </w:rPr>
            </w:pPr>
          </w:p>
        </w:tc>
      </w:tr>
      <w:tr>
        <w:trPr>
          <w:trHeight w:val="27"/>
        </w:trPr>
        <w:tc>
          <w:tcPr>
            <w:tcW w:w="53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400" w:type="dxa"/>
            <w:vAlign w:val="bottom"/>
          </w:tcPr>
          <w:p>
            <w:pPr>
              <w:spacing w:after="0"/>
              <w:rPr>
                <w:sz w:val="2"/>
                <w:szCs w:val="2"/>
                <w:color w:val="auto"/>
              </w:rPr>
            </w:pPr>
          </w:p>
        </w:tc>
      </w:tr>
      <w:tr>
        <w:trPr>
          <w:trHeight w:val="243"/>
        </w:trPr>
        <w:tc>
          <w:tcPr>
            <w:tcW w:w="5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Range of stated interest rates</w:t>
            </w:r>
          </w:p>
        </w:tc>
        <w:tc>
          <w:tcPr>
            <w:tcW w:w="1580" w:type="dxa"/>
            <w:vAlign w:val="bottom"/>
            <w:shd w:val="clear" w:color="auto" w:fill="CCEEFF"/>
          </w:tcPr>
          <w:p>
            <w:pPr>
              <w:jc w:val="center"/>
              <w:ind w:left="253"/>
              <w:spacing w:after="0"/>
              <w:rPr>
                <w:sz w:val="20"/>
                <w:szCs w:val="20"/>
                <w:color w:val="auto"/>
              </w:rPr>
            </w:pPr>
            <w:r>
              <w:rPr>
                <w:rFonts w:ascii="Arial" w:cs="Arial" w:eastAsia="Arial" w:hAnsi="Arial"/>
                <w:sz w:val="18"/>
                <w:szCs w:val="18"/>
                <w:color w:val="auto"/>
                <w:w w:val="92"/>
              </w:rPr>
              <w:t>3.0% to 17.9%</w:t>
            </w:r>
          </w:p>
        </w:tc>
        <w:tc>
          <w:tcPr>
            <w:tcW w:w="3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520" w:type="dxa"/>
            <w:vAlign w:val="bottom"/>
            <w:shd w:val="clear" w:color="auto" w:fill="CCEEFF"/>
          </w:tcPr>
          <w:p>
            <w:pPr>
              <w:jc w:val="center"/>
              <w:ind w:left="312"/>
              <w:spacing w:after="0"/>
              <w:rPr>
                <w:sz w:val="20"/>
                <w:szCs w:val="20"/>
                <w:color w:val="auto"/>
              </w:rPr>
            </w:pPr>
            <w:r>
              <w:rPr>
                <w:rFonts w:ascii="Arial" w:cs="Arial" w:eastAsia="Arial" w:hAnsi="Arial"/>
                <w:sz w:val="18"/>
                <w:szCs w:val="18"/>
                <w:color w:val="auto"/>
                <w:w w:val="92"/>
              </w:rPr>
              <w:t>6.0% to 16.9%</w:t>
            </w:r>
          </w:p>
        </w:tc>
        <w:tc>
          <w:tcPr>
            <w:tcW w:w="3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500" w:type="dxa"/>
            <w:vAlign w:val="bottom"/>
            <w:shd w:val="clear" w:color="auto" w:fill="CCEEFF"/>
          </w:tcPr>
          <w:p>
            <w:pPr>
              <w:jc w:val="center"/>
              <w:ind w:left="312"/>
              <w:spacing w:after="0"/>
              <w:rPr>
                <w:sz w:val="20"/>
                <w:szCs w:val="20"/>
                <w:color w:val="auto"/>
              </w:rPr>
            </w:pPr>
            <w:r>
              <w:rPr>
                <w:rFonts w:ascii="Arial" w:cs="Arial" w:eastAsia="Arial" w:hAnsi="Arial"/>
                <w:sz w:val="18"/>
                <w:szCs w:val="18"/>
                <w:color w:val="auto"/>
                <w:w w:val="90"/>
              </w:rPr>
              <w:t>3.0% to 17.9%</w:t>
            </w:r>
          </w:p>
        </w:tc>
        <w:tc>
          <w:tcPr>
            <w:tcW w:w="400" w:type="dxa"/>
            <w:vAlign w:val="bottom"/>
            <w:shd w:val="clear" w:color="auto" w:fill="CCEEFF"/>
          </w:tcPr>
          <w:p>
            <w:pPr>
              <w:spacing w:after="0"/>
              <w:rPr>
                <w:sz w:val="21"/>
                <w:szCs w:val="21"/>
                <w:color w:val="auto"/>
              </w:rPr>
            </w:pPr>
          </w:p>
        </w:tc>
      </w:tr>
      <w:tr>
        <w:trPr>
          <w:trHeight w:val="27"/>
        </w:trPr>
        <w:tc>
          <w:tcPr>
            <w:tcW w:w="530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Originated Vacation Ownership Notes Receivable</w:t>
      </w:r>
    </w:p>
    <w:p>
      <w:pPr>
        <w:spacing w:after="0" w:line="117" w:lineRule="exact"/>
        <w:rPr>
          <w:sz w:val="20"/>
          <w:szCs w:val="20"/>
          <w:color w:val="auto"/>
        </w:rPr>
      </w:pPr>
    </w:p>
    <w:p>
      <w:pPr>
        <w:ind w:right="100" w:firstLine="648"/>
        <w:spacing w:after="0" w:line="286" w:lineRule="auto"/>
        <w:rPr>
          <w:sz w:val="20"/>
          <w:szCs w:val="20"/>
          <w:color w:val="auto"/>
        </w:rPr>
      </w:pPr>
      <w:r>
        <w:rPr>
          <w:rFonts w:ascii="Arial" w:cs="Arial" w:eastAsia="Arial" w:hAnsi="Arial"/>
          <w:sz w:val="17"/>
          <w:szCs w:val="17"/>
          <w:color w:val="auto"/>
        </w:rPr>
        <w:t>Originated vacation ownership notes receivable represent vacation ownership notes receivable originated by Legacy-ILG subsequent to the Acquisition Date and all Legacy-MVW vacation ownership notes receivable. The following table shows future principal payments, net of reserves, as well as interest rates, for our originated non-securitized and securitized originated vacation ownership notes receivable at March 31, 2020.</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80" w:type="dxa"/>
            <w:vAlign w:val="bottom"/>
            <w:gridSpan w:val="7"/>
          </w:tcPr>
          <w:p>
            <w:pPr>
              <w:jc w:val="center"/>
              <w:ind w:right="131"/>
              <w:spacing w:after="0"/>
              <w:rPr>
                <w:sz w:val="20"/>
                <w:szCs w:val="20"/>
                <w:color w:val="auto"/>
              </w:rPr>
            </w:pPr>
            <w:r>
              <w:rPr>
                <w:rFonts w:ascii="Arial" w:cs="Arial" w:eastAsia="Arial" w:hAnsi="Arial"/>
                <w:sz w:val="16"/>
                <w:szCs w:val="16"/>
                <w:b w:val="1"/>
                <w:bCs w:val="1"/>
                <w:color w:val="auto"/>
                <w:w w:val="91"/>
              </w:rPr>
              <w:t>Originated Vacation Ownership Notes Receivable</w:t>
            </w:r>
          </w:p>
        </w:tc>
      </w:tr>
      <w:tr>
        <w:trPr>
          <w:trHeight w:val="33"/>
        </w:trPr>
        <w:tc>
          <w:tcPr>
            <w:tcW w:w="53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58"/>
        </w:trPr>
        <w:tc>
          <w:tcPr>
            <w:tcW w:w="530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260" w:type="dxa"/>
            <w:vAlign w:val="bottom"/>
          </w:tcPr>
          <w:p>
            <w:pPr>
              <w:spacing w:after="0"/>
              <w:rPr>
                <w:sz w:val="22"/>
                <w:szCs w:val="22"/>
                <w:color w:val="auto"/>
              </w:rPr>
            </w:pPr>
          </w:p>
        </w:tc>
        <w:tc>
          <w:tcPr>
            <w:tcW w:w="176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1"/>
              </w:rPr>
              <w:t>Non-Securitized</w:t>
            </w:r>
          </w:p>
        </w:tc>
        <w:tc>
          <w:tcPr>
            <w:tcW w:w="280" w:type="dxa"/>
            <w:vAlign w:val="bottom"/>
          </w:tcPr>
          <w:p>
            <w:pPr>
              <w:spacing w:after="0"/>
              <w:rPr>
                <w:sz w:val="22"/>
                <w:szCs w:val="22"/>
                <w:color w:val="auto"/>
              </w:rPr>
            </w:pPr>
          </w:p>
        </w:tc>
        <w:tc>
          <w:tcPr>
            <w:tcW w:w="174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1"/>
              </w:rPr>
              <w:t>Securitized</w:t>
            </w:r>
          </w:p>
        </w:tc>
        <w:tc>
          <w:tcPr>
            <w:tcW w:w="260" w:type="dxa"/>
            <w:vAlign w:val="bottom"/>
          </w:tcPr>
          <w:p>
            <w:pPr>
              <w:spacing w:after="0"/>
              <w:rPr>
                <w:sz w:val="22"/>
                <w:szCs w:val="22"/>
                <w:color w:val="auto"/>
              </w:rPr>
            </w:pPr>
          </w:p>
        </w:tc>
        <w:tc>
          <w:tcPr>
            <w:tcW w:w="1640" w:type="dxa"/>
            <w:vAlign w:val="bottom"/>
          </w:tcPr>
          <w:p>
            <w:pPr>
              <w:jc w:val="center"/>
              <w:ind w:right="171"/>
              <w:spacing w:after="0"/>
              <w:rPr>
                <w:sz w:val="20"/>
                <w:szCs w:val="20"/>
                <w:color w:val="auto"/>
              </w:rPr>
            </w:pPr>
            <w:r>
              <w:rPr>
                <w:rFonts w:ascii="Arial" w:cs="Arial" w:eastAsia="Arial" w:hAnsi="Arial"/>
                <w:sz w:val="16"/>
                <w:szCs w:val="16"/>
                <w:b w:val="1"/>
                <w:bCs w:val="1"/>
                <w:color w:val="auto"/>
                <w:w w:val="88"/>
              </w:rPr>
              <w:t>Total</w:t>
            </w:r>
          </w:p>
        </w:tc>
      </w:tr>
      <w:tr>
        <w:trPr>
          <w:trHeight w:val="249"/>
        </w:trPr>
        <w:tc>
          <w:tcPr>
            <w:tcW w:w="53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 remaining</w:t>
            </w: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66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134</w:t>
            </w:r>
          </w:p>
        </w:tc>
      </w:tr>
      <w:tr>
        <w:trPr>
          <w:trHeight w:val="243"/>
        </w:trPr>
        <w:tc>
          <w:tcPr>
            <w:tcW w:w="5300" w:type="dxa"/>
            <w:vAlign w:val="bottom"/>
          </w:tcPr>
          <w:p>
            <w:pPr>
              <w:ind w:left="40"/>
              <w:spacing w:after="0"/>
              <w:rPr>
                <w:sz w:val="20"/>
                <w:szCs w:val="20"/>
                <w:color w:val="auto"/>
              </w:rPr>
            </w:pPr>
            <w:r>
              <w:rPr>
                <w:rFonts w:ascii="Arial" w:cs="Arial" w:eastAsia="Arial" w:hAnsi="Arial"/>
                <w:sz w:val="18"/>
                <w:szCs w:val="18"/>
                <w:color w:val="auto"/>
              </w:rPr>
              <w:t>2021</w:t>
            </w:r>
          </w:p>
        </w:tc>
        <w:tc>
          <w:tcPr>
            <w:tcW w:w="260" w:type="dxa"/>
            <w:vAlign w:val="bottom"/>
          </w:tcPr>
          <w:p>
            <w:pPr>
              <w:spacing w:after="0"/>
              <w:rPr>
                <w:sz w:val="21"/>
                <w:szCs w:val="21"/>
                <w:color w:val="auto"/>
              </w:rPr>
            </w:pPr>
          </w:p>
        </w:tc>
        <w:tc>
          <w:tcPr>
            <w:tcW w:w="1660" w:type="dxa"/>
            <w:vAlign w:val="bottom"/>
          </w:tcPr>
          <w:p>
            <w:pPr>
              <w:jc w:val="right"/>
              <w:ind w:right="32"/>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20" w:type="dxa"/>
            <w:vAlign w:val="bottom"/>
          </w:tcPr>
          <w:p>
            <w:pPr>
              <w:jc w:val="right"/>
              <w:ind w:right="11"/>
              <w:spacing w:after="0"/>
              <w:rPr>
                <w:sz w:val="20"/>
                <w:szCs w:val="20"/>
                <w:color w:val="auto"/>
              </w:rPr>
            </w:pPr>
            <w:r>
              <w:rPr>
                <w:rFonts w:ascii="Arial" w:cs="Arial" w:eastAsia="Arial" w:hAnsi="Arial"/>
                <w:sz w:val="18"/>
                <w:szCs w:val="18"/>
                <w:color w:val="auto"/>
              </w:rPr>
              <w:t>141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40" w:type="dxa"/>
            <w:vAlign w:val="bottom"/>
          </w:tcPr>
          <w:p>
            <w:pPr>
              <w:jc w:val="right"/>
              <w:ind w:right="11"/>
              <w:spacing w:after="0"/>
              <w:rPr>
                <w:sz w:val="20"/>
                <w:szCs w:val="20"/>
                <w:color w:val="auto"/>
              </w:rPr>
            </w:pPr>
            <w:r>
              <w:rPr>
                <w:rFonts w:ascii="Arial" w:cs="Arial" w:eastAsia="Arial" w:hAnsi="Arial"/>
                <w:sz w:val="18"/>
                <w:szCs w:val="18"/>
                <w:color w:val="auto"/>
              </w:rPr>
              <w:t>173</w:t>
            </w:r>
          </w:p>
        </w:tc>
      </w:tr>
      <w:tr>
        <w:trPr>
          <w:trHeight w:val="27"/>
        </w:trPr>
        <w:tc>
          <w:tcPr>
            <w:tcW w:w="5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5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2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173</w:t>
            </w:r>
          </w:p>
        </w:tc>
      </w:tr>
      <w:tr>
        <w:trPr>
          <w:trHeight w:val="243"/>
        </w:trPr>
        <w:tc>
          <w:tcPr>
            <w:tcW w:w="5300" w:type="dxa"/>
            <w:vAlign w:val="bottom"/>
          </w:tcPr>
          <w:p>
            <w:pPr>
              <w:ind w:left="40"/>
              <w:spacing w:after="0"/>
              <w:rPr>
                <w:sz w:val="20"/>
                <w:szCs w:val="20"/>
                <w:color w:val="auto"/>
              </w:rPr>
            </w:pPr>
            <w:r>
              <w:rPr>
                <w:rFonts w:ascii="Arial" w:cs="Arial" w:eastAsia="Arial" w:hAnsi="Arial"/>
                <w:sz w:val="18"/>
                <w:szCs w:val="18"/>
                <w:color w:val="auto"/>
              </w:rPr>
              <w:t>2023</w:t>
            </w:r>
          </w:p>
        </w:tc>
        <w:tc>
          <w:tcPr>
            <w:tcW w:w="260" w:type="dxa"/>
            <w:vAlign w:val="bottom"/>
          </w:tcPr>
          <w:p>
            <w:pPr>
              <w:spacing w:after="0"/>
              <w:rPr>
                <w:sz w:val="21"/>
                <w:szCs w:val="21"/>
                <w:color w:val="auto"/>
              </w:rPr>
            </w:pPr>
          </w:p>
        </w:tc>
        <w:tc>
          <w:tcPr>
            <w:tcW w:w="1660" w:type="dxa"/>
            <w:vAlign w:val="bottom"/>
          </w:tcPr>
          <w:p>
            <w:pPr>
              <w:jc w:val="right"/>
              <w:ind w:right="32"/>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20" w:type="dxa"/>
            <w:vAlign w:val="bottom"/>
          </w:tcPr>
          <w:p>
            <w:pPr>
              <w:jc w:val="right"/>
              <w:ind w:right="11"/>
              <w:spacing w:after="0"/>
              <w:rPr>
                <w:sz w:val="20"/>
                <w:szCs w:val="20"/>
                <w:color w:val="auto"/>
              </w:rPr>
            </w:pPr>
            <w:r>
              <w:rPr>
                <w:rFonts w:ascii="Arial" w:cs="Arial" w:eastAsia="Arial" w:hAnsi="Arial"/>
                <w:sz w:val="18"/>
                <w:szCs w:val="18"/>
                <w:color w:val="auto"/>
              </w:rPr>
              <w:t>148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40" w:type="dxa"/>
            <w:vAlign w:val="bottom"/>
          </w:tcPr>
          <w:p>
            <w:pPr>
              <w:jc w:val="right"/>
              <w:ind w:right="11"/>
              <w:spacing w:after="0"/>
              <w:rPr>
                <w:sz w:val="20"/>
                <w:szCs w:val="20"/>
                <w:color w:val="auto"/>
              </w:rPr>
            </w:pPr>
            <w:r>
              <w:rPr>
                <w:rFonts w:ascii="Arial" w:cs="Arial" w:eastAsia="Arial" w:hAnsi="Arial"/>
                <w:sz w:val="18"/>
                <w:szCs w:val="18"/>
                <w:color w:val="auto"/>
              </w:rPr>
              <w:t>173</w:t>
            </w:r>
          </w:p>
        </w:tc>
      </w:tr>
      <w:tr>
        <w:trPr>
          <w:trHeight w:val="27"/>
        </w:trPr>
        <w:tc>
          <w:tcPr>
            <w:tcW w:w="5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5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2024</w:t>
            </w:r>
          </w:p>
        </w:tc>
        <w:tc>
          <w:tcPr>
            <w:tcW w:w="2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173</w:t>
            </w:r>
          </w:p>
        </w:tc>
      </w:tr>
      <w:tr>
        <w:trPr>
          <w:trHeight w:val="243"/>
        </w:trPr>
        <w:tc>
          <w:tcPr>
            <w:tcW w:w="530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260" w:type="dxa"/>
            <w:vAlign w:val="bottom"/>
          </w:tcPr>
          <w:p>
            <w:pPr>
              <w:spacing w:after="0"/>
              <w:rPr>
                <w:sz w:val="21"/>
                <w:szCs w:val="21"/>
                <w:color w:val="auto"/>
              </w:rPr>
            </w:pPr>
          </w:p>
        </w:tc>
        <w:tc>
          <w:tcPr>
            <w:tcW w:w="1660" w:type="dxa"/>
            <w:vAlign w:val="bottom"/>
          </w:tcPr>
          <w:p>
            <w:pPr>
              <w:jc w:val="right"/>
              <w:ind w:right="32"/>
              <w:spacing w:after="0"/>
              <w:rPr>
                <w:sz w:val="20"/>
                <w:szCs w:val="20"/>
                <w:color w:val="auto"/>
              </w:rPr>
            </w:pPr>
            <w:r>
              <w:rPr>
                <w:rFonts w:ascii="Arial" w:cs="Arial" w:eastAsia="Arial" w:hAnsi="Arial"/>
                <w:sz w:val="18"/>
                <w:szCs w:val="18"/>
                <w:color w:val="auto"/>
              </w:rPr>
              <w:t>163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20" w:type="dxa"/>
            <w:vAlign w:val="bottom"/>
          </w:tcPr>
          <w:p>
            <w:pPr>
              <w:jc w:val="right"/>
              <w:ind w:right="11"/>
              <w:spacing w:after="0"/>
              <w:rPr>
                <w:sz w:val="20"/>
                <w:szCs w:val="20"/>
                <w:color w:val="auto"/>
              </w:rPr>
            </w:pPr>
            <w:r>
              <w:rPr>
                <w:rFonts w:ascii="Arial" w:cs="Arial" w:eastAsia="Arial" w:hAnsi="Arial"/>
                <w:sz w:val="18"/>
                <w:szCs w:val="18"/>
                <w:color w:val="auto"/>
              </w:rPr>
              <w:t>779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40" w:type="dxa"/>
            <w:vAlign w:val="bottom"/>
          </w:tcPr>
          <w:p>
            <w:pPr>
              <w:jc w:val="right"/>
              <w:ind w:right="11"/>
              <w:spacing w:after="0"/>
              <w:rPr>
                <w:sz w:val="20"/>
                <w:szCs w:val="20"/>
                <w:color w:val="auto"/>
              </w:rPr>
            </w:pPr>
            <w:r>
              <w:rPr>
                <w:rFonts w:ascii="Arial" w:cs="Arial" w:eastAsia="Arial" w:hAnsi="Arial"/>
                <w:sz w:val="18"/>
                <w:szCs w:val="18"/>
                <w:color w:val="auto"/>
              </w:rPr>
              <w:t>942</w:t>
            </w:r>
          </w:p>
        </w:tc>
      </w:tr>
      <w:tr>
        <w:trPr>
          <w:trHeight w:val="27"/>
        </w:trPr>
        <w:tc>
          <w:tcPr>
            <w:tcW w:w="53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57"/>
        </w:trPr>
        <w:tc>
          <w:tcPr>
            <w:tcW w:w="5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March 31, 2020</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302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1,466</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1,768</w:t>
            </w:r>
          </w:p>
        </w:tc>
      </w:tr>
      <w:tr>
        <w:trPr>
          <w:trHeight w:val="20"/>
        </w:trPr>
        <w:tc>
          <w:tcPr>
            <w:tcW w:w="5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r>
        <w:trPr>
          <w:trHeight w:val="230"/>
        </w:trPr>
        <w:tc>
          <w:tcPr>
            <w:tcW w:w="5300" w:type="dxa"/>
            <w:vAlign w:val="bottom"/>
          </w:tcPr>
          <w:p>
            <w:pPr>
              <w:ind w:left="40"/>
              <w:spacing w:after="0"/>
              <w:rPr>
                <w:sz w:val="20"/>
                <w:szCs w:val="20"/>
                <w:color w:val="auto"/>
              </w:rPr>
            </w:pPr>
            <w:r>
              <w:rPr>
                <w:rFonts w:ascii="Arial" w:cs="Arial" w:eastAsia="Arial" w:hAnsi="Arial"/>
                <w:sz w:val="18"/>
                <w:szCs w:val="18"/>
                <w:color w:val="auto"/>
              </w:rPr>
              <w:t>Weighted average stated interest rate</w:t>
            </w:r>
          </w:p>
        </w:tc>
        <w:tc>
          <w:tcPr>
            <w:tcW w:w="260" w:type="dxa"/>
            <w:vAlign w:val="bottom"/>
          </w:tcPr>
          <w:p>
            <w:pPr>
              <w:spacing w:after="0"/>
              <w:rPr>
                <w:sz w:val="20"/>
                <w:szCs w:val="20"/>
                <w:color w:val="auto"/>
              </w:rPr>
            </w:pPr>
          </w:p>
        </w:tc>
        <w:tc>
          <w:tcPr>
            <w:tcW w:w="1660" w:type="dxa"/>
            <w:vAlign w:val="bottom"/>
          </w:tcPr>
          <w:p>
            <w:pPr>
              <w:jc w:val="center"/>
              <w:ind w:right="172"/>
              <w:spacing w:after="0"/>
              <w:rPr>
                <w:sz w:val="20"/>
                <w:szCs w:val="20"/>
                <w:color w:val="auto"/>
              </w:rPr>
            </w:pPr>
            <w:r>
              <w:rPr>
                <w:rFonts w:ascii="Arial" w:cs="Arial" w:eastAsia="Arial" w:hAnsi="Arial"/>
                <w:sz w:val="18"/>
                <w:szCs w:val="18"/>
                <w:color w:val="auto"/>
                <w:w w:val="93"/>
              </w:rPr>
              <w:t>12.3%</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20" w:type="dxa"/>
            <w:vAlign w:val="bottom"/>
          </w:tcPr>
          <w:p>
            <w:pPr>
              <w:jc w:val="center"/>
              <w:ind w:right="191"/>
              <w:spacing w:after="0"/>
              <w:rPr>
                <w:sz w:val="20"/>
                <w:szCs w:val="20"/>
                <w:color w:val="auto"/>
              </w:rPr>
            </w:pPr>
            <w:r>
              <w:rPr>
                <w:rFonts w:ascii="Arial" w:cs="Arial" w:eastAsia="Arial" w:hAnsi="Arial"/>
                <w:sz w:val="18"/>
                <w:szCs w:val="18"/>
                <w:color w:val="auto"/>
                <w:w w:val="90"/>
              </w:rPr>
              <w:t>12.6%</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40" w:type="dxa"/>
            <w:vAlign w:val="bottom"/>
          </w:tcPr>
          <w:p>
            <w:pPr>
              <w:jc w:val="center"/>
              <w:ind w:right="171"/>
              <w:spacing w:after="0"/>
              <w:rPr>
                <w:sz w:val="20"/>
                <w:szCs w:val="20"/>
                <w:color w:val="auto"/>
              </w:rPr>
            </w:pPr>
            <w:r>
              <w:rPr>
                <w:rFonts w:ascii="Arial" w:cs="Arial" w:eastAsia="Arial" w:hAnsi="Arial"/>
                <w:sz w:val="18"/>
                <w:szCs w:val="18"/>
                <w:color w:val="auto"/>
                <w:w w:val="90"/>
              </w:rPr>
              <w:t>12.6%</w:t>
            </w:r>
          </w:p>
        </w:tc>
      </w:tr>
      <w:tr>
        <w:trPr>
          <w:trHeight w:val="27"/>
        </w:trPr>
        <w:tc>
          <w:tcPr>
            <w:tcW w:w="5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43"/>
        </w:trPr>
        <w:tc>
          <w:tcPr>
            <w:tcW w:w="5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Range of stated interest rates</w:t>
            </w:r>
          </w:p>
        </w:tc>
        <w:tc>
          <w:tcPr>
            <w:tcW w:w="260" w:type="dxa"/>
            <w:vAlign w:val="bottom"/>
            <w:shd w:val="clear" w:color="auto" w:fill="CCEEFF"/>
          </w:tcPr>
          <w:p>
            <w:pPr>
              <w:spacing w:after="0"/>
              <w:rPr>
                <w:sz w:val="21"/>
                <w:szCs w:val="21"/>
                <w:color w:val="auto"/>
              </w:rPr>
            </w:pPr>
          </w:p>
        </w:tc>
        <w:tc>
          <w:tcPr>
            <w:tcW w:w="1760" w:type="dxa"/>
            <w:vAlign w:val="bottom"/>
            <w:gridSpan w:val="2"/>
            <w:shd w:val="clear" w:color="auto" w:fill="CCEEFF"/>
          </w:tcPr>
          <w:p>
            <w:pPr>
              <w:jc w:val="center"/>
              <w:ind w:right="360"/>
              <w:spacing w:after="0"/>
              <w:rPr>
                <w:sz w:val="20"/>
                <w:szCs w:val="20"/>
                <w:color w:val="auto"/>
              </w:rPr>
            </w:pPr>
            <w:r>
              <w:rPr>
                <w:rFonts w:ascii="Arial" w:cs="Arial" w:eastAsia="Arial" w:hAnsi="Arial"/>
                <w:sz w:val="18"/>
                <w:szCs w:val="18"/>
                <w:color w:val="auto"/>
                <w:w w:val="92"/>
              </w:rPr>
              <w:t>0.0% to 18.0%</w:t>
            </w:r>
          </w:p>
        </w:tc>
        <w:tc>
          <w:tcPr>
            <w:tcW w:w="280" w:type="dxa"/>
            <w:vAlign w:val="bottom"/>
            <w:shd w:val="clear" w:color="auto" w:fill="CCEEFF"/>
          </w:tcPr>
          <w:p>
            <w:pPr>
              <w:spacing w:after="0"/>
              <w:rPr>
                <w:sz w:val="21"/>
                <w:szCs w:val="21"/>
                <w:color w:val="auto"/>
              </w:rPr>
            </w:pPr>
          </w:p>
        </w:tc>
        <w:tc>
          <w:tcPr>
            <w:tcW w:w="1740" w:type="dxa"/>
            <w:vAlign w:val="bottom"/>
            <w:gridSpan w:val="2"/>
            <w:shd w:val="clear" w:color="auto" w:fill="CCEEFF"/>
          </w:tcPr>
          <w:p>
            <w:pPr>
              <w:jc w:val="center"/>
              <w:ind w:right="380"/>
              <w:spacing w:after="0"/>
              <w:rPr>
                <w:sz w:val="20"/>
                <w:szCs w:val="20"/>
                <w:color w:val="auto"/>
              </w:rPr>
            </w:pPr>
            <w:r>
              <w:rPr>
                <w:rFonts w:ascii="Arial" w:cs="Arial" w:eastAsia="Arial" w:hAnsi="Arial"/>
                <w:sz w:val="18"/>
                <w:szCs w:val="18"/>
                <w:color w:val="auto"/>
                <w:w w:val="92"/>
              </w:rPr>
              <w:t>0.0% to 17.5%</w:t>
            </w:r>
          </w:p>
        </w:tc>
        <w:tc>
          <w:tcPr>
            <w:tcW w:w="260" w:type="dxa"/>
            <w:vAlign w:val="bottom"/>
            <w:shd w:val="clear" w:color="auto" w:fill="CCEEFF"/>
          </w:tcPr>
          <w:p>
            <w:pPr>
              <w:spacing w:after="0"/>
              <w:rPr>
                <w:sz w:val="21"/>
                <w:szCs w:val="21"/>
                <w:color w:val="auto"/>
              </w:rPr>
            </w:pPr>
          </w:p>
        </w:tc>
        <w:tc>
          <w:tcPr>
            <w:tcW w:w="1640" w:type="dxa"/>
            <w:vAlign w:val="bottom"/>
            <w:shd w:val="clear" w:color="auto" w:fill="CCEEFF"/>
          </w:tcPr>
          <w:p>
            <w:pPr>
              <w:jc w:val="center"/>
              <w:ind w:right="171"/>
              <w:spacing w:after="0"/>
              <w:rPr>
                <w:sz w:val="20"/>
                <w:szCs w:val="20"/>
                <w:color w:val="auto"/>
              </w:rPr>
            </w:pPr>
            <w:r>
              <w:rPr>
                <w:rFonts w:ascii="Arial" w:cs="Arial" w:eastAsia="Arial" w:hAnsi="Arial"/>
                <w:sz w:val="18"/>
                <w:szCs w:val="18"/>
                <w:color w:val="auto"/>
                <w:w w:val="90"/>
              </w:rPr>
              <w:t>0.0% to 18.0%</w:t>
            </w:r>
          </w:p>
        </w:tc>
      </w:tr>
      <w:tr>
        <w:trPr>
          <w:trHeight w:val="27"/>
        </w:trPr>
        <w:tc>
          <w:tcPr>
            <w:tcW w:w="53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6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6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r>
    </w:tbl>
    <w:p>
      <w:pPr>
        <w:spacing w:after="0" w:line="310" w:lineRule="exact"/>
        <w:rPr>
          <w:sz w:val="20"/>
          <w:szCs w:val="20"/>
          <w:color w:val="auto"/>
        </w:rPr>
      </w:pPr>
    </w:p>
    <w:p>
      <w:pPr>
        <w:ind w:right="380" w:firstLine="648"/>
        <w:spacing w:after="0" w:line="263" w:lineRule="auto"/>
        <w:rPr>
          <w:sz w:val="20"/>
          <w:szCs w:val="20"/>
          <w:color w:val="auto"/>
        </w:rPr>
      </w:pPr>
      <w:r>
        <w:rPr>
          <w:rFonts w:ascii="Arial" w:cs="Arial" w:eastAsia="Arial" w:hAnsi="Arial"/>
          <w:sz w:val="18"/>
          <w:szCs w:val="18"/>
          <w:color w:val="auto"/>
        </w:rPr>
        <w:t>For originated vacation ownership notes receivable, we record the difference between the vacation ownership note receivable and the variable consideration included in the transaction price for the sale of the related vacation ownership product as a reserve on our vacation ownership notes receivable.</w:t>
      </w:r>
    </w:p>
    <w:p>
      <w:pPr>
        <w:sectPr>
          <w:pgSz w:w="11900" w:h="16838" w:orient="portrait"/>
          <w:cols w:equalWidth="0" w:num="1">
            <w:col w:w="11240"/>
          </w:cols>
          <w:pgMar w:left="320" w:top="125" w:right="339" w:bottom="1440" w:gutter="0" w:footer="0" w:header="0"/>
        </w:sectPr>
      </w:pP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240"/>
          </w:cols>
          <w:pgMar w:left="320" w:top="125" w:right="339" w:bottom="1440" w:gutter="0" w:footer="0" w:header="0"/>
          <w:type w:val="continuous"/>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activity related to our originated vacation ownership notes receivable reserve.</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80" w:type="dxa"/>
            <w:vAlign w:val="bottom"/>
            <w:gridSpan w:val="7"/>
          </w:tcPr>
          <w:p>
            <w:pPr>
              <w:jc w:val="center"/>
              <w:ind w:right="151"/>
              <w:spacing w:after="0"/>
              <w:rPr>
                <w:sz w:val="20"/>
                <w:szCs w:val="20"/>
                <w:color w:val="auto"/>
              </w:rPr>
            </w:pPr>
            <w:r>
              <w:rPr>
                <w:rFonts w:ascii="Arial" w:cs="Arial" w:eastAsia="Arial" w:hAnsi="Arial"/>
                <w:sz w:val="16"/>
                <w:szCs w:val="16"/>
                <w:b w:val="1"/>
                <w:bCs w:val="1"/>
                <w:color w:val="auto"/>
                <w:w w:val="90"/>
              </w:rPr>
              <w:t>Originated Vacation Ownership Notes Receivable Reserve</w:t>
            </w:r>
          </w:p>
        </w:tc>
        <w:tc>
          <w:tcPr>
            <w:tcW w:w="0" w:type="dxa"/>
            <w:vAlign w:val="bottom"/>
          </w:tcPr>
          <w:p>
            <w:pPr>
              <w:spacing w:after="0"/>
              <w:rPr>
                <w:sz w:val="1"/>
                <w:szCs w:val="1"/>
                <w:color w:val="auto"/>
              </w:rPr>
            </w:pPr>
          </w:p>
        </w:tc>
      </w:tr>
      <w:tr>
        <w:trPr>
          <w:trHeight w:val="33"/>
        </w:trPr>
        <w:tc>
          <w:tcPr>
            <w:tcW w:w="53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530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260" w:type="dxa"/>
            <w:vAlign w:val="bottom"/>
          </w:tcPr>
          <w:p>
            <w:pPr>
              <w:spacing w:after="0"/>
              <w:rPr>
                <w:sz w:val="22"/>
                <w:szCs w:val="22"/>
                <w:color w:val="auto"/>
              </w:rPr>
            </w:pPr>
          </w:p>
        </w:tc>
        <w:tc>
          <w:tcPr>
            <w:tcW w:w="1760" w:type="dxa"/>
            <w:vAlign w:val="bottom"/>
            <w:gridSpan w:val="2"/>
          </w:tcPr>
          <w:p>
            <w:pPr>
              <w:ind w:left="140"/>
              <w:spacing w:after="0"/>
              <w:rPr>
                <w:sz w:val="20"/>
                <w:szCs w:val="20"/>
                <w:color w:val="auto"/>
              </w:rPr>
            </w:pPr>
            <w:r>
              <w:rPr>
                <w:rFonts w:ascii="Arial" w:cs="Arial" w:eastAsia="Arial" w:hAnsi="Arial"/>
                <w:sz w:val="16"/>
                <w:szCs w:val="16"/>
                <w:b w:val="1"/>
                <w:bCs w:val="1"/>
                <w:color w:val="auto"/>
              </w:rPr>
              <w:t>Non-Securitized</w:t>
            </w:r>
          </w:p>
        </w:tc>
        <w:tc>
          <w:tcPr>
            <w:tcW w:w="340" w:type="dxa"/>
            <w:vAlign w:val="bottom"/>
          </w:tcPr>
          <w:p>
            <w:pPr>
              <w:spacing w:after="0"/>
              <w:rPr>
                <w:sz w:val="22"/>
                <w:szCs w:val="22"/>
                <w:color w:val="auto"/>
              </w:rPr>
            </w:pPr>
          </w:p>
        </w:tc>
        <w:tc>
          <w:tcPr>
            <w:tcW w:w="1680" w:type="dxa"/>
            <w:vAlign w:val="bottom"/>
            <w:gridSpan w:val="2"/>
          </w:tcPr>
          <w:p>
            <w:pPr>
              <w:jc w:val="center"/>
              <w:ind w:right="460"/>
              <w:spacing w:after="0"/>
              <w:rPr>
                <w:sz w:val="20"/>
                <w:szCs w:val="20"/>
                <w:color w:val="auto"/>
              </w:rPr>
            </w:pPr>
            <w:r>
              <w:rPr>
                <w:rFonts w:ascii="Arial" w:cs="Arial" w:eastAsia="Arial" w:hAnsi="Arial"/>
                <w:sz w:val="16"/>
                <w:szCs w:val="16"/>
                <w:b w:val="1"/>
                <w:bCs w:val="1"/>
                <w:color w:val="auto"/>
                <w:w w:val="91"/>
              </w:rPr>
              <w:t>Securitized</w:t>
            </w:r>
          </w:p>
        </w:tc>
        <w:tc>
          <w:tcPr>
            <w:tcW w:w="440" w:type="dxa"/>
            <w:vAlign w:val="bottom"/>
          </w:tcPr>
          <w:p>
            <w:pPr>
              <w:spacing w:after="0"/>
              <w:rPr>
                <w:sz w:val="22"/>
                <w:szCs w:val="22"/>
                <w:color w:val="auto"/>
              </w:rPr>
            </w:pPr>
          </w:p>
        </w:tc>
        <w:tc>
          <w:tcPr>
            <w:tcW w:w="1460" w:type="dxa"/>
            <w:vAlign w:val="bottom"/>
          </w:tcPr>
          <w:p>
            <w:pPr>
              <w:jc w:val="right"/>
              <w:ind w:right="69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49"/>
        </w:trPr>
        <w:tc>
          <w:tcPr>
            <w:tcW w:w="53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2019</w:t>
            </w: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66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62"/>
        </w:trPr>
        <w:tc>
          <w:tcPr>
            <w:tcW w:w="5300" w:type="dxa"/>
            <w:vAlign w:val="bottom"/>
          </w:tcPr>
          <w:p>
            <w:pPr>
              <w:ind w:left="280"/>
              <w:spacing w:after="0"/>
              <w:rPr>
                <w:sz w:val="20"/>
                <w:szCs w:val="20"/>
                <w:color w:val="auto"/>
              </w:rPr>
            </w:pPr>
            <w:r>
              <w:rPr>
                <w:rFonts w:ascii="Arial" w:cs="Arial" w:eastAsia="Arial" w:hAnsi="Arial"/>
                <w:sz w:val="18"/>
                <w:szCs w:val="18"/>
                <w:color w:val="auto"/>
              </w:rPr>
              <w:t>Increase in vacation ownership notes receivable reserve</w:t>
            </w:r>
            <w:r>
              <w:rPr>
                <w:rFonts w:ascii="Arial" w:cs="Arial" w:eastAsia="Arial" w:hAnsi="Arial"/>
                <w:sz w:val="18"/>
                <w:szCs w:val="18"/>
                <w:color w:val="auto"/>
                <w:vertAlign w:val="superscript"/>
              </w:rPr>
              <w:t>(1)</w:t>
            </w:r>
          </w:p>
        </w:tc>
        <w:tc>
          <w:tcPr>
            <w:tcW w:w="260" w:type="dxa"/>
            <w:vAlign w:val="bottom"/>
          </w:tcPr>
          <w:p>
            <w:pPr>
              <w:spacing w:after="0"/>
              <w:rPr>
                <w:sz w:val="22"/>
                <w:szCs w:val="22"/>
                <w:color w:val="auto"/>
              </w:rPr>
            </w:pPr>
          </w:p>
        </w:tc>
        <w:tc>
          <w:tcPr>
            <w:tcW w:w="1660" w:type="dxa"/>
            <w:vAlign w:val="bottom"/>
          </w:tcPr>
          <w:p>
            <w:pPr>
              <w:jc w:val="right"/>
              <w:ind w:right="32"/>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560" w:type="dxa"/>
            <w:vAlign w:val="bottom"/>
          </w:tcPr>
          <w:p>
            <w:pPr>
              <w:jc w:val="right"/>
              <w:ind w:right="11"/>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58"/>
        </w:trPr>
        <w:tc>
          <w:tcPr>
            <w:tcW w:w="53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Securitizations</w:t>
            </w:r>
          </w:p>
        </w:tc>
        <w:tc>
          <w:tcPr>
            <w:tcW w:w="260" w:type="dxa"/>
            <w:vAlign w:val="bottom"/>
            <w:tcBorders>
              <w:bottom w:val="single" w:sz="8" w:color="CCEEFF"/>
            </w:tcBorders>
            <w:shd w:val="clear" w:color="auto" w:fill="CCEEFF"/>
          </w:tcPr>
          <w:p>
            <w:pPr>
              <w:spacing w:after="0"/>
              <w:rPr>
                <w:sz w:val="22"/>
                <w:szCs w:val="22"/>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300" w:type="dxa"/>
            <w:vAlign w:val="bottom"/>
          </w:tcPr>
          <w:p>
            <w:pPr>
              <w:ind w:left="280"/>
              <w:spacing w:after="0"/>
              <w:rPr>
                <w:sz w:val="20"/>
                <w:szCs w:val="20"/>
                <w:color w:val="auto"/>
              </w:rPr>
            </w:pPr>
            <w:r>
              <w:rPr>
                <w:rFonts w:ascii="Arial" w:cs="Arial" w:eastAsia="Arial" w:hAnsi="Arial"/>
                <w:sz w:val="18"/>
                <w:szCs w:val="18"/>
                <w:color w:val="auto"/>
              </w:rPr>
              <w:t>Write-offs</w:t>
            </w:r>
          </w:p>
        </w:tc>
        <w:tc>
          <w:tcPr>
            <w:tcW w:w="26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5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0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2"/>
              </w:rPr>
              <w:t>Defaulted vacation ownership notes receivable repurchase activity</w:t>
            </w:r>
            <w:r>
              <w:rPr>
                <w:rFonts w:ascii="Arial" w:cs="Arial" w:eastAsia="Arial" w:hAnsi="Arial"/>
                <w:sz w:val="18"/>
                <w:szCs w:val="18"/>
                <w:color w:val="auto"/>
                <w:w w:val="92"/>
                <w:vertAlign w:val="superscript"/>
              </w:rPr>
              <w:t>(2)</w:t>
            </w:r>
          </w:p>
        </w:tc>
        <w:tc>
          <w:tcPr>
            <w:tcW w:w="260" w:type="dxa"/>
            <w:vAlign w:val="bottom"/>
            <w:tcBorders>
              <w:bottom w:val="single" w:sz="8" w:color="auto"/>
            </w:tcBorders>
            <w:shd w:val="clear" w:color="auto" w:fill="CCEEFF"/>
          </w:tcPr>
          <w:p>
            <w:pPr>
              <w:spacing w:after="0"/>
              <w:rPr>
                <w:sz w:val="23"/>
                <w:szCs w:val="23"/>
                <w:color w:val="auto"/>
              </w:rPr>
            </w:pPr>
          </w:p>
        </w:tc>
        <w:tc>
          <w:tcPr>
            <w:tcW w:w="16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spacing w:after="0"/>
              <w:rPr>
                <w:sz w:val="23"/>
                <w:szCs w:val="23"/>
                <w:color w:val="auto"/>
              </w:rPr>
            </w:pPr>
          </w:p>
        </w:tc>
        <w:tc>
          <w:tcPr>
            <w:tcW w:w="14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5300" w:type="dxa"/>
            <w:vAlign w:val="bottom"/>
          </w:tcPr>
          <w:p>
            <w:pPr>
              <w:ind w:left="40"/>
              <w:spacing w:after="0"/>
              <w:rPr>
                <w:sz w:val="20"/>
                <w:szCs w:val="20"/>
                <w:color w:val="auto"/>
              </w:rPr>
            </w:pPr>
            <w:r>
              <w:rPr>
                <w:rFonts w:ascii="Arial" w:cs="Arial" w:eastAsia="Arial" w:hAnsi="Arial"/>
                <w:sz w:val="18"/>
                <w:szCs w:val="18"/>
                <w:color w:val="auto"/>
              </w:rPr>
              <w:t>Balance at March 31, 2020</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660" w:type="dxa"/>
            <w:vAlign w:val="bottom"/>
          </w:tcPr>
          <w:p>
            <w:pPr>
              <w:jc w:val="right"/>
              <w:ind w:right="32"/>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ind w:right="11"/>
              <w:spacing w:after="0"/>
              <w:rPr>
                <w:sz w:val="20"/>
                <w:szCs w:val="20"/>
                <w:color w:val="auto"/>
              </w:rPr>
            </w:pPr>
            <w:r>
              <w:rPr>
                <w:rFonts w:ascii="Arial" w:cs="Arial" w:eastAsia="Arial" w:hAnsi="Arial"/>
                <w:sz w:val="18"/>
                <w:szCs w:val="18"/>
                <w:color w:val="auto"/>
              </w:rPr>
              <w:t>150</w:t>
            </w:r>
          </w:p>
        </w:tc>
        <w:tc>
          <w:tcPr>
            <w:tcW w:w="120" w:type="dxa"/>
            <w:vAlign w:val="bottom"/>
          </w:tcPr>
          <w:p>
            <w:pPr>
              <w:spacing w:after="0"/>
              <w:rPr>
                <w:sz w:val="20"/>
                <w:szCs w:val="20"/>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263</w:t>
            </w:r>
          </w:p>
        </w:tc>
        <w:tc>
          <w:tcPr>
            <w:tcW w:w="0" w:type="dxa"/>
            <w:vAlign w:val="bottom"/>
          </w:tcPr>
          <w:p>
            <w:pPr>
              <w:spacing w:after="0"/>
              <w:rPr>
                <w:sz w:val="1"/>
                <w:szCs w:val="1"/>
                <w:color w:val="auto"/>
              </w:rPr>
            </w:pPr>
          </w:p>
        </w:tc>
      </w:tr>
      <w:tr>
        <w:trPr>
          <w:trHeight w:val="27"/>
        </w:trPr>
        <w:tc>
          <w:tcPr>
            <w:tcW w:w="5300" w:type="dxa"/>
            <w:vAlign w:val="bottom"/>
            <w:vMerge w:val="restart"/>
          </w:tcPr>
          <w:p>
            <w:pPr>
              <w:spacing w:after="0"/>
              <w:rPr>
                <w:sz w:val="20"/>
                <w:szCs w:val="20"/>
                <w:color w:val="auto"/>
              </w:rPr>
            </w:pPr>
            <w:r>
              <w:rPr>
                <w:rFonts w:ascii="Arial" w:cs="Arial" w:eastAsia="Arial" w:hAnsi="Arial"/>
                <w:sz w:val="18"/>
                <w:szCs w:val="18"/>
                <w:color w:val="auto"/>
              </w:rPr>
              <w:t>_________________________</w:t>
            </w:r>
          </w:p>
        </w:tc>
        <w:tc>
          <w:tcPr>
            <w:tcW w:w="2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300" w:type="dxa"/>
            <w:vAlign w:val="bottom"/>
            <w:vMerge w:val="continue"/>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30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660" w:right="20" w:hanging="652"/>
        <w:spacing w:after="0" w:line="216" w:lineRule="auto"/>
        <w:tabs>
          <w:tab w:leader="none" w:pos="660" w:val="left"/>
        </w:tabs>
        <w:numPr>
          <w:ilvl w:val="0"/>
          <w:numId w:val="11"/>
        </w:numPr>
        <w:rPr>
          <w:rFonts w:ascii="Arial" w:cs="Arial" w:eastAsia="Arial" w:hAnsi="Arial"/>
          <w:sz w:val="25"/>
          <w:szCs w:val="25"/>
          <w:color w:val="auto"/>
          <w:vertAlign w:val="superscript"/>
        </w:rPr>
      </w:pPr>
      <w:r>
        <w:rPr>
          <w:rFonts w:ascii="Arial" w:cs="Arial" w:eastAsia="Arial" w:hAnsi="Arial"/>
          <w:sz w:val="18"/>
          <w:szCs w:val="18"/>
          <w:color w:val="auto"/>
        </w:rPr>
        <w:t>Increase in vacation ownership notes receivable reserve includes $42 million ($16 million non-securitized and $26 million securitized) attributable to additional reserve resulting from the COVID-19 pandemic.</w:t>
      </w:r>
    </w:p>
    <w:p>
      <w:pPr>
        <w:spacing w:after="0" w:line="40" w:lineRule="exact"/>
        <w:rPr>
          <w:rFonts w:ascii="Arial" w:cs="Arial" w:eastAsia="Arial" w:hAnsi="Arial"/>
          <w:sz w:val="25"/>
          <w:szCs w:val="25"/>
          <w:color w:val="auto"/>
          <w:vertAlign w:val="superscript"/>
        </w:rPr>
      </w:pPr>
    </w:p>
    <w:p>
      <w:pPr>
        <w:ind w:left="660" w:right="200" w:hanging="652"/>
        <w:spacing w:after="0" w:line="252" w:lineRule="auto"/>
        <w:tabs>
          <w:tab w:leader="none" w:pos="660" w:val="left"/>
        </w:tabs>
        <w:numPr>
          <w:ilvl w:val="0"/>
          <w:numId w:val="11"/>
        </w:numPr>
        <w:rPr>
          <w:rFonts w:ascii="Arial" w:cs="Arial" w:eastAsia="Arial" w:hAnsi="Arial"/>
          <w:sz w:val="22"/>
          <w:szCs w:val="22"/>
          <w:color w:val="auto"/>
          <w:vertAlign w:val="superscript"/>
        </w:rPr>
      </w:pPr>
      <w:r>
        <w:rPr>
          <w:rFonts w:ascii="Arial" w:cs="Arial" w:eastAsia="Arial" w:hAnsi="Arial"/>
          <w:sz w:val="16"/>
          <w:szCs w:val="16"/>
          <w:color w:val="auto"/>
        </w:rPr>
        <w:t>Decrease in securitized vacation ownership notes receivable reserve and increase in non-securitized vacation ownership notes receivable reserve was attributable to the transfer of the reserve when we voluntarily repurchased defaulted securitized vacation ownership notes receivable.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Quality of Vacation Ownership Notes Receivable</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Legacy-MVW Vacation Ownership Notes Receivable</w:t>
      </w:r>
    </w:p>
    <w:p>
      <w:pPr>
        <w:spacing w:after="0" w:line="117"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For both Legacy-MVW non-securitized and securitized vacation ownership notes receivable, we estimated average remaining default rates of 8.89 percent as of March 31, 2020 (includes 1.89 percent attributed to the additional reserve resulting from the COVID-19 pandemic), and 7.04 percent as of December 31, 2019. A 0.5 percentage point increase in the estimated default rate would have resulted in an increase in the related vacation ownership notes receivable reserve of $8 million as of both March 31, 2020 and December 31, 2019.</w:t>
      </w:r>
    </w:p>
    <w:p>
      <w:pPr>
        <w:spacing w:after="0" w:line="79" w:lineRule="exact"/>
        <w:rPr>
          <w:sz w:val="20"/>
          <w:szCs w:val="20"/>
          <w:color w:val="auto"/>
        </w:rPr>
      </w:pPr>
    </w:p>
    <w:p>
      <w:pPr>
        <w:ind w:right="600" w:firstLine="648"/>
        <w:spacing w:after="0" w:line="277" w:lineRule="auto"/>
        <w:rPr>
          <w:sz w:val="20"/>
          <w:szCs w:val="20"/>
          <w:color w:val="auto"/>
        </w:rPr>
      </w:pPr>
      <w:r>
        <w:rPr>
          <w:rFonts w:ascii="Arial" w:cs="Arial" w:eastAsia="Arial" w:hAnsi="Arial"/>
          <w:sz w:val="18"/>
          <w:szCs w:val="18"/>
          <w:color w:val="auto"/>
        </w:rPr>
        <w:t>The following table shows our recorded investment in non-accrual Legacy-MVW vacation ownership notes receivable, which are vacation ownership notes receivable that are 90 days or more past due.</w:t>
      </w:r>
    </w:p>
    <w:p>
      <w:pPr>
        <w:spacing w:after="0" w:line="130" w:lineRule="exact"/>
        <w:rPr>
          <w:sz w:val="20"/>
          <w:szCs w:val="20"/>
          <w:color w:val="auto"/>
        </w:rPr>
      </w:pPr>
    </w:p>
    <w:p>
      <w:pPr>
        <w:ind w:left="6460"/>
        <w:spacing w:after="0"/>
        <w:rPr>
          <w:sz w:val="20"/>
          <w:szCs w:val="20"/>
          <w:color w:val="auto"/>
        </w:rPr>
      </w:pPr>
      <w:r>
        <w:rPr>
          <w:rFonts w:ascii="Arial" w:cs="Arial" w:eastAsia="Arial" w:hAnsi="Arial"/>
          <w:sz w:val="16"/>
          <w:szCs w:val="16"/>
          <w:b w:val="1"/>
          <w:bCs w:val="1"/>
          <w:color w:val="auto"/>
        </w:rPr>
        <w:t>Legacy-MVW Vacation Ownership Notes Receivable</w:t>
      </w:r>
    </w:p>
    <w:p>
      <w:pPr>
        <w:spacing w:after="0" w:line="9" w:lineRule="exact"/>
        <w:rPr>
          <w:sz w:val="20"/>
          <w:szCs w:val="20"/>
          <w:color w:val="auto"/>
        </w:rPr>
      </w:pPr>
    </w:p>
    <w:p>
      <w:pPr>
        <w:ind w:left="40"/>
        <w:spacing w:after="0"/>
        <w:tabs>
          <w:tab w:leader="none" w:pos="5680" w:val="left"/>
          <w:tab w:leader="none" w:pos="7860" w:val="left"/>
          <w:tab w:leader="none" w:pos="10100" w:val="left"/>
        </w:tabs>
        <w:rPr>
          <w:sz w:val="20"/>
          <w:szCs w:val="20"/>
          <w:color w:val="auto"/>
        </w:rPr>
      </w:pPr>
      <w:r>
        <w:rPr>
          <w:rFonts w:ascii="Arial" w:cs="Arial" w:eastAsia="Arial" w:hAnsi="Arial"/>
          <w:sz w:val="28"/>
          <w:szCs w:val="28"/>
          <w:b w:val="1"/>
          <w:bCs w:val="1"/>
          <w:i w:val="1"/>
          <w:iCs w:val="1"/>
          <w:color w:val="auto"/>
          <w:vertAlign w:val="subscript"/>
        </w:rPr>
        <w:t>($ in millions)</w:t>
      </w:r>
      <w:r>
        <w:rPr>
          <w:sz w:val="20"/>
          <w:szCs w:val="20"/>
          <w:color w:val="auto"/>
        </w:rPr>
        <w:tab/>
      </w:r>
      <w:r>
        <w:rPr>
          <w:rFonts w:ascii="Arial" w:cs="Arial" w:eastAsia="Arial" w:hAnsi="Arial"/>
          <w:sz w:val="16"/>
          <w:szCs w:val="16"/>
          <w:b w:val="1"/>
          <w:bCs w:val="1"/>
          <w:color w:val="auto"/>
        </w:rPr>
        <w:t>Non-Securitized</w:t>
      </w:r>
      <w:r>
        <w:rPr>
          <w:sz w:val="20"/>
          <w:szCs w:val="20"/>
          <w:color w:val="auto"/>
        </w:rPr>
        <w:tab/>
      </w:r>
      <w:r>
        <w:rPr>
          <w:rFonts w:ascii="Arial" w:cs="Arial" w:eastAsia="Arial" w:hAnsi="Arial"/>
          <w:sz w:val="16"/>
          <w:szCs w:val="16"/>
          <w:b w:val="1"/>
          <w:bCs w:val="1"/>
          <w:color w:val="auto"/>
        </w:rPr>
        <w:t>Securitized</w:t>
      </w:r>
      <w:r>
        <w:rPr>
          <w:sz w:val="20"/>
          <w:szCs w:val="20"/>
          <w:color w:val="auto"/>
        </w:rPr>
        <w:tab/>
      </w:r>
      <w:r>
        <w:rPr>
          <w:rFonts w:ascii="Arial" w:cs="Arial" w:eastAsia="Arial" w:hAnsi="Arial"/>
          <w:sz w:val="14"/>
          <w:szCs w:val="14"/>
          <w:b w:val="1"/>
          <w:bCs w:val="1"/>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32320" cy="3086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308610"/>
                    </a:xfrm>
                    <a:prstGeom prst="rect">
                      <a:avLst/>
                    </a:prstGeom>
                    <a:noFill/>
                  </pic:spPr>
                </pic:pic>
              </a:graphicData>
            </a:graphic>
          </wp:anchor>
        </w:drawing>
        <w:drawing>
          <wp:anchor simplePos="0" relativeHeight="251657728" behindDoc="1" locked="0" layoutInCell="0" allowOverlap="1">
            <wp:simplePos x="0" y="0"/>
            <wp:positionH relativeFrom="column">
              <wp:posOffset>3365500</wp:posOffset>
            </wp:positionH>
            <wp:positionV relativeFrom="paragraph">
              <wp:posOffset>-172085</wp:posOffset>
            </wp:positionV>
            <wp:extent cx="377190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771900" cy="825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p>
      <w:pPr>
        <w:spacing w:after="0" w:line="25" w:lineRule="exact"/>
        <w:rPr>
          <w:sz w:val="20"/>
          <w:szCs w:val="20"/>
          <w:color w:val="auto"/>
        </w:rPr>
      </w:pPr>
    </w:p>
    <w:p>
      <w:pPr>
        <w:ind w:left="40"/>
        <w:spacing w:after="0" w:line="277" w:lineRule="auto"/>
        <w:rPr>
          <w:sz w:val="20"/>
          <w:szCs w:val="20"/>
          <w:color w:val="auto"/>
        </w:rPr>
      </w:pPr>
      <w:r>
        <w:rPr>
          <w:rFonts w:ascii="Arial" w:cs="Arial" w:eastAsia="Arial" w:hAnsi="Arial"/>
          <w:sz w:val="18"/>
          <w:szCs w:val="18"/>
          <w:color w:val="auto"/>
        </w:rPr>
        <w:t>Investment in vacation ownership notes receivable on non-accrual status at March 31, 2020</w:t>
      </w:r>
    </w:p>
    <w:p>
      <w:pPr>
        <w:spacing w:after="0" w:line="8" w:lineRule="exact"/>
        <w:rPr>
          <w:sz w:val="20"/>
          <w:szCs w:val="20"/>
          <w:color w:val="auto"/>
        </w:rPr>
      </w:pPr>
    </w:p>
    <w:p>
      <w:pPr>
        <w:ind w:left="40"/>
        <w:spacing w:after="0" w:line="277" w:lineRule="auto"/>
        <w:rPr>
          <w:sz w:val="20"/>
          <w:szCs w:val="20"/>
          <w:color w:val="auto"/>
        </w:rPr>
      </w:pPr>
      <w:r>
        <w:rPr>
          <w:rFonts w:ascii="Arial" w:cs="Arial" w:eastAsia="Arial" w:hAnsi="Arial"/>
          <w:sz w:val="18"/>
          <w:szCs w:val="18"/>
          <w:color w:val="auto"/>
        </w:rPr>
        <w:t>Investment in vacation ownership notes receivable on non-accrual status at December 31, 2019</w:t>
      </w:r>
    </w:p>
    <w:p>
      <w:pPr>
        <w:spacing w:after="0" w:line="20" w:lineRule="exact"/>
        <w:rPr>
          <w:sz w:val="20"/>
          <w:szCs w:val="20"/>
          <w:color w:val="auto"/>
        </w:rPr>
      </w:pPr>
      <w:r>
        <w:rPr>
          <w:sz w:val="20"/>
          <w:szCs w:val="20"/>
          <w:color w:val="auto"/>
        </w:rPr>
        <w:br w:type="column"/>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11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320" w:type="dxa"/>
            <w:vAlign w:val="bottom"/>
          </w:tcPr>
          <w:p>
            <w:pPr>
              <w:jc w:val="right"/>
              <w:ind w:right="50"/>
              <w:spacing w:after="0"/>
              <w:rPr>
                <w:sz w:val="20"/>
                <w:szCs w:val="20"/>
                <w:color w:val="auto"/>
              </w:rPr>
            </w:pPr>
            <w:r>
              <w:rPr>
                <w:rFonts w:ascii="Arial" w:cs="Arial" w:eastAsia="Arial" w:hAnsi="Arial"/>
                <w:sz w:val="18"/>
                <w:szCs w:val="18"/>
                <w:color w:val="auto"/>
                <w:w w:val="79"/>
              </w:rPr>
              <w:t>48</w:t>
            </w:r>
          </w:p>
        </w:tc>
        <w:tc>
          <w:tcPr>
            <w:tcW w:w="960" w:type="dxa"/>
            <w:vAlign w:val="bottom"/>
          </w:tcPr>
          <w:p>
            <w:pPr>
              <w:jc w:val="right"/>
              <w:ind w:right="67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14</w:t>
            </w:r>
          </w:p>
        </w:tc>
        <w:tc>
          <w:tcPr>
            <w:tcW w:w="960" w:type="dxa"/>
            <w:vAlign w:val="bottom"/>
          </w:tcPr>
          <w:p>
            <w:pPr>
              <w:jc w:val="right"/>
              <w:ind w:right="65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486"/>
        </w:trPr>
        <w:tc>
          <w:tcPr>
            <w:tcW w:w="320" w:type="dxa"/>
            <w:vAlign w:val="bottom"/>
          </w:tcPr>
          <w:p>
            <w:pPr>
              <w:jc w:val="right"/>
              <w:ind w:right="50"/>
              <w:spacing w:after="0"/>
              <w:rPr>
                <w:sz w:val="20"/>
                <w:szCs w:val="20"/>
                <w:color w:val="auto"/>
              </w:rPr>
            </w:pPr>
            <w:r>
              <w:rPr>
                <w:rFonts w:ascii="Arial" w:cs="Arial" w:eastAsia="Arial" w:hAnsi="Arial"/>
                <w:sz w:val="18"/>
                <w:szCs w:val="18"/>
                <w:color w:val="auto"/>
                <w:w w:val="79"/>
              </w:rPr>
              <w:t>43</w:t>
            </w:r>
          </w:p>
        </w:tc>
        <w:tc>
          <w:tcPr>
            <w:tcW w:w="960" w:type="dxa"/>
            <w:vAlign w:val="bottom"/>
          </w:tcPr>
          <w:p>
            <w:pPr>
              <w:jc w:val="right"/>
              <w:ind w:right="67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11</w:t>
            </w:r>
          </w:p>
        </w:tc>
        <w:tc>
          <w:tcPr>
            <w:tcW w:w="960" w:type="dxa"/>
            <w:vAlign w:val="bottom"/>
          </w:tcPr>
          <w:p>
            <w:pPr>
              <w:jc w:val="right"/>
              <w:ind w:right="65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54</w:t>
            </w:r>
          </w:p>
        </w:tc>
      </w:tr>
    </w:tbl>
    <w:p>
      <w:pPr>
        <w:spacing w:after="0" w:line="339" w:lineRule="exact"/>
        <w:rPr>
          <w:sz w:val="20"/>
          <w:szCs w:val="20"/>
          <w:color w:val="auto"/>
        </w:rPr>
      </w:pPr>
    </w:p>
    <w:p>
      <w:pPr>
        <w:sectPr>
          <w:pgSz w:w="11900" w:h="16838" w:orient="portrait"/>
          <w:cols w:equalWidth="0" w:num="3">
            <w:col w:w="5260" w:space="60"/>
            <w:col w:w="880" w:space="720"/>
            <w:col w:w="4320"/>
          </w:cols>
          <w:pgMar w:left="320" w:top="125" w:right="339" w:bottom="1440" w:gutter="0" w:footer="0" w:header="0"/>
          <w:type w:val="continuous"/>
        </w:sectPr>
      </w:pPr>
    </w:p>
    <w:p>
      <w:pPr>
        <w:spacing w:after="0" w:line="15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The following </w:t>
      </w:r>
      <w:r>
        <w:rPr>
          <w:rFonts w:ascii="Arial" w:cs="Arial" w:eastAsia="Arial" w:hAnsi="Arial"/>
          <w:sz w:val="18"/>
          <w:szCs w:val="18"/>
          <w:color w:val="212529"/>
        </w:rPr>
        <w:t>table details the origination year of our Legacy-MVW vacation ownership notes receivable as of</w:t>
      </w:r>
      <w:r>
        <w:rPr>
          <w:rFonts w:ascii="Arial" w:cs="Arial" w:eastAsia="Arial" w:hAnsi="Arial"/>
          <w:sz w:val="18"/>
          <w:szCs w:val="18"/>
          <w:color w:val="auto"/>
        </w:rPr>
        <w:t xml:space="preserve"> March 31, 2020</w:t>
      </w:r>
      <w:r>
        <w:rPr>
          <w:rFonts w:ascii="Arial" w:cs="Arial" w:eastAsia="Arial" w:hAnsi="Arial"/>
          <w:sz w:val="18"/>
          <w:szCs w:val="18"/>
          <w:color w:val="212529"/>
        </w:rPr>
        <w:t>.</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720" w:type="dxa"/>
            <w:vAlign w:val="bottom"/>
            <w:gridSpan w:val="7"/>
          </w:tcPr>
          <w:p>
            <w:pPr>
              <w:jc w:val="center"/>
              <w:ind w:right="71"/>
              <w:spacing w:after="0"/>
              <w:rPr>
                <w:sz w:val="20"/>
                <w:szCs w:val="20"/>
                <w:color w:val="auto"/>
              </w:rPr>
            </w:pPr>
            <w:r>
              <w:rPr>
                <w:rFonts w:ascii="Arial" w:cs="Arial" w:eastAsia="Arial" w:hAnsi="Arial"/>
                <w:sz w:val="16"/>
                <w:szCs w:val="16"/>
                <w:b w:val="1"/>
                <w:bCs w:val="1"/>
                <w:color w:val="auto"/>
                <w:w w:val="92"/>
              </w:rPr>
              <w:t>Legacy-MVW Vacation Ownership Notes Receivable</w:t>
            </w:r>
          </w:p>
        </w:tc>
      </w:tr>
      <w:tr>
        <w:trPr>
          <w:trHeight w:val="33"/>
        </w:trPr>
        <w:tc>
          <w:tcPr>
            <w:tcW w:w="52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2"/>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58"/>
        </w:trPr>
        <w:tc>
          <w:tcPr>
            <w:tcW w:w="526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200" w:type="dxa"/>
            <w:vAlign w:val="bottom"/>
          </w:tcPr>
          <w:p>
            <w:pPr>
              <w:spacing w:after="0"/>
              <w:rPr>
                <w:sz w:val="22"/>
                <w:szCs w:val="22"/>
                <w:color w:val="auto"/>
              </w:rPr>
            </w:pPr>
          </w:p>
        </w:tc>
        <w:tc>
          <w:tcPr>
            <w:tcW w:w="1820" w:type="dxa"/>
            <w:vAlign w:val="bottom"/>
            <w:gridSpan w:val="2"/>
          </w:tcPr>
          <w:p>
            <w:pPr>
              <w:ind w:left="200"/>
              <w:spacing w:after="0"/>
              <w:rPr>
                <w:sz w:val="20"/>
                <w:szCs w:val="20"/>
                <w:color w:val="auto"/>
              </w:rPr>
            </w:pPr>
            <w:r>
              <w:rPr>
                <w:rFonts w:ascii="Arial" w:cs="Arial" w:eastAsia="Arial" w:hAnsi="Arial"/>
                <w:sz w:val="16"/>
                <w:szCs w:val="16"/>
                <w:b w:val="1"/>
                <w:bCs w:val="1"/>
                <w:color w:val="auto"/>
              </w:rPr>
              <w:t>Non-Securitized</w:t>
            </w:r>
          </w:p>
        </w:tc>
        <w:tc>
          <w:tcPr>
            <w:tcW w:w="340" w:type="dxa"/>
            <w:vAlign w:val="bottom"/>
          </w:tcPr>
          <w:p>
            <w:pPr>
              <w:spacing w:after="0"/>
              <w:rPr>
                <w:sz w:val="22"/>
                <w:szCs w:val="22"/>
                <w:color w:val="auto"/>
              </w:rPr>
            </w:pPr>
          </w:p>
        </w:tc>
        <w:tc>
          <w:tcPr>
            <w:tcW w:w="1660" w:type="dxa"/>
            <w:vAlign w:val="bottom"/>
            <w:gridSpan w:val="2"/>
          </w:tcPr>
          <w:p>
            <w:pPr>
              <w:jc w:val="center"/>
              <w:ind w:right="460"/>
              <w:spacing w:after="0"/>
              <w:rPr>
                <w:sz w:val="20"/>
                <w:szCs w:val="20"/>
                <w:color w:val="auto"/>
              </w:rPr>
            </w:pPr>
            <w:r>
              <w:rPr>
                <w:rFonts w:ascii="Arial" w:cs="Arial" w:eastAsia="Arial" w:hAnsi="Arial"/>
                <w:sz w:val="16"/>
                <w:szCs w:val="16"/>
                <w:b w:val="1"/>
                <w:bCs w:val="1"/>
                <w:color w:val="auto"/>
                <w:w w:val="88"/>
              </w:rPr>
              <w:t>Securitized</w:t>
            </w:r>
          </w:p>
        </w:tc>
        <w:tc>
          <w:tcPr>
            <w:tcW w:w="440" w:type="dxa"/>
            <w:vAlign w:val="bottom"/>
          </w:tcPr>
          <w:p>
            <w:pPr>
              <w:spacing w:after="0"/>
              <w:rPr>
                <w:sz w:val="22"/>
                <w:szCs w:val="22"/>
                <w:color w:val="auto"/>
              </w:rPr>
            </w:pPr>
          </w:p>
        </w:tc>
        <w:tc>
          <w:tcPr>
            <w:tcW w:w="1460" w:type="dxa"/>
            <w:vAlign w:val="bottom"/>
          </w:tcPr>
          <w:p>
            <w:pPr>
              <w:jc w:val="right"/>
              <w:ind w:right="671"/>
              <w:spacing w:after="0"/>
              <w:rPr>
                <w:sz w:val="20"/>
                <w:szCs w:val="20"/>
                <w:color w:val="auto"/>
              </w:rPr>
            </w:pPr>
            <w:r>
              <w:rPr>
                <w:rFonts w:ascii="Arial" w:cs="Arial" w:eastAsia="Arial" w:hAnsi="Arial"/>
                <w:sz w:val="16"/>
                <w:szCs w:val="16"/>
                <w:b w:val="1"/>
                <w:bCs w:val="1"/>
                <w:color w:val="auto"/>
              </w:rPr>
              <w:t>Total</w:t>
            </w:r>
          </w:p>
        </w:tc>
      </w:tr>
      <w:tr>
        <w:trPr>
          <w:trHeight w:val="249"/>
        </w:trPr>
        <w:tc>
          <w:tcPr>
            <w:tcW w:w="52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Year of Origination</w:t>
            </w: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7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15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CCEEFF"/>
            </w:tcBorders>
            <w:shd w:val="clear" w:color="auto" w:fill="CCEEFF"/>
          </w:tcPr>
          <w:p>
            <w:pPr>
              <w:spacing w:after="0"/>
              <w:rPr>
                <w:sz w:val="21"/>
                <w:szCs w:val="21"/>
                <w:color w:val="auto"/>
              </w:rPr>
            </w:pPr>
          </w:p>
        </w:tc>
        <w:tc>
          <w:tcPr>
            <w:tcW w:w="146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5260" w:type="dxa"/>
            <w:vAlign w:val="bottom"/>
          </w:tcPr>
          <w:p>
            <w:pPr>
              <w:ind w:left="280"/>
              <w:spacing w:after="0"/>
              <w:rPr>
                <w:sz w:val="20"/>
                <w:szCs w:val="20"/>
                <w:color w:val="auto"/>
              </w:rPr>
            </w:pPr>
            <w:r>
              <w:rPr>
                <w:rFonts w:ascii="Arial" w:cs="Arial" w:eastAsia="Arial" w:hAnsi="Arial"/>
                <w:sz w:val="18"/>
                <w:szCs w:val="18"/>
                <w:color w:val="auto"/>
              </w:rPr>
              <w:t>2020</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Pr>
          <w:p>
            <w:pPr>
              <w:jc w:val="right"/>
              <w:ind w:right="12"/>
              <w:spacing w:after="0"/>
              <w:rPr>
                <w:sz w:val="20"/>
                <w:szCs w:val="20"/>
                <w:color w:val="auto"/>
              </w:rPr>
            </w:pPr>
            <w:r>
              <w:rPr>
                <w:rFonts w:ascii="Arial" w:cs="Arial" w:eastAsia="Arial" w:hAnsi="Arial"/>
                <w:sz w:val="18"/>
                <w:szCs w:val="18"/>
                <w:color w:val="auto"/>
              </w:rPr>
              <w:t>78</w:t>
            </w:r>
          </w:p>
        </w:tc>
        <w:tc>
          <w:tcPr>
            <w:tcW w:w="12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560" w:type="dxa"/>
            <w:vAlign w:val="bottom"/>
          </w:tcPr>
          <w:p>
            <w:pPr>
              <w:jc w:val="right"/>
              <w:ind w:right="31"/>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114</w:t>
            </w:r>
          </w:p>
        </w:tc>
      </w:tr>
      <w:tr>
        <w:trPr>
          <w:trHeight w:val="27"/>
        </w:trPr>
        <w:tc>
          <w:tcPr>
            <w:tcW w:w="5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2019</w:t>
            </w:r>
          </w:p>
        </w:tc>
        <w:tc>
          <w:tcPr>
            <w:tcW w:w="2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471</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541</w:t>
            </w:r>
          </w:p>
        </w:tc>
      </w:tr>
      <w:tr>
        <w:trPr>
          <w:trHeight w:val="243"/>
        </w:trPr>
        <w:tc>
          <w:tcPr>
            <w:tcW w:w="5260" w:type="dxa"/>
            <w:vAlign w:val="bottom"/>
          </w:tcPr>
          <w:p>
            <w:pPr>
              <w:ind w:left="280"/>
              <w:spacing w:after="0"/>
              <w:rPr>
                <w:sz w:val="20"/>
                <w:szCs w:val="20"/>
                <w:color w:val="auto"/>
              </w:rPr>
            </w:pPr>
            <w:r>
              <w:rPr>
                <w:rFonts w:ascii="Arial" w:cs="Arial" w:eastAsia="Arial" w:hAnsi="Arial"/>
                <w:sz w:val="18"/>
                <w:szCs w:val="18"/>
                <w:color w:val="auto"/>
              </w:rPr>
              <w:t>2018</w:t>
            </w:r>
          </w:p>
        </w:tc>
        <w:tc>
          <w:tcPr>
            <w:tcW w:w="200" w:type="dxa"/>
            <w:vAlign w:val="bottom"/>
          </w:tcPr>
          <w:p>
            <w:pPr>
              <w:spacing w:after="0"/>
              <w:rPr>
                <w:sz w:val="21"/>
                <w:szCs w:val="21"/>
                <w:color w:val="auto"/>
              </w:rPr>
            </w:pPr>
          </w:p>
        </w:tc>
        <w:tc>
          <w:tcPr>
            <w:tcW w:w="1700" w:type="dxa"/>
            <w:vAlign w:val="bottom"/>
          </w:tcPr>
          <w:p>
            <w:pPr>
              <w:jc w:val="right"/>
              <w:ind w:right="12"/>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560" w:type="dxa"/>
            <w:vAlign w:val="bottom"/>
          </w:tcPr>
          <w:p>
            <w:pPr>
              <w:jc w:val="right"/>
              <w:ind w:right="31"/>
              <w:spacing w:after="0"/>
              <w:rPr>
                <w:sz w:val="20"/>
                <w:szCs w:val="20"/>
                <w:color w:val="auto"/>
              </w:rPr>
            </w:pPr>
            <w:r>
              <w:rPr>
                <w:rFonts w:ascii="Arial" w:cs="Arial" w:eastAsia="Arial" w:hAnsi="Arial"/>
                <w:sz w:val="18"/>
                <w:szCs w:val="18"/>
                <w:color w:val="auto"/>
              </w:rPr>
              <w:t>357</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393</w:t>
            </w:r>
          </w:p>
        </w:tc>
      </w:tr>
      <w:tr>
        <w:trPr>
          <w:trHeight w:val="27"/>
        </w:trPr>
        <w:tc>
          <w:tcPr>
            <w:tcW w:w="5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2017</w:t>
            </w:r>
          </w:p>
        </w:tc>
        <w:tc>
          <w:tcPr>
            <w:tcW w:w="2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218</w:t>
            </w:r>
          </w:p>
        </w:tc>
      </w:tr>
      <w:tr>
        <w:trPr>
          <w:trHeight w:val="243"/>
        </w:trPr>
        <w:tc>
          <w:tcPr>
            <w:tcW w:w="5260" w:type="dxa"/>
            <w:vAlign w:val="bottom"/>
          </w:tcPr>
          <w:p>
            <w:pPr>
              <w:ind w:left="280"/>
              <w:spacing w:after="0"/>
              <w:rPr>
                <w:sz w:val="20"/>
                <w:szCs w:val="20"/>
                <w:color w:val="auto"/>
              </w:rPr>
            </w:pPr>
            <w:r>
              <w:rPr>
                <w:rFonts w:ascii="Arial" w:cs="Arial" w:eastAsia="Arial" w:hAnsi="Arial"/>
                <w:sz w:val="18"/>
                <w:szCs w:val="18"/>
                <w:color w:val="auto"/>
              </w:rPr>
              <w:t>2016</w:t>
            </w:r>
          </w:p>
        </w:tc>
        <w:tc>
          <w:tcPr>
            <w:tcW w:w="200" w:type="dxa"/>
            <w:vAlign w:val="bottom"/>
          </w:tcPr>
          <w:p>
            <w:pPr>
              <w:spacing w:after="0"/>
              <w:rPr>
                <w:sz w:val="21"/>
                <w:szCs w:val="21"/>
                <w:color w:val="auto"/>
              </w:rPr>
            </w:pPr>
          </w:p>
        </w:tc>
        <w:tc>
          <w:tcPr>
            <w:tcW w:w="1700" w:type="dxa"/>
            <w:vAlign w:val="bottom"/>
          </w:tcPr>
          <w:p>
            <w:pPr>
              <w:jc w:val="right"/>
              <w:ind w:right="12"/>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560" w:type="dxa"/>
            <w:vAlign w:val="bottom"/>
          </w:tcPr>
          <w:p>
            <w:pPr>
              <w:jc w:val="right"/>
              <w:ind w:right="31"/>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104</w:t>
            </w:r>
          </w:p>
        </w:tc>
      </w:tr>
      <w:tr>
        <w:trPr>
          <w:trHeight w:val="27"/>
        </w:trPr>
        <w:tc>
          <w:tcPr>
            <w:tcW w:w="5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5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2015 and Prior</w:t>
            </w:r>
          </w:p>
        </w:tc>
        <w:tc>
          <w:tcPr>
            <w:tcW w:w="20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169</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197</w:t>
            </w:r>
          </w:p>
        </w:tc>
      </w:tr>
      <w:tr>
        <w:trPr>
          <w:trHeight w:val="236"/>
        </w:trPr>
        <w:tc>
          <w:tcPr>
            <w:tcW w:w="526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237</w:t>
            </w:r>
          </w:p>
        </w:tc>
        <w:tc>
          <w:tcPr>
            <w:tcW w:w="120" w:type="dxa"/>
            <w:vAlign w:val="bottom"/>
          </w:tcPr>
          <w:p>
            <w:pPr>
              <w:spacing w:after="0"/>
              <w:rPr>
                <w:sz w:val="20"/>
                <w:szCs w:val="20"/>
                <w:color w:val="auto"/>
              </w:rPr>
            </w:pPr>
          </w:p>
        </w:tc>
        <w:tc>
          <w:tcPr>
            <w:tcW w:w="3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1,330</w:t>
            </w:r>
          </w:p>
        </w:tc>
        <w:tc>
          <w:tcPr>
            <w:tcW w:w="100" w:type="dxa"/>
            <w:vAlign w:val="bottom"/>
          </w:tcPr>
          <w:p>
            <w:pPr>
              <w:spacing w:after="0"/>
              <w:rPr>
                <w:sz w:val="20"/>
                <w:szCs w:val="20"/>
                <w:color w:val="auto"/>
              </w:rPr>
            </w:pP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1,567</w:t>
            </w:r>
          </w:p>
        </w:tc>
      </w:tr>
      <w:tr>
        <w:trPr>
          <w:trHeight w:val="27"/>
        </w:trPr>
        <w:tc>
          <w:tcPr>
            <w:tcW w:w="52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0"/>
        </w:trPr>
        <w:tc>
          <w:tcPr>
            <w:tcW w:w="5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629"/>
        </w:trPr>
        <w:tc>
          <w:tcPr>
            <w:tcW w:w="5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00" w:type="dxa"/>
            <w:vAlign w:val="bottom"/>
          </w:tcPr>
          <w:p>
            <w:pPr>
              <w:jc w:val="right"/>
              <w:ind w:right="1352"/>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60" w:type="dxa"/>
            <w:vAlign w:val="bottom"/>
          </w:tcPr>
          <w:p>
            <w:pPr>
              <w:spacing w:after="0"/>
              <w:rPr>
                <w:sz w:val="24"/>
                <w:szCs w:val="24"/>
                <w:color w:val="auto"/>
              </w:rPr>
            </w:pPr>
          </w:p>
        </w:tc>
      </w:tr>
    </w:tbl>
    <w:p>
      <w:pPr>
        <w:sectPr>
          <w:pgSz w:w="11900" w:h="16838" w:orient="portrait"/>
          <w:cols w:equalWidth="0" w:num="1">
            <w:col w:w="11240"/>
          </w:cols>
          <w:pgMar w:left="320" w:top="125" w:right="339" w:bottom="1440" w:gutter="0" w:footer="0" w:header="0"/>
          <w:type w:val="continuous"/>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right="740" w:firstLine="648"/>
        <w:spacing w:after="0" w:line="277" w:lineRule="auto"/>
        <w:rPr>
          <w:sz w:val="20"/>
          <w:szCs w:val="20"/>
          <w:color w:val="auto"/>
        </w:rPr>
      </w:pPr>
      <w:r>
        <w:rPr>
          <w:rFonts w:ascii="Arial" w:cs="Arial" w:eastAsia="Arial" w:hAnsi="Arial"/>
          <w:sz w:val="18"/>
          <w:szCs w:val="18"/>
          <w:color w:val="auto"/>
        </w:rPr>
        <w:t>The following table shows the aging of the recorded investment in principal, before reserves, in Legacy-MVW vacation ownership notes receivable as of March 31, 2020.</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40" w:type="dxa"/>
            <w:vAlign w:val="bottom"/>
          </w:tcPr>
          <w:p>
            <w:pPr>
              <w:spacing w:after="0"/>
              <w:rPr>
                <w:sz w:val="18"/>
                <w:szCs w:val="18"/>
                <w:color w:val="auto"/>
              </w:rPr>
            </w:pPr>
          </w:p>
        </w:tc>
        <w:tc>
          <w:tcPr>
            <w:tcW w:w="5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540" w:type="dxa"/>
            <w:vAlign w:val="bottom"/>
            <w:gridSpan w:val="6"/>
          </w:tcPr>
          <w:p>
            <w:pPr>
              <w:jc w:val="center"/>
              <w:ind w:left="812"/>
              <w:spacing w:after="0"/>
              <w:rPr>
                <w:sz w:val="20"/>
                <w:szCs w:val="20"/>
                <w:color w:val="auto"/>
              </w:rPr>
            </w:pPr>
            <w:r>
              <w:rPr>
                <w:rFonts w:ascii="Arial" w:cs="Arial" w:eastAsia="Arial" w:hAnsi="Arial"/>
                <w:sz w:val="16"/>
                <w:szCs w:val="16"/>
                <w:b w:val="1"/>
                <w:bCs w:val="1"/>
                <w:color w:val="auto"/>
                <w:w w:val="92"/>
              </w:rPr>
              <w:t>Legacy-MVW Vacation Ownership Notes Receivable</w:t>
            </w:r>
          </w:p>
        </w:tc>
        <w:tc>
          <w:tcPr>
            <w:tcW w:w="1140" w:type="dxa"/>
            <w:vAlign w:val="bottom"/>
          </w:tcPr>
          <w:p>
            <w:pPr>
              <w:spacing w:after="0"/>
              <w:rPr>
                <w:sz w:val="18"/>
                <w:szCs w:val="18"/>
                <w:color w:val="auto"/>
              </w:rPr>
            </w:pPr>
          </w:p>
        </w:tc>
      </w:tr>
      <w:tr>
        <w:trPr>
          <w:trHeight w:val="33"/>
        </w:trPr>
        <w:tc>
          <w:tcPr>
            <w:tcW w:w="5300" w:type="dxa"/>
            <w:vAlign w:val="bottom"/>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7"/>
        </w:trPr>
        <w:tc>
          <w:tcPr>
            <w:tcW w:w="5300" w:type="dxa"/>
            <w:vAlign w:val="bottom"/>
            <w:gridSpan w:val="2"/>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260" w:type="dxa"/>
            <w:vAlign w:val="bottom"/>
          </w:tcPr>
          <w:p>
            <w:pPr>
              <w:spacing w:after="0"/>
              <w:rPr>
                <w:sz w:val="22"/>
                <w:szCs w:val="22"/>
                <w:color w:val="auto"/>
              </w:rPr>
            </w:pPr>
          </w:p>
        </w:tc>
        <w:tc>
          <w:tcPr>
            <w:tcW w:w="1760" w:type="dxa"/>
            <w:vAlign w:val="bottom"/>
            <w:gridSpan w:val="2"/>
          </w:tcPr>
          <w:p>
            <w:pPr>
              <w:ind w:left="140"/>
              <w:spacing w:after="0"/>
              <w:rPr>
                <w:sz w:val="20"/>
                <w:szCs w:val="20"/>
                <w:color w:val="auto"/>
              </w:rPr>
            </w:pPr>
            <w:r>
              <w:rPr>
                <w:rFonts w:ascii="Arial" w:cs="Arial" w:eastAsia="Arial" w:hAnsi="Arial"/>
                <w:sz w:val="16"/>
                <w:szCs w:val="16"/>
                <w:b w:val="1"/>
                <w:bCs w:val="1"/>
                <w:color w:val="auto"/>
              </w:rPr>
              <w:t>Non-Securitized</w:t>
            </w:r>
          </w:p>
        </w:tc>
        <w:tc>
          <w:tcPr>
            <w:tcW w:w="340" w:type="dxa"/>
            <w:vAlign w:val="bottom"/>
          </w:tcPr>
          <w:p>
            <w:pPr>
              <w:spacing w:after="0"/>
              <w:rPr>
                <w:sz w:val="22"/>
                <w:szCs w:val="22"/>
                <w:color w:val="auto"/>
              </w:rPr>
            </w:pPr>
          </w:p>
        </w:tc>
        <w:tc>
          <w:tcPr>
            <w:tcW w:w="1680" w:type="dxa"/>
            <w:vAlign w:val="bottom"/>
            <w:gridSpan w:val="2"/>
          </w:tcPr>
          <w:p>
            <w:pPr>
              <w:jc w:val="center"/>
              <w:ind w:right="460"/>
              <w:spacing w:after="0"/>
              <w:rPr>
                <w:sz w:val="20"/>
                <w:szCs w:val="20"/>
                <w:color w:val="auto"/>
              </w:rPr>
            </w:pPr>
            <w:r>
              <w:rPr>
                <w:rFonts w:ascii="Arial" w:cs="Arial" w:eastAsia="Arial" w:hAnsi="Arial"/>
                <w:sz w:val="16"/>
                <w:szCs w:val="16"/>
                <w:b w:val="1"/>
                <w:bCs w:val="1"/>
                <w:color w:val="auto"/>
                <w:w w:val="91"/>
              </w:rPr>
              <w:t>Securitized</w:t>
            </w:r>
          </w:p>
        </w:tc>
        <w:tc>
          <w:tcPr>
            <w:tcW w:w="760" w:type="dxa"/>
            <w:vAlign w:val="bottom"/>
          </w:tcPr>
          <w:p>
            <w:pPr>
              <w:spacing w:after="0"/>
              <w:rPr>
                <w:sz w:val="22"/>
                <w:szCs w:val="22"/>
                <w:color w:val="auto"/>
              </w:rPr>
            </w:pPr>
          </w:p>
        </w:tc>
        <w:tc>
          <w:tcPr>
            <w:tcW w:w="1140" w:type="dxa"/>
            <w:vAlign w:val="bottom"/>
          </w:tcPr>
          <w:p>
            <w:pPr>
              <w:jc w:val="right"/>
              <w:ind w:right="691"/>
              <w:spacing w:after="0"/>
              <w:rPr>
                <w:sz w:val="20"/>
                <w:szCs w:val="20"/>
                <w:color w:val="auto"/>
              </w:rPr>
            </w:pPr>
            <w:r>
              <w:rPr>
                <w:rFonts w:ascii="Arial" w:cs="Arial" w:eastAsia="Arial" w:hAnsi="Arial"/>
                <w:sz w:val="16"/>
                <w:szCs w:val="16"/>
                <w:b w:val="1"/>
                <w:bCs w:val="1"/>
                <w:color w:val="auto"/>
                <w:w w:val="88"/>
              </w:rPr>
              <w:t>Total</w:t>
            </w:r>
          </w:p>
        </w:tc>
      </w:tr>
      <w:tr>
        <w:trPr>
          <w:trHeight w:val="250"/>
        </w:trPr>
        <w:tc>
          <w:tcPr>
            <w:tcW w:w="2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89"/>
              </w:rPr>
              <w:t>31</w:t>
            </w:r>
          </w:p>
        </w:tc>
        <w:tc>
          <w:tcPr>
            <w:tcW w:w="50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90 days past due</w:t>
            </w: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66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760" w:type="dxa"/>
            <w:vAlign w:val="bottom"/>
            <w:tcBorders>
              <w:top w:val="single" w:sz="8" w:color="auto"/>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w:t>
            </w:r>
          </w:p>
        </w:tc>
      </w:tr>
      <w:tr>
        <w:trPr>
          <w:trHeight w:val="243"/>
        </w:trPr>
        <w:tc>
          <w:tcPr>
            <w:tcW w:w="240" w:type="dxa"/>
            <w:vAlign w:val="bottom"/>
          </w:tcPr>
          <w:p>
            <w:pPr>
              <w:ind w:left="40"/>
              <w:spacing w:after="0"/>
              <w:rPr>
                <w:sz w:val="20"/>
                <w:szCs w:val="20"/>
                <w:color w:val="auto"/>
              </w:rPr>
            </w:pPr>
            <w:r>
              <w:rPr>
                <w:rFonts w:ascii="Arial" w:cs="Arial" w:eastAsia="Arial" w:hAnsi="Arial"/>
                <w:sz w:val="18"/>
                <w:szCs w:val="18"/>
                <w:color w:val="auto"/>
                <w:w w:val="89"/>
              </w:rPr>
              <w:t>91</w:t>
            </w:r>
          </w:p>
        </w:tc>
        <w:tc>
          <w:tcPr>
            <w:tcW w:w="5060" w:type="dxa"/>
            <w:vAlign w:val="bottom"/>
          </w:tcPr>
          <w:p>
            <w:pPr>
              <w:ind w:left="20"/>
              <w:spacing w:after="0"/>
              <w:rPr>
                <w:sz w:val="20"/>
                <w:szCs w:val="20"/>
                <w:color w:val="auto"/>
              </w:rPr>
            </w:pPr>
            <w:r>
              <w:rPr>
                <w:rFonts w:ascii="Arial" w:cs="Arial" w:eastAsia="Arial" w:hAnsi="Arial"/>
                <w:sz w:val="18"/>
                <w:szCs w:val="18"/>
                <w:color w:val="auto"/>
              </w:rPr>
              <w:t>– 150 days past due</w:t>
            </w:r>
          </w:p>
        </w:tc>
        <w:tc>
          <w:tcPr>
            <w:tcW w:w="260" w:type="dxa"/>
            <w:vAlign w:val="bottom"/>
          </w:tcPr>
          <w:p>
            <w:pPr>
              <w:spacing w:after="0"/>
              <w:rPr>
                <w:sz w:val="21"/>
                <w:szCs w:val="21"/>
                <w:color w:val="auto"/>
              </w:rPr>
            </w:pPr>
          </w:p>
        </w:tc>
        <w:tc>
          <w:tcPr>
            <w:tcW w:w="1660" w:type="dxa"/>
            <w:vAlign w:val="bottom"/>
          </w:tcPr>
          <w:p>
            <w:pPr>
              <w:jc w:val="right"/>
              <w:ind w:right="32"/>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560" w:type="dxa"/>
            <w:vAlign w:val="bottom"/>
          </w:tcPr>
          <w:p>
            <w:pPr>
              <w:jc w:val="right"/>
              <w:ind w:right="11"/>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18</w:t>
            </w:r>
          </w:p>
        </w:tc>
      </w:tr>
      <w:tr>
        <w:trPr>
          <w:trHeight w:val="27"/>
        </w:trPr>
        <w:tc>
          <w:tcPr>
            <w:tcW w:w="530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53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Greater than 150 days past due</w:t>
            </w:r>
          </w:p>
        </w:tc>
        <w:tc>
          <w:tcPr>
            <w:tcW w:w="26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w:t>
            </w:r>
          </w:p>
        </w:tc>
      </w:tr>
      <w:tr>
        <w:trPr>
          <w:trHeight w:val="237"/>
        </w:trPr>
        <w:tc>
          <w:tcPr>
            <w:tcW w:w="5300" w:type="dxa"/>
            <w:vAlign w:val="bottom"/>
            <w:gridSpan w:val="2"/>
          </w:tcPr>
          <w:p>
            <w:pPr>
              <w:ind w:left="40"/>
              <w:spacing w:after="0"/>
              <w:rPr>
                <w:sz w:val="20"/>
                <w:szCs w:val="20"/>
                <w:color w:val="auto"/>
              </w:rPr>
            </w:pPr>
            <w:r>
              <w:rPr>
                <w:rFonts w:ascii="Arial" w:cs="Arial" w:eastAsia="Arial" w:hAnsi="Arial"/>
                <w:sz w:val="18"/>
                <w:szCs w:val="18"/>
                <w:color w:val="auto"/>
              </w:rPr>
              <w:t>Total past due</w:t>
            </w:r>
          </w:p>
        </w:tc>
        <w:tc>
          <w:tcPr>
            <w:tcW w:w="260" w:type="dxa"/>
            <w:vAlign w:val="bottom"/>
            <w:tcBorders>
              <w:top w:val="single" w:sz="8" w:color="auto"/>
            </w:tcBorders>
          </w:tcPr>
          <w:p>
            <w:pPr>
              <w:spacing w:after="0"/>
              <w:rPr>
                <w:sz w:val="20"/>
                <w:szCs w:val="20"/>
                <w:color w:val="auto"/>
              </w:rPr>
            </w:pPr>
          </w:p>
        </w:tc>
        <w:tc>
          <w:tcPr>
            <w:tcW w:w="16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107</w:t>
            </w:r>
          </w:p>
        </w:tc>
      </w:tr>
      <w:tr>
        <w:trPr>
          <w:trHeight w:val="27"/>
        </w:trPr>
        <w:tc>
          <w:tcPr>
            <w:tcW w:w="530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53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Current</w:t>
            </w:r>
          </w:p>
        </w:tc>
        <w:tc>
          <w:tcPr>
            <w:tcW w:w="26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180</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1,280</w:t>
            </w:r>
          </w:p>
        </w:tc>
        <w:tc>
          <w:tcPr>
            <w:tcW w:w="1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1,460</w:t>
            </w:r>
          </w:p>
        </w:tc>
      </w:tr>
      <w:tr>
        <w:trPr>
          <w:trHeight w:val="237"/>
        </w:trPr>
        <w:tc>
          <w:tcPr>
            <w:tcW w:w="5300" w:type="dxa"/>
            <w:vAlign w:val="bottom"/>
            <w:gridSpan w:val="2"/>
          </w:tcPr>
          <w:p>
            <w:pPr>
              <w:ind w:left="40"/>
              <w:spacing w:after="0"/>
              <w:rPr>
                <w:sz w:val="20"/>
                <w:szCs w:val="20"/>
                <w:color w:val="auto"/>
              </w:rPr>
            </w:pPr>
            <w:r>
              <w:rPr>
                <w:rFonts w:ascii="Arial" w:cs="Arial" w:eastAsia="Arial" w:hAnsi="Arial"/>
                <w:sz w:val="18"/>
                <w:szCs w:val="18"/>
                <w:color w:val="auto"/>
              </w:rPr>
              <w:t>Total vacation ownership notes receivable</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6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237</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1,330</w:t>
            </w:r>
          </w:p>
        </w:tc>
        <w:tc>
          <w:tcPr>
            <w:tcW w:w="120" w:type="dxa"/>
            <w:vAlign w:val="bottom"/>
          </w:tcPr>
          <w:p>
            <w:pPr>
              <w:spacing w:after="0"/>
              <w:rPr>
                <w:sz w:val="20"/>
                <w:szCs w:val="20"/>
                <w:color w:val="auto"/>
              </w:rPr>
            </w:pPr>
          </w:p>
        </w:tc>
        <w:tc>
          <w:tcPr>
            <w:tcW w:w="760" w:type="dxa"/>
            <w:vAlign w:val="bottom"/>
            <w:tcBorders>
              <w:top w:val="single" w:sz="8" w:color="auto"/>
            </w:tcBorders>
          </w:tcPr>
          <w:p>
            <w:pPr>
              <w:jc w:val="right"/>
              <w:ind w:right="5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1,567</w:t>
            </w:r>
          </w:p>
        </w:tc>
      </w:tr>
      <w:tr>
        <w:trPr>
          <w:trHeight w:val="27"/>
        </w:trPr>
        <w:tc>
          <w:tcPr>
            <w:tcW w:w="240" w:type="dxa"/>
            <w:vAlign w:val="bottom"/>
          </w:tcPr>
          <w:p>
            <w:pPr>
              <w:spacing w:after="0"/>
              <w:rPr>
                <w:sz w:val="2"/>
                <w:szCs w:val="2"/>
                <w:color w:val="auto"/>
              </w:rPr>
            </w:pPr>
          </w:p>
        </w:tc>
        <w:tc>
          <w:tcPr>
            <w:tcW w:w="50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24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40" w:firstLine="567"/>
        <w:spacing w:after="0" w:line="277" w:lineRule="auto"/>
        <w:rPr>
          <w:sz w:val="20"/>
          <w:szCs w:val="20"/>
          <w:color w:val="auto"/>
        </w:rPr>
      </w:pPr>
      <w:r>
        <w:rPr>
          <w:rFonts w:ascii="Arial" w:cs="Arial" w:eastAsia="Arial" w:hAnsi="Arial"/>
          <w:sz w:val="18"/>
          <w:szCs w:val="18"/>
          <w:color w:val="auto"/>
        </w:rPr>
        <w:t>The following table shows the aging of the recorded investment in principal, before reserves, in Legacy-MVW vacation ownership notes receivable as of December 31, 2019.</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40" w:type="dxa"/>
            <w:vAlign w:val="bottom"/>
          </w:tcPr>
          <w:p>
            <w:pPr>
              <w:spacing w:after="0"/>
              <w:rPr>
                <w:sz w:val="18"/>
                <w:szCs w:val="18"/>
                <w:color w:val="auto"/>
              </w:rPr>
            </w:pPr>
          </w:p>
        </w:tc>
        <w:tc>
          <w:tcPr>
            <w:tcW w:w="5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540" w:type="dxa"/>
            <w:vAlign w:val="bottom"/>
            <w:gridSpan w:val="6"/>
          </w:tcPr>
          <w:p>
            <w:pPr>
              <w:jc w:val="center"/>
              <w:ind w:left="812"/>
              <w:spacing w:after="0"/>
              <w:rPr>
                <w:sz w:val="20"/>
                <w:szCs w:val="20"/>
                <w:color w:val="auto"/>
              </w:rPr>
            </w:pPr>
            <w:r>
              <w:rPr>
                <w:rFonts w:ascii="Arial" w:cs="Arial" w:eastAsia="Arial" w:hAnsi="Arial"/>
                <w:sz w:val="16"/>
                <w:szCs w:val="16"/>
                <w:b w:val="1"/>
                <w:bCs w:val="1"/>
                <w:color w:val="auto"/>
                <w:w w:val="92"/>
              </w:rPr>
              <w:t>Legacy-MVW Vacation Ownership Notes Receivable</w:t>
            </w:r>
          </w:p>
        </w:tc>
        <w:tc>
          <w:tcPr>
            <w:tcW w:w="1140" w:type="dxa"/>
            <w:vAlign w:val="bottom"/>
          </w:tcPr>
          <w:p>
            <w:pPr>
              <w:spacing w:after="0"/>
              <w:rPr>
                <w:sz w:val="18"/>
                <w:szCs w:val="18"/>
                <w:color w:val="auto"/>
              </w:rPr>
            </w:pPr>
          </w:p>
        </w:tc>
      </w:tr>
      <w:tr>
        <w:trPr>
          <w:trHeight w:val="33"/>
        </w:trPr>
        <w:tc>
          <w:tcPr>
            <w:tcW w:w="5300" w:type="dxa"/>
            <w:vAlign w:val="bottom"/>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8"/>
        </w:trPr>
        <w:tc>
          <w:tcPr>
            <w:tcW w:w="5300" w:type="dxa"/>
            <w:vAlign w:val="bottom"/>
            <w:gridSpan w:val="2"/>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260" w:type="dxa"/>
            <w:vAlign w:val="bottom"/>
          </w:tcPr>
          <w:p>
            <w:pPr>
              <w:spacing w:after="0"/>
              <w:rPr>
                <w:sz w:val="22"/>
                <w:szCs w:val="22"/>
                <w:color w:val="auto"/>
              </w:rPr>
            </w:pPr>
          </w:p>
        </w:tc>
        <w:tc>
          <w:tcPr>
            <w:tcW w:w="1760" w:type="dxa"/>
            <w:vAlign w:val="bottom"/>
            <w:gridSpan w:val="2"/>
          </w:tcPr>
          <w:p>
            <w:pPr>
              <w:ind w:left="140"/>
              <w:spacing w:after="0"/>
              <w:rPr>
                <w:sz w:val="20"/>
                <w:szCs w:val="20"/>
                <w:color w:val="auto"/>
              </w:rPr>
            </w:pPr>
            <w:r>
              <w:rPr>
                <w:rFonts w:ascii="Arial" w:cs="Arial" w:eastAsia="Arial" w:hAnsi="Arial"/>
                <w:sz w:val="16"/>
                <w:szCs w:val="16"/>
                <w:b w:val="1"/>
                <w:bCs w:val="1"/>
                <w:color w:val="auto"/>
              </w:rPr>
              <w:t>Non-Securitized</w:t>
            </w:r>
          </w:p>
        </w:tc>
        <w:tc>
          <w:tcPr>
            <w:tcW w:w="340" w:type="dxa"/>
            <w:vAlign w:val="bottom"/>
          </w:tcPr>
          <w:p>
            <w:pPr>
              <w:spacing w:after="0"/>
              <w:rPr>
                <w:sz w:val="22"/>
                <w:szCs w:val="22"/>
                <w:color w:val="auto"/>
              </w:rPr>
            </w:pPr>
          </w:p>
        </w:tc>
        <w:tc>
          <w:tcPr>
            <w:tcW w:w="1680" w:type="dxa"/>
            <w:vAlign w:val="bottom"/>
            <w:gridSpan w:val="2"/>
          </w:tcPr>
          <w:p>
            <w:pPr>
              <w:jc w:val="center"/>
              <w:ind w:right="460"/>
              <w:spacing w:after="0"/>
              <w:rPr>
                <w:sz w:val="20"/>
                <w:szCs w:val="20"/>
                <w:color w:val="auto"/>
              </w:rPr>
            </w:pPr>
            <w:r>
              <w:rPr>
                <w:rFonts w:ascii="Arial" w:cs="Arial" w:eastAsia="Arial" w:hAnsi="Arial"/>
                <w:sz w:val="16"/>
                <w:szCs w:val="16"/>
                <w:b w:val="1"/>
                <w:bCs w:val="1"/>
                <w:color w:val="auto"/>
                <w:w w:val="91"/>
              </w:rPr>
              <w:t>Securitized</w:t>
            </w:r>
          </w:p>
        </w:tc>
        <w:tc>
          <w:tcPr>
            <w:tcW w:w="760" w:type="dxa"/>
            <w:vAlign w:val="bottom"/>
          </w:tcPr>
          <w:p>
            <w:pPr>
              <w:spacing w:after="0"/>
              <w:rPr>
                <w:sz w:val="22"/>
                <w:szCs w:val="22"/>
                <w:color w:val="auto"/>
              </w:rPr>
            </w:pPr>
          </w:p>
        </w:tc>
        <w:tc>
          <w:tcPr>
            <w:tcW w:w="1140" w:type="dxa"/>
            <w:vAlign w:val="bottom"/>
          </w:tcPr>
          <w:p>
            <w:pPr>
              <w:jc w:val="right"/>
              <w:ind w:right="691"/>
              <w:spacing w:after="0"/>
              <w:rPr>
                <w:sz w:val="20"/>
                <w:szCs w:val="20"/>
                <w:color w:val="auto"/>
              </w:rPr>
            </w:pPr>
            <w:r>
              <w:rPr>
                <w:rFonts w:ascii="Arial" w:cs="Arial" w:eastAsia="Arial" w:hAnsi="Arial"/>
                <w:sz w:val="16"/>
                <w:szCs w:val="16"/>
                <w:b w:val="1"/>
                <w:bCs w:val="1"/>
                <w:color w:val="auto"/>
                <w:w w:val="88"/>
              </w:rPr>
              <w:t>Total</w:t>
            </w:r>
          </w:p>
        </w:tc>
      </w:tr>
      <w:tr>
        <w:trPr>
          <w:trHeight w:val="249"/>
        </w:trPr>
        <w:tc>
          <w:tcPr>
            <w:tcW w:w="2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89"/>
              </w:rPr>
              <w:t>31</w:t>
            </w:r>
          </w:p>
        </w:tc>
        <w:tc>
          <w:tcPr>
            <w:tcW w:w="50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90 days past due</w:t>
            </w: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66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760" w:type="dxa"/>
            <w:vAlign w:val="bottom"/>
            <w:tcBorders>
              <w:top w:val="single" w:sz="8" w:color="auto"/>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w:t>
            </w:r>
          </w:p>
        </w:tc>
      </w:tr>
      <w:tr>
        <w:trPr>
          <w:trHeight w:val="243"/>
        </w:trPr>
        <w:tc>
          <w:tcPr>
            <w:tcW w:w="240" w:type="dxa"/>
            <w:vAlign w:val="bottom"/>
          </w:tcPr>
          <w:p>
            <w:pPr>
              <w:ind w:left="40"/>
              <w:spacing w:after="0"/>
              <w:rPr>
                <w:sz w:val="20"/>
                <w:szCs w:val="20"/>
                <w:color w:val="auto"/>
              </w:rPr>
            </w:pPr>
            <w:r>
              <w:rPr>
                <w:rFonts w:ascii="Arial" w:cs="Arial" w:eastAsia="Arial" w:hAnsi="Arial"/>
                <w:sz w:val="18"/>
                <w:szCs w:val="18"/>
                <w:color w:val="auto"/>
                <w:w w:val="89"/>
              </w:rPr>
              <w:t>91</w:t>
            </w:r>
          </w:p>
        </w:tc>
        <w:tc>
          <w:tcPr>
            <w:tcW w:w="5060" w:type="dxa"/>
            <w:vAlign w:val="bottom"/>
          </w:tcPr>
          <w:p>
            <w:pPr>
              <w:ind w:left="20"/>
              <w:spacing w:after="0"/>
              <w:rPr>
                <w:sz w:val="20"/>
                <w:szCs w:val="20"/>
                <w:color w:val="auto"/>
              </w:rPr>
            </w:pPr>
            <w:r>
              <w:rPr>
                <w:rFonts w:ascii="Arial" w:cs="Arial" w:eastAsia="Arial" w:hAnsi="Arial"/>
                <w:sz w:val="18"/>
                <w:szCs w:val="18"/>
                <w:color w:val="auto"/>
              </w:rPr>
              <w:t>– 150 days past due</w:t>
            </w:r>
          </w:p>
        </w:tc>
        <w:tc>
          <w:tcPr>
            <w:tcW w:w="260" w:type="dxa"/>
            <w:vAlign w:val="bottom"/>
          </w:tcPr>
          <w:p>
            <w:pPr>
              <w:spacing w:after="0"/>
              <w:rPr>
                <w:sz w:val="21"/>
                <w:szCs w:val="21"/>
                <w:color w:val="auto"/>
              </w:rPr>
            </w:pPr>
          </w:p>
        </w:tc>
        <w:tc>
          <w:tcPr>
            <w:tcW w:w="1660" w:type="dxa"/>
            <w:vAlign w:val="bottom"/>
          </w:tcPr>
          <w:p>
            <w:pPr>
              <w:jc w:val="right"/>
              <w:ind w:right="32"/>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560" w:type="dxa"/>
            <w:vAlign w:val="bottom"/>
          </w:tcPr>
          <w:p>
            <w:pPr>
              <w:jc w:val="right"/>
              <w:ind w:right="11"/>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15</w:t>
            </w:r>
          </w:p>
        </w:tc>
      </w:tr>
      <w:tr>
        <w:trPr>
          <w:trHeight w:val="27"/>
        </w:trPr>
        <w:tc>
          <w:tcPr>
            <w:tcW w:w="530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53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Greater than 150 days past due</w:t>
            </w:r>
          </w:p>
        </w:tc>
        <w:tc>
          <w:tcPr>
            <w:tcW w:w="26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w:t>
            </w:r>
          </w:p>
        </w:tc>
      </w:tr>
      <w:tr>
        <w:trPr>
          <w:trHeight w:val="237"/>
        </w:trPr>
        <w:tc>
          <w:tcPr>
            <w:tcW w:w="5300" w:type="dxa"/>
            <w:vAlign w:val="bottom"/>
            <w:gridSpan w:val="2"/>
          </w:tcPr>
          <w:p>
            <w:pPr>
              <w:ind w:left="40"/>
              <w:spacing w:after="0"/>
              <w:rPr>
                <w:sz w:val="20"/>
                <w:szCs w:val="20"/>
                <w:color w:val="auto"/>
              </w:rPr>
            </w:pPr>
            <w:r>
              <w:rPr>
                <w:rFonts w:ascii="Arial" w:cs="Arial" w:eastAsia="Arial" w:hAnsi="Arial"/>
                <w:sz w:val="18"/>
                <w:szCs w:val="18"/>
                <w:color w:val="auto"/>
              </w:rPr>
              <w:t>Total past due</w:t>
            </w:r>
          </w:p>
        </w:tc>
        <w:tc>
          <w:tcPr>
            <w:tcW w:w="260" w:type="dxa"/>
            <w:vAlign w:val="bottom"/>
            <w:tcBorders>
              <w:top w:val="single" w:sz="8" w:color="auto"/>
            </w:tcBorders>
          </w:tcPr>
          <w:p>
            <w:pPr>
              <w:spacing w:after="0"/>
              <w:rPr>
                <w:sz w:val="20"/>
                <w:szCs w:val="20"/>
                <w:color w:val="auto"/>
              </w:rPr>
            </w:pPr>
          </w:p>
        </w:tc>
        <w:tc>
          <w:tcPr>
            <w:tcW w:w="16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94</w:t>
            </w:r>
          </w:p>
        </w:tc>
      </w:tr>
      <w:tr>
        <w:trPr>
          <w:trHeight w:val="27"/>
        </w:trPr>
        <w:tc>
          <w:tcPr>
            <w:tcW w:w="530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53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Current</w:t>
            </w:r>
          </w:p>
        </w:tc>
        <w:tc>
          <w:tcPr>
            <w:tcW w:w="26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222</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1,254</w:t>
            </w:r>
          </w:p>
        </w:tc>
        <w:tc>
          <w:tcPr>
            <w:tcW w:w="1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1,476</w:t>
            </w:r>
          </w:p>
        </w:tc>
      </w:tr>
      <w:tr>
        <w:trPr>
          <w:trHeight w:val="237"/>
        </w:trPr>
        <w:tc>
          <w:tcPr>
            <w:tcW w:w="5300" w:type="dxa"/>
            <w:vAlign w:val="bottom"/>
            <w:gridSpan w:val="2"/>
          </w:tcPr>
          <w:p>
            <w:pPr>
              <w:ind w:left="40"/>
              <w:spacing w:after="0"/>
              <w:rPr>
                <w:sz w:val="20"/>
                <w:szCs w:val="20"/>
                <w:color w:val="auto"/>
              </w:rPr>
            </w:pPr>
            <w:r>
              <w:rPr>
                <w:rFonts w:ascii="Arial" w:cs="Arial" w:eastAsia="Arial" w:hAnsi="Arial"/>
                <w:sz w:val="18"/>
                <w:szCs w:val="18"/>
                <w:color w:val="auto"/>
              </w:rPr>
              <w:t>Total vacation ownership notes receivable</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6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272</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1,298</w:t>
            </w:r>
          </w:p>
        </w:tc>
        <w:tc>
          <w:tcPr>
            <w:tcW w:w="120" w:type="dxa"/>
            <w:vAlign w:val="bottom"/>
          </w:tcPr>
          <w:p>
            <w:pPr>
              <w:spacing w:after="0"/>
              <w:rPr>
                <w:sz w:val="20"/>
                <w:szCs w:val="20"/>
                <w:color w:val="auto"/>
              </w:rPr>
            </w:pPr>
          </w:p>
        </w:tc>
        <w:tc>
          <w:tcPr>
            <w:tcW w:w="760" w:type="dxa"/>
            <w:vAlign w:val="bottom"/>
            <w:tcBorders>
              <w:top w:val="single" w:sz="8" w:color="auto"/>
            </w:tcBorders>
          </w:tcPr>
          <w:p>
            <w:pPr>
              <w:jc w:val="right"/>
              <w:ind w:right="5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1,570</w:t>
            </w:r>
          </w:p>
        </w:tc>
      </w:tr>
      <w:tr>
        <w:trPr>
          <w:trHeight w:val="27"/>
        </w:trPr>
        <w:tc>
          <w:tcPr>
            <w:tcW w:w="240" w:type="dxa"/>
            <w:vAlign w:val="bottom"/>
          </w:tcPr>
          <w:p>
            <w:pPr>
              <w:spacing w:after="0"/>
              <w:rPr>
                <w:sz w:val="2"/>
                <w:szCs w:val="2"/>
                <w:color w:val="auto"/>
              </w:rPr>
            </w:pPr>
          </w:p>
        </w:tc>
        <w:tc>
          <w:tcPr>
            <w:tcW w:w="50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24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Legacy-ILG Vacation Ownership Notes Receivable</w:t>
      </w:r>
    </w:p>
    <w:p>
      <w:pPr>
        <w:spacing w:after="0" w:line="117"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At March 31, 2020 and December 31, 2019, the weighted average FICO score within our consolidated Legacy-ILG vacation ownership notes receivable pools was 711 and 712, respectively, based upon the outstanding vacation ownership notes receivable balance at time of origination. The average estimated rate for all future defaults for our Legacy-ILG consolidated outstanding pool of vacation ownership notes receivable was 17.00 percent as of March 31, 2020 (includes 3.44 percent attributed to the additional reserve resulting from the COVID-19 pandemic) and 12.65 percent as of December 31, 2019. A 0.5 percentage point increase in the estimated default rate on the Legacy-ILG originated vacation ownership notes receivable would have resulted in an increase in the related vacation ownership notes receivable reserve of $2 million as of both March 31, 2020 and December 31, 2019.</w:t>
      </w:r>
    </w:p>
    <w:p>
      <w:pPr>
        <w:spacing w:after="0" w:line="56"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The following tables show the Legacy-ILG acquired vacation ownership notes receivable by brand and FICO score, before reserves. Vacation ownership notes receivable with no FICO score primarily relate to non-U.S. resident borrowers.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920" w:type="dxa"/>
            <w:vAlign w:val="bottom"/>
            <w:gridSpan w:val="12"/>
          </w:tcPr>
          <w:p>
            <w:pPr>
              <w:jc w:val="center"/>
              <w:ind w:left="613"/>
              <w:spacing w:after="0"/>
              <w:rPr>
                <w:sz w:val="20"/>
                <w:szCs w:val="20"/>
                <w:color w:val="auto"/>
              </w:rPr>
            </w:pPr>
            <w:r>
              <w:rPr>
                <w:rFonts w:ascii="Arial" w:cs="Arial" w:eastAsia="Arial" w:hAnsi="Arial"/>
                <w:sz w:val="16"/>
                <w:szCs w:val="16"/>
                <w:b w:val="1"/>
                <w:bCs w:val="1"/>
                <w:color w:val="auto"/>
                <w:w w:val="91"/>
              </w:rPr>
              <w:t>Acquired Vacation Ownership Notes Receivable as of March 31, 2020</w:t>
            </w:r>
          </w:p>
        </w:tc>
        <w:tc>
          <w:tcPr>
            <w:tcW w:w="960" w:type="dxa"/>
            <w:vAlign w:val="bottom"/>
          </w:tcPr>
          <w:p>
            <w:pPr>
              <w:spacing w:after="0"/>
              <w:rPr>
                <w:sz w:val="18"/>
                <w:szCs w:val="18"/>
                <w:color w:val="auto"/>
              </w:rPr>
            </w:pPr>
          </w:p>
        </w:tc>
      </w:tr>
      <w:tr>
        <w:trPr>
          <w:trHeight w:val="33"/>
        </w:trPr>
        <w:tc>
          <w:tcPr>
            <w:tcW w:w="40" w:type="dxa"/>
            <w:vAlign w:val="bottom"/>
          </w:tcPr>
          <w:p>
            <w:pPr>
              <w:spacing w:after="0"/>
              <w:rPr>
                <w:sz w:val="2"/>
                <w:szCs w:val="2"/>
                <w:color w:val="auto"/>
              </w:rPr>
            </w:pPr>
          </w:p>
        </w:tc>
        <w:tc>
          <w:tcPr>
            <w:tcW w:w="40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8"/>
        </w:trPr>
        <w:tc>
          <w:tcPr>
            <w:tcW w:w="40" w:type="dxa"/>
            <w:vAlign w:val="bottom"/>
          </w:tcPr>
          <w:p>
            <w:pPr>
              <w:spacing w:after="0"/>
              <w:rPr>
                <w:sz w:val="22"/>
                <w:szCs w:val="22"/>
                <w:color w:val="auto"/>
              </w:rPr>
            </w:pPr>
          </w:p>
        </w:tc>
        <w:tc>
          <w:tcPr>
            <w:tcW w:w="4020" w:type="dxa"/>
            <w:vAlign w:val="bottom"/>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300" w:type="dxa"/>
            <w:vAlign w:val="bottom"/>
          </w:tcPr>
          <w:p>
            <w:pPr>
              <w:spacing w:after="0"/>
              <w:rPr>
                <w:sz w:val="22"/>
                <w:szCs w:val="22"/>
                <w:color w:val="auto"/>
              </w:rPr>
            </w:pPr>
          </w:p>
        </w:tc>
        <w:tc>
          <w:tcPr>
            <w:tcW w:w="1040" w:type="dxa"/>
            <w:vAlign w:val="bottom"/>
          </w:tcPr>
          <w:p>
            <w:pPr>
              <w:jc w:val="right"/>
              <w:ind w:right="393"/>
              <w:spacing w:after="0"/>
              <w:rPr>
                <w:sz w:val="20"/>
                <w:szCs w:val="20"/>
                <w:color w:val="auto"/>
              </w:rPr>
            </w:pPr>
            <w:r>
              <w:rPr>
                <w:rFonts w:ascii="Arial" w:cs="Arial" w:eastAsia="Arial" w:hAnsi="Arial"/>
                <w:sz w:val="16"/>
                <w:szCs w:val="16"/>
                <w:b w:val="1"/>
                <w:bCs w:val="1"/>
                <w:color w:val="auto"/>
              </w:rPr>
              <w:t>700 +</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00" w:type="dxa"/>
            <w:vAlign w:val="bottom"/>
          </w:tcPr>
          <w:p>
            <w:pPr>
              <w:jc w:val="right"/>
              <w:ind w:right="272"/>
              <w:spacing w:after="0"/>
              <w:rPr>
                <w:sz w:val="20"/>
                <w:szCs w:val="20"/>
                <w:color w:val="auto"/>
              </w:rPr>
            </w:pPr>
            <w:r>
              <w:rPr>
                <w:rFonts w:ascii="Arial" w:cs="Arial" w:eastAsia="Arial" w:hAnsi="Arial"/>
                <w:sz w:val="16"/>
                <w:szCs w:val="16"/>
                <w:b w:val="1"/>
                <w:bCs w:val="1"/>
                <w:color w:val="auto"/>
              </w:rPr>
              <w:t>600 - 699</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jc w:val="center"/>
              <w:ind w:right="212"/>
              <w:spacing w:after="0"/>
              <w:rPr>
                <w:sz w:val="20"/>
                <w:szCs w:val="20"/>
                <w:color w:val="auto"/>
              </w:rPr>
            </w:pPr>
            <w:r>
              <w:rPr>
                <w:rFonts w:ascii="Arial" w:cs="Arial" w:eastAsia="Arial" w:hAnsi="Arial"/>
                <w:sz w:val="16"/>
                <w:szCs w:val="16"/>
                <w:b w:val="1"/>
                <w:bCs w:val="1"/>
                <w:color w:val="auto"/>
                <w:w w:val="93"/>
              </w:rPr>
              <w:t>&lt; 600</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0" w:type="dxa"/>
            <w:vAlign w:val="bottom"/>
            <w:gridSpan w:val="2"/>
          </w:tcPr>
          <w:p>
            <w:pPr>
              <w:ind w:left="120"/>
              <w:spacing w:after="0"/>
              <w:rPr>
                <w:sz w:val="20"/>
                <w:szCs w:val="20"/>
                <w:color w:val="auto"/>
              </w:rPr>
            </w:pPr>
            <w:r>
              <w:rPr>
                <w:rFonts w:ascii="Arial" w:cs="Arial" w:eastAsia="Arial" w:hAnsi="Arial"/>
                <w:sz w:val="16"/>
                <w:szCs w:val="16"/>
                <w:b w:val="1"/>
                <w:bCs w:val="1"/>
                <w:color w:val="auto"/>
              </w:rPr>
              <w:t>No Score</w:t>
            </w:r>
          </w:p>
        </w:tc>
        <w:tc>
          <w:tcPr>
            <w:tcW w:w="400" w:type="dxa"/>
            <w:vAlign w:val="bottom"/>
          </w:tcPr>
          <w:p>
            <w:pPr>
              <w:spacing w:after="0"/>
              <w:rPr>
                <w:sz w:val="22"/>
                <w:szCs w:val="22"/>
                <w:color w:val="auto"/>
              </w:rPr>
            </w:pPr>
          </w:p>
        </w:tc>
        <w:tc>
          <w:tcPr>
            <w:tcW w:w="960" w:type="dxa"/>
            <w:vAlign w:val="bottom"/>
          </w:tcPr>
          <w:p>
            <w:pPr>
              <w:jc w:val="right"/>
              <w:ind w:right="412"/>
              <w:spacing w:after="0"/>
              <w:rPr>
                <w:sz w:val="20"/>
                <w:szCs w:val="20"/>
                <w:color w:val="auto"/>
              </w:rPr>
            </w:pPr>
            <w:r>
              <w:rPr>
                <w:rFonts w:ascii="Arial" w:cs="Arial" w:eastAsia="Arial" w:hAnsi="Arial"/>
                <w:sz w:val="16"/>
                <w:szCs w:val="16"/>
                <w:b w:val="1"/>
                <w:bCs w:val="1"/>
                <w:color w:val="auto"/>
              </w:rPr>
              <w:t>Total</w:t>
            </w:r>
          </w:p>
        </w:tc>
      </w:tr>
      <w:tr>
        <w:trPr>
          <w:trHeight w:val="250"/>
        </w:trPr>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40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shd w:val="clear" w:color="auto" w:fill="CCEEFF"/>
              </w:rPr>
              <w:t>Westin</w:t>
            </w: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181</w:t>
            </w:r>
          </w:p>
        </w:tc>
      </w:tr>
      <w:tr>
        <w:trPr>
          <w:trHeight w:val="243"/>
        </w:trPr>
        <w:tc>
          <w:tcPr>
            <w:tcW w:w="40" w:type="dxa"/>
            <w:vAlign w:val="bottom"/>
          </w:tcPr>
          <w:p>
            <w:pPr>
              <w:spacing w:after="0"/>
              <w:rPr>
                <w:sz w:val="21"/>
                <w:szCs w:val="21"/>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Sheraton</w:t>
            </w:r>
          </w:p>
        </w:tc>
        <w:tc>
          <w:tcPr>
            <w:tcW w:w="30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99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87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239</w:t>
            </w:r>
          </w:p>
        </w:tc>
      </w:tr>
      <w:tr>
        <w:trPr>
          <w:trHeight w:val="27"/>
        </w:trPr>
        <w:tc>
          <w:tcPr>
            <w:tcW w:w="40" w:type="dxa"/>
            <w:vAlign w:val="bottom"/>
          </w:tcPr>
          <w:p>
            <w:pPr>
              <w:spacing w:after="0"/>
              <w:rPr>
                <w:sz w:val="2"/>
                <w:szCs w:val="2"/>
                <w:color w:val="auto"/>
              </w:rPr>
            </w:pPr>
          </w:p>
        </w:tc>
        <w:tc>
          <w:tcPr>
            <w:tcW w:w="4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shd w:val="clear" w:color="auto" w:fill="CCEEFF"/>
              </w:rPr>
              <w:t>Hyatt</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w:t>
            </w:r>
          </w:p>
        </w:tc>
      </w:tr>
      <w:tr>
        <w:trPr>
          <w:trHeight w:val="243"/>
        </w:trPr>
        <w:tc>
          <w:tcPr>
            <w:tcW w:w="40" w:type="dxa"/>
            <w:vAlign w:val="bottom"/>
          </w:tcPr>
          <w:p>
            <w:pPr>
              <w:spacing w:after="0"/>
              <w:rPr>
                <w:sz w:val="21"/>
                <w:szCs w:val="21"/>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Other</w:t>
            </w:r>
          </w:p>
        </w:tc>
        <w:tc>
          <w:tcPr>
            <w:tcW w:w="30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6</w:t>
            </w:r>
          </w:p>
        </w:tc>
      </w:tr>
      <w:tr>
        <w:trPr>
          <w:trHeight w:val="27"/>
        </w:trPr>
        <w:tc>
          <w:tcPr>
            <w:tcW w:w="40" w:type="dxa"/>
            <w:vAlign w:val="bottom"/>
            <w:tcBorders>
              <w:bottom w:val="single" w:sz="8" w:color="CCEEFF"/>
            </w:tcBorders>
          </w:tcPr>
          <w:p>
            <w:pPr>
              <w:spacing w:after="0"/>
              <w:rPr>
                <w:sz w:val="2"/>
                <w:szCs w:val="2"/>
                <w:color w:val="auto"/>
              </w:rPr>
            </w:pPr>
          </w:p>
        </w:tc>
        <w:tc>
          <w:tcPr>
            <w:tcW w:w="40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40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223</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156</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454</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40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r>
        <w:trPr>
          <w:trHeight w:val="460"/>
        </w:trPr>
        <w:tc>
          <w:tcPr>
            <w:tcW w:w="4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920" w:type="dxa"/>
            <w:vAlign w:val="bottom"/>
            <w:gridSpan w:val="12"/>
          </w:tcPr>
          <w:p>
            <w:pPr>
              <w:jc w:val="center"/>
              <w:ind w:left="613"/>
              <w:spacing w:after="0"/>
              <w:rPr>
                <w:sz w:val="20"/>
                <w:szCs w:val="20"/>
                <w:color w:val="auto"/>
              </w:rPr>
            </w:pPr>
            <w:r>
              <w:rPr>
                <w:rFonts w:ascii="Arial" w:cs="Arial" w:eastAsia="Arial" w:hAnsi="Arial"/>
                <w:sz w:val="16"/>
                <w:szCs w:val="16"/>
                <w:b w:val="1"/>
                <w:bCs w:val="1"/>
                <w:color w:val="auto"/>
                <w:w w:val="90"/>
              </w:rPr>
              <w:t>Acquired Vacation Ownership Notes Receivable as of December 31, 2019</w:t>
            </w:r>
          </w:p>
        </w:tc>
        <w:tc>
          <w:tcPr>
            <w:tcW w:w="960" w:type="dxa"/>
            <w:vAlign w:val="bottom"/>
          </w:tcPr>
          <w:p>
            <w:pPr>
              <w:spacing w:after="0"/>
              <w:rPr>
                <w:sz w:val="24"/>
                <w:szCs w:val="24"/>
                <w:color w:val="auto"/>
              </w:rPr>
            </w:pPr>
          </w:p>
        </w:tc>
      </w:tr>
      <w:tr>
        <w:trPr>
          <w:trHeight w:val="33"/>
        </w:trPr>
        <w:tc>
          <w:tcPr>
            <w:tcW w:w="40" w:type="dxa"/>
            <w:vAlign w:val="bottom"/>
          </w:tcPr>
          <w:p>
            <w:pPr>
              <w:spacing w:after="0"/>
              <w:rPr>
                <w:sz w:val="2"/>
                <w:szCs w:val="2"/>
                <w:color w:val="auto"/>
              </w:rPr>
            </w:pPr>
          </w:p>
        </w:tc>
        <w:tc>
          <w:tcPr>
            <w:tcW w:w="40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8"/>
        </w:trPr>
        <w:tc>
          <w:tcPr>
            <w:tcW w:w="40" w:type="dxa"/>
            <w:vAlign w:val="bottom"/>
          </w:tcPr>
          <w:p>
            <w:pPr>
              <w:spacing w:after="0"/>
              <w:rPr>
                <w:sz w:val="22"/>
                <w:szCs w:val="22"/>
                <w:color w:val="auto"/>
              </w:rPr>
            </w:pPr>
          </w:p>
        </w:tc>
        <w:tc>
          <w:tcPr>
            <w:tcW w:w="4020" w:type="dxa"/>
            <w:vAlign w:val="bottom"/>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300" w:type="dxa"/>
            <w:vAlign w:val="bottom"/>
          </w:tcPr>
          <w:p>
            <w:pPr>
              <w:spacing w:after="0"/>
              <w:rPr>
                <w:sz w:val="22"/>
                <w:szCs w:val="22"/>
                <w:color w:val="auto"/>
              </w:rPr>
            </w:pPr>
          </w:p>
        </w:tc>
        <w:tc>
          <w:tcPr>
            <w:tcW w:w="1040" w:type="dxa"/>
            <w:vAlign w:val="bottom"/>
          </w:tcPr>
          <w:p>
            <w:pPr>
              <w:jc w:val="right"/>
              <w:ind w:right="393"/>
              <w:spacing w:after="0"/>
              <w:rPr>
                <w:sz w:val="20"/>
                <w:szCs w:val="20"/>
                <w:color w:val="auto"/>
              </w:rPr>
            </w:pPr>
            <w:r>
              <w:rPr>
                <w:rFonts w:ascii="Arial" w:cs="Arial" w:eastAsia="Arial" w:hAnsi="Arial"/>
                <w:sz w:val="16"/>
                <w:szCs w:val="16"/>
                <w:b w:val="1"/>
                <w:bCs w:val="1"/>
                <w:color w:val="auto"/>
              </w:rPr>
              <w:t>700 +</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00" w:type="dxa"/>
            <w:vAlign w:val="bottom"/>
          </w:tcPr>
          <w:p>
            <w:pPr>
              <w:jc w:val="right"/>
              <w:ind w:right="272"/>
              <w:spacing w:after="0"/>
              <w:rPr>
                <w:sz w:val="20"/>
                <w:szCs w:val="20"/>
                <w:color w:val="auto"/>
              </w:rPr>
            </w:pPr>
            <w:r>
              <w:rPr>
                <w:rFonts w:ascii="Arial" w:cs="Arial" w:eastAsia="Arial" w:hAnsi="Arial"/>
                <w:sz w:val="16"/>
                <w:szCs w:val="16"/>
                <w:b w:val="1"/>
                <w:bCs w:val="1"/>
                <w:color w:val="auto"/>
              </w:rPr>
              <w:t>600 - 699</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jc w:val="center"/>
              <w:ind w:right="212"/>
              <w:spacing w:after="0"/>
              <w:rPr>
                <w:sz w:val="20"/>
                <w:szCs w:val="20"/>
                <w:color w:val="auto"/>
              </w:rPr>
            </w:pPr>
            <w:r>
              <w:rPr>
                <w:rFonts w:ascii="Arial" w:cs="Arial" w:eastAsia="Arial" w:hAnsi="Arial"/>
                <w:sz w:val="16"/>
                <w:szCs w:val="16"/>
                <w:b w:val="1"/>
                <w:bCs w:val="1"/>
                <w:color w:val="auto"/>
                <w:w w:val="93"/>
              </w:rPr>
              <w:t>&lt; 600</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0" w:type="dxa"/>
            <w:vAlign w:val="bottom"/>
            <w:gridSpan w:val="2"/>
          </w:tcPr>
          <w:p>
            <w:pPr>
              <w:ind w:left="120"/>
              <w:spacing w:after="0"/>
              <w:rPr>
                <w:sz w:val="20"/>
                <w:szCs w:val="20"/>
                <w:color w:val="auto"/>
              </w:rPr>
            </w:pPr>
            <w:r>
              <w:rPr>
                <w:rFonts w:ascii="Arial" w:cs="Arial" w:eastAsia="Arial" w:hAnsi="Arial"/>
                <w:sz w:val="16"/>
                <w:szCs w:val="16"/>
                <w:b w:val="1"/>
                <w:bCs w:val="1"/>
                <w:color w:val="auto"/>
              </w:rPr>
              <w:t>No Score</w:t>
            </w:r>
          </w:p>
        </w:tc>
        <w:tc>
          <w:tcPr>
            <w:tcW w:w="400" w:type="dxa"/>
            <w:vAlign w:val="bottom"/>
          </w:tcPr>
          <w:p>
            <w:pPr>
              <w:spacing w:after="0"/>
              <w:rPr>
                <w:sz w:val="22"/>
                <w:szCs w:val="22"/>
                <w:color w:val="auto"/>
              </w:rPr>
            </w:pPr>
          </w:p>
        </w:tc>
        <w:tc>
          <w:tcPr>
            <w:tcW w:w="960" w:type="dxa"/>
            <w:vAlign w:val="bottom"/>
          </w:tcPr>
          <w:p>
            <w:pPr>
              <w:jc w:val="right"/>
              <w:ind w:right="412"/>
              <w:spacing w:after="0"/>
              <w:rPr>
                <w:sz w:val="20"/>
                <w:szCs w:val="20"/>
                <w:color w:val="auto"/>
              </w:rPr>
            </w:pPr>
            <w:r>
              <w:rPr>
                <w:rFonts w:ascii="Arial" w:cs="Arial" w:eastAsia="Arial" w:hAnsi="Arial"/>
                <w:sz w:val="16"/>
                <w:szCs w:val="16"/>
                <w:b w:val="1"/>
                <w:bCs w:val="1"/>
                <w:color w:val="auto"/>
              </w:rPr>
              <w:t>Total</w:t>
            </w:r>
          </w:p>
        </w:tc>
      </w:tr>
      <w:tr>
        <w:trPr>
          <w:trHeight w:val="249"/>
        </w:trPr>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40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shd w:val="clear" w:color="auto" w:fill="CCEEFF"/>
              </w:rPr>
              <w:t>Westin</w:t>
            </w: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177</w:t>
            </w:r>
          </w:p>
        </w:tc>
      </w:tr>
      <w:tr>
        <w:trPr>
          <w:trHeight w:val="243"/>
        </w:trPr>
        <w:tc>
          <w:tcPr>
            <w:tcW w:w="40" w:type="dxa"/>
            <w:vAlign w:val="bottom"/>
          </w:tcPr>
          <w:p>
            <w:pPr>
              <w:spacing w:after="0"/>
              <w:rPr>
                <w:sz w:val="21"/>
                <w:szCs w:val="21"/>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Sheraton</w:t>
            </w:r>
          </w:p>
        </w:tc>
        <w:tc>
          <w:tcPr>
            <w:tcW w:w="30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95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83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230</w:t>
            </w:r>
          </w:p>
        </w:tc>
      </w:tr>
      <w:tr>
        <w:trPr>
          <w:trHeight w:val="27"/>
        </w:trPr>
        <w:tc>
          <w:tcPr>
            <w:tcW w:w="40" w:type="dxa"/>
            <w:vAlign w:val="bottom"/>
          </w:tcPr>
          <w:p>
            <w:pPr>
              <w:spacing w:after="0"/>
              <w:rPr>
                <w:sz w:val="2"/>
                <w:szCs w:val="2"/>
                <w:color w:val="auto"/>
              </w:rPr>
            </w:pPr>
          </w:p>
        </w:tc>
        <w:tc>
          <w:tcPr>
            <w:tcW w:w="4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shd w:val="clear" w:color="auto" w:fill="CCEEFF"/>
              </w:rPr>
              <w:t>Hyatt</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w:t>
            </w:r>
          </w:p>
        </w:tc>
      </w:tr>
      <w:tr>
        <w:trPr>
          <w:trHeight w:val="243"/>
        </w:trPr>
        <w:tc>
          <w:tcPr>
            <w:tcW w:w="40" w:type="dxa"/>
            <w:vAlign w:val="bottom"/>
          </w:tcPr>
          <w:p>
            <w:pPr>
              <w:spacing w:after="0"/>
              <w:rPr>
                <w:sz w:val="21"/>
                <w:szCs w:val="21"/>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Other</w:t>
            </w:r>
          </w:p>
        </w:tc>
        <w:tc>
          <w:tcPr>
            <w:tcW w:w="30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6</w:t>
            </w:r>
          </w:p>
        </w:tc>
      </w:tr>
      <w:tr>
        <w:trPr>
          <w:trHeight w:val="27"/>
        </w:trPr>
        <w:tc>
          <w:tcPr>
            <w:tcW w:w="40" w:type="dxa"/>
            <w:vAlign w:val="bottom"/>
            <w:tcBorders>
              <w:bottom w:val="single" w:sz="8" w:color="CCEEFF"/>
            </w:tcBorders>
          </w:tcPr>
          <w:p>
            <w:pPr>
              <w:spacing w:after="0"/>
              <w:rPr>
                <w:sz w:val="2"/>
                <w:szCs w:val="2"/>
                <w:color w:val="auto"/>
              </w:rPr>
            </w:pPr>
          </w:p>
        </w:tc>
        <w:tc>
          <w:tcPr>
            <w:tcW w:w="40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40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216</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151</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439</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40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240"/>
          </w:cols>
          <w:pgMar w:left="320" w:top="125" w:right="339" w:bottom="1440" w:gutter="0" w:footer="0" w:header="0"/>
          <w:type w:val="continuous"/>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200" w:firstLine="648"/>
        <w:spacing w:after="0" w:line="308" w:lineRule="auto"/>
        <w:rPr>
          <w:sz w:val="20"/>
          <w:szCs w:val="20"/>
          <w:color w:val="auto"/>
        </w:rPr>
      </w:pPr>
      <w:r>
        <w:rPr>
          <w:rFonts w:ascii="Arial" w:cs="Arial" w:eastAsia="Arial" w:hAnsi="Arial"/>
          <w:sz w:val="17"/>
          <w:szCs w:val="17"/>
          <w:color w:val="auto"/>
        </w:rPr>
        <w:t xml:space="preserve">The following </w:t>
      </w:r>
      <w:r>
        <w:rPr>
          <w:rFonts w:ascii="Arial" w:cs="Arial" w:eastAsia="Arial" w:hAnsi="Arial"/>
          <w:sz w:val="17"/>
          <w:szCs w:val="17"/>
          <w:color w:val="212529"/>
        </w:rPr>
        <w:t>table details the origination year of our Legacy-ILG acquired vacation ownership notes receivable by brand and FICO score as of</w:t>
      </w:r>
      <w:r>
        <w:rPr>
          <w:rFonts w:ascii="Arial" w:cs="Arial" w:eastAsia="Arial" w:hAnsi="Arial"/>
          <w:sz w:val="17"/>
          <w:szCs w:val="17"/>
          <w:color w:val="auto"/>
        </w:rPr>
        <w:t xml:space="preserve"> March 31, 2020</w:t>
      </w:r>
      <w:r>
        <w:rPr>
          <w:rFonts w:ascii="Arial" w:cs="Arial" w:eastAsia="Arial" w:hAnsi="Arial"/>
          <w:sz w:val="17"/>
          <w:szCs w:val="17"/>
          <w:color w:val="212529"/>
        </w:rPr>
        <w:t>. Vacation ownership notes receivable with no FICO score primarily relate to non-U.S. resident borrowers.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640" w:type="dxa"/>
            <w:vAlign w:val="bottom"/>
            <w:gridSpan w:val="12"/>
          </w:tcPr>
          <w:p>
            <w:pPr>
              <w:jc w:val="center"/>
              <w:ind w:right="233"/>
              <w:spacing w:after="0"/>
              <w:rPr>
                <w:sz w:val="20"/>
                <w:szCs w:val="20"/>
                <w:color w:val="auto"/>
              </w:rPr>
            </w:pPr>
            <w:r>
              <w:rPr>
                <w:rFonts w:ascii="Arial" w:cs="Arial" w:eastAsia="Arial" w:hAnsi="Arial"/>
                <w:sz w:val="16"/>
                <w:szCs w:val="16"/>
                <w:b w:val="1"/>
                <w:bCs w:val="1"/>
                <w:color w:val="auto"/>
                <w:w w:val="90"/>
              </w:rPr>
              <w:t>Acquired Vacation Ownership Notes Receivable - Westin</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33"/>
        </w:trPr>
        <w:tc>
          <w:tcPr>
            <w:tcW w:w="960" w:type="dxa"/>
            <w:vAlign w:val="bottom"/>
            <w:gridSpan w:val="2"/>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3"/>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58"/>
        </w:trPr>
        <w:tc>
          <w:tcPr>
            <w:tcW w:w="96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b w:val="1"/>
                <w:bCs w:val="1"/>
                <w:i w:val="1"/>
                <w:iCs w:val="1"/>
                <w:color w:val="auto"/>
                <w:w w:val="99"/>
              </w:rPr>
              <w:t>($ in millions)</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3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c>
          <w:tcPr>
            <w:tcW w:w="3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92"/>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72"/>
              <w:spacing w:after="0"/>
              <w:rPr>
                <w:sz w:val="20"/>
                <w:szCs w:val="20"/>
                <w:color w:val="auto"/>
              </w:rPr>
            </w:pPr>
            <w:r>
              <w:rPr>
                <w:rFonts w:ascii="Arial" w:cs="Arial" w:eastAsia="Arial" w:hAnsi="Arial"/>
                <w:sz w:val="16"/>
                <w:szCs w:val="16"/>
                <w:b w:val="1"/>
                <w:bCs w:val="1"/>
                <w:color w:val="auto"/>
              </w:rPr>
              <w:t>2017</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92"/>
              <w:spacing w:after="0"/>
              <w:rPr>
                <w:sz w:val="20"/>
                <w:szCs w:val="20"/>
                <w:color w:val="auto"/>
              </w:rPr>
            </w:pPr>
            <w:r>
              <w:rPr>
                <w:rFonts w:ascii="Arial" w:cs="Arial" w:eastAsia="Arial" w:hAnsi="Arial"/>
                <w:sz w:val="16"/>
                <w:szCs w:val="16"/>
                <w:b w:val="1"/>
                <w:bCs w:val="1"/>
                <w:color w:val="auto"/>
              </w:rPr>
              <w:t>2016</w:t>
            </w:r>
          </w:p>
        </w:tc>
        <w:tc>
          <w:tcPr>
            <w:tcW w:w="100" w:type="dxa"/>
            <w:vAlign w:val="bottom"/>
            <w:tcBorders>
              <w:bottom w:val="single" w:sz="8" w:color="CCEEFF"/>
            </w:tcBorders>
          </w:tcPr>
          <w:p>
            <w:pPr>
              <w:spacing w:after="0"/>
              <w:rPr>
                <w:sz w:val="22"/>
                <w:szCs w:val="22"/>
                <w:color w:val="auto"/>
              </w:rPr>
            </w:pPr>
          </w:p>
        </w:tc>
        <w:tc>
          <w:tcPr>
            <w:tcW w:w="10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2015 &amp; Prior</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72"/>
              <w:spacing w:after="0"/>
              <w:rPr>
                <w:sz w:val="20"/>
                <w:szCs w:val="20"/>
                <w:color w:val="auto"/>
              </w:rPr>
            </w:pPr>
            <w:r>
              <w:rPr>
                <w:rFonts w:ascii="Arial" w:cs="Arial" w:eastAsia="Arial" w:hAnsi="Arial"/>
                <w:sz w:val="16"/>
                <w:szCs w:val="16"/>
                <w:b w:val="1"/>
                <w:bCs w:val="1"/>
                <w:color w:val="auto"/>
              </w:rPr>
              <w:t>Total</w:t>
            </w:r>
          </w:p>
        </w:tc>
      </w:tr>
      <w:tr>
        <w:trPr>
          <w:trHeight w:val="250"/>
        </w:trPr>
        <w:tc>
          <w:tcPr>
            <w:tcW w:w="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89"/>
              </w:rPr>
              <w:t>700</w:t>
            </w:r>
          </w:p>
        </w:tc>
        <w:tc>
          <w:tcPr>
            <w:tcW w:w="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553"/>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574"/>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473"/>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w:t>
            </w:r>
          </w:p>
        </w:tc>
      </w:tr>
      <w:tr>
        <w:trPr>
          <w:trHeight w:val="243"/>
        </w:trPr>
        <w:tc>
          <w:tcPr>
            <w:tcW w:w="300" w:type="dxa"/>
            <w:vAlign w:val="bottom"/>
          </w:tcPr>
          <w:p>
            <w:pPr>
              <w:ind w:left="40"/>
              <w:spacing w:after="0"/>
              <w:rPr>
                <w:sz w:val="20"/>
                <w:szCs w:val="20"/>
                <w:color w:val="auto"/>
              </w:rPr>
            </w:pPr>
            <w:r>
              <w:rPr>
                <w:rFonts w:ascii="Arial" w:cs="Arial" w:eastAsia="Arial" w:hAnsi="Arial"/>
                <w:sz w:val="16"/>
                <w:szCs w:val="16"/>
                <w:color w:val="auto"/>
                <w:w w:val="89"/>
              </w:rPr>
              <w:t>600</w:t>
            </w:r>
          </w:p>
        </w:tc>
        <w:tc>
          <w:tcPr>
            <w:tcW w:w="660" w:type="dxa"/>
            <w:vAlign w:val="bottom"/>
          </w:tcPr>
          <w:p>
            <w:pPr>
              <w:ind w:left="20"/>
              <w:spacing w:after="0"/>
              <w:rPr>
                <w:sz w:val="20"/>
                <w:szCs w:val="20"/>
                <w:color w:val="auto"/>
              </w:rPr>
            </w:pPr>
            <w:r>
              <w:rPr>
                <w:rFonts w:ascii="Arial" w:cs="Arial" w:eastAsia="Arial" w:hAnsi="Arial"/>
                <w:sz w:val="16"/>
                <w:szCs w:val="16"/>
                <w:color w:val="auto"/>
              </w:rPr>
              <w:t>- 699</w:t>
            </w:r>
          </w:p>
        </w:tc>
        <w:tc>
          <w:tcPr>
            <w:tcW w:w="760" w:type="dxa"/>
            <w:vAlign w:val="bottom"/>
          </w:tcPr>
          <w:p>
            <w:pPr>
              <w:spacing w:after="0"/>
              <w:rPr>
                <w:sz w:val="21"/>
                <w:szCs w:val="21"/>
                <w:color w:val="auto"/>
              </w:rPr>
            </w:pPr>
          </w:p>
        </w:tc>
        <w:tc>
          <w:tcPr>
            <w:tcW w:w="4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21"/>
                <w:szCs w:val="21"/>
                <w:color w:val="auto"/>
              </w:rPr>
            </w:pPr>
          </w:p>
        </w:tc>
        <w:tc>
          <w:tcPr>
            <w:tcW w:w="4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7"/>
        </w:trPr>
        <w:tc>
          <w:tcPr>
            <w:tcW w:w="960" w:type="dxa"/>
            <w:vAlign w:val="bottom"/>
            <w:gridSpan w:val="2"/>
          </w:tcPr>
          <w:p>
            <w:pPr>
              <w:spacing w:after="0"/>
              <w:rPr>
                <w:sz w:val="2"/>
                <w:szCs w:val="2"/>
                <w:color w:val="auto"/>
              </w:rPr>
            </w:pPr>
          </w:p>
        </w:tc>
        <w:tc>
          <w:tcPr>
            <w:tcW w:w="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&lt; 600</w:t>
            </w:r>
          </w:p>
        </w:tc>
        <w:tc>
          <w:tcPr>
            <w:tcW w:w="7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43"/>
        </w:trPr>
        <w:tc>
          <w:tcPr>
            <w:tcW w:w="960" w:type="dxa"/>
            <w:vAlign w:val="bottom"/>
            <w:gridSpan w:val="2"/>
          </w:tcPr>
          <w:p>
            <w:pPr>
              <w:ind w:left="40"/>
              <w:spacing w:after="0"/>
              <w:rPr>
                <w:sz w:val="20"/>
                <w:szCs w:val="20"/>
                <w:color w:val="auto"/>
              </w:rPr>
            </w:pPr>
            <w:r>
              <w:rPr>
                <w:rFonts w:ascii="Arial" w:cs="Arial" w:eastAsia="Arial" w:hAnsi="Arial"/>
                <w:sz w:val="16"/>
                <w:szCs w:val="16"/>
                <w:color w:val="auto"/>
              </w:rPr>
              <w:t>No Score</w:t>
            </w:r>
          </w:p>
        </w:tc>
        <w:tc>
          <w:tcPr>
            <w:tcW w:w="760" w:type="dxa"/>
            <w:vAlign w:val="bottom"/>
          </w:tcPr>
          <w:p>
            <w:pPr>
              <w:spacing w:after="0"/>
              <w:rPr>
                <w:sz w:val="21"/>
                <w:szCs w:val="21"/>
                <w:color w:val="auto"/>
              </w:rPr>
            </w:pPr>
          </w:p>
        </w:tc>
        <w:tc>
          <w:tcPr>
            <w:tcW w:w="4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21"/>
                <w:szCs w:val="21"/>
                <w:color w:val="auto"/>
              </w:rPr>
            </w:pPr>
          </w:p>
        </w:tc>
        <w:tc>
          <w:tcPr>
            <w:tcW w:w="4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7"/>
        </w:trPr>
        <w:tc>
          <w:tcPr>
            <w:tcW w:w="30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68"/>
        </w:trPr>
        <w:tc>
          <w:tcPr>
            <w:tcW w:w="3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553"/>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574"/>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ind w:right="473"/>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w:t>
            </w:r>
          </w:p>
        </w:tc>
      </w:tr>
      <w:tr>
        <w:trPr>
          <w:trHeight w:val="20"/>
        </w:trPr>
        <w:tc>
          <w:tcPr>
            <w:tcW w:w="3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r>
        <w:trPr>
          <w:trHeight w:val="461"/>
        </w:trPr>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640" w:type="dxa"/>
            <w:vAlign w:val="bottom"/>
            <w:gridSpan w:val="12"/>
          </w:tcPr>
          <w:p>
            <w:pPr>
              <w:jc w:val="center"/>
              <w:ind w:right="233"/>
              <w:spacing w:after="0"/>
              <w:rPr>
                <w:sz w:val="20"/>
                <w:szCs w:val="20"/>
                <w:color w:val="auto"/>
              </w:rPr>
            </w:pPr>
            <w:r>
              <w:rPr>
                <w:rFonts w:ascii="Arial" w:cs="Arial" w:eastAsia="Arial" w:hAnsi="Arial"/>
                <w:sz w:val="16"/>
                <w:szCs w:val="16"/>
                <w:b w:val="1"/>
                <w:bCs w:val="1"/>
                <w:color w:val="auto"/>
                <w:w w:val="91"/>
              </w:rPr>
              <w:t>Acquired Vacation Ownership Notes Receivable - Sheraton</w:t>
            </w: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33"/>
        </w:trPr>
        <w:tc>
          <w:tcPr>
            <w:tcW w:w="960" w:type="dxa"/>
            <w:vAlign w:val="bottom"/>
            <w:gridSpan w:val="2"/>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3"/>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57"/>
        </w:trPr>
        <w:tc>
          <w:tcPr>
            <w:tcW w:w="96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b w:val="1"/>
                <w:bCs w:val="1"/>
                <w:i w:val="1"/>
                <w:iCs w:val="1"/>
                <w:color w:val="auto"/>
                <w:w w:val="99"/>
              </w:rPr>
              <w:t>($ in millions)</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3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c>
          <w:tcPr>
            <w:tcW w:w="3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92"/>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72"/>
              <w:spacing w:after="0"/>
              <w:rPr>
                <w:sz w:val="20"/>
                <w:szCs w:val="20"/>
                <w:color w:val="auto"/>
              </w:rPr>
            </w:pPr>
            <w:r>
              <w:rPr>
                <w:rFonts w:ascii="Arial" w:cs="Arial" w:eastAsia="Arial" w:hAnsi="Arial"/>
                <w:sz w:val="16"/>
                <w:szCs w:val="16"/>
                <w:b w:val="1"/>
                <w:bCs w:val="1"/>
                <w:color w:val="auto"/>
              </w:rPr>
              <w:t>2017</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92"/>
              <w:spacing w:after="0"/>
              <w:rPr>
                <w:sz w:val="20"/>
                <w:szCs w:val="20"/>
                <w:color w:val="auto"/>
              </w:rPr>
            </w:pPr>
            <w:r>
              <w:rPr>
                <w:rFonts w:ascii="Arial" w:cs="Arial" w:eastAsia="Arial" w:hAnsi="Arial"/>
                <w:sz w:val="16"/>
                <w:szCs w:val="16"/>
                <w:b w:val="1"/>
                <w:bCs w:val="1"/>
                <w:color w:val="auto"/>
              </w:rPr>
              <w:t>2016</w:t>
            </w:r>
          </w:p>
        </w:tc>
        <w:tc>
          <w:tcPr>
            <w:tcW w:w="100" w:type="dxa"/>
            <w:vAlign w:val="bottom"/>
            <w:tcBorders>
              <w:bottom w:val="single" w:sz="8" w:color="CCEEFF"/>
            </w:tcBorders>
          </w:tcPr>
          <w:p>
            <w:pPr>
              <w:spacing w:after="0"/>
              <w:rPr>
                <w:sz w:val="22"/>
                <w:szCs w:val="22"/>
                <w:color w:val="auto"/>
              </w:rPr>
            </w:pPr>
          </w:p>
        </w:tc>
        <w:tc>
          <w:tcPr>
            <w:tcW w:w="10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2015 &amp; Prior</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72"/>
              <w:spacing w:after="0"/>
              <w:rPr>
                <w:sz w:val="20"/>
                <w:szCs w:val="20"/>
                <w:color w:val="auto"/>
              </w:rPr>
            </w:pPr>
            <w:r>
              <w:rPr>
                <w:rFonts w:ascii="Arial" w:cs="Arial" w:eastAsia="Arial" w:hAnsi="Arial"/>
                <w:sz w:val="16"/>
                <w:szCs w:val="16"/>
                <w:b w:val="1"/>
                <w:bCs w:val="1"/>
                <w:color w:val="auto"/>
              </w:rPr>
              <w:t>Total</w:t>
            </w:r>
          </w:p>
        </w:tc>
      </w:tr>
      <w:tr>
        <w:trPr>
          <w:trHeight w:val="250"/>
        </w:trPr>
        <w:tc>
          <w:tcPr>
            <w:tcW w:w="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89"/>
              </w:rPr>
              <w:t>700</w:t>
            </w:r>
          </w:p>
        </w:tc>
        <w:tc>
          <w:tcPr>
            <w:tcW w:w="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553"/>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574"/>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473"/>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w:t>
            </w:r>
          </w:p>
        </w:tc>
      </w:tr>
      <w:tr>
        <w:trPr>
          <w:trHeight w:val="243"/>
        </w:trPr>
        <w:tc>
          <w:tcPr>
            <w:tcW w:w="300" w:type="dxa"/>
            <w:vAlign w:val="bottom"/>
          </w:tcPr>
          <w:p>
            <w:pPr>
              <w:ind w:left="40"/>
              <w:spacing w:after="0"/>
              <w:rPr>
                <w:sz w:val="20"/>
                <w:szCs w:val="20"/>
                <w:color w:val="auto"/>
              </w:rPr>
            </w:pPr>
            <w:r>
              <w:rPr>
                <w:rFonts w:ascii="Arial" w:cs="Arial" w:eastAsia="Arial" w:hAnsi="Arial"/>
                <w:sz w:val="16"/>
                <w:szCs w:val="16"/>
                <w:color w:val="auto"/>
                <w:w w:val="89"/>
              </w:rPr>
              <w:t>600</w:t>
            </w:r>
          </w:p>
        </w:tc>
        <w:tc>
          <w:tcPr>
            <w:tcW w:w="660" w:type="dxa"/>
            <w:vAlign w:val="bottom"/>
          </w:tcPr>
          <w:p>
            <w:pPr>
              <w:ind w:left="20"/>
              <w:spacing w:after="0"/>
              <w:rPr>
                <w:sz w:val="20"/>
                <w:szCs w:val="20"/>
                <w:color w:val="auto"/>
              </w:rPr>
            </w:pPr>
            <w:r>
              <w:rPr>
                <w:rFonts w:ascii="Arial" w:cs="Arial" w:eastAsia="Arial" w:hAnsi="Arial"/>
                <w:sz w:val="16"/>
                <w:szCs w:val="16"/>
                <w:color w:val="auto"/>
              </w:rPr>
              <w:t>- 699</w:t>
            </w:r>
          </w:p>
        </w:tc>
        <w:tc>
          <w:tcPr>
            <w:tcW w:w="760" w:type="dxa"/>
            <w:vAlign w:val="bottom"/>
          </w:tcPr>
          <w:p>
            <w:pPr>
              <w:spacing w:after="0"/>
              <w:rPr>
                <w:sz w:val="21"/>
                <w:szCs w:val="21"/>
                <w:color w:val="auto"/>
              </w:rPr>
            </w:pPr>
          </w:p>
        </w:tc>
        <w:tc>
          <w:tcPr>
            <w:tcW w:w="4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21"/>
                <w:szCs w:val="21"/>
                <w:color w:val="auto"/>
              </w:rPr>
            </w:pPr>
          </w:p>
        </w:tc>
        <w:tc>
          <w:tcPr>
            <w:tcW w:w="4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7"/>
        </w:trPr>
        <w:tc>
          <w:tcPr>
            <w:tcW w:w="960" w:type="dxa"/>
            <w:vAlign w:val="bottom"/>
            <w:gridSpan w:val="2"/>
          </w:tcPr>
          <w:p>
            <w:pPr>
              <w:spacing w:after="0"/>
              <w:rPr>
                <w:sz w:val="2"/>
                <w:szCs w:val="2"/>
                <w:color w:val="auto"/>
              </w:rPr>
            </w:pPr>
          </w:p>
        </w:tc>
        <w:tc>
          <w:tcPr>
            <w:tcW w:w="760" w:type="dxa"/>
            <w:vAlign w:val="bottom"/>
          </w:tcPr>
          <w:p>
            <w:pPr>
              <w:spacing w:after="0"/>
              <w:rPr>
                <w:sz w:val="2"/>
                <w:szCs w:val="2"/>
                <w:color w:val="auto"/>
              </w:rPr>
            </w:pPr>
          </w:p>
        </w:tc>
        <w:tc>
          <w:tcPr>
            <w:tcW w:w="400" w:type="dxa"/>
            <w:vAlign w:val="bottom"/>
            <w:gridSpan w:val="2"/>
          </w:tcPr>
          <w:p>
            <w:pPr>
              <w:spacing w:after="0"/>
              <w:rPr>
                <w:sz w:val="2"/>
                <w:szCs w:val="2"/>
                <w:color w:val="auto"/>
              </w:rPr>
            </w:pPr>
          </w:p>
        </w:tc>
        <w:tc>
          <w:tcPr>
            <w:tcW w:w="780" w:type="dxa"/>
            <w:vAlign w:val="bottom"/>
          </w:tcPr>
          <w:p>
            <w:pPr>
              <w:spacing w:after="0"/>
              <w:rPr>
                <w:sz w:val="2"/>
                <w:szCs w:val="2"/>
                <w:color w:val="auto"/>
              </w:rPr>
            </w:pPr>
          </w:p>
        </w:tc>
        <w:tc>
          <w:tcPr>
            <w:tcW w:w="40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&lt; 600</w:t>
            </w:r>
          </w:p>
        </w:tc>
        <w:tc>
          <w:tcPr>
            <w:tcW w:w="7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43"/>
        </w:trPr>
        <w:tc>
          <w:tcPr>
            <w:tcW w:w="960" w:type="dxa"/>
            <w:vAlign w:val="bottom"/>
            <w:gridSpan w:val="2"/>
          </w:tcPr>
          <w:p>
            <w:pPr>
              <w:ind w:left="40"/>
              <w:spacing w:after="0"/>
              <w:rPr>
                <w:sz w:val="20"/>
                <w:szCs w:val="20"/>
                <w:color w:val="auto"/>
              </w:rPr>
            </w:pPr>
            <w:r>
              <w:rPr>
                <w:rFonts w:ascii="Arial" w:cs="Arial" w:eastAsia="Arial" w:hAnsi="Arial"/>
                <w:sz w:val="16"/>
                <w:szCs w:val="16"/>
                <w:color w:val="auto"/>
              </w:rPr>
              <w:t>No Score</w:t>
            </w:r>
          </w:p>
        </w:tc>
        <w:tc>
          <w:tcPr>
            <w:tcW w:w="760" w:type="dxa"/>
            <w:vAlign w:val="bottom"/>
          </w:tcPr>
          <w:p>
            <w:pPr>
              <w:spacing w:after="0"/>
              <w:rPr>
                <w:sz w:val="21"/>
                <w:szCs w:val="21"/>
                <w:color w:val="auto"/>
              </w:rPr>
            </w:pPr>
          </w:p>
        </w:tc>
        <w:tc>
          <w:tcPr>
            <w:tcW w:w="4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21"/>
                <w:szCs w:val="21"/>
                <w:color w:val="auto"/>
              </w:rPr>
            </w:pPr>
          </w:p>
        </w:tc>
        <w:tc>
          <w:tcPr>
            <w:tcW w:w="4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7"/>
        </w:trPr>
        <w:tc>
          <w:tcPr>
            <w:tcW w:w="30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69"/>
        </w:trPr>
        <w:tc>
          <w:tcPr>
            <w:tcW w:w="3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553"/>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574"/>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ind w:right="473"/>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239</w:t>
            </w:r>
          </w:p>
        </w:tc>
      </w:tr>
      <w:tr>
        <w:trPr>
          <w:trHeight w:val="20"/>
        </w:trPr>
        <w:tc>
          <w:tcPr>
            <w:tcW w:w="3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r>
        <w:trPr>
          <w:trHeight w:val="460"/>
        </w:trPr>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20" w:type="dxa"/>
            <w:vAlign w:val="bottom"/>
            <w:gridSpan w:val="13"/>
          </w:tcPr>
          <w:p>
            <w:pPr>
              <w:jc w:val="center"/>
              <w:ind w:left="374"/>
              <w:spacing w:after="0"/>
              <w:rPr>
                <w:sz w:val="20"/>
                <w:szCs w:val="20"/>
                <w:color w:val="auto"/>
              </w:rPr>
            </w:pPr>
            <w:r>
              <w:rPr>
                <w:rFonts w:ascii="Arial" w:cs="Arial" w:eastAsia="Arial" w:hAnsi="Arial"/>
                <w:sz w:val="16"/>
                <w:szCs w:val="16"/>
                <w:b w:val="1"/>
                <w:bCs w:val="1"/>
                <w:color w:val="auto"/>
                <w:w w:val="92"/>
              </w:rPr>
              <w:t>Acquired Vacation Ownership Notes Receivable - Hyatt and Other</w:t>
            </w: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33"/>
        </w:trPr>
        <w:tc>
          <w:tcPr>
            <w:tcW w:w="960" w:type="dxa"/>
            <w:vAlign w:val="bottom"/>
            <w:gridSpan w:val="2"/>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3"/>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58"/>
        </w:trPr>
        <w:tc>
          <w:tcPr>
            <w:tcW w:w="96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b w:val="1"/>
                <w:bCs w:val="1"/>
                <w:i w:val="1"/>
                <w:iCs w:val="1"/>
                <w:color w:val="auto"/>
                <w:w w:val="99"/>
              </w:rPr>
              <w:t>($ in millions)</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3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c>
          <w:tcPr>
            <w:tcW w:w="3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92"/>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72"/>
              <w:spacing w:after="0"/>
              <w:rPr>
                <w:sz w:val="20"/>
                <w:szCs w:val="20"/>
                <w:color w:val="auto"/>
              </w:rPr>
            </w:pPr>
            <w:r>
              <w:rPr>
                <w:rFonts w:ascii="Arial" w:cs="Arial" w:eastAsia="Arial" w:hAnsi="Arial"/>
                <w:sz w:val="16"/>
                <w:szCs w:val="16"/>
                <w:b w:val="1"/>
                <w:bCs w:val="1"/>
                <w:color w:val="auto"/>
              </w:rPr>
              <w:t>2017</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92"/>
              <w:spacing w:after="0"/>
              <w:rPr>
                <w:sz w:val="20"/>
                <w:szCs w:val="20"/>
                <w:color w:val="auto"/>
              </w:rPr>
            </w:pPr>
            <w:r>
              <w:rPr>
                <w:rFonts w:ascii="Arial" w:cs="Arial" w:eastAsia="Arial" w:hAnsi="Arial"/>
                <w:sz w:val="16"/>
                <w:szCs w:val="16"/>
                <w:b w:val="1"/>
                <w:bCs w:val="1"/>
                <w:color w:val="auto"/>
              </w:rPr>
              <w:t>2016</w:t>
            </w:r>
          </w:p>
        </w:tc>
        <w:tc>
          <w:tcPr>
            <w:tcW w:w="100" w:type="dxa"/>
            <w:vAlign w:val="bottom"/>
            <w:tcBorders>
              <w:bottom w:val="single" w:sz="8" w:color="CCEEFF"/>
            </w:tcBorders>
          </w:tcPr>
          <w:p>
            <w:pPr>
              <w:spacing w:after="0"/>
              <w:rPr>
                <w:sz w:val="22"/>
                <w:szCs w:val="22"/>
                <w:color w:val="auto"/>
              </w:rPr>
            </w:pPr>
          </w:p>
        </w:tc>
        <w:tc>
          <w:tcPr>
            <w:tcW w:w="10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2015 &amp; Prior</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72"/>
              <w:spacing w:after="0"/>
              <w:rPr>
                <w:sz w:val="20"/>
                <w:szCs w:val="20"/>
                <w:color w:val="auto"/>
              </w:rPr>
            </w:pPr>
            <w:r>
              <w:rPr>
                <w:rFonts w:ascii="Arial" w:cs="Arial" w:eastAsia="Arial" w:hAnsi="Arial"/>
                <w:sz w:val="16"/>
                <w:szCs w:val="16"/>
                <w:b w:val="1"/>
                <w:bCs w:val="1"/>
                <w:color w:val="auto"/>
              </w:rPr>
              <w:t>Total</w:t>
            </w:r>
          </w:p>
        </w:tc>
      </w:tr>
      <w:tr>
        <w:trPr>
          <w:trHeight w:val="249"/>
        </w:trPr>
        <w:tc>
          <w:tcPr>
            <w:tcW w:w="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89"/>
              </w:rPr>
              <w:t>700</w:t>
            </w:r>
          </w:p>
        </w:tc>
        <w:tc>
          <w:tcPr>
            <w:tcW w:w="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553"/>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574"/>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473"/>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43"/>
        </w:trPr>
        <w:tc>
          <w:tcPr>
            <w:tcW w:w="300" w:type="dxa"/>
            <w:vAlign w:val="bottom"/>
          </w:tcPr>
          <w:p>
            <w:pPr>
              <w:ind w:left="40"/>
              <w:spacing w:after="0"/>
              <w:rPr>
                <w:sz w:val="20"/>
                <w:szCs w:val="20"/>
                <w:color w:val="auto"/>
              </w:rPr>
            </w:pPr>
            <w:r>
              <w:rPr>
                <w:rFonts w:ascii="Arial" w:cs="Arial" w:eastAsia="Arial" w:hAnsi="Arial"/>
                <w:sz w:val="16"/>
                <w:szCs w:val="16"/>
                <w:color w:val="auto"/>
                <w:w w:val="89"/>
              </w:rPr>
              <w:t>600</w:t>
            </w:r>
          </w:p>
        </w:tc>
        <w:tc>
          <w:tcPr>
            <w:tcW w:w="660" w:type="dxa"/>
            <w:vAlign w:val="bottom"/>
          </w:tcPr>
          <w:p>
            <w:pPr>
              <w:ind w:left="20"/>
              <w:spacing w:after="0"/>
              <w:rPr>
                <w:sz w:val="20"/>
                <w:szCs w:val="20"/>
                <w:color w:val="auto"/>
              </w:rPr>
            </w:pPr>
            <w:r>
              <w:rPr>
                <w:rFonts w:ascii="Arial" w:cs="Arial" w:eastAsia="Arial" w:hAnsi="Arial"/>
                <w:sz w:val="16"/>
                <w:szCs w:val="16"/>
                <w:color w:val="auto"/>
              </w:rPr>
              <w:t>- 699</w:t>
            </w:r>
          </w:p>
        </w:tc>
        <w:tc>
          <w:tcPr>
            <w:tcW w:w="760" w:type="dxa"/>
            <w:vAlign w:val="bottom"/>
          </w:tcPr>
          <w:p>
            <w:pPr>
              <w:spacing w:after="0"/>
              <w:rPr>
                <w:sz w:val="21"/>
                <w:szCs w:val="21"/>
                <w:color w:val="auto"/>
              </w:rPr>
            </w:pPr>
          </w:p>
        </w:tc>
        <w:tc>
          <w:tcPr>
            <w:tcW w:w="4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21"/>
                <w:szCs w:val="21"/>
                <w:color w:val="auto"/>
              </w:rPr>
            </w:pPr>
          </w:p>
        </w:tc>
        <w:tc>
          <w:tcPr>
            <w:tcW w:w="4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7"/>
        </w:trPr>
        <w:tc>
          <w:tcPr>
            <w:tcW w:w="960" w:type="dxa"/>
            <w:vAlign w:val="bottom"/>
            <w:gridSpan w:val="2"/>
          </w:tcPr>
          <w:p>
            <w:pPr>
              <w:spacing w:after="0"/>
              <w:rPr>
                <w:sz w:val="2"/>
                <w:szCs w:val="2"/>
                <w:color w:val="auto"/>
              </w:rPr>
            </w:pPr>
          </w:p>
        </w:tc>
        <w:tc>
          <w:tcPr>
            <w:tcW w:w="760" w:type="dxa"/>
            <w:vAlign w:val="bottom"/>
          </w:tcPr>
          <w:p>
            <w:pPr>
              <w:spacing w:after="0"/>
              <w:rPr>
                <w:sz w:val="2"/>
                <w:szCs w:val="2"/>
                <w:color w:val="auto"/>
              </w:rPr>
            </w:pPr>
          </w:p>
        </w:tc>
        <w:tc>
          <w:tcPr>
            <w:tcW w:w="400" w:type="dxa"/>
            <w:vAlign w:val="bottom"/>
            <w:gridSpan w:val="2"/>
          </w:tcPr>
          <w:p>
            <w:pPr>
              <w:spacing w:after="0"/>
              <w:rPr>
                <w:sz w:val="2"/>
                <w:szCs w:val="2"/>
                <w:color w:val="auto"/>
              </w:rPr>
            </w:pPr>
          </w:p>
        </w:tc>
        <w:tc>
          <w:tcPr>
            <w:tcW w:w="780" w:type="dxa"/>
            <w:vAlign w:val="bottom"/>
          </w:tcPr>
          <w:p>
            <w:pPr>
              <w:spacing w:after="0"/>
              <w:rPr>
                <w:sz w:val="2"/>
                <w:szCs w:val="2"/>
                <w:color w:val="auto"/>
              </w:rPr>
            </w:pPr>
          </w:p>
        </w:tc>
        <w:tc>
          <w:tcPr>
            <w:tcW w:w="40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680" w:type="dxa"/>
            <w:vAlign w:val="bottom"/>
          </w:tcPr>
          <w:p>
            <w:pPr>
              <w:spacing w:after="0"/>
              <w:rPr>
                <w:sz w:val="2"/>
                <w:szCs w:val="2"/>
                <w:color w:val="auto"/>
              </w:rPr>
            </w:pPr>
          </w:p>
        </w:tc>
        <w:tc>
          <w:tcPr>
            <w:tcW w:w="52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&lt; 600</w:t>
            </w:r>
          </w:p>
        </w:tc>
        <w:tc>
          <w:tcPr>
            <w:tcW w:w="7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43"/>
        </w:trPr>
        <w:tc>
          <w:tcPr>
            <w:tcW w:w="960" w:type="dxa"/>
            <w:vAlign w:val="bottom"/>
            <w:gridSpan w:val="2"/>
          </w:tcPr>
          <w:p>
            <w:pPr>
              <w:ind w:left="40"/>
              <w:spacing w:after="0"/>
              <w:rPr>
                <w:sz w:val="20"/>
                <w:szCs w:val="20"/>
                <w:color w:val="auto"/>
              </w:rPr>
            </w:pPr>
            <w:r>
              <w:rPr>
                <w:rFonts w:ascii="Arial" w:cs="Arial" w:eastAsia="Arial" w:hAnsi="Arial"/>
                <w:sz w:val="16"/>
                <w:szCs w:val="16"/>
                <w:color w:val="auto"/>
              </w:rPr>
              <w:t>No Score</w:t>
            </w:r>
          </w:p>
        </w:tc>
        <w:tc>
          <w:tcPr>
            <w:tcW w:w="760" w:type="dxa"/>
            <w:vAlign w:val="bottom"/>
          </w:tcPr>
          <w:p>
            <w:pPr>
              <w:spacing w:after="0"/>
              <w:rPr>
                <w:sz w:val="21"/>
                <w:szCs w:val="21"/>
                <w:color w:val="auto"/>
              </w:rPr>
            </w:pPr>
          </w:p>
        </w:tc>
        <w:tc>
          <w:tcPr>
            <w:tcW w:w="4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21"/>
                <w:szCs w:val="21"/>
                <w:color w:val="auto"/>
              </w:rPr>
            </w:pPr>
          </w:p>
        </w:tc>
        <w:tc>
          <w:tcPr>
            <w:tcW w:w="4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7"/>
        </w:trPr>
        <w:tc>
          <w:tcPr>
            <w:tcW w:w="30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68"/>
        </w:trPr>
        <w:tc>
          <w:tcPr>
            <w:tcW w:w="3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553"/>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gridSpan w:val="3"/>
            <w:shd w:val="clear" w:color="auto" w:fill="CCEEFF"/>
          </w:tcPr>
          <w:p>
            <w:pPr>
              <w:ind w:left="60"/>
              <w:spacing w:after="0"/>
              <w:rPr>
                <w:sz w:val="20"/>
                <w:szCs w:val="20"/>
                <w:color w:val="auto"/>
              </w:rPr>
            </w:pPr>
            <w:r>
              <w:rPr>
                <w:rFonts w:ascii="Arial" w:cs="Arial" w:eastAsia="Arial" w:hAnsi="Arial"/>
                <w:sz w:val="18"/>
                <w:szCs w:val="18"/>
                <w:color w:val="auto"/>
              </w:rPr>
              <w:t>—  $</w:t>
            </w:r>
          </w:p>
        </w:tc>
        <w:tc>
          <w:tcPr>
            <w:tcW w:w="640" w:type="dxa"/>
            <w:vAlign w:val="bottom"/>
            <w:tcBorders>
              <w:bottom w:val="single" w:sz="8" w:color="CCEEFF"/>
            </w:tcBorders>
            <w:gridSpan w:val="3"/>
            <w:shd w:val="clear" w:color="auto" w:fill="CCEEFF"/>
          </w:tcPr>
          <w:p>
            <w:pPr>
              <w:ind w:left="60"/>
              <w:spacing w:after="0"/>
              <w:rPr>
                <w:sz w:val="20"/>
                <w:szCs w:val="20"/>
                <w:color w:val="auto"/>
              </w:rPr>
            </w:pPr>
            <w:r>
              <w:rPr>
                <w:rFonts w:ascii="Arial" w:cs="Arial" w:eastAsia="Arial" w:hAnsi="Arial"/>
                <w:sz w:val="18"/>
                <w:szCs w:val="18"/>
                <w:color w:val="auto"/>
              </w:rPr>
              <w:t>—  $</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ind w:right="473"/>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r>
      <w:tr>
        <w:trPr>
          <w:trHeight w:val="20"/>
        </w:trPr>
        <w:tc>
          <w:tcPr>
            <w:tcW w:w="3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The following tables show the Legacy-ILG originated vacation ownership notes receivable by brand and FICO score. Vacation ownership notes receivable with no FICO score primarily relate to non-U.S. resident borrowers.</w:t>
      </w:r>
    </w:p>
    <w:p>
      <w:pPr>
        <w:spacing w:after="0" w:line="130" w:lineRule="exact"/>
        <w:rPr>
          <w:sz w:val="20"/>
          <w:szCs w:val="20"/>
          <w:color w:val="auto"/>
        </w:rPr>
      </w:pPr>
    </w:p>
    <w:tbl>
      <w:tblPr>
        <w:tblLayout w:type="fixed"/>
        <w:tblInd w:w="10" w:type="dxa"/>
        <w:tblCellMar>
          <w:top w:w="0" w:type="dxa"/>
          <w:left w:w="0" w:type="dxa"/>
          <w:bottom w:w="0" w:type="dxa"/>
          <w:right w:w="0" w:type="dxa"/>
        </w:tblCellMar>
      </w:tblPr>
      <w:tr>
        <w:trPr>
          <w:trHeight w:val="210"/>
        </w:trPr>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940" w:type="dxa"/>
            <w:vAlign w:val="bottom"/>
            <w:gridSpan w:val="12"/>
          </w:tcPr>
          <w:p>
            <w:pPr>
              <w:jc w:val="center"/>
              <w:ind w:left="593"/>
              <w:spacing w:after="0"/>
              <w:rPr>
                <w:sz w:val="20"/>
                <w:szCs w:val="20"/>
                <w:color w:val="auto"/>
              </w:rPr>
            </w:pPr>
            <w:r>
              <w:rPr>
                <w:rFonts w:ascii="Arial" w:cs="Arial" w:eastAsia="Arial" w:hAnsi="Arial"/>
                <w:sz w:val="16"/>
                <w:szCs w:val="16"/>
                <w:b w:val="1"/>
                <w:bCs w:val="1"/>
                <w:color w:val="auto"/>
                <w:w w:val="91"/>
              </w:rPr>
              <w:t>Originated Vacation Ownership Notes Receivable as of March 31, 2020</w:t>
            </w:r>
          </w:p>
        </w:tc>
        <w:tc>
          <w:tcPr>
            <w:tcW w:w="940" w:type="dxa"/>
            <w:vAlign w:val="bottom"/>
          </w:tcPr>
          <w:p>
            <w:pPr>
              <w:spacing w:after="0"/>
              <w:rPr>
                <w:sz w:val="18"/>
                <w:szCs w:val="18"/>
                <w:color w:val="auto"/>
              </w:rPr>
            </w:pPr>
          </w:p>
        </w:tc>
      </w:tr>
      <w:tr>
        <w:trPr>
          <w:trHeight w:val="33"/>
        </w:trPr>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5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8"/>
        </w:trPr>
        <w:tc>
          <w:tcPr>
            <w:tcW w:w="4060" w:type="dxa"/>
            <w:vAlign w:val="bottom"/>
            <w:gridSpan w:val="3"/>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300" w:type="dxa"/>
            <w:vAlign w:val="bottom"/>
          </w:tcPr>
          <w:p>
            <w:pPr>
              <w:spacing w:after="0"/>
              <w:rPr>
                <w:sz w:val="22"/>
                <w:szCs w:val="22"/>
                <w:color w:val="auto"/>
              </w:rPr>
            </w:pPr>
          </w:p>
        </w:tc>
        <w:tc>
          <w:tcPr>
            <w:tcW w:w="1040" w:type="dxa"/>
            <w:vAlign w:val="bottom"/>
          </w:tcPr>
          <w:p>
            <w:pPr>
              <w:jc w:val="right"/>
              <w:ind w:right="393"/>
              <w:spacing w:after="0"/>
              <w:rPr>
                <w:sz w:val="20"/>
                <w:szCs w:val="20"/>
                <w:color w:val="auto"/>
              </w:rPr>
            </w:pPr>
            <w:r>
              <w:rPr>
                <w:rFonts w:ascii="Arial" w:cs="Arial" w:eastAsia="Arial" w:hAnsi="Arial"/>
                <w:sz w:val="16"/>
                <w:szCs w:val="16"/>
                <w:b w:val="1"/>
                <w:bCs w:val="1"/>
                <w:color w:val="auto"/>
              </w:rPr>
              <w:t>700 +</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60" w:type="dxa"/>
            <w:vAlign w:val="bottom"/>
          </w:tcPr>
          <w:p>
            <w:pPr>
              <w:jc w:val="right"/>
              <w:ind w:right="272"/>
              <w:spacing w:after="0"/>
              <w:rPr>
                <w:sz w:val="20"/>
                <w:szCs w:val="20"/>
                <w:color w:val="auto"/>
              </w:rPr>
            </w:pPr>
            <w:r>
              <w:rPr>
                <w:rFonts w:ascii="Arial" w:cs="Arial" w:eastAsia="Arial" w:hAnsi="Arial"/>
                <w:sz w:val="16"/>
                <w:szCs w:val="16"/>
                <w:b w:val="1"/>
                <w:bCs w:val="1"/>
                <w:color w:val="auto"/>
              </w:rPr>
              <w:t>600 - 699</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jc w:val="center"/>
              <w:ind w:right="212"/>
              <w:spacing w:after="0"/>
              <w:rPr>
                <w:sz w:val="20"/>
                <w:szCs w:val="20"/>
                <w:color w:val="auto"/>
              </w:rPr>
            </w:pPr>
            <w:r>
              <w:rPr>
                <w:rFonts w:ascii="Arial" w:cs="Arial" w:eastAsia="Arial" w:hAnsi="Arial"/>
                <w:sz w:val="16"/>
                <w:szCs w:val="16"/>
                <w:b w:val="1"/>
                <w:bCs w:val="1"/>
                <w:color w:val="auto"/>
                <w:w w:val="93"/>
              </w:rPr>
              <w:t>&lt; 600</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0" w:type="dxa"/>
            <w:vAlign w:val="bottom"/>
            <w:gridSpan w:val="2"/>
          </w:tcPr>
          <w:p>
            <w:pPr>
              <w:ind w:left="120"/>
              <w:spacing w:after="0"/>
              <w:rPr>
                <w:sz w:val="20"/>
                <w:szCs w:val="20"/>
                <w:color w:val="auto"/>
              </w:rPr>
            </w:pPr>
            <w:r>
              <w:rPr>
                <w:rFonts w:ascii="Arial" w:cs="Arial" w:eastAsia="Arial" w:hAnsi="Arial"/>
                <w:sz w:val="16"/>
                <w:szCs w:val="16"/>
                <w:b w:val="1"/>
                <w:bCs w:val="1"/>
                <w:color w:val="auto"/>
              </w:rPr>
              <w:t>No Score</w:t>
            </w:r>
          </w:p>
        </w:tc>
        <w:tc>
          <w:tcPr>
            <w:tcW w:w="420" w:type="dxa"/>
            <w:vAlign w:val="bottom"/>
          </w:tcPr>
          <w:p>
            <w:pPr>
              <w:spacing w:after="0"/>
              <w:rPr>
                <w:sz w:val="22"/>
                <w:szCs w:val="22"/>
                <w:color w:val="auto"/>
              </w:rPr>
            </w:pPr>
          </w:p>
        </w:tc>
        <w:tc>
          <w:tcPr>
            <w:tcW w:w="940" w:type="dxa"/>
            <w:vAlign w:val="bottom"/>
          </w:tcPr>
          <w:p>
            <w:pPr>
              <w:jc w:val="right"/>
              <w:ind w:right="412"/>
              <w:spacing w:after="0"/>
              <w:rPr>
                <w:sz w:val="20"/>
                <w:szCs w:val="20"/>
                <w:color w:val="auto"/>
              </w:rPr>
            </w:pPr>
            <w:r>
              <w:rPr>
                <w:rFonts w:ascii="Arial" w:cs="Arial" w:eastAsia="Arial" w:hAnsi="Arial"/>
                <w:sz w:val="16"/>
                <w:szCs w:val="16"/>
                <w:b w:val="1"/>
                <w:bCs w:val="1"/>
                <w:color w:val="auto"/>
              </w:rPr>
              <w:t>Total</w:t>
            </w:r>
          </w:p>
        </w:tc>
      </w:tr>
      <w:tr>
        <w:trPr>
          <w:trHeight w:val="250"/>
        </w:trPr>
        <w:tc>
          <w:tcPr>
            <w:tcW w:w="4060" w:type="dxa"/>
            <w:vAlign w:val="bottom"/>
            <w:tcBorders>
              <w:top w:val="single" w:sz="8" w:color="CCEEFF"/>
              <w:left w:val="single" w:sz="8" w:color="CCEEFF"/>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Westin</w:t>
            </w: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211</w:t>
            </w:r>
          </w:p>
        </w:tc>
      </w:tr>
      <w:tr>
        <w:trPr>
          <w:trHeight w:val="243"/>
        </w:trPr>
        <w:tc>
          <w:tcPr>
            <w:tcW w:w="4060" w:type="dxa"/>
            <w:vAlign w:val="bottom"/>
            <w:gridSpan w:val="3"/>
          </w:tcPr>
          <w:p>
            <w:pPr>
              <w:ind w:left="40"/>
              <w:spacing w:after="0"/>
              <w:rPr>
                <w:sz w:val="20"/>
                <w:szCs w:val="20"/>
                <w:color w:val="auto"/>
              </w:rPr>
            </w:pPr>
            <w:r>
              <w:rPr>
                <w:rFonts w:ascii="Arial" w:cs="Arial" w:eastAsia="Arial" w:hAnsi="Arial"/>
                <w:sz w:val="18"/>
                <w:szCs w:val="18"/>
                <w:color w:val="auto"/>
              </w:rPr>
              <w:t>Sheraton</w:t>
            </w:r>
          </w:p>
        </w:tc>
        <w:tc>
          <w:tcPr>
            <w:tcW w:w="30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67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229</w:t>
            </w:r>
          </w:p>
        </w:tc>
      </w:tr>
      <w:tr>
        <w:trPr>
          <w:trHeight w:val="27"/>
        </w:trPr>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4060" w:type="dxa"/>
            <w:vAlign w:val="bottom"/>
            <w:tcBorders>
              <w:left w:val="single" w:sz="8" w:color="CCEEFF"/>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Hyatt</w:t>
            </w: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w:t>
            </w:r>
          </w:p>
        </w:tc>
      </w:tr>
      <w:tr>
        <w:trPr>
          <w:trHeight w:val="237"/>
        </w:trPr>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246</w:t>
            </w:r>
          </w:p>
        </w:tc>
        <w:tc>
          <w:tcPr>
            <w:tcW w:w="120" w:type="dxa"/>
            <w:vAlign w:val="bottom"/>
          </w:tcPr>
          <w:p>
            <w:pPr>
              <w:spacing w:after="0"/>
              <w:rPr>
                <w:sz w:val="20"/>
                <w:szCs w:val="20"/>
                <w:color w:val="auto"/>
              </w:rPr>
            </w:pPr>
          </w:p>
        </w:tc>
        <w:tc>
          <w:tcPr>
            <w:tcW w:w="2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126</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464</w:t>
            </w:r>
          </w:p>
        </w:tc>
      </w:tr>
      <w:tr>
        <w:trPr>
          <w:trHeight w:val="27"/>
        </w:trPr>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5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0"/>
        </w:trPr>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460"/>
        </w:trPr>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940" w:type="dxa"/>
            <w:vAlign w:val="bottom"/>
            <w:gridSpan w:val="12"/>
          </w:tcPr>
          <w:p>
            <w:pPr>
              <w:jc w:val="center"/>
              <w:ind w:left="573"/>
              <w:spacing w:after="0"/>
              <w:rPr>
                <w:sz w:val="20"/>
                <w:szCs w:val="20"/>
                <w:color w:val="auto"/>
              </w:rPr>
            </w:pPr>
            <w:r>
              <w:rPr>
                <w:rFonts w:ascii="Arial" w:cs="Arial" w:eastAsia="Arial" w:hAnsi="Arial"/>
                <w:sz w:val="16"/>
                <w:szCs w:val="16"/>
                <w:b w:val="1"/>
                <w:bCs w:val="1"/>
                <w:color w:val="auto"/>
                <w:w w:val="90"/>
              </w:rPr>
              <w:t>Originated Vacation Ownership Notes Receivable as of December 31, 2019</w:t>
            </w:r>
          </w:p>
        </w:tc>
        <w:tc>
          <w:tcPr>
            <w:tcW w:w="940" w:type="dxa"/>
            <w:vAlign w:val="bottom"/>
          </w:tcPr>
          <w:p>
            <w:pPr>
              <w:spacing w:after="0"/>
              <w:rPr>
                <w:sz w:val="24"/>
                <w:szCs w:val="24"/>
                <w:color w:val="auto"/>
              </w:rPr>
            </w:pPr>
          </w:p>
        </w:tc>
      </w:tr>
      <w:tr>
        <w:trPr>
          <w:trHeight w:val="33"/>
        </w:trPr>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5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78"/>
        </w:trPr>
        <w:tc>
          <w:tcPr>
            <w:tcW w:w="4060" w:type="dxa"/>
            <w:vAlign w:val="bottom"/>
            <w:gridSpan w:val="3"/>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300" w:type="dxa"/>
            <w:vAlign w:val="bottom"/>
          </w:tcPr>
          <w:p>
            <w:pPr>
              <w:spacing w:after="0"/>
              <w:rPr>
                <w:sz w:val="24"/>
                <w:szCs w:val="24"/>
                <w:color w:val="auto"/>
              </w:rPr>
            </w:pPr>
          </w:p>
        </w:tc>
        <w:tc>
          <w:tcPr>
            <w:tcW w:w="1040" w:type="dxa"/>
            <w:vAlign w:val="bottom"/>
          </w:tcPr>
          <w:p>
            <w:pPr>
              <w:jc w:val="right"/>
              <w:ind w:right="393"/>
              <w:spacing w:after="0"/>
              <w:rPr>
                <w:sz w:val="20"/>
                <w:szCs w:val="20"/>
                <w:color w:val="auto"/>
              </w:rPr>
            </w:pPr>
            <w:r>
              <w:rPr>
                <w:rFonts w:ascii="Arial" w:cs="Arial" w:eastAsia="Arial" w:hAnsi="Arial"/>
                <w:sz w:val="16"/>
                <w:szCs w:val="16"/>
                <w:b w:val="1"/>
                <w:bCs w:val="1"/>
                <w:color w:val="auto"/>
              </w:rPr>
              <w:t>700 +</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jc w:val="right"/>
              <w:ind w:right="272"/>
              <w:spacing w:after="0"/>
              <w:rPr>
                <w:sz w:val="20"/>
                <w:szCs w:val="20"/>
                <w:color w:val="auto"/>
              </w:rPr>
            </w:pPr>
            <w:r>
              <w:rPr>
                <w:rFonts w:ascii="Arial" w:cs="Arial" w:eastAsia="Arial" w:hAnsi="Arial"/>
                <w:sz w:val="16"/>
                <w:szCs w:val="16"/>
                <w:b w:val="1"/>
                <w:bCs w:val="1"/>
                <w:color w:val="auto"/>
              </w:rPr>
              <w:t>600 - 699</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jc w:val="center"/>
              <w:ind w:right="212"/>
              <w:spacing w:after="0"/>
              <w:rPr>
                <w:sz w:val="20"/>
                <w:szCs w:val="20"/>
                <w:color w:val="auto"/>
              </w:rPr>
            </w:pPr>
            <w:r>
              <w:rPr>
                <w:rFonts w:ascii="Arial" w:cs="Arial" w:eastAsia="Arial" w:hAnsi="Arial"/>
                <w:sz w:val="16"/>
                <w:szCs w:val="16"/>
                <w:b w:val="1"/>
                <w:bCs w:val="1"/>
                <w:color w:val="auto"/>
                <w:w w:val="93"/>
              </w:rPr>
              <w:t>&lt; 600</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gridSpan w:val="2"/>
          </w:tcPr>
          <w:p>
            <w:pPr>
              <w:ind w:left="120"/>
              <w:spacing w:after="0"/>
              <w:rPr>
                <w:sz w:val="20"/>
                <w:szCs w:val="20"/>
                <w:color w:val="auto"/>
              </w:rPr>
            </w:pPr>
            <w:r>
              <w:rPr>
                <w:rFonts w:ascii="Arial" w:cs="Arial" w:eastAsia="Arial" w:hAnsi="Arial"/>
                <w:sz w:val="16"/>
                <w:szCs w:val="16"/>
                <w:b w:val="1"/>
                <w:bCs w:val="1"/>
                <w:color w:val="auto"/>
              </w:rPr>
              <w:t>No Score</w:t>
            </w:r>
          </w:p>
        </w:tc>
        <w:tc>
          <w:tcPr>
            <w:tcW w:w="420" w:type="dxa"/>
            <w:vAlign w:val="bottom"/>
          </w:tcPr>
          <w:p>
            <w:pPr>
              <w:spacing w:after="0"/>
              <w:rPr>
                <w:sz w:val="24"/>
                <w:szCs w:val="24"/>
                <w:color w:val="auto"/>
              </w:rPr>
            </w:pPr>
          </w:p>
        </w:tc>
        <w:tc>
          <w:tcPr>
            <w:tcW w:w="940" w:type="dxa"/>
            <w:vAlign w:val="bottom"/>
          </w:tcPr>
          <w:p>
            <w:pPr>
              <w:jc w:val="right"/>
              <w:ind w:right="412"/>
              <w:spacing w:after="0"/>
              <w:rPr>
                <w:sz w:val="20"/>
                <w:szCs w:val="20"/>
                <w:color w:val="auto"/>
              </w:rPr>
            </w:pPr>
            <w:r>
              <w:rPr>
                <w:rFonts w:ascii="Arial" w:cs="Arial" w:eastAsia="Arial" w:hAnsi="Arial"/>
                <w:sz w:val="16"/>
                <w:szCs w:val="16"/>
                <w:b w:val="1"/>
                <w:bCs w:val="1"/>
                <w:color w:val="auto"/>
              </w:rPr>
              <w:t>Total</w:t>
            </w:r>
          </w:p>
        </w:tc>
      </w:tr>
      <w:tr>
        <w:trPr>
          <w:trHeight w:val="229"/>
        </w:trPr>
        <w:tc>
          <w:tcPr>
            <w:tcW w:w="540" w:type="dxa"/>
            <w:vAlign w:val="bottom"/>
            <w:tcBorders>
              <w:top w:val="single" w:sz="8" w:color="CCEEFF"/>
              <w:left w:val="single" w:sz="8" w:color="CCEEFF"/>
              <w:bottom w:val="single" w:sz="8" w:color="CCEEFF"/>
            </w:tcBorders>
            <w:gridSpan w:val="2"/>
            <w:shd w:val="clear" w:color="auto" w:fill="BFE4FF"/>
          </w:tcPr>
          <w:p>
            <w:pPr>
              <w:ind w:left="40"/>
              <w:spacing w:after="0" w:line="195" w:lineRule="exact"/>
              <w:rPr>
                <w:sz w:val="20"/>
                <w:szCs w:val="20"/>
                <w:color w:val="auto"/>
              </w:rPr>
            </w:pPr>
            <w:r>
              <w:rPr>
                <w:rFonts w:ascii="Arial" w:cs="Arial" w:eastAsia="Arial" w:hAnsi="Arial"/>
                <w:sz w:val="18"/>
                <w:szCs w:val="18"/>
                <w:color w:val="auto"/>
                <w:w w:val="87"/>
                <w:shd w:val="clear" w:color="auto" w:fill="BFE4FF"/>
              </w:rPr>
              <w:t>Westin</w:t>
            </w:r>
          </w:p>
        </w:tc>
        <w:tc>
          <w:tcPr>
            <w:tcW w:w="352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CCEEFF"/>
            </w:tcBorders>
            <w:shd w:val="clear" w:color="auto" w:fill="CCEEFF"/>
          </w:tcPr>
          <w:p>
            <w:pPr>
              <w:jc w:val="right"/>
              <w:ind w:right="90"/>
              <w:spacing w:after="0" w:line="195" w:lineRule="exact"/>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CCEEFF"/>
            </w:tcBorders>
            <w:shd w:val="clear" w:color="auto" w:fill="CCEEFF"/>
          </w:tcPr>
          <w:p>
            <w:pPr>
              <w:jc w:val="right"/>
              <w:ind w:right="13"/>
              <w:spacing w:after="0" w:line="195" w:lineRule="exact"/>
              <w:rPr>
                <w:sz w:val="20"/>
                <w:szCs w:val="20"/>
                <w:color w:val="auto"/>
              </w:rPr>
            </w:pPr>
            <w:r>
              <w:rPr>
                <w:rFonts w:ascii="Arial" w:cs="Arial" w:eastAsia="Arial" w:hAnsi="Arial"/>
                <w:sz w:val="18"/>
                <w:szCs w:val="18"/>
                <w:color w:val="auto"/>
              </w:rPr>
              <w:t>122</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CCEEFF"/>
            </w:tcBorders>
            <w:shd w:val="clear" w:color="auto" w:fill="CCEEFF"/>
          </w:tcPr>
          <w:p>
            <w:pPr>
              <w:ind w:left="20"/>
              <w:spacing w:after="0" w:line="195" w:lineRule="exact"/>
              <w:rPr>
                <w:sz w:val="20"/>
                <w:szCs w:val="20"/>
                <w:color w:val="auto"/>
              </w:rPr>
            </w:pPr>
            <w:r>
              <w:rPr>
                <w:rFonts w:ascii="Arial" w:cs="Arial" w:eastAsia="Arial" w:hAnsi="Arial"/>
                <w:sz w:val="18"/>
                <w:szCs w:val="18"/>
                <w:color w:val="auto"/>
              </w:rPr>
              <w:t>$</w:t>
            </w:r>
          </w:p>
        </w:tc>
        <w:tc>
          <w:tcPr>
            <w:tcW w:w="1060" w:type="dxa"/>
            <w:vAlign w:val="bottom"/>
            <w:tcBorders>
              <w:top w:val="single" w:sz="8" w:color="auto"/>
              <w:bottom w:val="single" w:sz="8" w:color="CCEEFF"/>
            </w:tcBorders>
            <w:shd w:val="clear" w:color="auto" w:fill="CCEEFF"/>
          </w:tcPr>
          <w:p>
            <w:pPr>
              <w:jc w:val="right"/>
              <w:ind w:right="12"/>
              <w:spacing w:after="0" w:line="195" w:lineRule="exact"/>
              <w:rPr>
                <w:sz w:val="20"/>
                <w:szCs w:val="20"/>
                <w:color w:val="auto"/>
              </w:rPr>
            </w:pPr>
            <w:r>
              <w:rPr>
                <w:rFonts w:ascii="Arial" w:cs="Arial" w:eastAsia="Arial" w:hAnsi="Arial"/>
                <w:sz w:val="18"/>
                <w:szCs w:val="18"/>
                <w:color w:val="auto"/>
              </w:rPr>
              <w:t>46</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CCEEFF"/>
            </w:tcBorders>
            <w:shd w:val="clear" w:color="auto" w:fill="CCEEFF"/>
          </w:tcPr>
          <w:p>
            <w:pPr>
              <w:jc w:val="right"/>
              <w:ind w:right="90"/>
              <w:spacing w:after="0" w:line="195" w:lineRule="exact"/>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CCEEFF"/>
            </w:tcBorders>
            <w:shd w:val="clear" w:color="auto" w:fill="CCEEFF"/>
          </w:tcPr>
          <w:p>
            <w:pPr>
              <w:jc w:val="right"/>
              <w:ind w:right="12"/>
              <w:spacing w:after="0" w:line="195" w:lineRule="exact"/>
              <w:rPr>
                <w:sz w:val="20"/>
                <w:szCs w:val="20"/>
                <w:color w:val="auto"/>
              </w:rPr>
            </w:pPr>
            <w:r>
              <w:rPr>
                <w:rFonts w:ascii="Arial" w:cs="Arial" w:eastAsia="Arial" w:hAnsi="Arial"/>
                <w:sz w:val="18"/>
                <w:szCs w:val="18"/>
                <w:color w:val="auto"/>
              </w:rPr>
              <w:t>5</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CCEEFF"/>
            </w:tcBorders>
            <w:shd w:val="clear" w:color="auto" w:fill="CCEEFF"/>
          </w:tcPr>
          <w:p>
            <w:pPr>
              <w:jc w:val="right"/>
              <w:ind w:right="50"/>
              <w:spacing w:after="0" w:line="195" w:lineRule="exact"/>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CCEEFF"/>
            </w:tcBorders>
            <w:shd w:val="clear" w:color="auto" w:fill="CCEEFF"/>
          </w:tcPr>
          <w:p>
            <w:pPr>
              <w:jc w:val="right"/>
              <w:ind w:right="12"/>
              <w:spacing w:after="0" w:line="195" w:lineRule="exact"/>
              <w:rPr>
                <w:sz w:val="20"/>
                <w:szCs w:val="20"/>
                <w:color w:val="auto"/>
              </w:rPr>
            </w:pPr>
            <w:r>
              <w:rPr>
                <w:rFonts w:ascii="Arial" w:cs="Arial" w:eastAsia="Arial" w:hAnsi="Arial"/>
                <w:sz w:val="18"/>
                <w:szCs w:val="18"/>
                <w:color w:val="auto"/>
              </w:rPr>
              <w:t>25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420" w:type="dxa"/>
            <w:vAlign w:val="bottom"/>
            <w:tcBorders>
              <w:top w:val="single" w:sz="8" w:color="auto"/>
              <w:bottom w:val="single" w:sz="8" w:color="CCEEFF"/>
            </w:tcBorders>
            <w:shd w:val="clear" w:color="auto" w:fill="CCEEFF"/>
          </w:tcPr>
          <w:p>
            <w:pPr>
              <w:jc w:val="right"/>
              <w:ind w:right="210"/>
              <w:spacing w:after="0" w:line="195" w:lineRule="exact"/>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CCEEFF"/>
            </w:tcBorders>
            <w:shd w:val="clear" w:color="auto" w:fill="CCEEFF"/>
          </w:tcPr>
          <w:p>
            <w:pPr>
              <w:jc w:val="right"/>
              <w:ind w:right="12"/>
              <w:spacing w:after="0" w:line="195" w:lineRule="exact"/>
              <w:rPr>
                <w:sz w:val="20"/>
                <w:szCs w:val="20"/>
                <w:color w:val="auto"/>
              </w:rPr>
            </w:pPr>
            <w:r>
              <w:rPr>
                <w:rFonts w:ascii="Arial" w:cs="Arial" w:eastAsia="Arial" w:hAnsi="Arial"/>
                <w:sz w:val="18"/>
                <w:szCs w:val="18"/>
                <w:color w:val="auto"/>
              </w:rPr>
              <w:t>198</w:t>
            </w:r>
          </w:p>
        </w:tc>
      </w:tr>
      <w:tr>
        <w:trPr>
          <w:trHeight w:val="243"/>
        </w:trPr>
        <w:tc>
          <w:tcPr>
            <w:tcW w:w="4060" w:type="dxa"/>
            <w:vAlign w:val="bottom"/>
            <w:gridSpan w:val="3"/>
          </w:tcPr>
          <w:p>
            <w:pPr>
              <w:ind w:left="40"/>
              <w:spacing w:after="0"/>
              <w:rPr>
                <w:sz w:val="20"/>
                <w:szCs w:val="20"/>
                <w:color w:val="auto"/>
              </w:rPr>
            </w:pPr>
            <w:r>
              <w:rPr>
                <w:rFonts w:ascii="Arial" w:cs="Arial" w:eastAsia="Arial" w:hAnsi="Arial"/>
                <w:sz w:val="18"/>
                <w:szCs w:val="18"/>
                <w:color w:val="auto"/>
              </w:rPr>
              <w:t>Sheraton</w:t>
            </w:r>
          </w:p>
        </w:tc>
        <w:tc>
          <w:tcPr>
            <w:tcW w:w="30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97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208</w:t>
            </w:r>
          </w:p>
        </w:tc>
      </w:tr>
      <w:tr>
        <w:trPr>
          <w:trHeight w:val="34"/>
        </w:trPr>
        <w:tc>
          <w:tcPr>
            <w:tcW w:w="4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52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gridSpan w:val="2"/>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gridSpan w:val="2"/>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r>
      <w:tr>
        <w:trPr>
          <w:trHeight w:val="243"/>
        </w:trPr>
        <w:tc>
          <w:tcPr>
            <w:tcW w:w="440" w:type="dxa"/>
            <w:vAlign w:val="bottom"/>
            <w:tcBorders>
              <w:left w:val="single" w:sz="8" w:color="CCEEFF"/>
              <w:bottom w:val="single" w:sz="8" w:color="CCEEFF"/>
            </w:tcBorders>
            <w:shd w:val="clear" w:color="auto" w:fill="BFE4FF"/>
          </w:tcPr>
          <w:p>
            <w:pPr>
              <w:ind w:left="40"/>
              <w:spacing w:after="0" w:line="202" w:lineRule="exact"/>
              <w:rPr>
                <w:sz w:val="20"/>
                <w:szCs w:val="20"/>
                <w:color w:val="auto"/>
              </w:rPr>
            </w:pPr>
            <w:r>
              <w:rPr>
                <w:rFonts w:ascii="Arial" w:cs="Arial" w:eastAsia="Arial" w:hAnsi="Arial"/>
                <w:sz w:val="18"/>
                <w:szCs w:val="18"/>
                <w:color w:val="auto"/>
                <w:w w:val="90"/>
                <w:shd w:val="clear" w:color="auto" w:fill="BFE4FF"/>
              </w:rPr>
              <w:t>Hyatt</w:t>
            </w:r>
          </w:p>
        </w:tc>
        <w:tc>
          <w:tcPr>
            <w:tcW w:w="3620" w:type="dxa"/>
            <w:vAlign w:val="bottom"/>
            <w:tcBorders>
              <w:bottom w:val="single" w:sz="8" w:color="CCEEFF"/>
            </w:tcBorders>
            <w:gridSpan w:val="2"/>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line="202" w:lineRule="exact"/>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22</w:t>
            </w:r>
          </w:p>
        </w:tc>
      </w:tr>
      <w:tr>
        <w:trPr>
          <w:trHeight w:val="236"/>
        </w:trPr>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235</w:t>
            </w:r>
          </w:p>
        </w:tc>
        <w:tc>
          <w:tcPr>
            <w:tcW w:w="120" w:type="dxa"/>
            <w:vAlign w:val="bottom"/>
          </w:tcPr>
          <w:p>
            <w:pPr>
              <w:spacing w:after="0"/>
              <w:rPr>
                <w:sz w:val="20"/>
                <w:szCs w:val="20"/>
                <w:color w:val="auto"/>
              </w:rPr>
            </w:pPr>
          </w:p>
        </w:tc>
        <w:tc>
          <w:tcPr>
            <w:tcW w:w="2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113</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428</w:t>
            </w:r>
          </w:p>
        </w:tc>
      </w:tr>
      <w:tr>
        <w:trPr>
          <w:trHeight w:val="27"/>
        </w:trPr>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5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0"/>
        </w:trPr>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629"/>
        </w:trPr>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ind w:left="20"/>
              <w:spacing w:after="0"/>
              <w:rPr>
                <w:sz w:val="20"/>
                <w:szCs w:val="20"/>
                <w:color w:val="auto"/>
              </w:rPr>
            </w:pPr>
            <w:r>
              <w:rPr>
                <w:rFonts w:ascii="Arial" w:cs="Arial" w:eastAsia="Arial" w:hAnsi="Arial"/>
                <w:sz w:val="18"/>
                <w:szCs w:val="18"/>
                <w:color w:val="auto"/>
              </w:rPr>
              <w:t>16</w:t>
            </w: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r>
    </w:tbl>
    <w:p>
      <w:pPr>
        <w:sectPr>
          <w:pgSz w:w="11900" w:h="16838" w:orient="portrait"/>
          <w:cols w:equalWidth="0" w:num="1">
            <w:col w:w="11240"/>
          </w:cols>
          <w:pgMar w:left="320" w:top="125" w:right="3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following tables detail the origination year of our Legacy-ILG originated vacation ownership notes receivable by brand and FICO score as of March 31, 2020. Vacation ownership notes receivable with no FICO score primarily relate to non-U.S. resident borrowers.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560" w:type="dxa"/>
            <w:vAlign w:val="bottom"/>
            <w:gridSpan w:val="12"/>
          </w:tcPr>
          <w:p>
            <w:pPr>
              <w:jc w:val="right"/>
              <w:ind w:right="233"/>
              <w:spacing w:after="0"/>
              <w:rPr>
                <w:sz w:val="20"/>
                <w:szCs w:val="20"/>
                <w:color w:val="auto"/>
              </w:rPr>
            </w:pPr>
            <w:r>
              <w:rPr>
                <w:rFonts w:ascii="Arial" w:cs="Arial" w:eastAsia="Arial" w:hAnsi="Arial"/>
                <w:sz w:val="16"/>
                <w:szCs w:val="16"/>
                <w:b w:val="1"/>
                <w:bCs w:val="1"/>
                <w:color w:val="auto"/>
                <w:w w:val="95"/>
              </w:rPr>
              <w:t>Originated Vacation Ownership Notes Receivable - Westin</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33"/>
        </w:trPr>
        <w:tc>
          <w:tcPr>
            <w:tcW w:w="960" w:type="dxa"/>
            <w:vAlign w:val="bottom"/>
            <w:gridSpan w:val="2"/>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3"/>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58"/>
        </w:trPr>
        <w:tc>
          <w:tcPr>
            <w:tcW w:w="96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b w:val="1"/>
                <w:bCs w:val="1"/>
                <w:i w:val="1"/>
                <w:iCs w:val="1"/>
                <w:color w:val="auto"/>
                <w:w w:val="99"/>
              </w:rPr>
              <w:t>($ in millions)</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3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c>
          <w:tcPr>
            <w:tcW w:w="3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2018</w:t>
            </w:r>
          </w:p>
        </w:tc>
        <w:tc>
          <w:tcPr>
            <w:tcW w:w="3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ind w:left="120"/>
              <w:spacing w:after="0"/>
              <w:rPr>
                <w:sz w:val="20"/>
                <w:szCs w:val="20"/>
                <w:color w:val="auto"/>
              </w:rPr>
            </w:pPr>
            <w:r>
              <w:rPr>
                <w:rFonts w:ascii="Arial" w:cs="Arial" w:eastAsia="Arial" w:hAnsi="Arial"/>
                <w:sz w:val="16"/>
                <w:szCs w:val="16"/>
                <w:b w:val="1"/>
                <w:bCs w:val="1"/>
                <w:color w:val="auto"/>
              </w:rPr>
              <w:t>2017</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ind w:left="140"/>
              <w:spacing w:after="0"/>
              <w:rPr>
                <w:sz w:val="20"/>
                <w:szCs w:val="20"/>
                <w:color w:val="auto"/>
              </w:rPr>
            </w:pPr>
            <w:r>
              <w:rPr>
                <w:rFonts w:ascii="Arial" w:cs="Arial" w:eastAsia="Arial" w:hAnsi="Arial"/>
                <w:sz w:val="16"/>
                <w:szCs w:val="16"/>
                <w:b w:val="1"/>
                <w:bCs w:val="1"/>
                <w:color w:val="auto"/>
              </w:rPr>
              <w:t>2016</w:t>
            </w:r>
          </w:p>
        </w:tc>
        <w:tc>
          <w:tcPr>
            <w:tcW w:w="100" w:type="dxa"/>
            <w:vAlign w:val="bottom"/>
            <w:tcBorders>
              <w:bottom w:val="single" w:sz="8" w:color="CCEEFF"/>
            </w:tcBorders>
          </w:tcPr>
          <w:p>
            <w:pPr>
              <w:spacing w:after="0"/>
              <w:rPr>
                <w:sz w:val="22"/>
                <w:szCs w:val="22"/>
                <w:color w:val="auto"/>
              </w:rPr>
            </w:pPr>
          </w:p>
        </w:tc>
        <w:tc>
          <w:tcPr>
            <w:tcW w:w="1080" w:type="dxa"/>
            <w:vAlign w:val="bottom"/>
            <w:tcBorders>
              <w:bottom w:val="single" w:sz="8" w:color="auto"/>
            </w:tcBorders>
            <w:gridSpan w:val="2"/>
          </w:tcPr>
          <w:p>
            <w:pPr>
              <w:ind w:left="100"/>
              <w:spacing w:after="0"/>
              <w:rPr>
                <w:sz w:val="20"/>
                <w:szCs w:val="20"/>
                <w:color w:val="auto"/>
              </w:rPr>
            </w:pPr>
            <w:r>
              <w:rPr>
                <w:rFonts w:ascii="Arial" w:cs="Arial" w:eastAsia="Arial" w:hAnsi="Arial"/>
                <w:sz w:val="16"/>
                <w:szCs w:val="16"/>
                <w:b w:val="1"/>
                <w:bCs w:val="1"/>
                <w:color w:val="auto"/>
              </w:rPr>
              <w:t>2015 &amp; Prior</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72"/>
              <w:spacing w:after="0"/>
              <w:rPr>
                <w:sz w:val="20"/>
                <w:szCs w:val="20"/>
                <w:color w:val="auto"/>
              </w:rPr>
            </w:pPr>
            <w:r>
              <w:rPr>
                <w:rFonts w:ascii="Arial" w:cs="Arial" w:eastAsia="Arial" w:hAnsi="Arial"/>
                <w:sz w:val="16"/>
                <w:szCs w:val="16"/>
                <w:b w:val="1"/>
                <w:bCs w:val="1"/>
                <w:color w:val="auto"/>
              </w:rPr>
              <w:t>Total</w:t>
            </w:r>
          </w:p>
        </w:tc>
      </w:tr>
      <w:tr>
        <w:trPr>
          <w:trHeight w:val="249"/>
        </w:trPr>
        <w:tc>
          <w:tcPr>
            <w:tcW w:w="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89"/>
              </w:rPr>
              <w:t>700</w:t>
            </w:r>
          </w:p>
        </w:tc>
        <w:tc>
          <w:tcPr>
            <w:tcW w:w="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553"/>
              <w:spacing w:after="0"/>
              <w:rPr>
                <w:sz w:val="20"/>
                <w:szCs w:val="20"/>
                <w:color w:val="auto"/>
              </w:rPr>
            </w:pPr>
            <w:r>
              <w:rPr>
                <w:rFonts w:ascii="Arial" w:cs="Arial" w:eastAsia="Arial" w:hAnsi="Arial"/>
                <w:sz w:val="18"/>
                <w:szCs w:val="18"/>
                <w:color w:val="auto"/>
                <w:w w:val="99"/>
              </w:rPr>
              <w:t>$</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513"/>
              <w:spacing w:after="0"/>
              <w:rPr>
                <w:sz w:val="20"/>
                <w:szCs w:val="20"/>
                <w:color w:val="auto"/>
              </w:rPr>
            </w:pPr>
            <w:r>
              <w:rPr>
                <w:rFonts w:ascii="Arial" w:cs="Arial" w:eastAsia="Arial" w:hAnsi="Arial"/>
                <w:sz w:val="18"/>
                <w:szCs w:val="18"/>
                <w:color w:val="auto"/>
                <w:w w:val="99"/>
              </w:rPr>
              <w:t>$</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573"/>
              <w:spacing w:after="0"/>
              <w:rPr>
                <w:sz w:val="20"/>
                <w:szCs w:val="20"/>
                <w:color w:val="auto"/>
              </w:rPr>
            </w:pPr>
            <w:r>
              <w:rPr>
                <w:rFonts w:ascii="Arial" w:cs="Arial" w:eastAsia="Arial" w:hAnsi="Arial"/>
                <w:sz w:val="18"/>
                <w:szCs w:val="18"/>
                <w:color w:val="auto"/>
                <w:w w:val="99"/>
              </w:rPr>
              <w:t>$</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jc w:val="right"/>
              <w:ind w:right="333"/>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w:t>
            </w:r>
          </w:p>
        </w:tc>
      </w:tr>
      <w:tr>
        <w:trPr>
          <w:trHeight w:val="243"/>
        </w:trPr>
        <w:tc>
          <w:tcPr>
            <w:tcW w:w="300" w:type="dxa"/>
            <w:vAlign w:val="bottom"/>
          </w:tcPr>
          <w:p>
            <w:pPr>
              <w:ind w:left="40"/>
              <w:spacing w:after="0"/>
              <w:rPr>
                <w:sz w:val="20"/>
                <w:szCs w:val="20"/>
                <w:color w:val="auto"/>
              </w:rPr>
            </w:pPr>
            <w:r>
              <w:rPr>
                <w:rFonts w:ascii="Arial" w:cs="Arial" w:eastAsia="Arial" w:hAnsi="Arial"/>
                <w:sz w:val="16"/>
                <w:szCs w:val="16"/>
                <w:color w:val="auto"/>
                <w:w w:val="89"/>
              </w:rPr>
              <w:t>600</w:t>
            </w:r>
          </w:p>
        </w:tc>
        <w:tc>
          <w:tcPr>
            <w:tcW w:w="660" w:type="dxa"/>
            <w:vAlign w:val="bottom"/>
          </w:tcPr>
          <w:p>
            <w:pPr>
              <w:ind w:left="20"/>
              <w:spacing w:after="0"/>
              <w:rPr>
                <w:sz w:val="20"/>
                <w:szCs w:val="20"/>
                <w:color w:val="auto"/>
              </w:rPr>
            </w:pPr>
            <w:r>
              <w:rPr>
                <w:rFonts w:ascii="Arial" w:cs="Arial" w:eastAsia="Arial" w:hAnsi="Arial"/>
                <w:sz w:val="16"/>
                <w:szCs w:val="16"/>
                <w:color w:val="auto"/>
              </w:rPr>
              <w:t>- 699</w:t>
            </w:r>
          </w:p>
        </w:tc>
        <w:tc>
          <w:tcPr>
            <w:tcW w:w="760" w:type="dxa"/>
            <w:vAlign w:val="bottom"/>
          </w:tcPr>
          <w:p>
            <w:pPr>
              <w:spacing w:after="0"/>
              <w:rPr>
                <w:sz w:val="21"/>
                <w:szCs w:val="21"/>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4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1"/>
                <w:szCs w:val="21"/>
                <w:color w:val="auto"/>
              </w:rPr>
            </w:pPr>
          </w:p>
        </w:tc>
        <w:tc>
          <w:tcPr>
            <w:tcW w:w="6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7"/>
        </w:trPr>
        <w:tc>
          <w:tcPr>
            <w:tcW w:w="960" w:type="dxa"/>
            <w:vAlign w:val="bottom"/>
            <w:gridSpan w:val="2"/>
          </w:tcPr>
          <w:p>
            <w:pPr>
              <w:spacing w:after="0"/>
              <w:rPr>
                <w:sz w:val="2"/>
                <w:szCs w:val="2"/>
                <w:color w:val="auto"/>
              </w:rPr>
            </w:pPr>
          </w:p>
        </w:tc>
        <w:tc>
          <w:tcPr>
            <w:tcW w:w="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&lt; 600</w:t>
            </w:r>
          </w:p>
        </w:tc>
        <w:tc>
          <w:tcPr>
            <w:tcW w:w="7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43"/>
        </w:trPr>
        <w:tc>
          <w:tcPr>
            <w:tcW w:w="960" w:type="dxa"/>
            <w:vAlign w:val="bottom"/>
            <w:gridSpan w:val="2"/>
          </w:tcPr>
          <w:p>
            <w:pPr>
              <w:ind w:left="40"/>
              <w:spacing w:after="0"/>
              <w:rPr>
                <w:sz w:val="20"/>
                <w:szCs w:val="20"/>
                <w:color w:val="auto"/>
              </w:rPr>
            </w:pPr>
            <w:r>
              <w:rPr>
                <w:rFonts w:ascii="Arial" w:cs="Arial" w:eastAsia="Arial" w:hAnsi="Arial"/>
                <w:sz w:val="16"/>
                <w:szCs w:val="16"/>
                <w:color w:val="auto"/>
              </w:rPr>
              <w:t>No Score</w:t>
            </w:r>
          </w:p>
        </w:tc>
        <w:tc>
          <w:tcPr>
            <w:tcW w:w="760" w:type="dxa"/>
            <w:vAlign w:val="bottom"/>
          </w:tcPr>
          <w:p>
            <w:pPr>
              <w:spacing w:after="0"/>
              <w:rPr>
                <w:sz w:val="21"/>
                <w:szCs w:val="21"/>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4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1"/>
                <w:szCs w:val="21"/>
                <w:color w:val="auto"/>
              </w:rPr>
            </w:pPr>
          </w:p>
        </w:tc>
        <w:tc>
          <w:tcPr>
            <w:tcW w:w="6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7"/>
        </w:trPr>
        <w:tc>
          <w:tcPr>
            <w:tcW w:w="30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68"/>
        </w:trPr>
        <w:tc>
          <w:tcPr>
            <w:tcW w:w="3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553"/>
              <w:spacing w:after="0"/>
              <w:rPr>
                <w:sz w:val="20"/>
                <w:szCs w:val="20"/>
                <w:color w:val="auto"/>
              </w:rPr>
            </w:pPr>
            <w:r>
              <w:rPr>
                <w:rFonts w:ascii="Arial" w:cs="Arial" w:eastAsia="Arial" w:hAnsi="Arial"/>
                <w:sz w:val="18"/>
                <w:szCs w:val="18"/>
                <w:color w:val="auto"/>
                <w:w w:val="99"/>
              </w:rPr>
              <w:t>$</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513"/>
              <w:spacing w:after="0"/>
              <w:rPr>
                <w:sz w:val="20"/>
                <w:szCs w:val="20"/>
                <w:color w:val="auto"/>
              </w:rPr>
            </w:pPr>
            <w:r>
              <w:rPr>
                <w:rFonts w:ascii="Arial" w:cs="Arial" w:eastAsia="Arial" w:hAnsi="Arial"/>
                <w:sz w:val="18"/>
                <w:szCs w:val="18"/>
                <w:color w:val="auto"/>
                <w:w w:val="99"/>
              </w:rPr>
              <w:t>$</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137</w:t>
            </w:r>
          </w:p>
        </w:tc>
        <w:tc>
          <w:tcPr>
            <w:tcW w:w="1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573"/>
              <w:spacing w:after="0"/>
              <w:rPr>
                <w:sz w:val="20"/>
                <w:szCs w:val="20"/>
                <w:color w:val="auto"/>
              </w:rPr>
            </w:pPr>
            <w:r>
              <w:rPr>
                <w:rFonts w:ascii="Arial" w:cs="Arial" w:eastAsia="Arial" w:hAnsi="Arial"/>
                <w:sz w:val="18"/>
                <w:szCs w:val="18"/>
                <w:color w:val="auto"/>
                <w:w w:val="99"/>
              </w:rPr>
              <w:t>$</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jc w:val="right"/>
              <w:ind w:right="333"/>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211</w:t>
            </w:r>
          </w:p>
        </w:tc>
      </w:tr>
      <w:tr>
        <w:trPr>
          <w:trHeight w:val="20"/>
        </w:trPr>
        <w:tc>
          <w:tcPr>
            <w:tcW w:w="3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bl>
    <w:p>
      <w:pPr>
        <w:spacing w:after="0" w:line="270" w:lineRule="exact"/>
        <w:rPr>
          <w:sz w:val="20"/>
          <w:szCs w:val="20"/>
          <w:color w:val="auto"/>
        </w:rPr>
      </w:pPr>
    </w:p>
    <w:tbl>
      <w:tblPr>
        <w:tblLayout w:type="fixed"/>
        <w:tblInd w:w="1060" w:type="dxa"/>
        <w:tblCellMar>
          <w:top w:w="0" w:type="dxa"/>
          <w:left w:w="0" w:type="dxa"/>
          <w:bottom w:w="0" w:type="dxa"/>
          <w:right w:w="0" w:type="dxa"/>
        </w:tblCellMar>
      </w:tblPr>
      <w:tr>
        <w:trPr>
          <w:trHeight w:val="210"/>
        </w:trPr>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580" w:type="dxa"/>
            <w:vAlign w:val="bottom"/>
            <w:gridSpan w:val="12"/>
          </w:tcPr>
          <w:p>
            <w:pPr>
              <w:jc w:val="center"/>
              <w:ind w:right="74"/>
              <w:spacing w:after="0"/>
              <w:rPr>
                <w:sz w:val="20"/>
                <w:szCs w:val="20"/>
                <w:color w:val="auto"/>
              </w:rPr>
            </w:pPr>
            <w:r>
              <w:rPr>
                <w:rFonts w:ascii="Arial" w:cs="Arial" w:eastAsia="Arial" w:hAnsi="Arial"/>
                <w:sz w:val="16"/>
                <w:szCs w:val="16"/>
                <w:b w:val="1"/>
                <w:bCs w:val="1"/>
                <w:color w:val="auto"/>
                <w:w w:val="91"/>
              </w:rPr>
              <w:t>Originated Vacation Ownership Notes Receivable - Sheraton</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33"/>
        </w:trPr>
        <w:tc>
          <w:tcPr>
            <w:tcW w:w="940" w:type="dxa"/>
            <w:vAlign w:val="bottom"/>
            <w:gridSpan w:val="2"/>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3"/>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58"/>
        </w:trPr>
        <w:tc>
          <w:tcPr>
            <w:tcW w:w="94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b w:val="1"/>
                <w:bCs w:val="1"/>
                <w:i w:val="1"/>
                <w:iCs w:val="1"/>
                <w:color w:val="auto"/>
                <w:w w:val="99"/>
              </w:rPr>
              <w:t>($ in millions)</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3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c>
          <w:tcPr>
            <w:tcW w:w="3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2018</w:t>
            </w:r>
          </w:p>
        </w:tc>
        <w:tc>
          <w:tcPr>
            <w:tcW w:w="3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center"/>
              <w:ind w:right="192"/>
              <w:spacing w:after="0"/>
              <w:rPr>
                <w:sz w:val="20"/>
                <w:szCs w:val="20"/>
                <w:color w:val="auto"/>
              </w:rPr>
            </w:pPr>
            <w:r>
              <w:rPr>
                <w:rFonts w:ascii="Arial" w:cs="Arial" w:eastAsia="Arial" w:hAnsi="Arial"/>
                <w:sz w:val="16"/>
                <w:szCs w:val="16"/>
                <w:b w:val="1"/>
                <w:bCs w:val="1"/>
                <w:color w:val="auto"/>
                <w:w w:val="89"/>
              </w:rPr>
              <w:t>2017</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ind w:left="120"/>
              <w:spacing w:after="0"/>
              <w:rPr>
                <w:sz w:val="20"/>
                <w:szCs w:val="20"/>
                <w:color w:val="auto"/>
              </w:rPr>
            </w:pPr>
            <w:r>
              <w:rPr>
                <w:rFonts w:ascii="Arial" w:cs="Arial" w:eastAsia="Arial" w:hAnsi="Arial"/>
                <w:sz w:val="16"/>
                <w:szCs w:val="16"/>
                <w:b w:val="1"/>
                <w:bCs w:val="1"/>
                <w:color w:val="auto"/>
              </w:rPr>
              <w:t>2016</w:t>
            </w:r>
          </w:p>
        </w:tc>
        <w:tc>
          <w:tcPr>
            <w:tcW w:w="100" w:type="dxa"/>
            <w:vAlign w:val="bottom"/>
            <w:tcBorders>
              <w:bottom w:val="single" w:sz="8" w:color="CCEEFF"/>
            </w:tcBorders>
          </w:tcPr>
          <w:p>
            <w:pPr>
              <w:spacing w:after="0"/>
              <w:rPr>
                <w:sz w:val="22"/>
                <w:szCs w:val="22"/>
                <w:color w:val="auto"/>
              </w:rPr>
            </w:pPr>
          </w:p>
        </w:tc>
        <w:tc>
          <w:tcPr>
            <w:tcW w:w="1080" w:type="dxa"/>
            <w:vAlign w:val="bottom"/>
            <w:tcBorders>
              <w:bottom w:val="single" w:sz="8" w:color="auto"/>
            </w:tcBorders>
            <w:gridSpan w:val="2"/>
          </w:tcPr>
          <w:p>
            <w:pPr>
              <w:ind w:left="80"/>
              <w:spacing w:after="0"/>
              <w:rPr>
                <w:sz w:val="20"/>
                <w:szCs w:val="20"/>
                <w:color w:val="auto"/>
              </w:rPr>
            </w:pPr>
            <w:r>
              <w:rPr>
                <w:rFonts w:ascii="Arial" w:cs="Arial" w:eastAsia="Arial" w:hAnsi="Arial"/>
                <w:sz w:val="16"/>
                <w:szCs w:val="16"/>
                <w:b w:val="1"/>
                <w:bCs w:val="1"/>
                <w:color w:val="auto"/>
              </w:rPr>
              <w:t>2015 &amp; Prior</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72"/>
              <w:spacing w:after="0"/>
              <w:rPr>
                <w:sz w:val="20"/>
                <w:szCs w:val="20"/>
                <w:color w:val="auto"/>
              </w:rPr>
            </w:pPr>
            <w:r>
              <w:rPr>
                <w:rFonts w:ascii="Arial" w:cs="Arial" w:eastAsia="Arial" w:hAnsi="Arial"/>
                <w:sz w:val="16"/>
                <w:szCs w:val="16"/>
                <w:b w:val="1"/>
                <w:bCs w:val="1"/>
                <w:color w:val="auto"/>
              </w:rPr>
              <w:t>Total</w:t>
            </w:r>
          </w:p>
        </w:tc>
      </w:tr>
      <w:tr>
        <w:trPr>
          <w:trHeight w:val="249"/>
        </w:trPr>
        <w:tc>
          <w:tcPr>
            <w:tcW w:w="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97"/>
              </w:rPr>
              <w:t>700</w:t>
            </w:r>
          </w:p>
        </w:tc>
        <w:tc>
          <w:tcPr>
            <w:tcW w:w="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553"/>
              <w:spacing w:after="0"/>
              <w:rPr>
                <w:sz w:val="20"/>
                <w:szCs w:val="20"/>
                <w:color w:val="auto"/>
              </w:rPr>
            </w:pPr>
            <w:r>
              <w:rPr>
                <w:rFonts w:ascii="Arial" w:cs="Arial" w:eastAsia="Arial" w:hAnsi="Arial"/>
                <w:sz w:val="18"/>
                <w:szCs w:val="18"/>
                <w:color w:val="auto"/>
                <w:w w:val="99"/>
              </w:rPr>
              <w:t>$</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513"/>
              <w:spacing w:after="0"/>
              <w:rPr>
                <w:sz w:val="20"/>
                <w:szCs w:val="20"/>
                <w:color w:val="auto"/>
              </w:rPr>
            </w:pPr>
            <w:r>
              <w:rPr>
                <w:rFonts w:ascii="Arial" w:cs="Arial" w:eastAsia="Arial" w:hAnsi="Arial"/>
                <w:sz w:val="18"/>
                <w:szCs w:val="18"/>
                <w:color w:val="auto"/>
                <w:w w:val="99"/>
              </w:rPr>
              <w:t>$</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553"/>
              <w:spacing w:after="0"/>
              <w:rPr>
                <w:sz w:val="20"/>
                <w:szCs w:val="20"/>
                <w:color w:val="auto"/>
              </w:rPr>
            </w:pPr>
            <w:r>
              <w:rPr>
                <w:rFonts w:ascii="Arial" w:cs="Arial" w:eastAsia="Arial" w:hAnsi="Arial"/>
                <w:sz w:val="18"/>
                <w:szCs w:val="18"/>
                <w:color w:val="auto"/>
                <w:w w:val="99"/>
              </w:rPr>
              <w:t>$</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3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jc w:val="right"/>
              <w:ind w:right="354"/>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w:t>
            </w:r>
          </w:p>
        </w:tc>
      </w:tr>
      <w:tr>
        <w:trPr>
          <w:trHeight w:val="243"/>
        </w:trPr>
        <w:tc>
          <w:tcPr>
            <w:tcW w:w="300" w:type="dxa"/>
            <w:vAlign w:val="bottom"/>
          </w:tcPr>
          <w:p>
            <w:pPr>
              <w:ind w:left="20"/>
              <w:spacing w:after="0"/>
              <w:rPr>
                <w:sz w:val="20"/>
                <w:szCs w:val="20"/>
                <w:color w:val="auto"/>
              </w:rPr>
            </w:pPr>
            <w:r>
              <w:rPr>
                <w:rFonts w:ascii="Arial" w:cs="Arial" w:eastAsia="Arial" w:hAnsi="Arial"/>
                <w:sz w:val="16"/>
                <w:szCs w:val="16"/>
                <w:color w:val="auto"/>
                <w:w w:val="97"/>
              </w:rPr>
              <w:t>600</w:t>
            </w:r>
          </w:p>
        </w:tc>
        <w:tc>
          <w:tcPr>
            <w:tcW w:w="640" w:type="dxa"/>
            <w:vAlign w:val="bottom"/>
          </w:tcPr>
          <w:p>
            <w:pPr>
              <w:ind w:left="20"/>
              <w:spacing w:after="0"/>
              <w:rPr>
                <w:sz w:val="20"/>
                <w:szCs w:val="20"/>
                <w:color w:val="auto"/>
              </w:rPr>
            </w:pPr>
            <w:r>
              <w:rPr>
                <w:rFonts w:ascii="Arial" w:cs="Arial" w:eastAsia="Arial" w:hAnsi="Arial"/>
                <w:sz w:val="16"/>
                <w:szCs w:val="16"/>
                <w:color w:val="auto"/>
              </w:rPr>
              <w:t>- 699</w:t>
            </w:r>
          </w:p>
        </w:tc>
        <w:tc>
          <w:tcPr>
            <w:tcW w:w="760" w:type="dxa"/>
            <w:vAlign w:val="bottom"/>
          </w:tcPr>
          <w:p>
            <w:pPr>
              <w:spacing w:after="0"/>
              <w:rPr>
                <w:sz w:val="21"/>
                <w:szCs w:val="21"/>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4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1"/>
                <w:szCs w:val="21"/>
                <w:color w:val="auto"/>
              </w:rPr>
            </w:pPr>
          </w:p>
        </w:tc>
        <w:tc>
          <w:tcPr>
            <w:tcW w:w="6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7"/>
        </w:trPr>
        <w:tc>
          <w:tcPr>
            <w:tcW w:w="940" w:type="dxa"/>
            <w:vAlign w:val="bottom"/>
            <w:gridSpan w:val="2"/>
          </w:tcPr>
          <w:p>
            <w:pPr>
              <w:spacing w:after="0"/>
              <w:rPr>
                <w:sz w:val="2"/>
                <w:szCs w:val="2"/>
                <w:color w:val="auto"/>
              </w:rPr>
            </w:pPr>
          </w:p>
        </w:tc>
        <w:tc>
          <w:tcPr>
            <w:tcW w:w="7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9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&lt; 600</w:t>
            </w:r>
          </w:p>
        </w:tc>
        <w:tc>
          <w:tcPr>
            <w:tcW w:w="7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43"/>
        </w:trPr>
        <w:tc>
          <w:tcPr>
            <w:tcW w:w="940" w:type="dxa"/>
            <w:vAlign w:val="bottom"/>
            <w:gridSpan w:val="2"/>
          </w:tcPr>
          <w:p>
            <w:pPr>
              <w:ind w:left="20"/>
              <w:spacing w:after="0"/>
              <w:rPr>
                <w:sz w:val="20"/>
                <w:szCs w:val="20"/>
                <w:color w:val="auto"/>
              </w:rPr>
            </w:pPr>
            <w:r>
              <w:rPr>
                <w:rFonts w:ascii="Arial" w:cs="Arial" w:eastAsia="Arial" w:hAnsi="Arial"/>
                <w:sz w:val="16"/>
                <w:szCs w:val="16"/>
                <w:color w:val="auto"/>
              </w:rPr>
              <w:t>No Score</w:t>
            </w:r>
          </w:p>
        </w:tc>
        <w:tc>
          <w:tcPr>
            <w:tcW w:w="760" w:type="dxa"/>
            <w:vAlign w:val="bottom"/>
          </w:tcPr>
          <w:p>
            <w:pPr>
              <w:spacing w:after="0"/>
              <w:rPr>
                <w:sz w:val="21"/>
                <w:szCs w:val="21"/>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4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1"/>
                <w:szCs w:val="21"/>
                <w:color w:val="auto"/>
              </w:rPr>
            </w:pPr>
          </w:p>
        </w:tc>
        <w:tc>
          <w:tcPr>
            <w:tcW w:w="6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7"/>
        </w:trPr>
        <w:tc>
          <w:tcPr>
            <w:tcW w:w="300" w:type="dxa"/>
            <w:vAlign w:val="bottom"/>
            <w:tcBorders>
              <w:bottom w:val="single" w:sz="8" w:color="CCEEFF"/>
            </w:tcBorders>
          </w:tcPr>
          <w:p>
            <w:pPr>
              <w:spacing w:after="0"/>
              <w:rPr>
                <w:sz w:val="2"/>
                <w:szCs w:val="2"/>
                <w:color w:val="auto"/>
              </w:rPr>
            </w:pPr>
          </w:p>
        </w:tc>
        <w:tc>
          <w:tcPr>
            <w:tcW w:w="64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69"/>
        </w:trPr>
        <w:tc>
          <w:tcPr>
            <w:tcW w:w="3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553"/>
              <w:spacing w:after="0"/>
              <w:rPr>
                <w:sz w:val="20"/>
                <w:szCs w:val="20"/>
                <w:color w:val="auto"/>
              </w:rPr>
            </w:pPr>
            <w:r>
              <w:rPr>
                <w:rFonts w:ascii="Arial" w:cs="Arial" w:eastAsia="Arial" w:hAnsi="Arial"/>
                <w:sz w:val="18"/>
                <w:szCs w:val="18"/>
                <w:color w:val="auto"/>
                <w:w w:val="99"/>
              </w:rPr>
              <w:t>$</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513"/>
              <w:spacing w:after="0"/>
              <w:rPr>
                <w:sz w:val="20"/>
                <w:szCs w:val="20"/>
                <w:color w:val="auto"/>
              </w:rPr>
            </w:pPr>
            <w:r>
              <w:rPr>
                <w:rFonts w:ascii="Arial" w:cs="Arial" w:eastAsia="Arial" w:hAnsi="Arial"/>
                <w:sz w:val="18"/>
                <w:szCs w:val="18"/>
                <w:color w:val="auto"/>
                <w:w w:val="99"/>
              </w:rPr>
              <w:t>$</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157</w:t>
            </w:r>
          </w:p>
        </w:tc>
        <w:tc>
          <w:tcPr>
            <w:tcW w:w="1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553"/>
              <w:spacing w:after="0"/>
              <w:rPr>
                <w:sz w:val="20"/>
                <w:szCs w:val="20"/>
                <w:color w:val="auto"/>
              </w:rPr>
            </w:pPr>
            <w:r>
              <w:rPr>
                <w:rFonts w:ascii="Arial" w:cs="Arial" w:eastAsia="Arial" w:hAnsi="Arial"/>
                <w:sz w:val="18"/>
                <w:szCs w:val="18"/>
                <w:color w:val="auto"/>
                <w:w w:val="99"/>
              </w:rPr>
              <w:t>$</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3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jc w:val="right"/>
              <w:ind w:right="354"/>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229</w:t>
            </w:r>
          </w:p>
        </w:tc>
      </w:tr>
      <w:tr>
        <w:trPr>
          <w:trHeight w:val="20"/>
        </w:trPr>
        <w:tc>
          <w:tcPr>
            <w:tcW w:w="3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r>
        <w:trPr>
          <w:trHeight w:val="461"/>
        </w:trPr>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580" w:type="dxa"/>
            <w:vAlign w:val="bottom"/>
            <w:gridSpan w:val="12"/>
          </w:tcPr>
          <w:p>
            <w:pPr>
              <w:jc w:val="center"/>
              <w:ind w:right="74"/>
              <w:spacing w:after="0"/>
              <w:rPr>
                <w:sz w:val="20"/>
                <w:szCs w:val="20"/>
                <w:color w:val="auto"/>
              </w:rPr>
            </w:pPr>
            <w:r>
              <w:rPr>
                <w:rFonts w:ascii="Arial" w:cs="Arial" w:eastAsia="Arial" w:hAnsi="Arial"/>
                <w:sz w:val="16"/>
                <w:szCs w:val="16"/>
                <w:b w:val="1"/>
                <w:bCs w:val="1"/>
                <w:color w:val="auto"/>
                <w:w w:val="91"/>
              </w:rPr>
              <w:t>Originated Vacation Ownership Notes Receivable - Hyatt</w:t>
            </w: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33"/>
        </w:trPr>
        <w:tc>
          <w:tcPr>
            <w:tcW w:w="940" w:type="dxa"/>
            <w:vAlign w:val="bottom"/>
            <w:gridSpan w:val="2"/>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3"/>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57"/>
        </w:trPr>
        <w:tc>
          <w:tcPr>
            <w:tcW w:w="94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b w:val="1"/>
                <w:bCs w:val="1"/>
                <w:i w:val="1"/>
                <w:iCs w:val="1"/>
                <w:color w:val="auto"/>
                <w:w w:val="99"/>
              </w:rPr>
              <w:t>($ in millions)</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3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c>
          <w:tcPr>
            <w:tcW w:w="3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2018</w:t>
            </w:r>
          </w:p>
        </w:tc>
        <w:tc>
          <w:tcPr>
            <w:tcW w:w="3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center"/>
              <w:ind w:right="192"/>
              <w:spacing w:after="0"/>
              <w:rPr>
                <w:sz w:val="20"/>
                <w:szCs w:val="20"/>
                <w:color w:val="auto"/>
              </w:rPr>
            </w:pPr>
            <w:r>
              <w:rPr>
                <w:rFonts w:ascii="Arial" w:cs="Arial" w:eastAsia="Arial" w:hAnsi="Arial"/>
                <w:sz w:val="16"/>
                <w:szCs w:val="16"/>
                <w:b w:val="1"/>
                <w:bCs w:val="1"/>
                <w:color w:val="auto"/>
                <w:w w:val="89"/>
              </w:rPr>
              <w:t>2017</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ind w:left="120"/>
              <w:spacing w:after="0"/>
              <w:rPr>
                <w:sz w:val="20"/>
                <w:szCs w:val="20"/>
                <w:color w:val="auto"/>
              </w:rPr>
            </w:pPr>
            <w:r>
              <w:rPr>
                <w:rFonts w:ascii="Arial" w:cs="Arial" w:eastAsia="Arial" w:hAnsi="Arial"/>
                <w:sz w:val="16"/>
                <w:szCs w:val="16"/>
                <w:b w:val="1"/>
                <w:bCs w:val="1"/>
                <w:color w:val="auto"/>
              </w:rPr>
              <w:t>2016</w:t>
            </w:r>
          </w:p>
        </w:tc>
        <w:tc>
          <w:tcPr>
            <w:tcW w:w="100" w:type="dxa"/>
            <w:vAlign w:val="bottom"/>
            <w:tcBorders>
              <w:bottom w:val="single" w:sz="8" w:color="CCEEFF"/>
            </w:tcBorders>
          </w:tcPr>
          <w:p>
            <w:pPr>
              <w:spacing w:after="0"/>
              <w:rPr>
                <w:sz w:val="22"/>
                <w:szCs w:val="22"/>
                <w:color w:val="auto"/>
              </w:rPr>
            </w:pPr>
          </w:p>
        </w:tc>
        <w:tc>
          <w:tcPr>
            <w:tcW w:w="1080" w:type="dxa"/>
            <w:vAlign w:val="bottom"/>
            <w:tcBorders>
              <w:bottom w:val="single" w:sz="8" w:color="auto"/>
            </w:tcBorders>
            <w:gridSpan w:val="2"/>
          </w:tcPr>
          <w:p>
            <w:pPr>
              <w:ind w:left="80"/>
              <w:spacing w:after="0"/>
              <w:rPr>
                <w:sz w:val="20"/>
                <w:szCs w:val="20"/>
                <w:color w:val="auto"/>
              </w:rPr>
            </w:pPr>
            <w:r>
              <w:rPr>
                <w:rFonts w:ascii="Arial" w:cs="Arial" w:eastAsia="Arial" w:hAnsi="Arial"/>
                <w:sz w:val="16"/>
                <w:szCs w:val="16"/>
                <w:b w:val="1"/>
                <w:bCs w:val="1"/>
                <w:color w:val="auto"/>
              </w:rPr>
              <w:t>2015 &amp; Prior</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72"/>
              <w:spacing w:after="0"/>
              <w:rPr>
                <w:sz w:val="20"/>
                <w:szCs w:val="20"/>
                <w:color w:val="auto"/>
              </w:rPr>
            </w:pPr>
            <w:r>
              <w:rPr>
                <w:rFonts w:ascii="Arial" w:cs="Arial" w:eastAsia="Arial" w:hAnsi="Arial"/>
                <w:sz w:val="16"/>
                <w:szCs w:val="16"/>
                <w:b w:val="1"/>
                <w:bCs w:val="1"/>
                <w:color w:val="auto"/>
              </w:rPr>
              <w:t>Total</w:t>
            </w:r>
          </w:p>
        </w:tc>
      </w:tr>
      <w:tr>
        <w:trPr>
          <w:trHeight w:val="250"/>
        </w:trPr>
        <w:tc>
          <w:tcPr>
            <w:tcW w:w="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97"/>
              </w:rPr>
              <w:t>700</w:t>
            </w:r>
          </w:p>
        </w:tc>
        <w:tc>
          <w:tcPr>
            <w:tcW w:w="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553"/>
              <w:spacing w:after="0"/>
              <w:rPr>
                <w:sz w:val="20"/>
                <w:szCs w:val="20"/>
                <w:color w:val="auto"/>
              </w:rPr>
            </w:pPr>
            <w:r>
              <w:rPr>
                <w:rFonts w:ascii="Arial" w:cs="Arial" w:eastAsia="Arial" w:hAnsi="Arial"/>
                <w:sz w:val="18"/>
                <w:szCs w:val="18"/>
                <w:color w:val="auto"/>
                <w:w w:val="99"/>
              </w:rPr>
              <w:t>$</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513"/>
              <w:spacing w:after="0"/>
              <w:rPr>
                <w:sz w:val="20"/>
                <w:szCs w:val="20"/>
                <w:color w:val="auto"/>
              </w:rPr>
            </w:pPr>
            <w:r>
              <w:rPr>
                <w:rFonts w:ascii="Arial" w:cs="Arial" w:eastAsia="Arial" w:hAnsi="Arial"/>
                <w:sz w:val="18"/>
                <w:szCs w:val="18"/>
                <w:color w:val="auto"/>
                <w:w w:val="99"/>
              </w:rPr>
              <w:t>$</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553"/>
              <w:spacing w:after="0"/>
              <w:rPr>
                <w:sz w:val="20"/>
                <w:szCs w:val="20"/>
                <w:color w:val="auto"/>
              </w:rPr>
            </w:pPr>
            <w:r>
              <w:rPr>
                <w:rFonts w:ascii="Arial" w:cs="Arial" w:eastAsia="Arial" w:hAnsi="Arial"/>
                <w:sz w:val="18"/>
                <w:szCs w:val="18"/>
                <w:color w:val="auto"/>
                <w:w w:val="99"/>
              </w:rPr>
              <w:t>$</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3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jc w:val="right"/>
              <w:ind w:right="354"/>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43"/>
        </w:trPr>
        <w:tc>
          <w:tcPr>
            <w:tcW w:w="300" w:type="dxa"/>
            <w:vAlign w:val="bottom"/>
          </w:tcPr>
          <w:p>
            <w:pPr>
              <w:ind w:left="20"/>
              <w:spacing w:after="0"/>
              <w:rPr>
                <w:sz w:val="20"/>
                <w:szCs w:val="20"/>
                <w:color w:val="auto"/>
              </w:rPr>
            </w:pPr>
            <w:r>
              <w:rPr>
                <w:rFonts w:ascii="Arial" w:cs="Arial" w:eastAsia="Arial" w:hAnsi="Arial"/>
                <w:sz w:val="16"/>
                <w:szCs w:val="16"/>
                <w:color w:val="auto"/>
                <w:w w:val="97"/>
              </w:rPr>
              <w:t>600</w:t>
            </w:r>
          </w:p>
        </w:tc>
        <w:tc>
          <w:tcPr>
            <w:tcW w:w="640" w:type="dxa"/>
            <w:vAlign w:val="bottom"/>
          </w:tcPr>
          <w:p>
            <w:pPr>
              <w:ind w:left="20"/>
              <w:spacing w:after="0"/>
              <w:rPr>
                <w:sz w:val="20"/>
                <w:szCs w:val="20"/>
                <w:color w:val="auto"/>
              </w:rPr>
            </w:pPr>
            <w:r>
              <w:rPr>
                <w:rFonts w:ascii="Arial" w:cs="Arial" w:eastAsia="Arial" w:hAnsi="Arial"/>
                <w:sz w:val="16"/>
                <w:szCs w:val="16"/>
                <w:color w:val="auto"/>
              </w:rPr>
              <w:t>- 699</w:t>
            </w:r>
          </w:p>
        </w:tc>
        <w:tc>
          <w:tcPr>
            <w:tcW w:w="760" w:type="dxa"/>
            <w:vAlign w:val="bottom"/>
          </w:tcPr>
          <w:p>
            <w:pPr>
              <w:spacing w:after="0"/>
              <w:rPr>
                <w:sz w:val="21"/>
                <w:szCs w:val="21"/>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4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1"/>
                <w:szCs w:val="21"/>
                <w:color w:val="auto"/>
              </w:rPr>
            </w:pPr>
          </w:p>
        </w:tc>
        <w:tc>
          <w:tcPr>
            <w:tcW w:w="6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7"/>
        </w:trPr>
        <w:tc>
          <w:tcPr>
            <w:tcW w:w="940" w:type="dxa"/>
            <w:vAlign w:val="bottom"/>
            <w:gridSpan w:val="2"/>
          </w:tcPr>
          <w:p>
            <w:pPr>
              <w:spacing w:after="0"/>
              <w:rPr>
                <w:sz w:val="2"/>
                <w:szCs w:val="2"/>
                <w:color w:val="auto"/>
              </w:rPr>
            </w:pPr>
          </w:p>
        </w:tc>
        <w:tc>
          <w:tcPr>
            <w:tcW w:w="760" w:type="dxa"/>
            <w:vAlign w:val="bottom"/>
          </w:tcPr>
          <w:p>
            <w:pPr>
              <w:spacing w:after="0"/>
              <w:rPr>
                <w:sz w:val="2"/>
                <w:szCs w:val="2"/>
                <w:color w:val="auto"/>
              </w:rPr>
            </w:pPr>
          </w:p>
        </w:tc>
        <w:tc>
          <w:tcPr>
            <w:tcW w:w="420" w:type="dxa"/>
            <w:vAlign w:val="bottom"/>
            <w:gridSpan w:val="2"/>
          </w:tcPr>
          <w:p>
            <w:pPr>
              <w:spacing w:after="0"/>
              <w:rPr>
                <w:sz w:val="2"/>
                <w:szCs w:val="2"/>
                <w:color w:val="auto"/>
              </w:rPr>
            </w:pPr>
          </w:p>
        </w:tc>
        <w:tc>
          <w:tcPr>
            <w:tcW w:w="720" w:type="dxa"/>
            <w:vAlign w:val="bottom"/>
          </w:tcPr>
          <w:p>
            <w:pPr>
              <w:spacing w:after="0"/>
              <w:rPr>
                <w:sz w:val="2"/>
                <w:szCs w:val="2"/>
                <w:color w:val="auto"/>
              </w:rPr>
            </w:pPr>
          </w:p>
        </w:tc>
        <w:tc>
          <w:tcPr>
            <w:tcW w:w="460" w:type="dxa"/>
            <w:vAlign w:val="bottom"/>
            <w:gridSpan w:val="2"/>
          </w:tcPr>
          <w:p>
            <w:pPr>
              <w:spacing w:after="0"/>
              <w:rPr>
                <w:sz w:val="2"/>
                <w:szCs w:val="2"/>
                <w:color w:val="auto"/>
              </w:rPr>
            </w:pPr>
          </w:p>
        </w:tc>
        <w:tc>
          <w:tcPr>
            <w:tcW w:w="7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560" w:type="dxa"/>
            <w:vAlign w:val="bottom"/>
          </w:tcPr>
          <w:p>
            <w:pPr>
              <w:spacing w:after="0"/>
              <w:rPr>
                <w:sz w:val="2"/>
                <w:szCs w:val="2"/>
                <w:color w:val="auto"/>
              </w:rPr>
            </w:pPr>
          </w:p>
        </w:tc>
        <w:tc>
          <w:tcPr>
            <w:tcW w:w="62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9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&lt; 600</w:t>
            </w:r>
          </w:p>
        </w:tc>
        <w:tc>
          <w:tcPr>
            <w:tcW w:w="7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940" w:type="dxa"/>
            <w:vAlign w:val="bottom"/>
            <w:gridSpan w:val="2"/>
          </w:tcPr>
          <w:p>
            <w:pPr>
              <w:ind w:left="20"/>
              <w:spacing w:after="0"/>
              <w:rPr>
                <w:sz w:val="20"/>
                <w:szCs w:val="20"/>
                <w:color w:val="auto"/>
              </w:rPr>
            </w:pPr>
            <w:r>
              <w:rPr>
                <w:rFonts w:ascii="Arial" w:cs="Arial" w:eastAsia="Arial" w:hAnsi="Arial"/>
                <w:sz w:val="16"/>
                <w:szCs w:val="16"/>
                <w:color w:val="auto"/>
              </w:rPr>
              <w:t>No Score</w:t>
            </w:r>
          </w:p>
        </w:tc>
        <w:tc>
          <w:tcPr>
            <w:tcW w:w="760" w:type="dxa"/>
            <w:vAlign w:val="bottom"/>
          </w:tcPr>
          <w:p>
            <w:pPr>
              <w:spacing w:after="0"/>
              <w:rPr>
                <w:sz w:val="21"/>
                <w:szCs w:val="21"/>
                <w:color w:val="auto"/>
              </w:rPr>
            </w:pPr>
          </w:p>
        </w:tc>
        <w:tc>
          <w:tcPr>
            <w:tcW w:w="4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21"/>
                <w:szCs w:val="21"/>
                <w:color w:val="auto"/>
              </w:rPr>
            </w:pPr>
          </w:p>
        </w:tc>
        <w:tc>
          <w:tcPr>
            <w:tcW w:w="4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21"/>
                <w:szCs w:val="21"/>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4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1"/>
                <w:szCs w:val="21"/>
                <w:color w:val="auto"/>
              </w:rPr>
            </w:pPr>
          </w:p>
        </w:tc>
        <w:tc>
          <w:tcPr>
            <w:tcW w:w="6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300" w:type="dxa"/>
            <w:vAlign w:val="bottom"/>
            <w:tcBorders>
              <w:bottom w:val="single" w:sz="8" w:color="CCEEFF"/>
            </w:tcBorders>
          </w:tcPr>
          <w:p>
            <w:pPr>
              <w:spacing w:after="0"/>
              <w:rPr>
                <w:sz w:val="2"/>
                <w:szCs w:val="2"/>
                <w:color w:val="auto"/>
              </w:rPr>
            </w:pPr>
          </w:p>
        </w:tc>
        <w:tc>
          <w:tcPr>
            <w:tcW w:w="64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68"/>
        </w:trPr>
        <w:tc>
          <w:tcPr>
            <w:tcW w:w="3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553"/>
              <w:spacing w:after="0"/>
              <w:rPr>
                <w:sz w:val="20"/>
                <w:szCs w:val="20"/>
                <w:color w:val="auto"/>
              </w:rPr>
            </w:pPr>
            <w:r>
              <w:rPr>
                <w:rFonts w:ascii="Arial" w:cs="Arial" w:eastAsia="Arial" w:hAnsi="Arial"/>
                <w:sz w:val="18"/>
                <w:szCs w:val="18"/>
                <w:color w:val="auto"/>
                <w:w w:val="99"/>
              </w:rPr>
              <w:t>$</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513"/>
              <w:spacing w:after="0"/>
              <w:rPr>
                <w:sz w:val="20"/>
                <w:szCs w:val="20"/>
                <w:color w:val="auto"/>
              </w:rPr>
            </w:pPr>
            <w:r>
              <w:rPr>
                <w:rFonts w:ascii="Arial" w:cs="Arial" w:eastAsia="Arial" w:hAnsi="Arial"/>
                <w:sz w:val="18"/>
                <w:szCs w:val="18"/>
                <w:color w:val="auto"/>
                <w:w w:val="99"/>
              </w:rPr>
              <w:t>$</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553"/>
              <w:spacing w:after="0"/>
              <w:rPr>
                <w:sz w:val="20"/>
                <w:szCs w:val="20"/>
                <w:color w:val="auto"/>
              </w:rPr>
            </w:pPr>
            <w:r>
              <w:rPr>
                <w:rFonts w:ascii="Arial" w:cs="Arial" w:eastAsia="Arial" w:hAnsi="Arial"/>
                <w:sz w:val="18"/>
                <w:szCs w:val="18"/>
                <w:color w:val="auto"/>
                <w:w w:val="99"/>
              </w:rPr>
              <w:t>$</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3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gridSpan w:val="3"/>
            <w:shd w:val="clear" w:color="auto" w:fill="CCEEFF"/>
          </w:tcPr>
          <w:p>
            <w:pPr>
              <w:ind w:left="560"/>
              <w:spacing w:after="0"/>
              <w:rPr>
                <w:sz w:val="20"/>
                <w:szCs w:val="20"/>
                <w:color w:val="auto"/>
              </w:rPr>
            </w:pPr>
            <w:r>
              <w:rPr>
                <w:rFonts w:ascii="Arial" w:cs="Arial" w:eastAsia="Arial" w:hAnsi="Arial"/>
                <w:sz w:val="18"/>
                <w:szCs w:val="18"/>
                <w:color w:val="auto"/>
              </w:rPr>
              <w:t>—  $</w:t>
            </w:r>
          </w:p>
        </w:tc>
        <w:tc>
          <w:tcPr>
            <w:tcW w:w="1500" w:type="dxa"/>
            <w:vAlign w:val="bottom"/>
            <w:tcBorders>
              <w:bottom w:val="single" w:sz="8" w:color="CCEEFF"/>
            </w:tcBorders>
            <w:gridSpan w:val="3"/>
            <w:shd w:val="clear" w:color="auto" w:fill="CCEEFF"/>
          </w:tcPr>
          <w:p>
            <w:pPr>
              <w:ind w:left="600"/>
              <w:spacing w:after="0"/>
              <w:rPr>
                <w:sz w:val="20"/>
                <w:szCs w:val="20"/>
                <w:color w:val="auto"/>
              </w:rPr>
            </w:pPr>
            <w:r>
              <w:rPr>
                <w:rFonts w:ascii="Arial" w:cs="Arial" w:eastAsia="Arial" w:hAnsi="Arial"/>
                <w:sz w:val="18"/>
                <w:szCs w:val="18"/>
                <w:color w:val="auto"/>
              </w:rPr>
              <w:t>—  $</w:t>
            </w:r>
          </w:p>
        </w:tc>
        <w:tc>
          <w:tcPr>
            <w:tcW w:w="86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8"/>
                <w:szCs w:val="18"/>
                <w:color w:val="auto"/>
              </w:rPr>
              <w:t>—  $</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0"/>
        </w:trPr>
        <w:tc>
          <w:tcPr>
            <w:tcW w:w="3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r>
        <w:trPr>
          <w:trHeight w:val="629"/>
        </w:trPr>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gridSpan w:val="2"/>
          </w:tcPr>
          <w:p>
            <w:pPr>
              <w:ind w:left="100"/>
              <w:spacing w:after="0"/>
              <w:rPr>
                <w:sz w:val="20"/>
                <w:szCs w:val="20"/>
                <w:color w:val="auto"/>
              </w:rPr>
            </w:pPr>
            <w:r>
              <w:rPr>
                <w:rFonts w:ascii="Arial" w:cs="Arial" w:eastAsia="Arial" w:hAnsi="Arial"/>
                <w:sz w:val="18"/>
                <w:szCs w:val="18"/>
                <w:color w:val="auto"/>
              </w:rPr>
              <w:t>17</w:t>
            </w: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r>
    </w:tbl>
    <w:p>
      <w:pPr>
        <w:sectPr>
          <w:pgSz w:w="11900" w:h="16838" w:orient="portrait"/>
          <w:cols w:equalWidth="0" w:num="1">
            <w:col w:w="11140"/>
          </w:cols>
          <w:pgMar w:left="320" w:top="125" w:right="4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380" w:hanging="345"/>
        <w:spacing w:after="0"/>
        <w:tabs>
          <w:tab w:leader="none" w:pos="38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INSTRUMENTS</w:t>
      </w:r>
    </w:p>
    <w:p>
      <w:pPr>
        <w:spacing w:after="0" w:line="148"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The following table shows the carrying values and the estimated fair values of financial assets and liabilities that qualify as financial instruments, determined in accordance with the authoritative guidance for disclosures regarding the fair value of financial instruments. Considerable judgment is required in interpreting market data to develop estimates of fair value. The use of different market assumptions and/or estimation methodologies could have a material effect on the estimated fair value amounts. The table excludes Cash and cash equivalents, Restricted cash, Accounts receivable, Accounts payable, Advance deposits and Accrued liabilities, all of which had fair values approximating their carrying amounts due to the short maturities and liquidity of these instruments.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80" w:type="dxa"/>
            <w:vAlign w:val="bottom"/>
            <w:gridSpan w:val="5"/>
          </w:tcPr>
          <w:p>
            <w:pPr>
              <w:ind w:left="620"/>
              <w:spacing w:after="0"/>
              <w:rPr>
                <w:sz w:val="20"/>
                <w:szCs w:val="20"/>
                <w:color w:val="auto"/>
              </w:rPr>
            </w:pPr>
            <w:r>
              <w:rPr>
                <w:rFonts w:ascii="Arial" w:cs="Arial" w:eastAsia="Arial" w:hAnsi="Arial"/>
                <w:sz w:val="16"/>
                <w:szCs w:val="16"/>
                <w:b w:val="1"/>
                <w:bCs w:val="1"/>
                <w:color w:val="auto"/>
              </w:rPr>
              <w:t>At March 31, 2020</w:t>
            </w:r>
          </w:p>
        </w:tc>
        <w:tc>
          <w:tcPr>
            <w:tcW w:w="260" w:type="dxa"/>
            <w:vAlign w:val="bottom"/>
          </w:tcPr>
          <w:p>
            <w:pPr>
              <w:spacing w:after="0"/>
              <w:rPr>
                <w:sz w:val="18"/>
                <w:szCs w:val="18"/>
                <w:color w:val="auto"/>
              </w:rPr>
            </w:pPr>
          </w:p>
        </w:tc>
        <w:tc>
          <w:tcPr>
            <w:tcW w:w="2760" w:type="dxa"/>
            <w:vAlign w:val="bottom"/>
            <w:gridSpan w:val="4"/>
          </w:tcPr>
          <w:p>
            <w:pPr>
              <w:jc w:val="right"/>
              <w:ind w:right="652"/>
              <w:spacing w:after="0"/>
              <w:rPr>
                <w:sz w:val="20"/>
                <w:szCs w:val="20"/>
                <w:color w:val="auto"/>
              </w:rPr>
            </w:pPr>
            <w:r>
              <w:rPr>
                <w:rFonts w:ascii="Arial" w:cs="Arial" w:eastAsia="Arial" w:hAnsi="Arial"/>
                <w:sz w:val="16"/>
                <w:szCs w:val="16"/>
                <w:b w:val="1"/>
                <w:bCs w:val="1"/>
                <w:color w:val="auto"/>
              </w:rPr>
              <w:t>At December 31, 2019</w:t>
            </w:r>
          </w:p>
        </w:tc>
        <w:tc>
          <w:tcPr>
            <w:tcW w:w="0" w:type="dxa"/>
            <w:vAlign w:val="bottom"/>
          </w:tcPr>
          <w:p>
            <w:pPr>
              <w:spacing w:after="0"/>
              <w:rPr>
                <w:sz w:val="1"/>
                <w:szCs w:val="1"/>
                <w:color w:val="auto"/>
              </w:rPr>
            </w:pPr>
          </w:p>
        </w:tc>
      </w:tr>
      <w:tr>
        <w:trPr>
          <w:trHeight w:val="33"/>
        </w:trPr>
        <w:tc>
          <w:tcPr>
            <w:tcW w:w="50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7"/>
              </w:rPr>
              <w:t>Carrying</w:t>
            </w:r>
          </w:p>
        </w:tc>
        <w:tc>
          <w:tcPr>
            <w:tcW w:w="340" w:type="dxa"/>
            <w:vAlign w:val="bottom"/>
          </w:tcPr>
          <w:p>
            <w:pPr>
              <w:spacing w:after="0"/>
              <w:rPr>
                <w:sz w:val="18"/>
                <w:szCs w:val="18"/>
                <w:color w:val="auto"/>
              </w:rPr>
            </w:pPr>
          </w:p>
        </w:tc>
        <w:tc>
          <w:tcPr>
            <w:tcW w:w="124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w w:val="95"/>
              </w:rPr>
              <w:t>Fair</w:t>
            </w:r>
          </w:p>
        </w:tc>
        <w:tc>
          <w:tcPr>
            <w:tcW w:w="260" w:type="dxa"/>
            <w:vAlign w:val="bottom"/>
          </w:tcPr>
          <w:p>
            <w:pPr>
              <w:spacing w:after="0"/>
              <w:rPr>
                <w:sz w:val="18"/>
                <w:szCs w:val="18"/>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7"/>
              </w:rPr>
              <w:t>Carrying</w:t>
            </w:r>
          </w:p>
        </w:tc>
        <w:tc>
          <w:tcPr>
            <w:tcW w:w="320" w:type="dxa"/>
            <w:vAlign w:val="bottom"/>
          </w:tcPr>
          <w:p>
            <w:pPr>
              <w:spacing w:after="0"/>
              <w:rPr>
                <w:sz w:val="18"/>
                <w:szCs w:val="18"/>
                <w:color w:val="auto"/>
              </w:rPr>
            </w:pPr>
          </w:p>
        </w:tc>
        <w:tc>
          <w:tcPr>
            <w:tcW w:w="1140" w:type="dxa"/>
            <w:vAlign w:val="bottom"/>
          </w:tcPr>
          <w:p>
            <w:pPr>
              <w:jc w:val="center"/>
              <w:ind w:right="232"/>
              <w:spacing w:after="0"/>
              <w:rPr>
                <w:sz w:val="20"/>
                <w:szCs w:val="20"/>
                <w:color w:val="auto"/>
              </w:rPr>
            </w:pPr>
            <w:r>
              <w:rPr>
                <w:rFonts w:ascii="Arial" w:cs="Arial" w:eastAsia="Arial" w:hAnsi="Arial"/>
                <w:sz w:val="16"/>
                <w:szCs w:val="16"/>
                <w:b w:val="1"/>
                <w:bCs w:val="1"/>
                <w:color w:val="auto"/>
              </w:rPr>
              <w:t>Fair</w:t>
            </w:r>
          </w:p>
        </w:tc>
        <w:tc>
          <w:tcPr>
            <w:tcW w:w="0" w:type="dxa"/>
            <w:vAlign w:val="bottom"/>
          </w:tcPr>
          <w:p>
            <w:pPr>
              <w:spacing w:after="0"/>
              <w:rPr>
                <w:sz w:val="1"/>
                <w:szCs w:val="1"/>
                <w:color w:val="auto"/>
              </w:rPr>
            </w:pPr>
          </w:p>
        </w:tc>
      </w:tr>
      <w:tr>
        <w:trPr>
          <w:trHeight w:val="237"/>
        </w:trPr>
        <w:tc>
          <w:tcPr>
            <w:tcW w:w="508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260" w:type="dxa"/>
            <w:vAlign w:val="bottom"/>
          </w:tcPr>
          <w:p>
            <w:pPr>
              <w:spacing w:after="0"/>
              <w:rPr>
                <w:sz w:val="20"/>
                <w:szCs w:val="20"/>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2"/>
              </w:rPr>
              <w:t>Amount</w:t>
            </w:r>
          </w:p>
        </w:tc>
        <w:tc>
          <w:tcPr>
            <w:tcW w:w="340" w:type="dxa"/>
            <w:vAlign w:val="bottom"/>
          </w:tcPr>
          <w:p>
            <w:pPr>
              <w:spacing w:after="0"/>
              <w:rPr>
                <w:sz w:val="20"/>
                <w:szCs w:val="20"/>
                <w:color w:val="auto"/>
              </w:rPr>
            </w:pPr>
          </w:p>
        </w:tc>
        <w:tc>
          <w:tcPr>
            <w:tcW w:w="124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w w:val="93"/>
              </w:rPr>
              <w:t>Value</w:t>
            </w:r>
          </w:p>
        </w:tc>
        <w:tc>
          <w:tcPr>
            <w:tcW w:w="260" w:type="dxa"/>
            <w:vAlign w:val="bottom"/>
          </w:tcPr>
          <w:p>
            <w:pPr>
              <w:spacing w:after="0"/>
              <w:rPr>
                <w:sz w:val="20"/>
                <w:szCs w:val="20"/>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2"/>
              </w:rPr>
              <w:t>Amount</w:t>
            </w:r>
          </w:p>
        </w:tc>
        <w:tc>
          <w:tcPr>
            <w:tcW w:w="320" w:type="dxa"/>
            <w:vAlign w:val="bottom"/>
          </w:tcPr>
          <w:p>
            <w:pPr>
              <w:spacing w:after="0"/>
              <w:rPr>
                <w:sz w:val="20"/>
                <w:szCs w:val="20"/>
                <w:color w:val="auto"/>
              </w:rPr>
            </w:pPr>
          </w:p>
        </w:tc>
        <w:tc>
          <w:tcPr>
            <w:tcW w:w="1140" w:type="dxa"/>
            <w:vAlign w:val="bottom"/>
          </w:tcPr>
          <w:p>
            <w:pPr>
              <w:jc w:val="center"/>
              <w:ind w:right="232"/>
              <w:spacing w:after="0"/>
              <w:rPr>
                <w:sz w:val="20"/>
                <w:szCs w:val="20"/>
                <w:color w:val="auto"/>
              </w:rPr>
            </w:pPr>
            <w:r>
              <w:rPr>
                <w:rFonts w:ascii="Arial" w:cs="Arial" w:eastAsia="Arial" w:hAnsi="Arial"/>
                <w:sz w:val="16"/>
                <w:szCs w:val="16"/>
                <w:b w:val="1"/>
                <w:bCs w:val="1"/>
                <w:color w:val="auto"/>
                <w:w w:val="88"/>
              </w:rPr>
              <w:t>Value</w:t>
            </w:r>
          </w:p>
        </w:tc>
        <w:tc>
          <w:tcPr>
            <w:tcW w:w="0" w:type="dxa"/>
            <w:vAlign w:val="bottom"/>
          </w:tcPr>
          <w:p>
            <w:pPr>
              <w:spacing w:after="0"/>
              <w:rPr>
                <w:sz w:val="1"/>
                <w:szCs w:val="1"/>
                <w:color w:val="auto"/>
              </w:rPr>
            </w:pPr>
          </w:p>
        </w:tc>
      </w:tr>
      <w:tr>
        <w:trPr>
          <w:trHeight w:val="250"/>
        </w:trPr>
        <w:tc>
          <w:tcPr>
            <w:tcW w:w="50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Vacation ownership notes receivable</w:t>
            </w:r>
          </w:p>
        </w:tc>
        <w:tc>
          <w:tcPr>
            <w:tcW w:w="26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2,159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2,224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2,233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2,264</w:t>
            </w:r>
          </w:p>
        </w:tc>
        <w:tc>
          <w:tcPr>
            <w:tcW w:w="0" w:type="dxa"/>
            <w:vAlign w:val="bottom"/>
          </w:tcPr>
          <w:p>
            <w:pPr>
              <w:spacing w:after="0"/>
              <w:rPr>
                <w:sz w:val="1"/>
                <w:szCs w:val="1"/>
                <w:color w:val="auto"/>
              </w:rPr>
            </w:pP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26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7"/>
        </w:trPr>
        <w:tc>
          <w:tcPr>
            <w:tcW w:w="50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financial assets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2,200</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2,265</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2,278</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2,309</w:t>
            </w: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5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Securitized debt, net</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(1,861)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(1,924)</w:t>
            </w:r>
          </w:p>
        </w:tc>
        <w:tc>
          <w:tcPr>
            <w:tcW w:w="0" w:type="dxa"/>
            <w:vAlign w:val="bottom"/>
          </w:tcPr>
          <w:p>
            <w:pPr>
              <w:spacing w:after="0"/>
              <w:rPr>
                <w:sz w:val="1"/>
                <w:szCs w:val="1"/>
                <w:color w:val="auto"/>
              </w:rPr>
            </w:pP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2026 Notes, net</w:t>
            </w: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(743)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(652)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(742)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(824)</w:t>
            </w: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2028 Notes, net</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(358)</w:t>
            </w:r>
          </w:p>
        </w:tc>
        <w:tc>
          <w:tcPr>
            <w:tcW w:w="0" w:type="dxa"/>
            <w:vAlign w:val="bottom"/>
          </w:tcPr>
          <w:p>
            <w:pPr>
              <w:spacing w:after="0"/>
              <w:rPr>
                <w:sz w:val="1"/>
                <w:szCs w:val="1"/>
                <w:color w:val="auto"/>
              </w:rPr>
            </w:pP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Term Loan, net</w:t>
            </w: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(879)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(771)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(881)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(899)</w:t>
            </w: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Revolving Corporate Credit Facility, net</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Convertible Notes, net</w:t>
            </w: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7"/>
        </w:trPr>
        <w:tc>
          <w:tcPr>
            <w:tcW w:w="50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financial liabilities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(4,695)</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(4,325)</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(4,073)</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(4,279)</w:t>
            </w:r>
          </w:p>
        </w:tc>
        <w:tc>
          <w:tcPr>
            <w:tcW w:w="0" w:type="dxa"/>
            <w:vAlign w:val="bottom"/>
          </w:tcPr>
          <w:p>
            <w:pPr>
              <w:spacing w:after="0"/>
              <w:rPr>
                <w:sz w:val="1"/>
                <w:szCs w:val="1"/>
                <w:color w:val="auto"/>
              </w:rPr>
            </w:pPr>
          </w:p>
        </w:tc>
      </w:tr>
      <w:tr>
        <w:trPr>
          <w:trHeight w:val="20"/>
        </w:trPr>
        <w:tc>
          <w:tcPr>
            <w:tcW w:w="5080" w:type="dxa"/>
            <w:vAlign w:val="bottom"/>
            <w:vMerge w:val="restart"/>
          </w:tcPr>
          <w:p>
            <w:pPr>
              <w:spacing w:after="0"/>
              <w:rPr>
                <w:sz w:val="20"/>
                <w:szCs w:val="20"/>
                <w:color w:val="auto"/>
              </w:rPr>
            </w:pPr>
            <w:r>
              <w:rPr>
                <w:rFonts w:ascii="Arial" w:cs="Arial" w:eastAsia="Arial" w:hAnsi="Arial"/>
                <w:sz w:val="18"/>
                <w:szCs w:val="18"/>
                <w:i w:val="1"/>
                <w:iCs w:val="1"/>
                <w:color w:val="auto"/>
              </w:rPr>
              <w:t>Vacation Ownership Notes Receivable</w:t>
            </w: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508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5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80" w:type="dxa"/>
            <w:vAlign w:val="bottom"/>
            <w:gridSpan w:val="5"/>
          </w:tcPr>
          <w:p>
            <w:pPr>
              <w:ind w:left="620"/>
              <w:spacing w:after="0"/>
              <w:rPr>
                <w:sz w:val="20"/>
                <w:szCs w:val="20"/>
                <w:color w:val="auto"/>
              </w:rPr>
            </w:pPr>
            <w:r>
              <w:rPr>
                <w:rFonts w:ascii="Arial" w:cs="Arial" w:eastAsia="Arial" w:hAnsi="Arial"/>
                <w:sz w:val="16"/>
                <w:szCs w:val="16"/>
                <w:b w:val="1"/>
                <w:bCs w:val="1"/>
                <w:color w:val="auto"/>
              </w:rPr>
              <w:t>At March 31, 2020</w:t>
            </w:r>
          </w:p>
        </w:tc>
        <w:tc>
          <w:tcPr>
            <w:tcW w:w="260" w:type="dxa"/>
            <w:vAlign w:val="bottom"/>
          </w:tcPr>
          <w:p>
            <w:pPr>
              <w:spacing w:after="0"/>
              <w:rPr>
                <w:sz w:val="24"/>
                <w:szCs w:val="24"/>
                <w:color w:val="auto"/>
              </w:rPr>
            </w:pPr>
          </w:p>
        </w:tc>
        <w:tc>
          <w:tcPr>
            <w:tcW w:w="2760" w:type="dxa"/>
            <w:vAlign w:val="bottom"/>
            <w:gridSpan w:val="4"/>
          </w:tcPr>
          <w:p>
            <w:pPr>
              <w:jc w:val="right"/>
              <w:ind w:right="652"/>
              <w:spacing w:after="0"/>
              <w:rPr>
                <w:sz w:val="20"/>
                <w:szCs w:val="20"/>
                <w:color w:val="auto"/>
              </w:rPr>
            </w:pPr>
            <w:r>
              <w:rPr>
                <w:rFonts w:ascii="Arial" w:cs="Arial" w:eastAsia="Arial" w:hAnsi="Arial"/>
                <w:sz w:val="16"/>
                <w:szCs w:val="16"/>
                <w:b w:val="1"/>
                <w:bCs w:val="1"/>
                <w:color w:val="auto"/>
              </w:rPr>
              <w:t>At December 31, 2019</w:t>
            </w:r>
          </w:p>
        </w:tc>
        <w:tc>
          <w:tcPr>
            <w:tcW w:w="0" w:type="dxa"/>
            <w:vAlign w:val="bottom"/>
          </w:tcPr>
          <w:p>
            <w:pPr>
              <w:spacing w:after="0"/>
              <w:rPr>
                <w:sz w:val="1"/>
                <w:szCs w:val="1"/>
                <w:color w:val="auto"/>
              </w:rPr>
            </w:pPr>
          </w:p>
        </w:tc>
      </w:tr>
      <w:tr>
        <w:trPr>
          <w:trHeight w:val="33"/>
        </w:trPr>
        <w:tc>
          <w:tcPr>
            <w:tcW w:w="50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7"/>
              </w:rPr>
              <w:t>Carrying</w:t>
            </w:r>
          </w:p>
        </w:tc>
        <w:tc>
          <w:tcPr>
            <w:tcW w:w="340" w:type="dxa"/>
            <w:vAlign w:val="bottom"/>
          </w:tcPr>
          <w:p>
            <w:pPr>
              <w:spacing w:after="0"/>
              <w:rPr>
                <w:sz w:val="18"/>
                <w:szCs w:val="18"/>
                <w:color w:val="auto"/>
              </w:rPr>
            </w:pPr>
          </w:p>
        </w:tc>
        <w:tc>
          <w:tcPr>
            <w:tcW w:w="124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w w:val="95"/>
              </w:rPr>
              <w:t>Fair</w:t>
            </w:r>
          </w:p>
        </w:tc>
        <w:tc>
          <w:tcPr>
            <w:tcW w:w="260" w:type="dxa"/>
            <w:vAlign w:val="bottom"/>
          </w:tcPr>
          <w:p>
            <w:pPr>
              <w:spacing w:after="0"/>
              <w:rPr>
                <w:sz w:val="18"/>
                <w:szCs w:val="18"/>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7"/>
              </w:rPr>
              <w:t>Carrying</w:t>
            </w:r>
          </w:p>
        </w:tc>
        <w:tc>
          <w:tcPr>
            <w:tcW w:w="320" w:type="dxa"/>
            <w:vAlign w:val="bottom"/>
          </w:tcPr>
          <w:p>
            <w:pPr>
              <w:spacing w:after="0"/>
              <w:rPr>
                <w:sz w:val="18"/>
                <w:szCs w:val="18"/>
                <w:color w:val="auto"/>
              </w:rPr>
            </w:pPr>
          </w:p>
        </w:tc>
        <w:tc>
          <w:tcPr>
            <w:tcW w:w="1140" w:type="dxa"/>
            <w:vAlign w:val="bottom"/>
          </w:tcPr>
          <w:p>
            <w:pPr>
              <w:jc w:val="center"/>
              <w:ind w:right="232"/>
              <w:spacing w:after="0"/>
              <w:rPr>
                <w:sz w:val="20"/>
                <w:szCs w:val="20"/>
                <w:color w:val="auto"/>
              </w:rPr>
            </w:pPr>
            <w:r>
              <w:rPr>
                <w:rFonts w:ascii="Arial" w:cs="Arial" w:eastAsia="Arial" w:hAnsi="Arial"/>
                <w:sz w:val="16"/>
                <w:szCs w:val="16"/>
                <w:b w:val="1"/>
                <w:bCs w:val="1"/>
                <w:color w:val="auto"/>
              </w:rPr>
              <w:t>Fair</w:t>
            </w:r>
          </w:p>
        </w:tc>
        <w:tc>
          <w:tcPr>
            <w:tcW w:w="0" w:type="dxa"/>
            <w:vAlign w:val="bottom"/>
          </w:tcPr>
          <w:p>
            <w:pPr>
              <w:spacing w:after="0"/>
              <w:rPr>
                <w:sz w:val="1"/>
                <w:szCs w:val="1"/>
                <w:color w:val="auto"/>
              </w:rPr>
            </w:pPr>
          </w:p>
        </w:tc>
      </w:tr>
      <w:tr>
        <w:trPr>
          <w:trHeight w:val="237"/>
        </w:trPr>
        <w:tc>
          <w:tcPr>
            <w:tcW w:w="508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260" w:type="dxa"/>
            <w:vAlign w:val="bottom"/>
          </w:tcPr>
          <w:p>
            <w:pPr>
              <w:spacing w:after="0"/>
              <w:rPr>
                <w:sz w:val="20"/>
                <w:szCs w:val="20"/>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2"/>
              </w:rPr>
              <w:t>Amount</w:t>
            </w:r>
          </w:p>
        </w:tc>
        <w:tc>
          <w:tcPr>
            <w:tcW w:w="340" w:type="dxa"/>
            <w:vAlign w:val="bottom"/>
          </w:tcPr>
          <w:p>
            <w:pPr>
              <w:spacing w:after="0"/>
              <w:rPr>
                <w:sz w:val="20"/>
                <w:szCs w:val="20"/>
                <w:color w:val="auto"/>
              </w:rPr>
            </w:pPr>
          </w:p>
        </w:tc>
        <w:tc>
          <w:tcPr>
            <w:tcW w:w="124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w w:val="93"/>
              </w:rPr>
              <w:t>Value</w:t>
            </w:r>
          </w:p>
        </w:tc>
        <w:tc>
          <w:tcPr>
            <w:tcW w:w="260" w:type="dxa"/>
            <w:vAlign w:val="bottom"/>
          </w:tcPr>
          <w:p>
            <w:pPr>
              <w:spacing w:after="0"/>
              <w:rPr>
                <w:sz w:val="20"/>
                <w:szCs w:val="20"/>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2"/>
              </w:rPr>
              <w:t>Amount</w:t>
            </w:r>
          </w:p>
        </w:tc>
        <w:tc>
          <w:tcPr>
            <w:tcW w:w="320" w:type="dxa"/>
            <w:vAlign w:val="bottom"/>
          </w:tcPr>
          <w:p>
            <w:pPr>
              <w:spacing w:after="0"/>
              <w:rPr>
                <w:sz w:val="20"/>
                <w:szCs w:val="20"/>
                <w:color w:val="auto"/>
              </w:rPr>
            </w:pPr>
          </w:p>
        </w:tc>
        <w:tc>
          <w:tcPr>
            <w:tcW w:w="1140" w:type="dxa"/>
            <w:vAlign w:val="bottom"/>
          </w:tcPr>
          <w:p>
            <w:pPr>
              <w:jc w:val="center"/>
              <w:ind w:right="232"/>
              <w:spacing w:after="0"/>
              <w:rPr>
                <w:sz w:val="20"/>
                <w:szCs w:val="20"/>
                <w:color w:val="auto"/>
              </w:rPr>
            </w:pPr>
            <w:r>
              <w:rPr>
                <w:rFonts w:ascii="Arial" w:cs="Arial" w:eastAsia="Arial" w:hAnsi="Arial"/>
                <w:sz w:val="16"/>
                <w:szCs w:val="16"/>
                <w:b w:val="1"/>
                <w:bCs w:val="1"/>
                <w:color w:val="auto"/>
                <w:w w:val="88"/>
              </w:rPr>
              <w:t>Value</w:t>
            </w:r>
          </w:p>
        </w:tc>
        <w:tc>
          <w:tcPr>
            <w:tcW w:w="0" w:type="dxa"/>
            <w:vAlign w:val="bottom"/>
          </w:tcPr>
          <w:p>
            <w:pPr>
              <w:spacing w:after="0"/>
              <w:rPr>
                <w:sz w:val="1"/>
                <w:szCs w:val="1"/>
                <w:color w:val="auto"/>
              </w:rPr>
            </w:pPr>
          </w:p>
        </w:tc>
      </w:tr>
      <w:tr>
        <w:trPr>
          <w:trHeight w:val="250"/>
        </w:trPr>
        <w:tc>
          <w:tcPr>
            <w:tcW w:w="50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Vacation ownership notes receivable</w:t>
            </w: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80" w:type="dxa"/>
            <w:vAlign w:val="bottom"/>
          </w:tcPr>
          <w:p>
            <w:pPr>
              <w:ind w:left="280"/>
              <w:spacing w:after="0"/>
              <w:rPr>
                <w:sz w:val="20"/>
                <w:szCs w:val="20"/>
                <w:color w:val="auto"/>
              </w:rPr>
            </w:pPr>
            <w:r>
              <w:rPr>
                <w:rFonts w:ascii="Arial" w:cs="Arial" w:eastAsia="Arial" w:hAnsi="Arial"/>
                <w:sz w:val="18"/>
                <w:szCs w:val="18"/>
                <w:color w:val="auto"/>
              </w:rPr>
              <w:t>Securitized</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1,822</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1,875</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1,750</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1,771</w:t>
            </w: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50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080" w:type="dxa"/>
            <w:vAlign w:val="bottom"/>
          </w:tcPr>
          <w:p>
            <w:pPr>
              <w:ind w:left="500"/>
              <w:spacing w:after="0"/>
              <w:rPr>
                <w:sz w:val="20"/>
                <w:szCs w:val="20"/>
                <w:color w:val="auto"/>
              </w:rPr>
            </w:pPr>
            <w:r>
              <w:rPr>
                <w:rFonts w:ascii="Arial" w:cs="Arial" w:eastAsia="Arial" w:hAnsi="Arial"/>
                <w:sz w:val="18"/>
                <w:szCs w:val="18"/>
                <w:color w:val="auto"/>
              </w:rPr>
              <w:t>Eligible for securitization</w:t>
            </w:r>
          </w:p>
        </w:tc>
        <w:tc>
          <w:tcPr>
            <w:tcW w:w="26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89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165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Not eligible for securitization</w:t>
            </w: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260</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260</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318</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318</w:t>
            </w:r>
          </w:p>
        </w:tc>
        <w:tc>
          <w:tcPr>
            <w:tcW w:w="0" w:type="dxa"/>
            <w:vAlign w:val="bottom"/>
          </w:tcPr>
          <w:p>
            <w:pPr>
              <w:spacing w:after="0"/>
              <w:rPr>
                <w:sz w:val="1"/>
                <w:szCs w:val="1"/>
                <w:color w:val="auto"/>
              </w:rPr>
            </w:pPr>
          </w:p>
        </w:tc>
      </w:tr>
      <w:tr>
        <w:trPr>
          <w:trHeight w:val="237"/>
        </w:trPr>
        <w:tc>
          <w:tcPr>
            <w:tcW w:w="5080" w:type="dxa"/>
            <w:vAlign w:val="bottom"/>
          </w:tcPr>
          <w:p>
            <w:pPr>
              <w:ind w:left="280"/>
              <w:spacing w:after="0"/>
              <w:rPr>
                <w:sz w:val="20"/>
                <w:szCs w:val="20"/>
                <w:color w:val="auto"/>
              </w:rPr>
            </w:pPr>
            <w:r>
              <w:rPr>
                <w:rFonts w:ascii="Arial" w:cs="Arial" w:eastAsia="Arial" w:hAnsi="Arial"/>
                <w:sz w:val="18"/>
                <w:szCs w:val="18"/>
                <w:color w:val="auto"/>
              </w:rPr>
              <w:t>Non-securitized</w:t>
            </w:r>
          </w:p>
        </w:tc>
        <w:tc>
          <w:tcPr>
            <w:tcW w:w="2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337</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349</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483</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493</w:t>
            </w:r>
          </w:p>
        </w:tc>
        <w:tc>
          <w:tcPr>
            <w:tcW w:w="0" w:type="dxa"/>
            <w:vAlign w:val="bottom"/>
          </w:tcPr>
          <w:p>
            <w:pPr>
              <w:spacing w:after="0"/>
              <w:rPr>
                <w:sz w:val="1"/>
                <w:szCs w:val="1"/>
                <w:color w:val="auto"/>
              </w:rPr>
            </w:pPr>
          </w:p>
        </w:tc>
      </w:tr>
      <w:tr>
        <w:trPr>
          <w:trHeight w:val="27"/>
        </w:trPr>
        <w:tc>
          <w:tcPr>
            <w:tcW w:w="50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0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2,159</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2,224</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2,233</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2,264</w:t>
            </w:r>
          </w:p>
        </w:tc>
        <w:tc>
          <w:tcPr>
            <w:tcW w:w="0" w:type="dxa"/>
            <w:vAlign w:val="bottom"/>
          </w:tcPr>
          <w:p>
            <w:pPr>
              <w:spacing w:after="0"/>
              <w:rPr>
                <w:sz w:val="1"/>
                <w:szCs w:val="1"/>
                <w:color w:val="auto"/>
              </w:rPr>
            </w:pP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right="80" w:firstLine="648"/>
        <w:spacing w:after="0" w:line="301" w:lineRule="auto"/>
        <w:rPr>
          <w:sz w:val="20"/>
          <w:szCs w:val="20"/>
          <w:color w:val="auto"/>
        </w:rPr>
      </w:pPr>
      <w:r>
        <w:rPr>
          <w:rFonts w:ascii="Arial" w:cs="Arial" w:eastAsia="Arial" w:hAnsi="Arial"/>
          <w:sz w:val="16"/>
          <w:szCs w:val="16"/>
          <w:color w:val="auto"/>
        </w:rPr>
        <w:t>We estimate the fair value of our vacation ownership notes receivable that have been securitized using a discounted cash flow model. We believe this is comparable to the model that an independent third party would use in the current market. Our model uses default rates, prepayment rates, coupon rates and loan terms for our securitized vacation ownership notes receivable portfolio as key drivers of risk and relative value to determine the fair value of the underlying vacation ownership notes receivable. We concluded that this fair value measurement should be categorized within Level 3.</w:t>
      </w:r>
    </w:p>
    <w:p>
      <w:pPr>
        <w:spacing w:after="0" w:line="49" w:lineRule="exact"/>
        <w:rPr>
          <w:sz w:val="20"/>
          <w:szCs w:val="20"/>
          <w:color w:val="auto"/>
        </w:rPr>
      </w:pPr>
    </w:p>
    <w:p>
      <w:pPr>
        <w:ind w:right="80" w:firstLine="648"/>
        <w:spacing w:after="0" w:line="254" w:lineRule="auto"/>
        <w:rPr>
          <w:sz w:val="20"/>
          <w:szCs w:val="20"/>
          <w:color w:val="auto"/>
        </w:rPr>
      </w:pPr>
      <w:r>
        <w:rPr>
          <w:rFonts w:ascii="Arial" w:cs="Arial" w:eastAsia="Arial" w:hAnsi="Arial"/>
          <w:sz w:val="18"/>
          <w:szCs w:val="18"/>
          <w:color w:val="auto"/>
        </w:rPr>
        <w:t>Due to factors that impact the general marketability of our vacation ownership notes receivable that have not been securitized, as well as current market conditions, we bifurcate our non-securitized vacation ownership notes receivable at each balance sheet date into those eligible and not eligible for securitization using criteria applicable to current securitization transactions in the ABS market. Generally, vacation ownership notes receivable are considered not eligible for securitization if any of the following attributes are present: (1) payments are greater than 30 days past due; (2) the first payment has not been received; or (3) the collateral is located in Asia or Europe. In some cases, eligibility may also be determined based on the credit score of the borrower, the remaining term of the loans and other similar factors that may reflect investor demand in a securitization transaction or the cost to effectively securitize the vacation ownership notes receivable.</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40"/>
          </w:cols>
          <w:pgMar w:left="320" w:top="125" w:right="3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The table above shows the bifurcation of our vacation ownership notes receivable that have not been securitized into those eligible and not eligible for securitization based upon the aforementioned eligibility criteria. We estimate the fair value of the portion of our vacation ownership notes receivable that have not been securitized that we believe will ultimately be securitized in the same manner as vacation ownership notes receivable that have been securitized. We value the remaining vacation ownership notes receivable that have not been securitized at their carrying value, rather than using our pricing model. We believe that the carrying value of these particular vacation ownership notes receivable approximates fair value because the stated, or otherwise imputed, interest rates of these loans are consistent with current market rates and the reserve for these vacation ownership notes receivable appropriately accounts for risks in default rates, prepayment rates, discount rates and loan terms. We concluded that this fair value measurement should be categorized within Level 3.</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Assets</w:t>
      </w:r>
    </w:p>
    <w:p>
      <w:pPr>
        <w:spacing w:after="0" w:line="117"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color w:val="auto"/>
        </w:rPr>
        <w:t>Other assets include $36 million of company owned insurance policies (the “COLI policies”), acquired on the lives of certain participants in the Marriott Vacations Worldwide Deferred Compensation Plan, that are held in a rabbi trust. The carrying value of the COLI policies is equal to their cash surrender value (Level 2 inputs). In addition, we have investments in marketable securities of $5 million that are marked to market as trading securities using quoted market prices (Level 1 inputs).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Securitized Debt</w:t>
      </w:r>
    </w:p>
    <w:p>
      <w:pPr>
        <w:spacing w:after="0" w:line="117"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We generate cash flow estimates by modeling all bond tranches for our active vacation ownership notes receivable securitization transactions, with consideration for the collateral specific to each tranche. The key drivers in our analysis include default rates, prepayment rates, bond interest rates and other structural factors, which we use to estimate the projected cash flows. In order to estimate market credit spreads by rating, we obtain indicative credit spreads from investment banks that actively issue and facilitate the market for vacation ownership securities and determine an average credit spread by rating level of the different tranches. We then apply those estimated market spreads to swap rates in order to estimate an underlying discount rate for calculating the fair value of the active bonds payable. We concluded that this fair value measurement should be categorized within Level 3.</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2026 Notes and 2028 Notes</w:t>
      </w:r>
    </w:p>
    <w:p>
      <w:pPr>
        <w:spacing w:after="0" w:line="117" w:lineRule="exact"/>
        <w:rPr>
          <w:sz w:val="20"/>
          <w:szCs w:val="20"/>
          <w:color w:val="auto"/>
        </w:rPr>
      </w:pPr>
    </w:p>
    <w:p>
      <w:pPr>
        <w:jc w:val="both"/>
        <w:ind w:right="100" w:firstLine="648"/>
        <w:spacing w:after="0" w:line="311" w:lineRule="auto"/>
        <w:rPr>
          <w:sz w:val="20"/>
          <w:szCs w:val="20"/>
          <w:color w:val="auto"/>
        </w:rPr>
      </w:pPr>
      <w:r>
        <w:rPr>
          <w:rFonts w:ascii="Arial" w:cs="Arial" w:eastAsia="Arial" w:hAnsi="Arial"/>
          <w:sz w:val="16"/>
          <w:szCs w:val="16"/>
          <w:color w:val="auto"/>
        </w:rPr>
        <w:t>We estimate the fair value of our 2026 Notes and 2028 Notes (as defined in Footnote 13 “Debt”) using quoted market prices as of the last trading day for the quarter; however these notes have only a limited trading history and volume, and as such this fair value estimate is not necessarily indicative of the value at which these notes could be retired or transferred. We concluded that this fair value measurement should be categorized within Level 2.</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Term Loan</w:t>
      </w:r>
    </w:p>
    <w:p>
      <w:pPr>
        <w:spacing w:after="0" w:line="117" w:lineRule="exact"/>
        <w:rPr>
          <w:sz w:val="20"/>
          <w:szCs w:val="20"/>
          <w:color w:val="auto"/>
        </w:rPr>
      </w:pPr>
    </w:p>
    <w:p>
      <w:pPr>
        <w:ind w:right="160" w:firstLine="648"/>
        <w:spacing w:after="0" w:line="311" w:lineRule="auto"/>
        <w:rPr>
          <w:sz w:val="20"/>
          <w:szCs w:val="20"/>
          <w:color w:val="auto"/>
        </w:rPr>
      </w:pPr>
      <w:r>
        <w:rPr>
          <w:rFonts w:ascii="Arial" w:cs="Arial" w:eastAsia="Arial" w:hAnsi="Arial"/>
          <w:sz w:val="16"/>
          <w:szCs w:val="16"/>
          <w:color w:val="auto"/>
        </w:rPr>
        <w:t>We estimate the fair value of our Term Loan (as defined in Footnote 13 “Debt”) using quotes from securities dealers as of the last trading day for the quarter; however these notes have only a limited trading history and volume, and as such this fair value estimate is not necessarily indicative of the value at which the Term Loan could be retired or transferred. We concluded that this fair value measurement should be categorized within Level 3.</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Revolving Corporate Credit Facility</w:t>
      </w:r>
    </w:p>
    <w:p>
      <w:pPr>
        <w:spacing w:after="0" w:line="117" w:lineRule="exact"/>
        <w:rPr>
          <w:sz w:val="20"/>
          <w:szCs w:val="20"/>
          <w:color w:val="auto"/>
        </w:rPr>
      </w:pPr>
    </w:p>
    <w:p>
      <w:pPr>
        <w:jc w:val="both"/>
        <w:ind w:right="380" w:firstLine="648"/>
        <w:spacing w:after="0" w:line="263" w:lineRule="auto"/>
        <w:rPr>
          <w:sz w:val="20"/>
          <w:szCs w:val="20"/>
          <w:color w:val="auto"/>
        </w:rPr>
      </w:pPr>
      <w:r>
        <w:rPr>
          <w:rFonts w:ascii="Arial" w:cs="Arial" w:eastAsia="Arial" w:hAnsi="Arial"/>
          <w:sz w:val="18"/>
          <w:szCs w:val="18"/>
          <w:color w:val="auto"/>
        </w:rPr>
        <w:t>We estimate that the fair value of our Revolving Corporate Credit Facility (as defined in Footnote 13 “Debt”) approximates its gross carrying value as the contractual interest rate is variable plus an applicable margin. We concluded that this fair value measurement should be categorized within Level 3.</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Convertible Notes</w:t>
      </w:r>
    </w:p>
    <w:p>
      <w:pPr>
        <w:spacing w:after="0" w:line="117" w:lineRule="exact"/>
        <w:rPr>
          <w:sz w:val="20"/>
          <w:szCs w:val="20"/>
          <w:color w:val="auto"/>
        </w:rPr>
      </w:pPr>
    </w:p>
    <w:p>
      <w:pPr>
        <w:ind w:firstLine="648"/>
        <w:spacing w:after="0" w:line="275" w:lineRule="auto"/>
        <w:rPr>
          <w:sz w:val="20"/>
          <w:szCs w:val="20"/>
          <w:color w:val="auto"/>
        </w:rPr>
      </w:pPr>
      <w:r>
        <w:rPr>
          <w:rFonts w:ascii="Arial" w:cs="Arial" w:eastAsia="Arial" w:hAnsi="Arial"/>
          <w:sz w:val="17"/>
          <w:szCs w:val="17"/>
          <w:color w:val="auto"/>
        </w:rPr>
        <w:t>We estimate the fair value of our Convertible Notes (as defined in Footnote 13 “Debt”) using quoted market prices as of the last trading day for the quarter; however these notes have only a limited trading history and volume and as such this fair value estimate is not necessarily indicative of the value at which the Convertible Notes could be retired or transferred. We concluded that this fair value measurement should be categorized within Level 2. The difference between the carrying value and the fair value is primarily attributed to the underlying conversion feature, and the spread between the conversion price and the market value of the shares underlying the Convertible Notes.</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40"/>
          </w:cols>
          <w:pgMar w:left="320" w:top="125" w:right="339" w:bottom="1440" w:gutter="0" w:footer="0" w:header="0"/>
        </w:sectPr>
      </w:pPr>
    </w:p>
    <w:bookmarkStart w:id="22" w:name="page23"/>
    <w:bookmarkEnd w:id="22"/>
    <w:p>
      <w:pPr>
        <w:ind w:left="380" w:hanging="345"/>
        <w:spacing w:after="0"/>
        <w:tabs>
          <w:tab w:leader="none" w:pos="38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94"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Basic (loss) earnings per common share attributable to common shareholders is calculated by dividing net (loss) income attributable to common shareholders by the weighted average number of shares of common stock outstanding during the reporting period. Treasury stock is excluded from the weighted average number of shares of common stock outstanding. Diluted earnings per common share attributable to common shareholders is calculated to give effect to all potentially dilutive common shares that were outstanding during the reporting period, except in periods when there is a loss because the inclusion of the potential common shares would have an anti-dilutive effect. The dilutive effect of outstanding equity-based compensation awards is reflected in diluted earnings per common share applicable to common shareholders by application of the treasury stock method using average market prices during the period.</w:t>
      </w:r>
    </w:p>
    <w:p>
      <w:pPr>
        <w:spacing w:after="0" w:line="87"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Our calculation of diluted earnings per share attributable to common shareholders reflects our intent to settle conversions of the Convertible Notes through a combination settlement, which contemplates repayment in cash of the principal amount and repayment in shares of our common stock of any excess of the conversion value over the principal amount (the “conversion premium”). Therefore, we include only the shares that may be issued with respect to any conversion premium in total dilutive weighted average shares outstanding, which we calculate using the treasury stock method. As no conversion premium existed as of March 31, 2020 or March 31, 2019, there was no dilutive impact from the Convertible Notes for either the first quarter of 2020 or 2019.</w:t>
      </w:r>
    </w:p>
    <w:p>
      <w:pPr>
        <w:spacing w:after="0" w:line="84"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The shares issuable on exercise of the Warrants (as defined in Footnote 13 “Debt”) sold in connection with the issuance of the Convertible Notes will not impact the total dilutive weighted average shares outstanding unless and until the price of our common stock exceeds the strike price, which was subject to adjustment during the first quarter of 2020 to $175.04, as described in Footnote 13 “Debt.” If and when the price of our common stock exceeds the strike price of the Warrants, we will include the dilutive effect of the additional shares that may be issued upon exercise of the Warrants in total dilutive weighted average shares outstanding, which we calculate using the treasury stock method. The Convertible Note Hedges (as defined in Footnote 13 “Debt”) purchased in connection with the issuance of the Convertible Notes are considered to be anti-dilutive and will not impact our calculation of diluted earnings per share attributable to common shareholders.</w:t>
      </w:r>
    </w:p>
    <w:p>
      <w:pPr>
        <w:spacing w:after="0" w:line="69"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The table below illustrates the reconciliation of the earnings and number of shares used in our calculation of basic and diluted (loss) earnings per share attributable to common shareholders.</w:t>
      </w:r>
    </w:p>
    <w:p>
      <w:pPr>
        <w:spacing w:after="0" w:line="130" w:lineRule="exact"/>
        <w:rPr>
          <w:sz w:val="20"/>
          <w:szCs w:val="20"/>
          <w:color w:val="auto"/>
        </w:rPr>
      </w:pPr>
    </w:p>
    <w:p>
      <w:pPr>
        <w:ind w:left="8640"/>
        <w:spacing w:after="0"/>
        <w:rPr>
          <w:sz w:val="20"/>
          <w:szCs w:val="20"/>
          <w:color w:val="auto"/>
        </w:rPr>
      </w:pPr>
      <w:r>
        <w:rPr>
          <w:rFonts w:ascii="Arial" w:cs="Arial" w:eastAsia="Arial" w:hAnsi="Arial"/>
          <w:sz w:val="16"/>
          <w:szCs w:val="16"/>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4788535</wp:posOffset>
            </wp:positionH>
            <wp:positionV relativeFrom="paragraph">
              <wp:posOffset>37465</wp:posOffset>
            </wp:positionV>
            <wp:extent cx="23317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331720" cy="8255"/>
                    </a:xfrm>
                    <a:prstGeom prst="rect">
                      <a:avLst/>
                    </a:prstGeom>
                    <a:noFill/>
                  </pic:spPr>
                </pic:pic>
              </a:graphicData>
            </a:graphic>
          </wp:anchor>
        </w:drawing>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40" w:type="dxa"/>
            <w:vAlign w:val="bottom"/>
          </w:tcPr>
          <w:p>
            <w:pPr>
              <w:spacing w:after="0"/>
              <w:rPr>
                <w:sz w:val="21"/>
                <w:szCs w:val="21"/>
                <w:color w:val="auto"/>
              </w:rPr>
            </w:pPr>
          </w:p>
        </w:tc>
        <w:tc>
          <w:tcPr>
            <w:tcW w:w="750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(in millions, except per share amounts)</w:t>
            </w:r>
          </w:p>
        </w:tc>
        <w:tc>
          <w:tcPr>
            <w:tcW w:w="240" w:type="dxa"/>
            <w:vAlign w:val="bottom"/>
          </w:tcPr>
          <w:p>
            <w:pPr>
              <w:spacing w:after="0"/>
              <w:rPr>
                <w:sz w:val="21"/>
                <w:szCs w:val="21"/>
                <w:color w:val="auto"/>
              </w:rPr>
            </w:pPr>
          </w:p>
        </w:tc>
        <w:tc>
          <w:tcPr>
            <w:tcW w:w="1660" w:type="dxa"/>
            <w:vAlign w:val="bottom"/>
            <w:gridSpan w:val="2"/>
          </w:tcPr>
          <w:p>
            <w:pPr>
              <w:ind w:left="100"/>
              <w:spacing w:after="0"/>
              <w:rPr>
                <w:sz w:val="20"/>
                <w:szCs w:val="20"/>
                <w:color w:val="auto"/>
              </w:rPr>
            </w:pPr>
            <w:r>
              <w:rPr>
                <w:rFonts w:ascii="Arial" w:cs="Arial" w:eastAsia="Arial" w:hAnsi="Arial"/>
                <w:sz w:val="16"/>
                <w:szCs w:val="16"/>
                <w:b w:val="1"/>
                <w:bCs w:val="1"/>
                <w:color w:val="auto"/>
              </w:rPr>
              <w:t>March 31, 2020</w:t>
            </w:r>
          </w:p>
        </w:tc>
        <w:tc>
          <w:tcPr>
            <w:tcW w:w="200" w:type="dxa"/>
            <w:vAlign w:val="bottom"/>
          </w:tcPr>
          <w:p>
            <w:pPr>
              <w:spacing w:after="0"/>
              <w:rPr>
                <w:sz w:val="21"/>
                <w:szCs w:val="21"/>
                <w:color w:val="auto"/>
              </w:rPr>
            </w:pPr>
          </w:p>
        </w:tc>
        <w:tc>
          <w:tcPr>
            <w:tcW w:w="1580" w:type="dxa"/>
            <w:vAlign w:val="bottom"/>
          </w:tcPr>
          <w:p>
            <w:pPr>
              <w:jc w:val="right"/>
              <w:ind w:right="231"/>
              <w:spacing w:after="0"/>
              <w:rPr>
                <w:sz w:val="20"/>
                <w:szCs w:val="20"/>
                <w:color w:val="auto"/>
              </w:rPr>
            </w:pPr>
            <w:r>
              <w:rPr>
                <w:rFonts w:ascii="Arial" w:cs="Arial" w:eastAsia="Arial" w:hAnsi="Arial"/>
                <w:sz w:val="16"/>
                <w:szCs w:val="16"/>
                <w:b w:val="1"/>
                <w:bCs w:val="1"/>
                <w:color w:val="auto"/>
                <w:w w:val="97"/>
              </w:rPr>
              <w:t>March 31, 2019</w:t>
            </w:r>
            <w:r>
              <w:rPr>
                <w:rFonts w:ascii="Arial" w:cs="Arial" w:eastAsia="Arial" w:hAnsi="Arial"/>
                <w:sz w:val="17"/>
                <w:szCs w:val="17"/>
                <w:b w:val="1"/>
                <w:bCs w:val="1"/>
                <w:color w:val="auto"/>
                <w:w w:val="97"/>
                <w:vertAlign w:val="superscript"/>
              </w:rPr>
              <w:t>(1)</w:t>
            </w:r>
          </w:p>
        </w:tc>
        <w:tc>
          <w:tcPr>
            <w:tcW w:w="0" w:type="dxa"/>
            <w:vAlign w:val="bottom"/>
          </w:tcPr>
          <w:p>
            <w:pPr>
              <w:spacing w:after="0"/>
              <w:rPr>
                <w:sz w:val="1"/>
                <w:szCs w:val="1"/>
                <w:color w:val="auto"/>
              </w:rPr>
            </w:pPr>
          </w:p>
        </w:tc>
      </w:tr>
      <w:tr>
        <w:trPr>
          <w:trHeight w:val="218"/>
        </w:trPr>
        <w:tc>
          <w:tcPr>
            <w:tcW w:w="40" w:type="dxa"/>
            <w:vAlign w:val="bottom"/>
          </w:tcPr>
          <w:p>
            <w:pPr>
              <w:spacing w:after="0"/>
              <w:rPr>
                <w:sz w:val="18"/>
                <w:szCs w:val="18"/>
                <w:color w:val="auto"/>
              </w:rPr>
            </w:pPr>
          </w:p>
        </w:tc>
        <w:tc>
          <w:tcPr>
            <w:tcW w:w="75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Computation of Basic (Loss) Earnings Per Share Attributable to Common Shareholders</w:t>
            </w:r>
          </w:p>
        </w:tc>
        <w:tc>
          <w:tcPr>
            <w:tcW w:w="240" w:type="dxa"/>
            <w:vAlign w:val="bottom"/>
            <w:tcBorders>
              <w:top w:val="single" w:sz="8" w:color="auto"/>
              <w:bottom w:val="single" w:sz="8" w:color="CCEEFF"/>
            </w:tcBorders>
            <w:shd w:val="clear" w:color="auto" w:fill="CCEEFF"/>
          </w:tcPr>
          <w:p>
            <w:pPr>
              <w:spacing w:after="0"/>
              <w:rPr>
                <w:sz w:val="18"/>
                <w:szCs w:val="18"/>
                <w:color w:val="auto"/>
              </w:rPr>
            </w:pPr>
          </w:p>
        </w:tc>
        <w:tc>
          <w:tcPr>
            <w:tcW w:w="1540" w:type="dxa"/>
            <w:vAlign w:val="bottom"/>
            <w:tcBorders>
              <w:top w:val="single" w:sz="8" w:color="auto"/>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CCEEFF"/>
            </w:tcBorders>
            <w:shd w:val="clear" w:color="auto" w:fill="CCEEFF"/>
          </w:tcPr>
          <w:p>
            <w:pPr>
              <w:spacing w:after="0"/>
              <w:rPr>
                <w:sz w:val="18"/>
                <w:szCs w:val="18"/>
                <w:color w:val="auto"/>
              </w:rPr>
            </w:pPr>
          </w:p>
        </w:tc>
        <w:tc>
          <w:tcPr>
            <w:tcW w:w="1580" w:type="dxa"/>
            <w:vAlign w:val="bottom"/>
            <w:tcBorders>
              <w:top w:val="single" w:sz="8" w:color="auto"/>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500" w:type="dxa"/>
            <w:vAlign w:val="bottom"/>
          </w:tcPr>
          <w:p>
            <w:pPr>
              <w:ind w:left="280"/>
              <w:spacing w:after="0"/>
              <w:rPr>
                <w:sz w:val="20"/>
                <w:szCs w:val="20"/>
                <w:color w:val="auto"/>
              </w:rPr>
            </w:pPr>
            <w:r>
              <w:rPr>
                <w:rFonts w:ascii="Arial" w:cs="Arial" w:eastAsia="Arial" w:hAnsi="Arial"/>
                <w:sz w:val="18"/>
                <w:szCs w:val="18"/>
                <w:color w:val="auto"/>
              </w:rPr>
              <w:t>Net (loss) income attributable to common shareholders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(106)</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580" w:type="dxa"/>
            <w:vAlign w:val="bottom"/>
          </w:tcPr>
          <w:p>
            <w:pPr>
              <w:jc w:val="right"/>
              <w:ind w:right="31"/>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Pr>
          <w:p>
            <w:pPr>
              <w:spacing w:after="0"/>
              <w:rPr>
                <w:sz w:val="23"/>
                <w:szCs w:val="23"/>
                <w:color w:val="auto"/>
              </w:rPr>
            </w:pPr>
          </w:p>
        </w:tc>
        <w:tc>
          <w:tcPr>
            <w:tcW w:w="7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Shares for basic (loss) earnings per share</w:t>
            </w:r>
          </w:p>
        </w:tc>
        <w:tc>
          <w:tcPr>
            <w:tcW w:w="24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41.5</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45.6</w:t>
            </w: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750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Basic (loss) earnings per share</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(2.56)</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0.52</w:t>
            </w: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7500" w:type="dxa"/>
            <w:vAlign w:val="bottom"/>
            <w:tcBorders>
              <w:bottom w:val="single" w:sz="8" w:color="CCEEFF"/>
            </w:tcBorders>
            <w:shd w:val="clear" w:color="auto" w:fill="CCEEFF"/>
          </w:tcPr>
          <w:p>
            <w:pPr>
              <w:ind w:left="20"/>
              <w:spacing w:after="0" w:line="185" w:lineRule="exact"/>
              <w:rPr>
                <w:sz w:val="20"/>
                <w:szCs w:val="20"/>
                <w:color w:val="auto"/>
              </w:rPr>
            </w:pPr>
            <w:r>
              <w:rPr>
                <w:rFonts w:ascii="Arial" w:cs="Arial" w:eastAsia="Arial" w:hAnsi="Arial"/>
                <w:sz w:val="17"/>
                <w:szCs w:val="17"/>
                <w:b w:val="1"/>
                <w:bCs w:val="1"/>
                <w:color w:val="auto"/>
              </w:rPr>
              <w:t>Computation of Diluted (loss) Earnings Per Share Attributable to Common Shareholders</w:t>
            </w:r>
          </w:p>
        </w:tc>
        <w:tc>
          <w:tcPr>
            <w:tcW w:w="240" w:type="dxa"/>
            <w:vAlign w:val="bottom"/>
            <w:tcBorders>
              <w:bottom w:val="single" w:sz="8" w:color="CCEEFF"/>
            </w:tcBorders>
            <w:shd w:val="clear" w:color="auto" w:fill="CCEEFF"/>
          </w:tcPr>
          <w:p>
            <w:pPr>
              <w:spacing w:after="0"/>
              <w:rPr>
                <w:sz w:val="17"/>
                <w:szCs w:val="17"/>
                <w:color w:val="auto"/>
              </w:rPr>
            </w:pPr>
          </w:p>
        </w:tc>
        <w:tc>
          <w:tcPr>
            <w:tcW w:w="15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5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500" w:type="dxa"/>
            <w:vAlign w:val="bottom"/>
          </w:tcPr>
          <w:p>
            <w:pPr>
              <w:ind w:left="280"/>
              <w:spacing w:after="0"/>
              <w:rPr>
                <w:sz w:val="20"/>
                <w:szCs w:val="20"/>
                <w:color w:val="auto"/>
              </w:rPr>
            </w:pPr>
            <w:r>
              <w:rPr>
                <w:rFonts w:ascii="Arial" w:cs="Arial" w:eastAsia="Arial" w:hAnsi="Arial"/>
                <w:sz w:val="18"/>
                <w:szCs w:val="18"/>
                <w:color w:val="auto"/>
              </w:rPr>
              <w:t>Net (loss) income attributable to common shareholders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(106)</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580" w:type="dxa"/>
            <w:vAlign w:val="bottom"/>
          </w:tcPr>
          <w:p>
            <w:pPr>
              <w:jc w:val="right"/>
              <w:ind w:right="31"/>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7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Shares for basic (loss) earnings per share</w:t>
            </w:r>
          </w:p>
        </w:tc>
        <w:tc>
          <w:tcPr>
            <w:tcW w:w="2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41.5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45.6</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500" w:type="dxa"/>
            <w:vAlign w:val="bottom"/>
          </w:tcPr>
          <w:p>
            <w:pPr>
              <w:ind w:left="280"/>
              <w:spacing w:after="0"/>
              <w:rPr>
                <w:sz w:val="20"/>
                <w:szCs w:val="20"/>
                <w:color w:val="auto"/>
              </w:rPr>
            </w:pPr>
            <w:r>
              <w:rPr>
                <w:rFonts w:ascii="Arial" w:cs="Arial" w:eastAsia="Arial" w:hAnsi="Arial"/>
                <w:sz w:val="18"/>
                <w:szCs w:val="18"/>
                <w:color w:val="auto"/>
              </w:rPr>
              <w:t>Effect of dilutive shares outstanding</w:t>
            </w:r>
          </w:p>
        </w:tc>
        <w:tc>
          <w:tcPr>
            <w:tcW w:w="24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75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Employee stock options and SARs</w:t>
            </w:r>
          </w:p>
        </w:tc>
        <w:tc>
          <w:tcPr>
            <w:tcW w:w="2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500" w:type="dxa"/>
            <w:vAlign w:val="bottom"/>
          </w:tcPr>
          <w:p>
            <w:pPr>
              <w:ind w:left="480"/>
              <w:spacing w:after="0"/>
              <w:rPr>
                <w:sz w:val="20"/>
                <w:szCs w:val="20"/>
                <w:color w:val="auto"/>
              </w:rPr>
            </w:pPr>
            <w:r>
              <w:rPr>
                <w:rFonts w:ascii="Arial" w:cs="Arial" w:eastAsia="Arial" w:hAnsi="Arial"/>
                <w:sz w:val="18"/>
                <w:szCs w:val="18"/>
                <w:color w:val="auto"/>
              </w:rPr>
              <w:t>Restricted stock units</w:t>
            </w:r>
          </w:p>
        </w:tc>
        <w:tc>
          <w:tcPr>
            <w:tcW w:w="240" w:type="dxa"/>
            <w:vAlign w:val="bottom"/>
          </w:tcPr>
          <w:p>
            <w:pPr>
              <w:spacing w:after="0"/>
              <w:rPr>
                <w:sz w:val="21"/>
                <w:szCs w:val="21"/>
                <w:color w:val="auto"/>
              </w:rPr>
            </w:pPr>
          </w:p>
        </w:tc>
        <w:tc>
          <w:tcPr>
            <w:tcW w:w="16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580" w:type="dxa"/>
            <w:vAlign w:val="bottom"/>
          </w:tcPr>
          <w:p>
            <w:pPr>
              <w:jc w:val="right"/>
              <w:ind w:right="31"/>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5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40" w:type="dxa"/>
            <w:vAlign w:val="bottom"/>
          </w:tcPr>
          <w:p>
            <w:pPr>
              <w:spacing w:after="0"/>
              <w:rPr>
                <w:sz w:val="22"/>
                <w:szCs w:val="22"/>
                <w:color w:val="auto"/>
              </w:rPr>
            </w:pPr>
          </w:p>
        </w:tc>
        <w:tc>
          <w:tcPr>
            <w:tcW w:w="7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Shares for diluted (loss) earnings per share</w:t>
            </w:r>
          </w:p>
        </w:tc>
        <w:tc>
          <w:tcPr>
            <w:tcW w:w="24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41.5</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46.1</w:t>
            </w: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7500" w:type="dxa"/>
            <w:vAlign w:val="bottom"/>
          </w:tcPr>
          <w:p>
            <w:pPr>
              <w:ind w:left="280"/>
              <w:spacing w:after="0"/>
              <w:rPr>
                <w:sz w:val="20"/>
                <w:szCs w:val="20"/>
                <w:color w:val="auto"/>
              </w:rPr>
            </w:pPr>
            <w:r>
              <w:rPr>
                <w:rFonts w:ascii="Arial" w:cs="Arial" w:eastAsia="Arial" w:hAnsi="Arial"/>
                <w:sz w:val="18"/>
                <w:szCs w:val="18"/>
                <w:color w:val="auto"/>
              </w:rPr>
              <w:t>Diluted (loss) earnings per share</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(2.56)</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0.51</w:t>
            </w:r>
          </w:p>
        </w:tc>
        <w:tc>
          <w:tcPr>
            <w:tcW w:w="0" w:type="dxa"/>
            <w:vAlign w:val="bottom"/>
          </w:tcPr>
          <w:p>
            <w:pPr>
              <w:spacing w:after="0"/>
              <w:rPr>
                <w:sz w:val="1"/>
                <w:szCs w:val="1"/>
                <w:color w:val="auto"/>
              </w:rPr>
            </w:pPr>
          </w:p>
        </w:tc>
      </w:tr>
      <w:tr>
        <w:trPr>
          <w:trHeight w:val="20"/>
        </w:trPr>
        <w:tc>
          <w:tcPr>
            <w:tcW w:w="7540" w:type="dxa"/>
            <w:vAlign w:val="bottom"/>
            <w:gridSpan w:val="2"/>
            <w:vMerge w:val="restart"/>
          </w:tcPr>
          <w:p>
            <w:pPr>
              <w:jc w:val="right"/>
              <w:ind w:right="5212"/>
              <w:spacing w:after="0"/>
              <w:rPr>
                <w:sz w:val="20"/>
                <w:szCs w:val="20"/>
                <w:color w:val="auto"/>
              </w:rPr>
            </w:pPr>
            <w:r>
              <w:rPr>
                <w:rFonts w:ascii="Arial" w:cs="Arial" w:eastAsia="Arial" w:hAnsi="Arial"/>
                <w:sz w:val="14"/>
                <w:szCs w:val="14"/>
                <w:color w:val="auto"/>
                <w:w w:val="91"/>
              </w:rPr>
              <w:t>_______________________________</w:t>
            </w:r>
          </w:p>
        </w:tc>
        <w:tc>
          <w:tcPr>
            <w:tcW w:w="2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7540" w:type="dxa"/>
            <w:vAlign w:val="bottom"/>
            <w:gridSpan w:val="2"/>
            <w:vMerge w:val="continue"/>
          </w:tcPr>
          <w:p>
            <w:pPr>
              <w:spacing w:after="0"/>
              <w:rPr>
                <w:sz w:val="13"/>
                <w:szCs w:val="13"/>
                <w:color w:val="auto"/>
              </w:rPr>
            </w:pPr>
          </w:p>
        </w:tc>
        <w:tc>
          <w:tcPr>
            <w:tcW w:w="24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38" w:lineRule="exact"/>
        <w:rPr>
          <w:sz w:val="20"/>
          <w:szCs w:val="20"/>
          <w:color w:val="auto"/>
        </w:rPr>
      </w:pPr>
    </w:p>
    <w:p>
      <w:pPr>
        <w:ind w:left="660" w:right="80" w:hanging="652"/>
        <w:spacing w:after="0" w:line="262" w:lineRule="auto"/>
        <w:tabs>
          <w:tab w:leader="none" w:pos="660" w:val="left"/>
        </w:tabs>
        <w:numPr>
          <w:ilvl w:val="0"/>
          <w:numId w:val="14"/>
        </w:numPr>
        <w:rPr>
          <w:rFonts w:ascii="Arial" w:cs="Arial" w:eastAsia="Arial" w:hAnsi="Arial"/>
          <w:sz w:val="22"/>
          <w:szCs w:val="22"/>
          <w:color w:val="auto"/>
          <w:vertAlign w:val="superscript"/>
        </w:rPr>
      </w:pPr>
      <w:r>
        <w:rPr>
          <w:rFonts w:ascii="Arial" w:cs="Arial" w:eastAsia="Arial" w:hAnsi="Arial"/>
          <w:sz w:val="16"/>
          <w:szCs w:val="16"/>
          <w:color w:val="auto"/>
        </w:rPr>
        <w:t>The computations of diluted earnings per share attributable to common shareholders exclude approximately 452,000 shares of common stock, the maximum number of shares issuable as of March 31, 2019, upon the vesting of certain performance-based awards, because the performance conditions required to be met for the shares subject to such awards to vest were not achieved by the end of the reporting period.</w:t>
      </w:r>
    </w:p>
    <w:p>
      <w:pPr>
        <w:spacing w:after="0" w:line="78" w:lineRule="exact"/>
        <w:rPr>
          <w:sz w:val="20"/>
          <w:szCs w:val="20"/>
          <w:color w:val="auto"/>
        </w:rPr>
      </w:pPr>
    </w:p>
    <w:p>
      <w:pPr>
        <w:ind w:right="140" w:firstLine="648"/>
        <w:spacing w:after="0" w:line="311" w:lineRule="auto"/>
        <w:rPr>
          <w:sz w:val="20"/>
          <w:szCs w:val="20"/>
          <w:color w:val="auto"/>
        </w:rPr>
      </w:pPr>
      <w:r>
        <w:rPr>
          <w:rFonts w:ascii="Arial" w:cs="Arial" w:eastAsia="Arial" w:hAnsi="Arial"/>
          <w:sz w:val="16"/>
          <w:szCs w:val="16"/>
          <w:color w:val="auto"/>
        </w:rPr>
        <w:t>In accordance with the applicable accounting guidance for calculating earnings per share, for the first quarter of 2019, we excluded from our calculation of diluted earnings per share 249,737 shares underlying stock appreciation rights (“SARs”) that may settle in shares of common stock because the exercise prices of such SARs, which ranged from $97.53 to $143.38, were greater than the average market price for the applicable period.</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20"/>
          </w:cols>
          <w:pgMar w:left="320" w:top="1255" w:right="35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40"/>
        <w:spacing w:after="0"/>
        <w:tabs>
          <w:tab w:leader="none" w:pos="360" w:val="left"/>
        </w:tabs>
        <w:rPr>
          <w:sz w:val="20"/>
          <w:szCs w:val="20"/>
          <w:color w:val="auto"/>
        </w:rPr>
      </w:pPr>
      <w:r>
        <w:rPr>
          <w:rFonts w:ascii="Arial" w:cs="Arial" w:eastAsia="Arial" w:hAnsi="Arial"/>
          <w:sz w:val="18"/>
          <w:szCs w:val="18"/>
          <w:b w:val="1"/>
          <w:bCs w:val="1"/>
          <w:color w:val="auto"/>
        </w:rPr>
        <w:t>9.</w:t>
        <w:tab/>
        <w:t>INVENTORY</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shows the composition of our inventory balances: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64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300" w:type="dxa"/>
            <w:vAlign w:val="bottom"/>
          </w:tcPr>
          <w:p>
            <w:pPr>
              <w:spacing w:after="0"/>
              <w:rPr>
                <w:sz w:val="20"/>
                <w:szCs w:val="20"/>
                <w:color w:val="auto"/>
              </w:rPr>
            </w:pPr>
          </w:p>
        </w:tc>
        <w:tc>
          <w:tcPr>
            <w:tcW w:w="2060" w:type="dxa"/>
            <w:vAlign w:val="bottom"/>
            <w:gridSpan w:val="2"/>
          </w:tcPr>
          <w:p>
            <w:pPr>
              <w:ind w:left="180"/>
              <w:spacing w:after="0"/>
              <w:rPr>
                <w:sz w:val="20"/>
                <w:szCs w:val="20"/>
                <w:color w:val="auto"/>
              </w:rPr>
            </w:pPr>
            <w:r>
              <w:rPr>
                <w:rFonts w:ascii="Arial" w:cs="Arial" w:eastAsia="Arial" w:hAnsi="Arial"/>
                <w:sz w:val="16"/>
                <w:szCs w:val="16"/>
                <w:b w:val="1"/>
                <w:bCs w:val="1"/>
                <w:color w:val="auto"/>
              </w:rPr>
              <w:t>At March 31, 2020</w:t>
            </w:r>
          </w:p>
        </w:tc>
        <w:tc>
          <w:tcPr>
            <w:tcW w:w="240" w:type="dxa"/>
            <w:vAlign w:val="bottom"/>
          </w:tcPr>
          <w:p>
            <w:pPr>
              <w:spacing w:after="0"/>
              <w:rPr>
                <w:sz w:val="20"/>
                <w:szCs w:val="20"/>
                <w:color w:val="auto"/>
              </w:rPr>
            </w:pPr>
          </w:p>
        </w:tc>
        <w:tc>
          <w:tcPr>
            <w:tcW w:w="2000" w:type="dxa"/>
            <w:vAlign w:val="bottom"/>
          </w:tcPr>
          <w:p>
            <w:pPr>
              <w:jc w:val="right"/>
              <w:ind w:right="272"/>
              <w:spacing w:after="0"/>
              <w:rPr>
                <w:sz w:val="20"/>
                <w:szCs w:val="20"/>
                <w:color w:val="auto"/>
              </w:rPr>
            </w:pPr>
            <w:r>
              <w:rPr>
                <w:rFonts w:ascii="Arial" w:cs="Arial" w:eastAsia="Arial" w:hAnsi="Arial"/>
                <w:sz w:val="16"/>
                <w:szCs w:val="16"/>
                <w:b w:val="1"/>
                <w:bCs w:val="1"/>
                <w:color w:val="auto"/>
                <w:w w:val="97"/>
              </w:rPr>
              <w:t>At December 31, 2019</w:t>
            </w:r>
          </w:p>
        </w:tc>
        <w:tc>
          <w:tcPr>
            <w:tcW w:w="0" w:type="dxa"/>
            <w:vAlign w:val="bottom"/>
          </w:tcPr>
          <w:p>
            <w:pPr>
              <w:spacing w:after="0"/>
              <w:rPr>
                <w:sz w:val="1"/>
                <w:szCs w:val="1"/>
                <w:color w:val="auto"/>
              </w:rPr>
            </w:pPr>
          </w:p>
        </w:tc>
      </w:tr>
      <w:tr>
        <w:trPr>
          <w:trHeight w:val="270"/>
        </w:trPr>
        <w:tc>
          <w:tcPr>
            <w:tcW w:w="66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Finished goods</w:t>
            </w:r>
            <w:r>
              <w:rPr>
                <w:rFonts w:ascii="Arial" w:cs="Arial" w:eastAsia="Arial" w:hAnsi="Arial"/>
                <w:sz w:val="18"/>
                <w:szCs w:val="18"/>
                <w:color w:val="auto"/>
                <w:vertAlign w:val="superscript"/>
              </w:rPr>
              <w:t>(1)</w:t>
            </w: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96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741</w:t>
            </w:r>
          </w:p>
        </w:tc>
        <w:tc>
          <w:tcPr>
            <w:tcW w:w="100" w:type="dxa"/>
            <w:vAlign w:val="bottom"/>
            <w:tcBorders>
              <w:top w:val="single" w:sz="8" w:color="CCEEFF"/>
            </w:tcBorders>
            <w:shd w:val="clear" w:color="auto" w:fill="CCEEFF"/>
          </w:tcPr>
          <w:p>
            <w:pPr>
              <w:spacing w:after="0"/>
              <w:rPr>
                <w:sz w:val="23"/>
                <w:szCs w:val="23"/>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200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777</w:t>
            </w:r>
          </w:p>
        </w:tc>
        <w:tc>
          <w:tcPr>
            <w:tcW w:w="0" w:type="dxa"/>
            <w:vAlign w:val="bottom"/>
          </w:tcPr>
          <w:p>
            <w:pPr>
              <w:spacing w:after="0"/>
              <w:rPr>
                <w:sz w:val="1"/>
                <w:szCs w:val="1"/>
                <w:color w:val="auto"/>
              </w:rPr>
            </w:pP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rPr>
              <w:t>Work-in-progress</w:t>
            </w:r>
          </w:p>
        </w:tc>
        <w:tc>
          <w:tcPr>
            <w:tcW w:w="300" w:type="dxa"/>
            <w:vAlign w:val="bottom"/>
          </w:tcPr>
          <w:p>
            <w:pPr>
              <w:spacing w:after="0"/>
              <w:rPr>
                <w:sz w:val="21"/>
                <w:szCs w:val="21"/>
                <w:color w:val="auto"/>
              </w:rPr>
            </w:pPr>
          </w:p>
        </w:tc>
        <w:tc>
          <w:tcPr>
            <w:tcW w:w="1960" w:type="dxa"/>
            <w:vAlign w:val="bottom"/>
          </w:tcPr>
          <w:p>
            <w:pPr>
              <w:jc w:val="right"/>
              <w:ind w:right="32"/>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00" w:type="dxa"/>
            <w:vAlign w:val="bottom"/>
          </w:tcPr>
          <w:p>
            <w:pPr>
              <w:jc w:val="right"/>
              <w:ind w:right="12"/>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7"/>
        </w:trPr>
        <w:tc>
          <w:tcPr>
            <w:tcW w:w="66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6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Real estate inventory</w:t>
            </w:r>
          </w:p>
        </w:tc>
        <w:tc>
          <w:tcPr>
            <w:tcW w:w="30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762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846</w:t>
            </w:r>
          </w:p>
        </w:tc>
        <w:tc>
          <w:tcPr>
            <w:tcW w:w="0" w:type="dxa"/>
            <w:vAlign w:val="bottom"/>
          </w:tcPr>
          <w:p>
            <w:pPr>
              <w:spacing w:after="0"/>
              <w:rPr>
                <w:sz w:val="1"/>
                <w:szCs w:val="1"/>
                <w:color w:val="auto"/>
              </w:rPr>
            </w:pP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rPr>
              <w:t>Other</w:t>
            </w:r>
          </w:p>
        </w:tc>
        <w:tc>
          <w:tcPr>
            <w:tcW w:w="300" w:type="dxa"/>
            <w:vAlign w:val="bottom"/>
          </w:tcPr>
          <w:p>
            <w:pPr>
              <w:spacing w:after="0"/>
              <w:rPr>
                <w:sz w:val="21"/>
                <w:szCs w:val="21"/>
                <w:color w:val="auto"/>
              </w:rPr>
            </w:pPr>
          </w:p>
        </w:tc>
        <w:tc>
          <w:tcPr>
            <w:tcW w:w="1960" w:type="dxa"/>
            <w:vAlign w:val="bottom"/>
          </w:tcPr>
          <w:p>
            <w:pPr>
              <w:jc w:val="right"/>
              <w:ind w:right="32"/>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00" w:type="dxa"/>
            <w:vAlign w:val="bottom"/>
          </w:tcPr>
          <w:p>
            <w:pPr>
              <w:jc w:val="right"/>
              <w:ind w:right="12"/>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66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664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776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2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859</w:t>
            </w:r>
          </w:p>
        </w:tc>
        <w:tc>
          <w:tcPr>
            <w:tcW w:w="0" w:type="dxa"/>
            <w:vAlign w:val="bottom"/>
          </w:tcPr>
          <w:p>
            <w:pPr>
              <w:spacing w:after="0"/>
              <w:rPr>
                <w:sz w:val="1"/>
                <w:szCs w:val="1"/>
                <w:color w:val="auto"/>
              </w:rPr>
            </w:pPr>
          </w:p>
        </w:tc>
      </w:tr>
      <w:tr>
        <w:trPr>
          <w:trHeight w:val="20"/>
        </w:trPr>
        <w:tc>
          <w:tcPr>
            <w:tcW w:w="66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_________________________</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64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660" w:right="520" w:hanging="652"/>
        <w:spacing w:after="0" w:line="216" w:lineRule="auto"/>
        <w:tabs>
          <w:tab w:leader="none" w:pos="660" w:val="left"/>
        </w:tabs>
        <w:numPr>
          <w:ilvl w:val="0"/>
          <w:numId w:val="15"/>
        </w:numPr>
        <w:rPr>
          <w:rFonts w:ascii="Arial" w:cs="Arial" w:eastAsia="Arial" w:hAnsi="Arial"/>
          <w:sz w:val="25"/>
          <w:szCs w:val="25"/>
          <w:color w:val="auto"/>
          <w:vertAlign w:val="superscript"/>
        </w:rPr>
      </w:pPr>
      <w:r>
        <w:rPr>
          <w:rFonts w:ascii="Arial" w:cs="Arial" w:eastAsia="Arial" w:hAnsi="Arial"/>
          <w:sz w:val="18"/>
          <w:szCs w:val="18"/>
          <w:color w:val="auto"/>
        </w:rPr>
        <w:t>Represents completed inventory that is registered for sale as vacation ownership interests and inventory expected to be acquired pursuant to estimated future foreclosures.</w:t>
      </w:r>
    </w:p>
    <w:p>
      <w:pPr>
        <w:spacing w:after="0" w:line="95" w:lineRule="exact"/>
        <w:rPr>
          <w:sz w:val="20"/>
          <w:szCs w:val="20"/>
          <w:color w:val="auto"/>
        </w:rPr>
      </w:pPr>
    </w:p>
    <w:p>
      <w:pPr>
        <w:ind w:right="260" w:firstLine="648"/>
        <w:spacing w:after="0" w:line="301" w:lineRule="auto"/>
        <w:rPr>
          <w:sz w:val="20"/>
          <w:szCs w:val="20"/>
          <w:color w:val="auto"/>
        </w:rPr>
      </w:pPr>
      <w:r>
        <w:rPr>
          <w:rFonts w:ascii="Arial" w:cs="Arial" w:eastAsia="Arial" w:hAnsi="Arial"/>
          <w:sz w:val="16"/>
          <w:szCs w:val="16"/>
          <w:color w:val="auto"/>
        </w:rPr>
        <w:t>We value vacation ownership products at the lower of cost or fair market value less costs to sell, in accordance with applicable accounting guidance, and we record operating supplies at the lower of cost (using the first-in, first-out method) or net realizable value. Product cost true-up activity relating to vacation ownership products increased carrying values of inventory by $8 million during the first quarter of 2020 and increased by $3 million during the first quarter of 2019. Additionally, during the first quarter of 2020, we recorded a $4 million impairment to Inventory.</w:t>
      </w:r>
    </w:p>
    <w:p>
      <w:pPr>
        <w:spacing w:after="0" w:line="49"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In addition to the above, at March 31, 2020, we had $147 million of completed vacation ownership units which have been classified as a component of Property and equipment until the time at which they are legally registered for sale as vacation ownership products. We also have $39 million and $38 million of deposits on future purchases of inventory at March 31, 2020 and December 31, 2019, respectively, which are included in the Other assets line on our Balance Sheets.</w:t>
      </w:r>
    </w:p>
    <w:p>
      <w:pPr>
        <w:spacing w:after="0" w:line="200" w:lineRule="exact"/>
        <w:rPr>
          <w:sz w:val="20"/>
          <w:szCs w:val="20"/>
          <w:color w:val="auto"/>
        </w:rPr>
      </w:pPr>
    </w:p>
    <w:p>
      <w:pPr>
        <w:spacing w:after="0" w:line="25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10. GOODWILL AND INTANGIBLES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117" w:lineRule="exact"/>
        <w:rPr>
          <w:sz w:val="20"/>
          <w:szCs w:val="20"/>
          <w:color w:val="auto"/>
        </w:rPr>
      </w:pPr>
    </w:p>
    <w:p>
      <w:pPr>
        <w:ind w:right="60" w:firstLine="661"/>
        <w:spacing w:after="0" w:line="277" w:lineRule="auto"/>
        <w:rPr>
          <w:sz w:val="20"/>
          <w:szCs w:val="20"/>
          <w:color w:val="auto"/>
        </w:rPr>
      </w:pPr>
      <w:r>
        <w:rPr>
          <w:rFonts w:ascii="Arial" w:cs="Arial" w:eastAsia="Arial" w:hAnsi="Arial"/>
          <w:sz w:val="18"/>
          <w:szCs w:val="18"/>
          <w:color w:val="auto"/>
        </w:rPr>
        <w:t>The following table details the carrying amount of our goodwill at March 31, 2020 and December 31, 2019, and reflects goodwill attributed to the ILG Acquisition.</w:t>
      </w:r>
    </w:p>
    <w:p>
      <w:pPr>
        <w:spacing w:after="0" w:line="117" w:lineRule="exact"/>
        <w:rPr>
          <w:sz w:val="20"/>
          <w:szCs w:val="20"/>
          <w:color w:val="auto"/>
        </w:rPr>
      </w:pPr>
    </w:p>
    <w:tbl>
      <w:tblPr>
        <w:tblLayout w:type="fixed"/>
        <w:tblInd w:w="1040" w:type="dxa"/>
        <w:tblCellMar>
          <w:top w:w="0" w:type="dxa"/>
          <w:left w:w="0" w:type="dxa"/>
          <w:bottom w:w="0" w:type="dxa"/>
          <w:right w:w="0" w:type="dxa"/>
        </w:tblCellMar>
      </w:tblPr>
      <w:tr>
        <w:trPr>
          <w:trHeight w:val="203"/>
        </w:trPr>
        <w:tc>
          <w:tcPr>
            <w:tcW w:w="3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0"/>
              </w:rPr>
              <w:t>Vacation Ownership</w:t>
            </w:r>
          </w:p>
        </w:tc>
        <w:tc>
          <w:tcPr>
            <w:tcW w:w="1920" w:type="dxa"/>
            <w:vAlign w:val="bottom"/>
            <w:gridSpan w:val="3"/>
          </w:tcPr>
          <w:p>
            <w:pPr>
              <w:ind w:left="40"/>
              <w:spacing w:after="0"/>
              <w:rPr>
                <w:sz w:val="20"/>
                <w:szCs w:val="20"/>
                <w:color w:val="auto"/>
              </w:rPr>
            </w:pPr>
            <w:r>
              <w:rPr>
                <w:rFonts w:ascii="Arial" w:cs="Arial" w:eastAsia="Arial" w:hAnsi="Arial"/>
                <w:sz w:val="16"/>
                <w:szCs w:val="16"/>
                <w:b w:val="1"/>
                <w:bCs w:val="1"/>
                <w:color w:val="auto"/>
              </w:rPr>
              <w:t>Exchange &amp; Third-Party</w:t>
            </w:r>
          </w:p>
        </w:tc>
        <w:tc>
          <w:tcPr>
            <w:tcW w:w="18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237"/>
        </w:trPr>
        <w:tc>
          <w:tcPr>
            <w:tcW w:w="358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140" w:type="dxa"/>
            <w:vAlign w:val="bottom"/>
          </w:tcPr>
          <w:p>
            <w:pPr>
              <w:spacing w:after="0"/>
              <w:rPr>
                <w:sz w:val="20"/>
                <w:szCs w:val="20"/>
                <w:color w:val="auto"/>
              </w:rPr>
            </w:pPr>
          </w:p>
        </w:tc>
        <w:tc>
          <w:tcPr>
            <w:tcW w:w="17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8"/>
              </w:rPr>
              <w:t>Segment</w:t>
            </w:r>
          </w:p>
        </w:tc>
        <w:tc>
          <w:tcPr>
            <w:tcW w:w="120" w:type="dxa"/>
            <w:vAlign w:val="bottom"/>
          </w:tcPr>
          <w:p>
            <w:pPr>
              <w:spacing w:after="0"/>
              <w:rPr>
                <w:sz w:val="20"/>
                <w:szCs w:val="20"/>
                <w:color w:val="auto"/>
              </w:rPr>
            </w:pPr>
          </w:p>
        </w:tc>
        <w:tc>
          <w:tcPr>
            <w:tcW w:w="1800" w:type="dxa"/>
            <w:vAlign w:val="bottom"/>
            <w:gridSpan w:val="2"/>
          </w:tcPr>
          <w:p>
            <w:pPr>
              <w:ind w:left="20"/>
              <w:spacing w:after="0"/>
              <w:rPr>
                <w:sz w:val="20"/>
                <w:szCs w:val="20"/>
                <w:color w:val="auto"/>
              </w:rPr>
            </w:pPr>
            <w:r>
              <w:rPr>
                <w:rFonts w:ascii="Arial" w:cs="Arial" w:eastAsia="Arial" w:hAnsi="Arial"/>
                <w:sz w:val="16"/>
                <w:szCs w:val="16"/>
                <w:b w:val="1"/>
                <w:bCs w:val="1"/>
                <w:color w:val="auto"/>
              </w:rPr>
              <w:t>Management Segment</w:t>
            </w:r>
          </w:p>
        </w:tc>
        <w:tc>
          <w:tcPr>
            <w:tcW w:w="180" w:type="dxa"/>
            <w:vAlign w:val="bottom"/>
          </w:tcPr>
          <w:p>
            <w:pPr>
              <w:spacing w:after="0"/>
              <w:rPr>
                <w:sz w:val="20"/>
                <w:szCs w:val="20"/>
                <w:color w:val="auto"/>
              </w:rPr>
            </w:pPr>
          </w:p>
        </w:tc>
        <w:tc>
          <w:tcPr>
            <w:tcW w:w="1620" w:type="dxa"/>
            <w:vAlign w:val="bottom"/>
          </w:tcPr>
          <w:p>
            <w:pPr>
              <w:jc w:val="right"/>
              <w:ind w:right="172"/>
              <w:spacing w:after="0"/>
              <w:rPr>
                <w:sz w:val="20"/>
                <w:szCs w:val="20"/>
                <w:color w:val="auto"/>
              </w:rPr>
            </w:pPr>
            <w:r>
              <w:rPr>
                <w:rFonts w:ascii="Arial" w:cs="Arial" w:eastAsia="Arial" w:hAnsi="Arial"/>
                <w:sz w:val="16"/>
                <w:szCs w:val="16"/>
                <w:b w:val="1"/>
                <w:bCs w:val="1"/>
                <w:color w:val="auto"/>
                <w:w w:val="93"/>
              </w:rPr>
              <w:t>Total Consolidated</w:t>
            </w:r>
          </w:p>
        </w:tc>
      </w:tr>
      <w:tr>
        <w:trPr>
          <w:trHeight w:val="249"/>
        </w:trPr>
        <w:tc>
          <w:tcPr>
            <w:tcW w:w="35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2019</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2,445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w w:val="71"/>
              </w:rPr>
              <w:t>$</w:t>
            </w:r>
          </w:p>
        </w:tc>
        <w:tc>
          <w:tcPr>
            <w:tcW w:w="168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447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2,892</w:t>
            </w:r>
          </w:p>
        </w:tc>
      </w:tr>
      <w:tr>
        <w:trPr>
          <w:trHeight w:val="243"/>
        </w:trPr>
        <w:tc>
          <w:tcPr>
            <w:tcW w:w="3580" w:type="dxa"/>
            <w:vAlign w:val="bottom"/>
          </w:tcPr>
          <w:p>
            <w:pPr>
              <w:ind w:left="280"/>
              <w:spacing w:after="0"/>
              <w:rPr>
                <w:sz w:val="20"/>
                <w:szCs w:val="20"/>
                <w:color w:val="auto"/>
              </w:rPr>
            </w:pPr>
            <w:r>
              <w:rPr>
                <w:rFonts w:ascii="Arial" w:cs="Arial" w:eastAsia="Arial" w:hAnsi="Arial"/>
                <w:sz w:val="18"/>
                <w:szCs w:val="18"/>
                <w:color w:val="auto"/>
              </w:rPr>
              <w:t>Impairment</w:t>
            </w:r>
          </w:p>
        </w:tc>
        <w:tc>
          <w:tcPr>
            <w:tcW w:w="140" w:type="dxa"/>
            <w:vAlign w:val="bottom"/>
          </w:tcPr>
          <w:p>
            <w:pPr>
              <w:spacing w:after="0"/>
              <w:rPr>
                <w:sz w:val="21"/>
                <w:szCs w:val="21"/>
                <w:color w:val="auto"/>
              </w:rPr>
            </w:pPr>
          </w:p>
        </w:tc>
        <w:tc>
          <w:tcPr>
            <w:tcW w:w="1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(73)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7"/>
        </w:trPr>
        <w:tc>
          <w:tcPr>
            <w:tcW w:w="3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70"/>
        </w:trPr>
        <w:tc>
          <w:tcPr>
            <w:tcW w:w="3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Foreign exchange adjustments</w:t>
            </w:r>
          </w:p>
        </w:tc>
        <w:tc>
          <w:tcPr>
            <w:tcW w:w="14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57"/>
        </w:trPr>
        <w:tc>
          <w:tcPr>
            <w:tcW w:w="3580" w:type="dxa"/>
            <w:vAlign w:val="bottom"/>
          </w:tcPr>
          <w:p>
            <w:pPr>
              <w:ind w:left="40"/>
              <w:spacing w:after="0"/>
              <w:rPr>
                <w:sz w:val="20"/>
                <w:szCs w:val="20"/>
                <w:color w:val="auto"/>
              </w:rPr>
            </w:pPr>
            <w:r>
              <w:rPr>
                <w:rFonts w:ascii="Arial" w:cs="Arial" w:eastAsia="Arial" w:hAnsi="Arial"/>
                <w:sz w:val="18"/>
                <w:szCs w:val="18"/>
                <w:color w:val="auto"/>
              </w:rPr>
              <w:t>Balance at March 31, 2020</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2,445</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5"/>
                <w:szCs w:val="15"/>
                <w:color w:val="auto"/>
                <w:w w:val="71"/>
              </w:rPr>
              <w:t>$</w:t>
            </w:r>
          </w:p>
        </w:tc>
        <w:tc>
          <w:tcPr>
            <w:tcW w:w="16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372</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2,817</w:t>
            </w:r>
          </w:p>
        </w:tc>
      </w:tr>
      <w:tr>
        <w:trPr>
          <w:trHeight w:val="20"/>
        </w:trPr>
        <w:tc>
          <w:tcPr>
            <w:tcW w:w="35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20" w:firstLine="661"/>
        <w:spacing w:after="0" w:line="255" w:lineRule="auto"/>
        <w:rPr>
          <w:sz w:val="20"/>
          <w:szCs w:val="20"/>
          <w:color w:val="auto"/>
        </w:rPr>
      </w:pPr>
      <w:r>
        <w:rPr>
          <w:rFonts w:ascii="Arial" w:cs="Arial" w:eastAsia="Arial" w:hAnsi="Arial"/>
          <w:sz w:val="18"/>
          <w:szCs w:val="18"/>
          <w:color w:val="auto"/>
        </w:rPr>
        <w:t>In connection with the preparation of the first quarter 2020 Financial Statements we initially concluded that it was more likely than not that the fair value of both of our reporting units were below their carrying amounts. The factors that led to this conclusion were related to the COVID-19 pandemic and included: (i) the substantial decline in our stock price and market capitalization; (ii) the closure of substantially all of our Vacation Ownership reporting unit sales centers; (iii) the governmental stay-at-home orders in place in many of the jurisdictions in which we operate; (iv) our planned furloughs and reduced work schedule arrangements; (v) the impact of travel restrictions on the hospitality industry; and (vi) the macroeconomic fallout from the COVID-19 pandemic.</w:t>
      </w:r>
    </w:p>
    <w:p>
      <w:pPr>
        <w:spacing w:after="0" w:line="84" w:lineRule="exact"/>
        <w:rPr>
          <w:sz w:val="20"/>
          <w:szCs w:val="20"/>
          <w:color w:val="auto"/>
        </w:rPr>
      </w:pPr>
    </w:p>
    <w:p>
      <w:pPr>
        <w:ind w:firstLine="661"/>
        <w:spacing w:after="0" w:line="255" w:lineRule="auto"/>
        <w:rPr>
          <w:sz w:val="20"/>
          <w:szCs w:val="20"/>
          <w:color w:val="auto"/>
        </w:rPr>
      </w:pPr>
      <w:r>
        <w:rPr>
          <w:rFonts w:ascii="Arial" w:cs="Arial" w:eastAsia="Arial" w:hAnsi="Arial"/>
          <w:sz w:val="18"/>
          <w:szCs w:val="18"/>
          <w:color w:val="auto"/>
        </w:rPr>
        <w:t>We utilized a combination of the income and market approaches to estimate the fair value of our reporting units (Level 3). We concluded that there was no impairment of the Vacation Ownership reporting unit as declines in expected future operating results were not substantial enough to cause the fair value of the reporting unit to be below its carrying amount. We recognized a non-cash impairment charge of $73 million in the Impairment line on our Income Statement during the first quarter of 2020 related to the Exchange &amp; Third-Party Management reporting unit, which was primarily driven by the change in expected future operating results as a result of the near-term and anticipated recovery of the business resulting from the impact of the COVID-19 pandemic.</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40"/>
          </w:cols>
          <w:pgMar w:left="320" w:top="125" w:right="3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Indefinite-Lived Intangibles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summarizes the activity related to our intangible assets, all of which are related to the Exchange &amp; Third-Party Management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segment.</w:t>
      </w:r>
    </w:p>
    <w:p>
      <w:pPr>
        <w:spacing w:after="0" w:line="157" w:lineRule="exact"/>
        <w:rPr>
          <w:sz w:val="20"/>
          <w:szCs w:val="20"/>
          <w:color w:val="auto"/>
        </w:rPr>
      </w:pPr>
    </w:p>
    <w:tbl>
      <w:tblPr>
        <w:tblLayout w:type="fixed"/>
        <w:tblInd w:w="1040" w:type="dxa"/>
        <w:tblCellMar>
          <w:top w:w="0" w:type="dxa"/>
          <w:left w:w="0" w:type="dxa"/>
          <w:bottom w:w="0" w:type="dxa"/>
          <w:right w:w="0" w:type="dxa"/>
        </w:tblCellMar>
      </w:tblPr>
      <w:tr>
        <w:trPr>
          <w:trHeight w:val="203"/>
        </w:trPr>
        <w:tc>
          <w:tcPr>
            <w:tcW w:w="7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20" w:type="dxa"/>
            <w:vAlign w:val="bottom"/>
          </w:tcPr>
          <w:p>
            <w:pPr>
              <w:jc w:val="right"/>
              <w:ind w:right="214"/>
              <w:spacing w:after="0"/>
              <w:rPr>
                <w:sz w:val="20"/>
                <w:szCs w:val="20"/>
                <w:color w:val="auto"/>
              </w:rPr>
            </w:pPr>
            <w:r>
              <w:rPr>
                <w:rFonts w:ascii="Arial" w:cs="Arial" w:eastAsia="Arial" w:hAnsi="Arial"/>
                <w:sz w:val="16"/>
                <w:szCs w:val="16"/>
                <w:b w:val="1"/>
                <w:bCs w:val="1"/>
                <w:color w:val="auto"/>
                <w:w w:val="97"/>
              </w:rPr>
              <w:t>Trade Names and</w:t>
            </w:r>
          </w:p>
        </w:tc>
      </w:tr>
      <w:tr>
        <w:trPr>
          <w:trHeight w:val="237"/>
        </w:trPr>
        <w:tc>
          <w:tcPr>
            <w:tcW w:w="73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20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ind w:right="394"/>
              <w:spacing w:after="0"/>
              <w:rPr>
                <w:sz w:val="20"/>
                <w:szCs w:val="20"/>
                <w:color w:val="auto"/>
              </w:rPr>
            </w:pPr>
            <w:r>
              <w:rPr>
                <w:rFonts w:ascii="Arial" w:cs="Arial" w:eastAsia="Arial" w:hAnsi="Arial"/>
                <w:sz w:val="16"/>
                <w:szCs w:val="16"/>
                <w:b w:val="1"/>
                <w:bCs w:val="1"/>
                <w:color w:val="auto"/>
              </w:rPr>
              <w:t>Trademarks</w:t>
            </w:r>
          </w:p>
        </w:tc>
      </w:tr>
      <w:tr>
        <w:trPr>
          <w:trHeight w:val="250"/>
        </w:trPr>
        <w:tc>
          <w:tcPr>
            <w:tcW w:w="7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2019</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82</w:t>
            </w:r>
          </w:p>
        </w:tc>
      </w:tr>
      <w:tr>
        <w:trPr>
          <w:trHeight w:val="243"/>
        </w:trPr>
        <w:tc>
          <w:tcPr>
            <w:tcW w:w="7360" w:type="dxa"/>
            <w:vAlign w:val="bottom"/>
          </w:tcPr>
          <w:p>
            <w:pPr>
              <w:ind w:left="260"/>
              <w:spacing w:after="0"/>
              <w:rPr>
                <w:sz w:val="20"/>
                <w:szCs w:val="20"/>
                <w:color w:val="auto"/>
              </w:rPr>
            </w:pPr>
            <w:r>
              <w:rPr>
                <w:rFonts w:ascii="Arial" w:cs="Arial" w:eastAsia="Arial" w:hAnsi="Arial"/>
                <w:sz w:val="18"/>
                <w:szCs w:val="18"/>
                <w:color w:val="auto"/>
              </w:rPr>
              <w:t>Impairment</w:t>
            </w:r>
          </w:p>
        </w:tc>
        <w:tc>
          <w:tcPr>
            <w:tcW w:w="20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7"/>
        </w:trPr>
        <w:tc>
          <w:tcPr>
            <w:tcW w:w="73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57"/>
        </w:trPr>
        <w:tc>
          <w:tcPr>
            <w:tcW w:w="7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March 31, 2020</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64</w:t>
            </w:r>
          </w:p>
        </w:tc>
      </w:tr>
      <w:tr>
        <w:trPr>
          <w:trHeight w:val="20"/>
        </w:trPr>
        <w:tc>
          <w:tcPr>
            <w:tcW w:w="7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160" w:firstLine="661"/>
        <w:spacing w:after="0" w:line="259" w:lineRule="auto"/>
        <w:rPr>
          <w:sz w:val="20"/>
          <w:szCs w:val="20"/>
          <w:color w:val="auto"/>
        </w:rPr>
      </w:pPr>
      <w:r>
        <w:rPr>
          <w:rFonts w:ascii="Arial" w:cs="Arial" w:eastAsia="Arial" w:hAnsi="Arial"/>
          <w:sz w:val="18"/>
          <w:szCs w:val="18"/>
          <w:color w:val="212529"/>
        </w:rPr>
        <w:t xml:space="preserve">In connection with the preparation of the first quarter 2020 Financial Statements we concluded that it was more likely than not that the fair value of our indefinite lived intangibles were below their carrying amounts. The factors that led to this conclusion were related to the COVID-19 pandemic and included: (i) </w:t>
      </w:r>
      <w:r>
        <w:rPr>
          <w:rFonts w:ascii="Arial" w:cs="Arial" w:eastAsia="Arial" w:hAnsi="Arial"/>
          <w:sz w:val="18"/>
          <w:szCs w:val="18"/>
          <w:color w:val="000000"/>
        </w:rPr>
        <w:t>the governmental stay-at-home orders in place in many of the jurisdictions in which we operate</w:t>
      </w:r>
      <w:r>
        <w:rPr>
          <w:rFonts w:ascii="Arial" w:cs="Arial" w:eastAsia="Arial" w:hAnsi="Arial"/>
          <w:sz w:val="18"/>
          <w:szCs w:val="18"/>
          <w:color w:val="212529"/>
        </w:rPr>
        <w:t>; (ii) the impact of travel restrictions on the hospitality industry; and (iii) the macroeconomic fallout from the COVID-19 pandemic.</w:t>
      </w:r>
    </w:p>
    <w:p>
      <w:pPr>
        <w:spacing w:after="0" w:line="79" w:lineRule="exact"/>
        <w:rPr>
          <w:sz w:val="20"/>
          <w:szCs w:val="20"/>
          <w:color w:val="auto"/>
        </w:rPr>
      </w:pPr>
    </w:p>
    <w:p>
      <w:pPr>
        <w:ind w:right="280" w:firstLine="661"/>
        <w:spacing w:after="0" w:line="286" w:lineRule="auto"/>
        <w:rPr>
          <w:sz w:val="20"/>
          <w:szCs w:val="20"/>
          <w:color w:val="auto"/>
        </w:rPr>
      </w:pPr>
      <w:r>
        <w:rPr>
          <w:rFonts w:ascii="Arial" w:cs="Arial" w:eastAsia="Arial" w:hAnsi="Arial"/>
          <w:sz w:val="17"/>
          <w:szCs w:val="17"/>
          <w:color w:val="212529"/>
        </w:rPr>
        <w:t>We used the relief of royalty method in calculating the fair value of the trade names and trademarks (Level 3). We recognized a non-cash impairment charge of $18 million in the Impairment line on our Income Statement during the first quarter of 2020, which was primarily attributed to the decline in estimated near-term revenues and related recovery of long-term revenues attributed to the impact of the COVID-19 pandemic.</w:t>
      </w:r>
    </w:p>
    <w:p>
      <w:pPr>
        <w:spacing w:after="0" w:line="200" w:lineRule="exact"/>
        <w:rPr>
          <w:sz w:val="20"/>
          <w:szCs w:val="20"/>
          <w:color w:val="auto"/>
        </w:rPr>
      </w:pPr>
    </w:p>
    <w:p>
      <w:pPr>
        <w:spacing w:after="0" w:line="23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11. CONTINGENCIES AND COMMITMENTS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Commitments and Letters of Credit</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March 31, 2020, we had the following commitments outstanding:</w:t>
      </w:r>
    </w:p>
    <w:p>
      <w:pPr>
        <w:spacing w:after="0" w:line="117" w:lineRule="exact"/>
        <w:rPr>
          <w:sz w:val="20"/>
          <w:szCs w:val="20"/>
          <w:color w:val="auto"/>
        </w:rPr>
      </w:pPr>
    </w:p>
    <w:p>
      <w:pPr>
        <w:ind w:left="980" w:right="120" w:hanging="324"/>
        <w:spacing w:after="0" w:line="263"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have various contracts for the use of information technology hardware and software that we use in the normal course of business. Our aggregate commitments under these contracts were $66 million, of which we expect $24 million, $20 million, $13 million, $7 million and $2 million will be paid in the remainder of 2020, 2021, 2022, 2023 and 2024, respectively.</w:t>
      </w:r>
    </w:p>
    <w:p>
      <w:pPr>
        <w:spacing w:after="0" w:line="75" w:lineRule="exact"/>
        <w:rPr>
          <w:rFonts w:ascii="Arial" w:cs="Arial" w:eastAsia="Arial" w:hAnsi="Arial"/>
          <w:sz w:val="18"/>
          <w:szCs w:val="18"/>
          <w:color w:val="auto"/>
        </w:rPr>
      </w:pPr>
    </w:p>
    <w:p>
      <w:pPr>
        <w:ind w:left="980" w:right="80" w:hanging="324"/>
        <w:spacing w:after="0" w:line="301" w:lineRule="auto"/>
        <w:tabs>
          <w:tab w:leader="none" w:pos="9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We have a remaining commitment to purchase an operating property, that we manage, located in New York, New York for $97 million. We expect to acquire the remaining units in the property, in their current form, in two transactions during 2021. See Footnote 3 “Acquisitions and Dispositions” for information on the purchase that occurred during the first quarter of 2020 and Footnote 16 “Variable Interest Entities” for additional information on this transaction and our activities relating to the variable interest entity involved in this transaction.</w:t>
      </w:r>
    </w:p>
    <w:p>
      <w:pPr>
        <w:spacing w:after="0" w:line="49" w:lineRule="exact"/>
        <w:rPr>
          <w:rFonts w:ascii="Arial" w:cs="Arial" w:eastAsia="Arial" w:hAnsi="Arial"/>
          <w:sz w:val="16"/>
          <w:szCs w:val="16"/>
          <w:color w:val="auto"/>
        </w:rPr>
      </w:pPr>
    </w:p>
    <w:p>
      <w:pPr>
        <w:ind w:left="980" w:right="220" w:hanging="324"/>
        <w:spacing w:after="0" w:line="259"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have a remaining commitment to purchase 88 vacation ownership units located in Bali, Indonesia for use in our Vacation Ownership segment, contingent upon completion of construction to agreed-upon standards. We expect to complete the acquisition in 2021 and to make the remaining payments with respect to these units when specific construction milestones are completed, as follows: $2 million in 2020 and $23 million in 2021.</w:t>
      </w:r>
    </w:p>
    <w:p>
      <w:pPr>
        <w:spacing w:after="0" w:line="78" w:lineRule="exact"/>
        <w:rPr>
          <w:rFonts w:ascii="Arial" w:cs="Arial" w:eastAsia="Arial" w:hAnsi="Arial"/>
          <w:sz w:val="18"/>
          <w:szCs w:val="18"/>
          <w:color w:val="auto"/>
        </w:rPr>
      </w:pPr>
    </w:p>
    <w:p>
      <w:pPr>
        <w:ind w:left="980" w:hanging="324"/>
        <w:spacing w:after="0" w:line="257"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have a remaining commitment to purchase an operating property, that we manage, located in San Francisco, California for $88 million. We expect to acquire the operating property over time and are committed to make payments for the operating property as follows: $32 million in 2021, $24 million in 2022, and $32 million in 2023. See Footnote 16 “Variable Interest Entities” for additional information on this transaction and our activities relating to the variable interest entity involved in this transaction and Footnote 3 “Acquisitions and Dispositions” for information on the purchase that occurred during the first quarter of 2020.</w:t>
      </w:r>
    </w:p>
    <w:p>
      <w:pPr>
        <w:spacing w:after="0" w:line="79" w:lineRule="exact"/>
        <w:rPr>
          <w:rFonts w:ascii="Arial" w:cs="Arial" w:eastAsia="Arial" w:hAnsi="Arial"/>
          <w:sz w:val="18"/>
          <w:szCs w:val="18"/>
          <w:color w:val="auto"/>
        </w:rPr>
      </w:pPr>
    </w:p>
    <w:p>
      <w:pPr>
        <w:ind w:left="980" w:hanging="324"/>
        <w:spacing w:after="0" w:line="259"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During the first quarter of 2020, we assigned a commitment to purchase a property located in Waikiki, Hawaii to a third-party developer. If we are unable to negotiate a capital efficient inventory arrangement, we are committed to purchasing the property, in its current form, for $98 million in 2021. See Footnote 16 “Variable Interest Entities” for additional information on this transaction and our activities relating to the variable interest entity involved in this transaction.</w:t>
      </w:r>
    </w:p>
    <w:p>
      <w:pPr>
        <w:spacing w:after="0" w:line="79"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Surety bonds issued as of March 31, 2020 totaled $103 million, the majority of which were requested by federal, state, or local governments in connection with our operations.</w:t>
      </w:r>
    </w:p>
    <w:p>
      <w:pPr>
        <w:spacing w:after="0" w:line="62"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As of March 31, 2020, we had $3 million of letters of credit outstanding under our Revolving Corporate Credit Facility (as defined in Footnote 13 “Debt”). In addition, as of March 31, 2020, we had $5 million in letters of credit outstanding related to and in lieu of reserves required for several vacation ownership notes receivable securitization transactions outstanding. These letters of credit are not issued pursuant to, nor do they impact our borrowing capacity under, the Revolving Credit Facility.</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40"/>
          </w:cols>
          <w:pgMar w:left="320" w:top="125" w:right="3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We estimate the cash outflow associated with completing the phases of our existing portfolio of vacation ownership projects currently under development will be approximately $7 million, of which $4 million is included within liabilities on our Balance Sheet at March 31, 2020. This estimate is based on our current development plans, which remain subject to change, and we expect the phases currently under development will be completed by the end of 2021.</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Guarantees</w:t>
      </w:r>
    </w:p>
    <w:p>
      <w:pPr>
        <w:spacing w:after="0" w:line="117"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Certain of our rental management agreements in our Exchange &amp; Third-Party Management segment provide for owners of properties we manage to receive specified percentages or guaranteed amounts of the rental revenue generated under our management. In these cases, the operating expenses for the rental operations are paid from the revenue generated by the rentals, the owners are then paid their contractual percentages or guaranteed amounts, and our vacation rental business either retains the balance (if any) as its fee or makes up the deficit. At March 31, 2020, our maximum exposure under fixed dollar guarantees was $27 million, of which $8 million, $9 million, $4 million, $2 million, $1 million and $3 million relate to the remainder of 2020, 2021, 2022, 2023, 2024 and thereafter. Based on the impact of the COVID-19 pandemic on our rental operations, we declared the occurrence of a force majeure event under many of these agreements, generally effective as of April 1, 2020. As a result, owner distributions made under such agreements will be paid on a net operating income basis, rather than as guaranteed amounts, until such time as force majeure event conditions abate.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Loss Contingencies</w:t>
      </w:r>
    </w:p>
    <w:p>
      <w:pPr>
        <w:spacing w:after="0" w:line="117" w:lineRule="exact"/>
        <w:rPr>
          <w:sz w:val="20"/>
          <w:szCs w:val="20"/>
          <w:color w:val="auto"/>
        </w:rPr>
      </w:pPr>
    </w:p>
    <w:p>
      <w:pPr>
        <w:ind w:right="160" w:firstLine="648"/>
        <w:spacing w:after="0" w:line="279" w:lineRule="auto"/>
        <w:rPr>
          <w:sz w:val="20"/>
          <w:szCs w:val="20"/>
          <w:color w:val="auto"/>
        </w:rPr>
      </w:pPr>
      <w:r>
        <w:rPr>
          <w:rFonts w:ascii="Arial" w:cs="Arial" w:eastAsia="Arial" w:hAnsi="Arial"/>
          <w:sz w:val="17"/>
          <w:szCs w:val="17"/>
          <w:color w:val="auto"/>
        </w:rPr>
        <w:t>In March 2017, RCHFU, L.L.C. and other owners at The Ritz-Carlton Club, Aspen Highlands (“RCC Aspen Highlands”) filed a complaint in an action pending in the U.S. District Court for the District of Colorado against us and certain third parties, alleging that their fractional interests were devalued by the affiliation of the RCC Aspen Highlands and other Ritz-Carlton Clubs with our points-based Marriott Vacation Club Destinations (“MVCD”) program. The plaintiffs are seeking compensatory damages, disgorgement, punitive damages, fees and costs.</w:t>
      </w:r>
    </w:p>
    <w:p>
      <w:pPr>
        <w:spacing w:after="0" w:line="63"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In May 2016, a purported class-action lawsuit was filed in the U.S. District Court for the Middle District of Florida by Anthony and Beth Lennen against us and certain third parties. The complaint challenged the characterization of the beneficial interests in the MVCD trust that are sold to customers as real estate interests under Florida law, the structure of the trust, and associated operational aspects of the trust. The plaintiffs sought declaratory relief, an unwinding of the MVCD product, and punitive damages. In August 2019, the District Court granted our motion for judgment on the pleadings and dismissed the case. The plaintiffs have appealed the ruling.</w:t>
      </w:r>
    </w:p>
    <w:p>
      <w:pPr>
        <w:spacing w:after="0" w:line="80" w:lineRule="exact"/>
        <w:rPr>
          <w:sz w:val="20"/>
          <w:szCs w:val="20"/>
          <w:color w:val="auto"/>
        </w:rPr>
      </w:pPr>
    </w:p>
    <w:p>
      <w:pPr>
        <w:ind w:right="100" w:firstLine="648"/>
        <w:spacing w:after="0" w:line="273" w:lineRule="auto"/>
        <w:rPr>
          <w:sz w:val="20"/>
          <w:szCs w:val="20"/>
          <w:color w:val="auto"/>
        </w:rPr>
      </w:pPr>
      <w:r>
        <w:rPr>
          <w:rFonts w:ascii="Arial" w:cs="Arial" w:eastAsia="Arial" w:hAnsi="Arial"/>
          <w:sz w:val="17"/>
          <w:szCs w:val="17"/>
          <w:color w:val="auto"/>
        </w:rPr>
        <w:t>In December 2016, Flora and Bruce Gillespie and other owners and former owners of fractional interests at the Fifth and Fifty-Fifth Residence Club located within The St. Regis, New York (the “St. Regis NY Club”) filed an action in the U.S. District Court for the Southern District of New York against ILG, certain of its subsidiaries, and certain third parties alleging that the sale of less than all interests offered in the fractional offering plan, the amendment of the plan to include additional units, and the rental of unsold fractional interests by the plan’s sponsor breached the relevant agreements and harmed the value of plaintiffs’ fractional interests. The plaintiffs are seeking compensatory damages, rescission, disgorgement, fees and costs. On May 21, 2020, the court granted our motion for summary judgment and dismissed the case.</w:t>
      </w:r>
    </w:p>
    <w:p>
      <w:pPr>
        <w:spacing w:after="0" w:line="70" w:lineRule="exact"/>
        <w:rPr>
          <w:sz w:val="20"/>
          <w:szCs w:val="20"/>
          <w:color w:val="auto"/>
        </w:rPr>
      </w:pPr>
    </w:p>
    <w:p>
      <w:pPr>
        <w:ind w:right="80" w:firstLine="648"/>
        <w:spacing w:after="0" w:line="253" w:lineRule="auto"/>
        <w:rPr>
          <w:sz w:val="20"/>
          <w:szCs w:val="20"/>
          <w:color w:val="auto"/>
        </w:rPr>
      </w:pPr>
      <w:r>
        <w:rPr>
          <w:rFonts w:ascii="Arial" w:cs="Arial" w:eastAsia="Arial" w:hAnsi="Arial"/>
          <w:sz w:val="18"/>
          <w:szCs w:val="18"/>
          <w:color w:val="auto"/>
        </w:rPr>
        <w:t>In February 2017, the owners’ association for the St. Regis NY Club filed a separate suit against ILG and certain of its subsidiaries in the U.S. District Court for the Southern District of New York, which was amended to add Marriott International and Starwood as additional defendants in March 2017. The lawsuit was subsequently transferred to the U.S. District Court for the Middle District of Florida. The operative complaint alleged that the sponsor of the St. Regis NY Club (St. Regis Residence Club, New York, Inc.), the St. Regis NY Club manager (St. Regis New York Management, Inc.), and certain affiliated entities, as well as Marriott International and Starwood, breached their fiduciary duties related to sale and rental practices, and further alleged tortious interference with the management agreement, unjust enrichment, and anticompetitive conduct. The amended complaint also alleged anticompetitive conduct in connection with the renewal of the St. Regis NY Club management agreement. The plaintiff sought declaratory relief in connection with the Starpoint conversion program and the exchange program at the St. Regis NY Club, unspecified damages, and disgorgement of payments under the management and purchase agreements. In March 2020, the U.S. District Court for the Middle District of Florida dismissed the case with prejudice.</w:t>
      </w:r>
    </w:p>
    <w:p>
      <w:pPr>
        <w:spacing w:after="0" w:line="86" w:lineRule="exact"/>
        <w:rPr>
          <w:sz w:val="20"/>
          <w:szCs w:val="20"/>
          <w:color w:val="auto"/>
        </w:rPr>
      </w:pPr>
    </w:p>
    <w:p>
      <w:pPr>
        <w:ind w:right="20" w:firstLine="648"/>
        <w:spacing w:after="0" w:line="296" w:lineRule="auto"/>
        <w:rPr>
          <w:sz w:val="20"/>
          <w:szCs w:val="20"/>
          <w:color w:val="auto"/>
        </w:rPr>
      </w:pPr>
      <w:r>
        <w:rPr>
          <w:rFonts w:ascii="Arial" w:cs="Arial" w:eastAsia="Arial" w:hAnsi="Arial"/>
          <w:sz w:val="16"/>
          <w:szCs w:val="16"/>
          <w:color w:val="auto"/>
        </w:rPr>
        <w:t>In February 2019, the owners’ association for the St. Regis NY Club filed a separate lawsuit in the Supreme Court for the State of New York, New York County, Commercial Division against ILG and several of its subsidiaries and certain third parties. The operative complaint alleges that the defendants breached their fiduciary duties related to sale and rental practices, aided and abetted certain breaches of fiduciary duty, engaged in self-dealing as the sponsor and manager of the club, tortiously interfered with the management agreement, was unjustly enriched, and engaged in anticompetitive conduct. The plaintiff is seeking unspecified damages, punitive damages and disgorgement of payments under the management and purchase agreements.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40"/>
          </w:cols>
          <w:pgMar w:left="320" w:top="125" w:right="3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In April 2019, a purported class-action lawsuit was filed by Alan and Marjorie Helman and others against us in the Superior Court of the Virgin Islands, Division of St. Thomas alleging that their fractional interests were devalued by the affiliation of The Ritz-Carlton Club, St. Thomas and other Ritz-Carlton Clubs with our MVCD program. The lawsuit was subsequently removed to the U.S. District Court for the District of the Virgin Islands. The plaintiffs are seeking unspecified damages, disgorgement of profits, fees and costs.</w:t>
      </w:r>
    </w:p>
    <w:p>
      <w:pPr>
        <w:spacing w:after="0" w:line="79"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In May 2019, the G.A. Resort Condominium Association Inc., the owners’ association for the fractional owners at the Hyatt Residence Club Grand Aspen resort (“HRC Grand Aspen”) filed a lawsuit against us in the District Court for the County of Pitkin, Colorado relating to the transfer of ownership of developer-owned fractional interests at HRC Grand Aspen to the HPC Trust Club for sale and use as a part of the Hyatt Residence Club Portfolio Program. The lawsuit was subsequently removed to the U.S. District Court for the District of Colorado. The plaintiff is seeking termination of the management agreement with the owners’ association, the annulment of certain amendments to governing documents at HRC Grand Aspen, the removal of fractional interests at HRC Grand Aspen from the HPC Trust Club, unspecified damages, disgorgement of profits, fees and costs.</w:t>
      </w:r>
    </w:p>
    <w:p>
      <w:pPr>
        <w:spacing w:after="0" w:line="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believe we have meritorious defenses to the claims in each of the above matters and intend to vigorously defend each matter.</w:t>
      </w:r>
    </w:p>
    <w:p>
      <w:pPr>
        <w:spacing w:after="0" w:line="117"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In the ordinary course of our business, various claims and lawsuits have been filed or are pending against us. A number of these lawsuits and claims may exist at any given time. Additionally, the COVID-19 pandemic may give rise to various claims and lawsuits from owners, members and other parties. We record and accrue for legal contingencies when we determine that it is probable that a liability has been incurred and the amount of the loss can be reasonably estimated. In making such determinations, we evaluate, among other things, the degree of probability of an unfavorable outcome and, when it is probable that a liability has been incurred, our ability to make a reasonable estimate of loss. We review these accruals each reporting period and make revisions based on changes in facts and circumstances.</w:t>
      </w:r>
    </w:p>
    <w:p>
      <w:pPr>
        <w:spacing w:after="0" w:line="70"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We have not accrued for any of the pending matters described above and we cannot estimate a range of the potential liability associated with these pending matters, if any, at this time. We have accrued for other claims and lawsuits, but the amount accrued is not material in the aggregate. For matters not requiring accrual, we do not believe that the ultimate outcome of such matters, individually and in the aggregate, will materially harm our financial position, cash flows, or overall trends in results of operations based on information currently available. However, legal proceedings are inherently uncertain, and while we believe that our accruals are adequate and/or we have valid defenses to the claims asserted, unfavorable rulings could occur that could, individually or in the aggregate, have a material adverse effect on our business, financial condition, or operating results.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Leases That Have Not Yet Commenced</w:t>
      </w:r>
    </w:p>
    <w:p>
      <w:pPr>
        <w:spacing w:after="0" w:line="117" w:lineRule="exact"/>
        <w:rPr>
          <w:sz w:val="20"/>
          <w:szCs w:val="20"/>
          <w:color w:val="auto"/>
        </w:rPr>
      </w:pPr>
    </w:p>
    <w:p>
      <w:pPr>
        <w:ind w:right="100" w:firstLine="648"/>
        <w:spacing w:after="0" w:line="254" w:lineRule="auto"/>
        <w:rPr>
          <w:sz w:val="20"/>
          <w:szCs w:val="20"/>
          <w:color w:val="auto"/>
        </w:rPr>
      </w:pPr>
      <w:r>
        <w:rPr>
          <w:rFonts w:ascii="Arial" w:cs="Arial" w:eastAsia="Arial" w:hAnsi="Arial"/>
          <w:sz w:val="18"/>
          <w:szCs w:val="18"/>
          <w:color w:val="auto"/>
        </w:rPr>
        <w:t>During the first quarter of 2020, we entered into a finance lease arrangement for our new global headquarters in Orlando, Florida. The new office building is expected to be completed in 2021, at which time the lease term will commence and a right-of-use asset and corresponding liability will be recorded on our balance sheet. The initial lease term is approximately 16 years with total lease payments of $129 million for the aforementioned period. Subsequent to the first quarter of 2020, in response to the COVID-19 pandemic and our ongoing evaluation of future space needs, we entered into a standstill arrangement with the developer/lessor. The agreement provides for a standstill on certain project spending for several months, extends certain deliverable dates pertaining to the development and lease, and grants MVW a limited termination option in exchange for reimbursement of certain developer soft costs.</w:t>
      </w:r>
    </w:p>
    <w:p>
      <w:pPr>
        <w:spacing w:after="0" w:line="1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20"/>
          </w:cols>
          <w:pgMar w:left="320" w:top="125" w:right="35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12. SECURITIZED DEBT</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provides detail on our securitized debt, net of unamortized debt discount and issuance costs.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64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300" w:type="dxa"/>
            <w:vAlign w:val="bottom"/>
          </w:tcPr>
          <w:p>
            <w:pPr>
              <w:spacing w:after="0"/>
              <w:rPr>
                <w:sz w:val="20"/>
                <w:szCs w:val="20"/>
                <w:color w:val="auto"/>
              </w:rPr>
            </w:pPr>
          </w:p>
        </w:tc>
        <w:tc>
          <w:tcPr>
            <w:tcW w:w="2060" w:type="dxa"/>
            <w:vAlign w:val="bottom"/>
            <w:gridSpan w:val="2"/>
          </w:tcPr>
          <w:p>
            <w:pPr>
              <w:ind w:left="180"/>
              <w:spacing w:after="0"/>
              <w:rPr>
                <w:sz w:val="20"/>
                <w:szCs w:val="20"/>
                <w:color w:val="auto"/>
              </w:rPr>
            </w:pPr>
            <w:r>
              <w:rPr>
                <w:rFonts w:ascii="Arial" w:cs="Arial" w:eastAsia="Arial" w:hAnsi="Arial"/>
                <w:sz w:val="16"/>
                <w:szCs w:val="16"/>
                <w:b w:val="1"/>
                <w:bCs w:val="1"/>
                <w:color w:val="auto"/>
              </w:rPr>
              <w:t>At March 31, 2020</w:t>
            </w:r>
          </w:p>
        </w:tc>
        <w:tc>
          <w:tcPr>
            <w:tcW w:w="240" w:type="dxa"/>
            <w:vAlign w:val="bottom"/>
          </w:tcPr>
          <w:p>
            <w:pPr>
              <w:spacing w:after="0"/>
              <w:rPr>
                <w:sz w:val="20"/>
                <w:szCs w:val="20"/>
                <w:color w:val="auto"/>
              </w:rPr>
            </w:pPr>
          </w:p>
        </w:tc>
        <w:tc>
          <w:tcPr>
            <w:tcW w:w="2000" w:type="dxa"/>
            <w:vAlign w:val="bottom"/>
          </w:tcPr>
          <w:p>
            <w:pPr>
              <w:jc w:val="right"/>
              <w:ind w:right="271"/>
              <w:spacing w:after="0"/>
              <w:rPr>
                <w:sz w:val="20"/>
                <w:szCs w:val="20"/>
                <w:color w:val="auto"/>
              </w:rPr>
            </w:pPr>
            <w:r>
              <w:rPr>
                <w:rFonts w:ascii="Arial" w:cs="Arial" w:eastAsia="Arial" w:hAnsi="Arial"/>
                <w:sz w:val="16"/>
                <w:szCs w:val="16"/>
                <w:b w:val="1"/>
                <w:bCs w:val="1"/>
                <w:color w:val="auto"/>
                <w:w w:val="97"/>
              </w:rPr>
              <w:t>At December 31, 2019</w:t>
            </w:r>
          </w:p>
        </w:tc>
        <w:tc>
          <w:tcPr>
            <w:tcW w:w="0" w:type="dxa"/>
            <w:vAlign w:val="bottom"/>
          </w:tcPr>
          <w:p>
            <w:pPr>
              <w:spacing w:after="0"/>
              <w:rPr>
                <w:sz w:val="1"/>
                <w:szCs w:val="1"/>
                <w:color w:val="auto"/>
              </w:rPr>
            </w:pPr>
          </w:p>
        </w:tc>
      </w:tr>
      <w:tr>
        <w:trPr>
          <w:trHeight w:val="270"/>
        </w:trPr>
        <w:tc>
          <w:tcPr>
            <w:tcW w:w="66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Vacation ownership notes receivable securitizations, gross</w:t>
            </w:r>
            <w:r>
              <w:rPr>
                <w:rFonts w:ascii="Arial" w:cs="Arial" w:eastAsia="Arial" w:hAnsi="Arial"/>
                <w:sz w:val="18"/>
                <w:szCs w:val="18"/>
                <w:color w:val="auto"/>
                <w:vertAlign w:val="superscript"/>
              </w:rPr>
              <w:t>(1)</w:t>
            </w: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960" w:type="dxa"/>
            <w:vAlign w:val="bottom"/>
            <w:tcBorders>
              <w:top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1,706</w:t>
            </w:r>
          </w:p>
        </w:tc>
        <w:tc>
          <w:tcPr>
            <w:tcW w:w="100" w:type="dxa"/>
            <w:vAlign w:val="bottom"/>
            <w:tcBorders>
              <w:top w:val="single" w:sz="8" w:color="CCEEFF"/>
            </w:tcBorders>
            <w:shd w:val="clear" w:color="auto" w:fill="CCEEFF"/>
          </w:tcPr>
          <w:p>
            <w:pPr>
              <w:spacing w:after="0"/>
              <w:rPr>
                <w:sz w:val="23"/>
                <w:szCs w:val="23"/>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200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1,850</w:t>
            </w:r>
          </w:p>
        </w:tc>
        <w:tc>
          <w:tcPr>
            <w:tcW w:w="0" w:type="dxa"/>
            <w:vAlign w:val="bottom"/>
          </w:tcPr>
          <w:p>
            <w:pPr>
              <w:spacing w:after="0"/>
              <w:rPr>
                <w:sz w:val="1"/>
                <w:szCs w:val="1"/>
                <w:color w:val="auto"/>
              </w:rPr>
            </w:pP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rPr>
              <w:t>Unamortized debt discount and issuance costs</w:t>
            </w:r>
          </w:p>
        </w:tc>
        <w:tc>
          <w:tcPr>
            <w:tcW w:w="300" w:type="dxa"/>
            <w:vAlign w:val="bottom"/>
          </w:tcPr>
          <w:p>
            <w:pPr>
              <w:spacing w:after="0"/>
              <w:rPr>
                <w:sz w:val="21"/>
                <w:szCs w:val="21"/>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
        </w:trPr>
        <w:tc>
          <w:tcPr>
            <w:tcW w:w="66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6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1,690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1,832</w:t>
            </w:r>
          </w:p>
        </w:tc>
        <w:tc>
          <w:tcPr>
            <w:tcW w:w="0" w:type="dxa"/>
            <w:vAlign w:val="bottom"/>
          </w:tcPr>
          <w:p>
            <w:pPr>
              <w:spacing w:after="0"/>
              <w:rPr>
                <w:sz w:val="1"/>
                <w:szCs w:val="1"/>
                <w:color w:val="auto"/>
              </w:rPr>
            </w:pPr>
          </w:p>
        </w:tc>
      </w:tr>
      <w:tr>
        <w:trPr>
          <w:trHeight w:val="297"/>
        </w:trPr>
        <w:tc>
          <w:tcPr>
            <w:tcW w:w="6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Warehouse Credit Facility, gross</w:t>
            </w:r>
            <w:r>
              <w:rPr>
                <w:rFonts w:ascii="Arial" w:cs="Arial" w:eastAsia="Arial" w:hAnsi="Arial"/>
                <w:sz w:val="18"/>
                <w:szCs w:val="18"/>
                <w:color w:val="auto"/>
                <w:vertAlign w:val="superscript"/>
              </w:rPr>
              <w:t>(2)</w:t>
            </w:r>
          </w:p>
        </w:tc>
        <w:tc>
          <w:tcPr>
            <w:tcW w:w="300" w:type="dxa"/>
            <w:vAlign w:val="bottom"/>
            <w:shd w:val="clear" w:color="auto" w:fill="CCEEFF"/>
          </w:tcPr>
          <w:p>
            <w:pPr>
              <w:spacing w:after="0"/>
              <w:rPr>
                <w:sz w:val="23"/>
                <w:szCs w:val="23"/>
                <w:color w:val="auto"/>
              </w:rPr>
            </w:pPr>
          </w:p>
        </w:tc>
        <w:tc>
          <w:tcPr>
            <w:tcW w:w="19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219</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20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rPr>
              <w:t>Unamortized debt issuance costs</w:t>
            </w:r>
          </w:p>
        </w:tc>
        <w:tc>
          <w:tcPr>
            <w:tcW w:w="300" w:type="dxa"/>
            <w:vAlign w:val="bottom"/>
          </w:tcPr>
          <w:p>
            <w:pPr>
              <w:spacing w:after="0"/>
              <w:rPr>
                <w:sz w:val="21"/>
                <w:szCs w:val="21"/>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66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6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97"/>
        </w:trPr>
        <w:tc>
          <w:tcPr>
            <w:tcW w:w="6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CCEEFF"/>
            </w:tcBorders>
            <w:shd w:val="clear" w:color="auto" w:fill="CCEEFF"/>
          </w:tcPr>
          <w:p>
            <w:pPr>
              <w:spacing w:after="0"/>
              <w:rPr>
                <w:sz w:val="23"/>
                <w:szCs w:val="23"/>
                <w:color w:val="auto"/>
              </w:rPr>
            </w:pPr>
          </w:p>
        </w:tc>
        <w:tc>
          <w:tcPr>
            <w:tcW w:w="1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2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37"/>
        </w:trPr>
        <w:tc>
          <w:tcPr>
            <w:tcW w:w="664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1,926</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2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1,871</w:t>
            </w:r>
          </w:p>
        </w:tc>
        <w:tc>
          <w:tcPr>
            <w:tcW w:w="0" w:type="dxa"/>
            <w:vAlign w:val="bottom"/>
          </w:tcPr>
          <w:p>
            <w:pPr>
              <w:spacing w:after="0"/>
              <w:rPr>
                <w:sz w:val="1"/>
                <w:szCs w:val="1"/>
                <w:color w:val="auto"/>
              </w:rPr>
            </w:pPr>
          </w:p>
        </w:tc>
      </w:tr>
      <w:tr>
        <w:trPr>
          <w:trHeight w:val="27"/>
        </w:trPr>
        <w:tc>
          <w:tcPr>
            <w:tcW w:w="6640" w:type="dxa"/>
            <w:vAlign w:val="bottom"/>
            <w:vMerge w:val="restart"/>
          </w:tcPr>
          <w:p>
            <w:pPr>
              <w:spacing w:after="0"/>
              <w:rPr>
                <w:sz w:val="20"/>
                <w:szCs w:val="20"/>
                <w:color w:val="auto"/>
              </w:rPr>
            </w:pPr>
            <w:r>
              <w:rPr>
                <w:rFonts w:ascii="Arial" w:cs="Arial" w:eastAsia="Arial" w:hAnsi="Arial"/>
                <w:sz w:val="18"/>
                <w:szCs w:val="18"/>
                <w:color w:val="auto"/>
              </w:rPr>
              <w:t>_________________________</w:t>
            </w:r>
          </w:p>
        </w:tc>
        <w:tc>
          <w:tcPr>
            <w:tcW w:w="30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640" w:type="dxa"/>
            <w:vAlign w:val="bottom"/>
            <w:vMerge w:val="continue"/>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64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660" w:hanging="652"/>
        <w:spacing w:after="0" w:line="225" w:lineRule="auto"/>
        <w:tabs>
          <w:tab w:leader="none" w:pos="660" w:val="left"/>
        </w:tabs>
        <w:numPr>
          <w:ilvl w:val="0"/>
          <w:numId w:val="17"/>
        </w:numPr>
        <w:rPr>
          <w:rFonts w:ascii="Arial" w:cs="Arial" w:eastAsia="Arial" w:hAnsi="Arial"/>
          <w:sz w:val="25"/>
          <w:szCs w:val="25"/>
          <w:color w:val="auto"/>
          <w:vertAlign w:val="superscript"/>
        </w:rPr>
      </w:pPr>
      <w:r>
        <w:rPr>
          <w:rFonts w:ascii="Arial" w:cs="Arial" w:eastAsia="Arial" w:hAnsi="Arial"/>
          <w:sz w:val="18"/>
          <w:szCs w:val="18"/>
          <w:color w:val="auto"/>
        </w:rPr>
        <w:t>Interest rates as of March 31, 2020 range from 2.2% to 4.4%, with a weighted average interest rate of 2.9%</w:t>
      </w:r>
    </w:p>
    <w:p>
      <w:pPr>
        <w:spacing w:after="0" w:line="56" w:lineRule="exact"/>
        <w:rPr>
          <w:rFonts w:ascii="Arial" w:cs="Arial" w:eastAsia="Arial" w:hAnsi="Arial"/>
          <w:sz w:val="25"/>
          <w:szCs w:val="25"/>
          <w:color w:val="auto"/>
          <w:vertAlign w:val="superscript"/>
        </w:rPr>
      </w:pPr>
    </w:p>
    <w:p>
      <w:pPr>
        <w:ind w:left="660" w:hanging="652"/>
        <w:spacing w:after="0" w:line="186" w:lineRule="auto"/>
        <w:tabs>
          <w:tab w:leader="none" w:pos="660" w:val="left"/>
        </w:tabs>
        <w:numPr>
          <w:ilvl w:val="0"/>
          <w:numId w:val="17"/>
        </w:numPr>
        <w:rPr>
          <w:rFonts w:ascii="Arial" w:cs="Arial" w:eastAsia="Arial" w:hAnsi="Arial"/>
          <w:sz w:val="24"/>
          <w:szCs w:val="24"/>
          <w:color w:val="auto"/>
          <w:vertAlign w:val="superscript"/>
        </w:rPr>
      </w:pPr>
      <w:r>
        <w:rPr>
          <w:rFonts w:ascii="Arial" w:cs="Arial" w:eastAsia="Arial" w:hAnsi="Arial"/>
          <w:sz w:val="17"/>
          <w:szCs w:val="17"/>
          <w:color w:val="auto"/>
        </w:rPr>
        <w:t>Effective interest rate as of March 31, 2020 was 2.3%</w:t>
      </w:r>
    </w:p>
    <w:p>
      <w:pPr>
        <w:spacing w:after="0" w:line="202"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All of our securitized debt is non-recourse to us. See Footnote 16 “Variable Interest Entities” for a discussion of the collateral for the non-recourse debt associated with our securitized debt.</w:t>
      </w:r>
    </w:p>
    <w:p>
      <w:pPr>
        <w:spacing w:after="0" w:line="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shows scheduled future principal payments for our securitized debt as of March 31, 2020.</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3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2"/>
              </w:rPr>
              <w:t>Vacation Ownership</w:t>
            </w:r>
          </w:p>
        </w:tc>
        <w:tc>
          <w:tcPr>
            <w:tcW w:w="320" w:type="dxa"/>
            <w:vAlign w:val="bottom"/>
          </w:tcPr>
          <w:p>
            <w:pPr>
              <w:spacing w:after="0"/>
              <w:rPr>
                <w:sz w:val="17"/>
                <w:szCs w:val="17"/>
                <w:color w:val="auto"/>
              </w:rPr>
            </w:pPr>
          </w:p>
        </w:tc>
        <w:tc>
          <w:tcPr>
            <w:tcW w:w="158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w w:val="90"/>
              </w:rPr>
              <w:t>Warehouse</w:t>
            </w:r>
          </w:p>
        </w:tc>
        <w:tc>
          <w:tcPr>
            <w:tcW w:w="4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3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Notes Receivable</w:t>
            </w:r>
          </w:p>
        </w:tc>
        <w:tc>
          <w:tcPr>
            <w:tcW w:w="320" w:type="dxa"/>
            <w:vAlign w:val="bottom"/>
          </w:tcPr>
          <w:p>
            <w:pPr>
              <w:spacing w:after="0"/>
              <w:rPr>
                <w:sz w:val="17"/>
                <w:szCs w:val="17"/>
                <w:color w:val="auto"/>
              </w:rPr>
            </w:pPr>
          </w:p>
        </w:tc>
        <w:tc>
          <w:tcPr>
            <w:tcW w:w="158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5"/>
              </w:rPr>
              <w:t>Credit</w:t>
            </w:r>
          </w:p>
        </w:tc>
        <w:tc>
          <w:tcPr>
            <w:tcW w:w="4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37"/>
        </w:trPr>
        <w:tc>
          <w:tcPr>
            <w:tcW w:w="372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160" w:type="dxa"/>
            <w:vAlign w:val="bottom"/>
          </w:tcPr>
          <w:p>
            <w:pPr>
              <w:spacing w:after="0"/>
              <w:rPr>
                <w:sz w:val="20"/>
                <w:szCs w:val="20"/>
                <w:color w:val="auto"/>
              </w:rPr>
            </w:pPr>
          </w:p>
        </w:tc>
        <w:tc>
          <w:tcPr>
            <w:tcW w:w="17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Securitizations</w:t>
            </w:r>
          </w:p>
        </w:tc>
        <w:tc>
          <w:tcPr>
            <w:tcW w:w="320" w:type="dxa"/>
            <w:vAlign w:val="bottom"/>
          </w:tcPr>
          <w:p>
            <w:pPr>
              <w:spacing w:after="0"/>
              <w:rPr>
                <w:sz w:val="20"/>
                <w:szCs w:val="20"/>
                <w:color w:val="auto"/>
              </w:rPr>
            </w:pPr>
          </w:p>
        </w:tc>
        <w:tc>
          <w:tcPr>
            <w:tcW w:w="158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4"/>
              </w:rPr>
              <w:t>Facility</w:t>
            </w:r>
          </w:p>
        </w:tc>
        <w:tc>
          <w:tcPr>
            <w:tcW w:w="400" w:type="dxa"/>
            <w:vAlign w:val="bottom"/>
          </w:tcPr>
          <w:p>
            <w:pPr>
              <w:spacing w:after="0"/>
              <w:rPr>
                <w:sz w:val="20"/>
                <w:szCs w:val="20"/>
                <w:color w:val="auto"/>
              </w:rPr>
            </w:pPr>
          </w:p>
        </w:tc>
        <w:tc>
          <w:tcPr>
            <w:tcW w:w="1500" w:type="dxa"/>
            <w:vAlign w:val="bottom"/>
            <w:gridSpan w:val="2"/>
          </w:tcPr>
          <w:p>
            <w:pPr>
              <w:ind w:left="300"/>
              <w:spacing w:after="0"/>
              <w:rPr>
                <w:sz w:val="20"/>
                <w:szCs w:val="20"/>
                <w:color w:val="auto"/>
              </w:rPr>
            </w:pPr>
            <w:r>
              <w:rPr>
                <w:rFonts w:ascii="Arial" w:cs="Arial" w:eastAsia="Arial" w:hAnsi="Arial"/>
                <w:sz w:val="16"/>
                <w:szCs w:val="16"/>
                <w:b w:val="1"/>
                <w:bCs w:val="1"/>
                <w:color w:val="auto"/>
              </w:rPr>
              <w:t>Other</w:t>
            </w:r>
          </w:p>
        </w:tc>
        <w:tc>
          <w:tcPr>
            <w:tcW w:w="420" w:type="dxa"/>
            <w:vAlign w:val="bottom"/>
          </w:tcPr>
          <w:p>
            <w:pPr>
              <w:spacing w:after="0"/>
              <w:rPr>
                <w:sz w:val="20"/>
                <w:szCs w:val="20"/>
                <w:color w:val="auto"/>
              </w:rPr>
            </w:pPr>
          </w:p>
        </w:tc>
        <w:tc>
          <w:tcPr>
            <w:tcW w:w="1380" w:type="dxa"/>
            <w:vAlign w:val="bottom"/>
          </w:tcPr>
          <w:p>
            <w:pPr>
              <w:jc w:val="right"/>
              <w:ind w:right="631"/>
              <w:spacing w:after="0"/>
              <w:rPr>
                <w:sz w:val="20"/>
                <w:szCs w:val="20"/>
                <w:color w:val="auto"/>
              </w:rPr>
            </w:pPr>
            <w:r>
              <w:rPr>
                <w:rFonts w:ascii="Arial" w:cs="Arial" w:eastAsia="Arial" w:hAnsi="Arial"/>
                <w:sz w:val="16"/>
                <w:szCs w:val="16"/>
                <w:b w:val="1"/>
                <w:bCs w:val="1"/>
                <w:color w:val="auto"/>
              </w:rPr>
              <w:t>Total</w:t>
            </w:r>
          </w:p>
        </w:tc>
      </w:tr>
      <w:tr>
        <w:trPr>
          <w:trHeight w:val="249"/>
        </w:trPr>
        <w:tc>
          <w:tcPr>
            <w:tcW w:w="37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Payments Year</w:t>
            </w: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6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CCEEFF"/>
            </w:tcBorders>
            <w:shd w:val="clear" w:color="auto" w:fill="CCEEFF"/>
          </w:tcPr>
          <w:p>
            <w:pPr>
              <w:spacing w:after="0"/>
              <w:rPr>
                <w:sz w:val="21"/>
                <w:szCs w:val="21"/>
                <w:color w:val="auto"/>
              </w:rPr>
            </w:pPr>
          </w:p>
        </w:tc>
        <w:tc>
          <w:tcPr>
            <w:tcW w:w="14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CCEEFF"/>
            </w:tcBorders>
            <w:shd w:val="clear" w:color="auto" w:fill="CCEEFF"/>
          </w:tcPr>
          <w:p>
            <w:pPr>
              <w:spacing w:after="0"/>
              <w:rPr>
                <w:sz w:val="21"/>
                <w:szCs w:val="21"/>
                <w:color w:val="auto"/>
              </w:rPr>
            </w:pPr>
          </w:p>
        </w:tc>
        <w:tc>
          <w:tcPr>
            <w:tcW w:w="138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3720" w:type="dxa"/>
            <w:vAlign w:val="bottom"/>
          </w:tcPr>
          <w:p>
            <w:pPr>
              <w:ind w:left="280"/>
              <w:spacing w:after="0"/>
              <w:rPr>
                <w:sz w:val="20"/>
                <w:szCs w:val="20"/>
                <w:color w:val="auto"/>
              </w:rPr>
            </w:pPr>
            <w:r>
              <w:rPr>
                <w:rFonts w:ascii="Arial" w:cs="Arial" w:eastAsia="Arial" w:hAnsi="Arial"/>
                <w:sz w:val="18"/>
                <w:szCs w:val="18"/>
                <w:color w:val="auto"/>
              </w:rPr>
              <w:t>2020, remaining</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ind w:right="13"/>
              <w:spacing w:after="0"/>
              <w:rPr>
                <w:sz w:val="20"/>
                <w:szCs w:val="20"/>
                <w:color w:val="auto"/>
              </w:rPr>
            </w:pPr>
            <w:r>
              <w:rPr>
                <w:rFonts w:ascii="Arial" w:cs="Arial" w:eastAsia="Arial" w:hAnsi="Arial"/>
                <w:sz w:val="18"/>
                <w:szCs w:val="18"/>
                <w:color w:val="auto"/>
              </w:rPr>
              <w:t>133</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33"/>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142</w:t>
            </w:r>
          </w:p>
        </w:tc>
      </w:tr>
      <w:tr>
        <w:trPr>
          <w:trHeight w:val="27"/>
        </w:trPr>
        <w:tc>
          <w:tcPr>
            <w:tcW w:w="3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37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2021</w:t>
            </w:r>
          </w:p>
        </w:tc>
        <w:tc>
          <w:tcPr>
            <w:tcW w:w="1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194</w:t>
            </w:r>
          </w:p>
        </w:tc>
      </w:tr>
      <w:tr>
        <w:trPr>
          <w:trHeight w:val="243"/>
        </w:trPr>
        <w:tc>
          <w:tcPr>
            <w:tcW w:w="3720" w:type="dxa"/>
            <w:vAlign w:val="bottom"/>
          </w:tcPr>
          <w:p>
            <w:pPr>
              <w:ind w:left="280"/>
              <w:spacing w:after="0"/>
              <w:rPr>
                <w:sz w:val="20"/>
                <w:szCs w:val="20"/>
                <w:color w:val="auto"/>
              </w:rPr>
            </w:pPr>
            <w:r>
              <w:rPr>
                <w:rFonts w:ascii="Arial" w:cs="Arial" w:eastAsia="Arial" w:hAnsi="Arial"/>
                <w:sz w:val="18"/>
                <w:szCs w:val="18"/>
                <w:color w:val="auto"/>
              </w:rPr>
              <w:t>2022</w:t>
            </w:r>
          </w:p>
        </w:tc>
        <w:tc>
          <w:tcPr>
            <w:tcW w:w="160" w:type="dxa"/>
            <w:vAlign w:val="bottom"/>
          </w:tcPr>
          <w:p>
            <w:pPr>
              <w:spacing w:after="0"/>
              <w:rPr>
                <w:sz w:val="21"/>
                <w:szCs w:val="21"/>
                <w:color w:val="auto"/>
              </w:rPr>
            </w:pPr>
          </w:p>
        </w:tc>
        <w:tc>
          <w:tcPr>
            <w:tcW w:w="1640" w:type="dxa"/>
            <w:vAlign w:val="bottom"/>
          </w:tcPr>
          <w:p>
            <w:pPr>
              <w:jc w:val="right"/>
              <w:ind w:right="13"/>
              <w:spacing w:after="0"/>
              <w:rPr>
                <w:sz w:val="20"/>
                <w:szCs w:val="20"/>
                <w:color w:val="auto"/>
              </w:rPr>
            </w:pPr>
            <w:r>
              <w:rPr>
                <w:rFonts w:ascii="Arial" w:cs="Arial" w:eastAsia="Arial" w:hAnsi="Arial"/>
                <w:sz w:val="18"/>
                <w:szCs w:val="18"/>
                <w:color w:val="auto"/>
              </w:rPr>
              <w:t>183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80" w:type="dxa"/>
            <w:vAlign w:val="bottom"/>
          </w:tcPr>
          <w:p>
            <w:pPr>
              <w:jc w:val="right"/>
              <w:ind w:right="33"/>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00" w:type="dxa"/>
            <w:vAlign w:val="bottom"/>
          </w:tcPr>
          <w:p>
            <w:pPr>
              <w:jc w:val="right"/>
              <w:ind w:right="31"/>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199</w:t>
            </w:r>
          </w:p>
        </w:tc>
      </w:tr>
      <w:tr>
        <w:trPr>
          <w:trHeight w:val="27"/>
        </w:trPr>
        <w:tc>
          <w:tcPr>
            <w:tcW w:w="3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37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2023</w:t>
            </w:r>
          </w:p>
        </w:tc>
        <w:tc>
          <w:tcPr>
            <w:tcW w:w="1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185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373</w:t>
            </w:r>
          </w:p>
        </w:tc>
      </w:tr>
      <w:tr>
        <w:trPr>
          <w:trHeight w:val="243"/>
        </w:trPr>
        <w:tc>
          <w:tcPr>
            <w:tcW w:w="3720" w:type="dxa"/>
            <w:vAlign w:val="bottom"/>
          </w:tcPr>
          <w:p>
            <w:pPr>
              <w:ind w:left="280"/>
              <w:spacing w:after="0"/>
              <w:rPr>
                <w:sz w:val="20"/>
                <w:szCs w:val="20"/>
                <w:color w:val="auto"/>
              </w:rPr>
            </w:pPr>
            <w:r>
              <w:rPr>
                <w:rFonts w:ascii="Arial" w:cs="Arial" w:eastAsia="Arial" w:hAnsi="Arial"/>
                <w:sz w:val="18"/>
                <w:szCs w:val="18"/>
                <w:color w:val="auto"/>
              </w:rPr>
              <w:t>2024</w:t>
            </w:r>
          </w:p>
        </w:tc>
        <w:tc>
          <w:tcPr>
            <w:tcW w:w="160" w:type="dxa"/>
            <w:vAlign w:val="bottom"/>
          </w:tcPr>
          <w:p>
            <w:pPr>
              <w:spacing w:after="0"/>
              <w:rPr>
                <w:sz w:val="21"/>
                <w:szCs w:val="21"/>
                <w:color w:val="auto"/>
              </w:rPr>
            </w:pPr>
          </w:p>
        </w:tc>
        <w:tc>
          <w:tcPr>
            <w:tcW w:w="1640" w:type="dxa"/>
            <w:vAlign w:val="bottom"/>
          </w:tcPr>
          <w:p>
            <w:pPr>
              <w:jc w:val="right"/>
              <w:ind w:right="13"/>
              <w:spacing w:after="0"/>
              <w:rPr>
                <w:sz w:val="20"/>
                <w:szCs w:val="20"/>
                <w:color w:val="auto"/>
              </w:rPr>
            </w:pPr>
            <w:r>
              <w:rPr>
                <w:rFonts w:ascii="Arial" w:cs="Arial" w:eastAsia="Arial" w:hAnsi="Arial"/>
                <w:sz w:val="18"/>
                <w:szCs w:val="18"/>
                <w:color w:val="auto"/>
              </w:rPr>
              <w:t>186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400" w:type="dxa"/>
            <w:vAlign w:val="bottom"/>
          </w:tcPr>
          <w:p>
            <w:pPr>
              <w:jc w:val="right"/>
              <w:ind w:right="31"/>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189</w:t>
            </w:r>
          </w:p>
        </w:tc>
      </w:tr>
      <w:tr>
        <w:trPr>
          <w:trHeight w:val="27"/>
        </w:trPr>
        <w:tc>
          <w:tcPr>
            <w:tcW w:w="3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37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Thereafter</w:t>
            </w:r>
          </w:p>
        </w:tc>
        <w:tc>
          <w:tcPr>
            <w:tcW w:w="16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838</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847</w:t>
            </w:r>
          </w:p>
        </w:tc>
      </w:tr>
      <w:tr>
        <w:trPr>
          <w:trHeight w:val="237"/>
        </w:trPr>
        <w:tc>
          <w:tcPr>
            <w:tcW w:w="37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1,706</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219</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1,944</w:t>
            </w:r>
          </w:p>
        </w:tc>
      </w:tr>
      <w:tr>
        <w:trPr>
          <w:trHeight w:val="27"/>
        </w:trPr>
        <w:tc>
          <w:tcPr>
            <w:tcW w:w="37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0"/>
        </w:trPr>
        <w:tc>
          <w:tcPr>
            <w:tcW w:w="37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Vacation Ownership Notes Receivable Securitizations</w:t>
      </w:r>
    </w:p>
    <w:p>
      <w:pPr>
        <w:spacing w:after="0" w:line="117"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Each of the securitized vacation ownership notes receivable transactions contains various triggers relating to the performance of the underlying vacation ownership notes receivable. If a pool of securitized vacation ownership notes receivable fails to perform within the pool’s established parameters (default or delinquency thresholds vary by transaction), transaction provisions effectively redirect the monthly excess spread we would otherwise receive from that pool (attributable to the interests we retained) to accelerate the principal payments to investors (taking into account the subordination of the different tranches to the extent there are multiple tranches) until the performance trigger is cured. During the first quarter of 2020, and as of March 31, 2020, no securitized vacation ownership notes receivable pools were out of compliance with their respective established parameters. As of March 31, 2020, we had 12 securitized vacation ownership notes receivable pools outstanding.</w:t>
      </w:r>
    </w:p>
    <w:p>
      <w:pPr>
        <w:spacing w:after="0" w:line="69" w:lineRule="exact"/>
        <w:rPr>
          <w:sz w:val="20"/>
          <w:szCs w:val="20"/>
          <w:color w:val="auto"/>
        </w:rPr>
      </w:pPr>
    </w:p>
    <w:p>
      <w:pPr>
        <w:jc w:val="both"/>
        <w:ind w:right="480" w:firstLine="648"/>
        <w:spacing w:after="0" w:line="342" w:lineRule="auto"/>
        <w:rPr>
          <w:sz w:val="20"/>
          <w:szCs w:val="20"/>
          <w:color w:val="auto"/>
        </w:rPr>
      </w:pPr>
      <w:r>
        <w:rPr>
          <w:rFonts w:ascii="Arial" w:cs="Arial" w:eastAsia="Arial" w:hAnsi="Arial"/>
          <w:sz w:val="16"/>
          <w:szCs w:val="16"/>
          <w:color w:val="auto"/>
        </w:rPr>
        <w:t>As the contractual terms of the underlying securitized vacation ownership notes receivable determine the maturities of the non-recourse debt associated with them, actual maturities may occur earlier than shown above due to prepayments by the vacation ownership notes receivable obligors.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40"/>
          </w:cols>
          <w:pgMar w:left="320" w:top="125" w:right="3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Warehouse Credit Facility</w:t>
      </w:r>
    </w:p>
    <w:p>
      <w:pPr>
        <w:spacing w:after="0" w:line="117" w:lineRule="exact"/>
        <w:rPr>
          <w:sz w:val="20"/>
          <w:szCs w:val="20"/>
          <w:color w:val="auto"/>
        </w:rPr>
      </w:pPr>
    </w:p>
    <w:p>
      <w:pPr>
        <w:ind w:right="100" w:firstLine="648"/>
        <w:spacing w:after="0" w:line="301" w:lineRule="auto"/>
        <w:rPr>
          <w:sz w:val="20"/>
          <w:szCs w:val="20"/>
          <w:color w:val="auto"/>
        </w:rPr>
      </w:pPr>
      <w:r>
        <w:rPr>
          <w:rFonts w:ascii="Arial" w:cs="Arial" w:eastAsia="Arial" w:hAnsi="Arial"/>
          <w:sz w:val="16"/>
          <w:szCs w:val="16"/>
          <w:color w:val="auto"/>
        </w:rPr>
        <w:t>Our $350 million warehouse credit facility (the “Warehouse Credit Facility”), allows for the securitization of vacation ownership notes receivable on a revolving non-recourse basis through December 20, 2021. During the first quarter of 2020, we securitized vacation ownership notes receivable under our Warehouse Credit Facility. The carrying amount of the vacation ownership notes receivable securitized was $240 million. The average advance rate was 84 percent, which resulted in gross proceeds of $202 million. Net proceeds were $201 million due to the funding of reserve accounts of $1 million.</w:t>
      </w:r>
    </w:p>
    <w:p>
      <w:pPr>
        <w:spacing w:after="0" w:line="49"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Subsequent to the end of the first quarter of 2020, we amended our Warehouse Credit Facility to increase the borrowing capacity by $181 million, to $531 million. The revolving period for the existing $350 million remains the same and will terminate in December 2021, if not renewed. The revolving period for the additional $181 million portion will terminate in March 2021, if not renewed. As part of this amendment, the interest rate increased from primarily LIBOR plus 1.1% to primarily LIBOR plus 1.4%.</w:t>
      </w:r>
    </w:p>
    <w:p>
      <w:pPr>
        <w:spacing w:after="0" w:line="200" w:lineRule="exact"/>
        <w:rPr>
          <w:sz w:val="20"/>
          <w:szCs w:val="20"/>
          <w:color w:val="auto"/>
        </w:rPr>
      </w:pPr>
    </w:p>
    <w:p>
      <w:pPr>
        <w:spacing w:after="0" w:line="25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13. DEBT</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provides detail on our debt balances, net of unamortized debt discount and issuance costs.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08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240" w:type="dxa"/>
            <w:vAlign w:val="bottom"/>
          </w:tcPr>
          <w:p>
            <w:pPr>
              <w:spacing w:after="0"/>
              <w:rPr>
                <w:sz w:val="20"/>
                <w:szCs w:val="20"/>
                <w:color w:val="auto"/>
              </w:rPr>
            </w:pPr>
          </w:p>
        </w:tc>
        <w:tc>
          <w:tcPr>
            <w:tcW w:w="1900" w:type="dxa"/>
            <w:vAlign w:val="bottom"/>
            <w:gridSpan w:val="2"/>
          </w:tcPr>
          <w:p>
            <w:pPr>
              <w:ind w:left="140"/>
              <w:spacing w:after="0"/>
              <w:rPr>
                <w:sz w:val="20"/>
                <w:szCs w:val="20"/>
                <w:color w:val="auto"/>
              </w:rPr>
            </w:pPr>
            <w:r>
              <w:rPr>
                <w:rFonts w:ascii="Arial" w:cs="Arial" w:eastAsia="Arial" w:hAnsi="Arial"/>
                <w:sz w:val="16"/>
                <w:szCs w:val="16"/>
                <w:b w:val="1"/>
                <w:bCs w:val="1"/>
                <w:color w:val="auto"/>
              </w:rPr>
              <w:t>At March 31, 2020</w:t>
            </w:r>
          </w:p>
        </w:tc>
        <w:tc>
          <w:tcPr>
            <w:tcW w:w="180" w:type="dxa"/>
            <w:vAlign w:val="bottom"/>
          </w:tcPr>
          <w:p>
            <w:pPr>
              <w:spacing w:after="0"/>
              <w:rPr>
                <w:sz w:val="20"/>
                <w:szCs w:val="20"/>
                <w:color w:val="auto"/>
              </w:rPr>
            </w:pPr>
          </w:p>
        </w:tc>
        <w:tc>
          <w:tcPr>
            <w:tcW w:w="1840" w:type="dxa"/>
            <w:vAlign w:val="bottom"/>
          </w:tcPr>
          <w:p>
            <w:pPr>
              <w:jc w:val="right"/>
              <w:ind w:right="171"/>
              <w:spacing w:after="0"/>
              <w:rPr>
                <w:sz w:val="20"/>
                <w:szCs w:val="20"/>
                <w:color w:val="auto"/>
              </w:rPr>
            </w:pPr>
            <w:r>
              <w:rPr>
                <w:rFonts w:ascii="Arial" w:cs="Arial" w:eastAsia="Arial" w:hAnsi="Arial"/>
                <w:sz w:val="16"/>
                <w:szCs w:val="16"/>
                <w:b w:val="1"/>
                <w:bCs w:val="1"/>
                <w:color w:val="auto"/>
                <w:w w:val="94"/>
              </w:rPr>
              <w:t>At December 31, 2019</w:t>
            </w:r>
          </w:p>
        </w:tc>
      </w:tr>
      <w:tr>
        <w:trPr>
          <w:trHeight w:val="250"/>
        </w:trPr>
        <w:tc>
          <w:tcPr>
            <w:tcW w:w="70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Senior Unsecured Notes</w:t>
            </w: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7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84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7080" w:type="dxa"/>
            <w:vAlign w:val="bottom"/>
          </w:tcPr>
          <w:p>
            <w:pPr>
              <w:ind w:left="500"/>
              <w:spacing w:after="0"/>
              <w:rPr>
                <w:sz w:val="20"/>
                <w:szCs w:val="20"/>
                <w:color w:val="auto"/>
              </w:rPr>
            </w:pPr>
            <w:r>
              <w:rPr>
                <w:rFonts w:ascii="Arial" w:cs="Arial" w:eastAsia="Arial" w:hAnsi="Arial"/>
                <w:sz w:val="18"/>
                <w:szCs w:val="18"/>
                <w:color w:val="auto"/>
              </w:rPr>
              <w:t>2026 Notes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780" w:type="dxa"/>
            <w:vAlign w:val="bottom"/>
          </w:tcPr>
          <w:p>
            <w:pPr>
              <w:jc w:val="right"/>
              <w:ind w:right="11"/>
              <w:spacing w:after="0"/>
              <w:rPr>
                <w:sz w:val="20"/>
                <w:szCs w:val="20"/>
                <w:color w:val="auto"/>
              </w:rPr>
            </w:pPr>
            <w:r>
              <w:rPr>
                <w:rFonts w:ascii="Arial" w:cs="Arial" w:eastAsia="Arial" w:hAnsi="Arial"/>
                <w:sz w:val="18"/>
                <w:szCs w:val="18"/>
                <w:color w:val="auto"/>
              </w:rPr>
              <w:t>750</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40" w:type="dxa"/>
            <w:vAlign w:val="bottom"/>
          </w:tcPr>
          <w:p>
            <w:pPr>
              <w:jc w:val="right"/>
              <w:ind w:right="11"/>
              <w:spacing w:after="0"/>
              <w:rPr>
                <w:sz w:val="20"/>
                <w:szCs w:val="20"/>
                <w:color w:val="auto"/>
              </w:rPr>
            </w:pPr>
            <w:r>
              <w:rPr>
                <w:rFonts w:ascii="Arial" w:cs="Arial" w:eastAsia="Arial" w:hAnsi="Arial"/>
                <w:sz w:val="18"/>
                <w:szCs w:val="18"/>
                <w:color w:val="auto"/>
              </w:rPr>
              <w:t>750</w:t>
            </w:r>
          </w:p>
        </w:tc>
      </w:tr>
      <w:tr>
        <w:trPr>
          <w:trHeight w:val="27"/>
        </w:trPr>
        <w:tc>
          <w:tcPr>
            <w:tcW w:w="7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Unamortized debt issuance costs</w:t>
            </w:r>
          </w:p>
        </w:tc>
        <w:tc>
          <w:tcPr>
            <w:tcW w:w="24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37"/>
        </w:trPr>
        <w:tc>
          <w:tcPr>
            <w:tcW w:w="708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7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743</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8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742</w:t>
            </w:r>
          </w:p>
        </w:tc>
      </w:tr>
      <w:tr>
        <w:trPr>
          <w:trHeight w:val="27"/>
        </w:trPr>
        <w:tc>
          <w:tcPr>
            <w:tcW w:w="7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97"/>
        </w:trPr>
        <w:tc>
          <w:tcPr>
            <w:tcW w:w="70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7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840" w:type="dxa"/>
            <w:vAlign w:val="bottom"/>
            <w:shd w:val="clear" w:color="auto" w:fill="CCEEFF"/>
          </w:tcPr>
          <w:p>
            <w:pPr>
              <w:spacing w:after="0"/>
              <w:rPr>
                <w:sz w:val="24"/>
                <w:szCs w:val="24"/>
                <w:color w:val="auto"/>
              </w:rPr>
            </w:pPr>
          </w:p>
        </w:tc>
      </w:tr>
      <w:tr>
        <w:trPr>
          <w:trHeight w:val="243"/>
        </w:trPr>
        <w:tc>
          <w:tcPr>
            <w:tcW w:w="7080" w:type="dxa"/>
            <w:vAlign w:val="bottom"/>
          </w:tcPr>
          <w:p>
            <w:pPr>
              <w:ind w:left="500"/>
              <w:spacing w:after="0"/>
              <w:rPr>
                <w:sz w:val="20"/>
                <w:szCs w:val="20"/>
                <w:color w:val="auto"/>
              </w:rPr>
            </w:pPr>
            <w:r>
              <w:rPr>
                <w:rFonts w:ascii="Arial" w:cs="Arial" w:eastAsia="Arial" w:hAnsi="Arial"/>
                <w:sz w:val="18"/>
                <w:szCs w:val="18"/>
                <w:color w:val="auto"/>
              </w:rPr>
              <w:t>2028 Notes</w:t>
            </w:r>
          </w:p>
        </w:tc>
        <w:tc>
          <w:tcPr>
            <w:tcW w:w="240" w:type="dxa"/>
            <w:vAlign w:val="bottom"/>
          </w:tcPr>
          <w:p>
            <w:pPr>
              <w:spacing w:after="0"/>
              <w:rPr>
                <w:sz w:val="21"/>
                <w:szCs w:val="21"/>
                <w:color w:val="auto"/>
              </w:rPr>
            </w:pPr>
          </w:p>
        </w:tc>
        <w:tc>
          <w:tcPr>
            <w:tcW w:w="1780" w:type="dxa"/>
            <w:vAlign w:val="bottom"/>
          </w:tcPr>
          <w:p>
            <w:pPr>
              <w:jc w:val="right"/>
              <w:ind w:right="11"/>
              <w:spacing w:after="0"/>
              <w:rPr>
                <w:sz w:val="20"/>
                <w:szCs w:val="20"/>
                <w:color w:val="auto"/>
              </w:rPr>
            </w:pPr>
            <w:r>
              <w:rPr>
                <w:rFonts w:ascii="Arial" w:cs="Arial" w:eastAsia="Arial" w:hAnsi="Arial"/>
                <w:sz w:val="18"/>
                <w:szCs w:val="18"/>
                <w:color w:val="auto"/>
              </w:rPr>
              <w:t>350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40" w:type="dxa"/>
            <w:vAlign w:val="bottom"/>
          </w:tcPr>
          <w:p>
            <w:pPr>
              <w:jc w:val="right"/>
              <w:ind w:right="11"/>
              <w:spacing w:after="0"/>
              <w:rPr>
                <w:sz w:val="20"/>
                <w:szCs w:val="20"/>
                <w:color w:val="auto"/>
              </w:rPr>
            </w:pPr>
            <w:r>
              <w:rPr>
                <w:rFonts w:ascii="Arial" w:cs="Arial" w:eastAsia="Arial" w:hAnsi="Arial"/>
                <w:sz w:val="18"/>
                <w:szCs w:val="18"/>
                <w:color w:val="auto"/>
              </w:rPr>
              <w:t>350</w:t>
            </w:r>
          </w:p>
        </w:tc>
      </w:tr>
      <w:tr>
        <w:trPr>
          <w:trHeight w:val="27"/>
        </w:trPr>
        <w:tc>
          <w:tcPr>
            <w:tcW w:w="7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Unamortized debt discount and issuance costs</w:t>
            </w:r>
          </w:p>
        </w:tc>
        <w:tc>
          <w:tcPr>
            <w:tcW w:w="24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37"/>
        </w:trPr>
        <w:tc>
          <w:tcPr>
            <w:tcW w:w="708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7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345</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8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345</w:t>
            </w:r>
          </w:p>
        </w:tc>
      </w:tr>
      <w:tr>
        <w:trPr>
          <w:trHeight w:val="27"/>
        </w:trPr>
        <w:tc>
          <w:tcPr>
            <w:tcW w:w="7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97"/>
        </w:trPr>
        <w:tc>
          <w:tcPr>
            <w:tcW w:w="70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7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840" w:type="dxa"/>
            <w:vAlign w:val="bottom"/>
            <w:shd w:val="clear" w:color="auto" w:fill="CCEEFF"/>
          </w:tcPr>
          <w:p>
            <w:pPr>
              <w:spacing w:after="0"/>
              <w:rPr>
                <w:sz w:val="24"/>
                <w:szCs w:val="24"/>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Corporate Credit Facility</w:t>
            </w:r>
          </w:p>
        </w:tc>
        <w:tc>
          <w:tcPr>
            <w:tcW w:w="24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40" w:type="dxa"/>
            <w:vAlign w:val="bottom"/>
          </w:tcPr>
          <w:p>
            <w:pPr>
              <w:spacing w:after="0"/>
              <w:rPr>
                <w:sz w:val="21"/>
                <w:szCs w:val="21"/>
                <w:color w:val="auto"/>
              </w:rPr>
            </w:pPr>
          </w:p>
        </w:tc>
      </w:tr>
      <w:tr>
        <w:trPr>
          <w:trHeight w:val="27"/>
        </w:trPr>
        <w:tc>
          <w:tcPr>
            <w:tcW w:w="7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Term Loan</w:t>
            </w:r>
          </w:p>
        </w:tc>
        <w:tc>
          <w:tcPr>
            <w:tcW w:w="24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891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893</w:t>
            </w:r>
          </w:p>
        </w:tc>
      </w:tr>
      <w:tr>
        <w:trPr>
          <w:trHeight w:val="243"/>
        </w:trPr>
        <w:tc>
          <w:tcPr>
            <w:tcW w:w="7080" w:type="dxa"/>
            <w:vAlign w:val="bottom"/>
          </w:tcPr>
          <w:p>
            <w:pPr>
              <w:ind w:left="500"/>
              <w:spacing w:after="0"/>
              <w:rPr>
                <w:sz w:val="20"/>
                <w:szCs w:val="20"/>
                <w:color w:val="auto"/>
              </w:rPr>
            </w:pPr>
            <w:r>
              <w:rPr>
                <w:rFonts w:ascii="Arial" w:cs="Arial" w:eastAsia="Arial" w:hAnsi="Arial"/>
                <w:sz w:val="18"/>
                <w:szCs w:val="18"/>
                <w:color w:val="auto"/>
              </w:rPr>
              <w:t>Unamortized debt discount and issuance costs</w:t>
            </w:r>
          </w:p>
        </w:tc>
        <w:tc>
          <w:tcPr>
            <w:tcW w:w="24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7"/>
        </w:trPr>
        <w:tc>
          <w:tcPr>
            <w:tcW w:w="70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43"/>
        </w:trPr>
        <w:tc>
          <w:tcPr>
            <w:tcW w:w="70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879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881</w:t>
            </w:r>
          </w:p>
        </w:tc>
      </w:tr>
      <w:tr>
        <w:trPr>
          <w:trHeight w:val="297"/>
        </w:trPr>
        <w:tc>
          <w:tcPr>
            <w:tcW w:w="7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250"/>
        </w:trPr>
        <w:tc>
          <w:tcPr>
            <w:tcW w:w="70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Revolving Corporate Credit Facility</w:t>
            </w:r>
          </w:p>
        </w:tc>
        <w:tc>
          <w:tcPr>
            <w:tcW w:w="24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w:t>
            </w:r>
          </w:p>
        </w:tc>
      </w:tr>
      <w:tr>
        <w:trPr>
          <w:trHeight w:val="243"/>
        </w:trPr>
        <w:tc>
          <w:tcPr>
            <w:tcW w:w="7080" w:type="dxa"/>
            <w:vAlign w:val="bottom"/>
          </w:tcPr>
          <w:p>
            <w:pPr>
              <w:ind w:left="500"/>
              <w:spacing w:after="0"/>
              <w:rPr>
                <w:sz w:val="20"/>
                <w:szCs w:val="20"/>
                <w:color w:val="auto"/>
              </w:rPr>
            </w:pPr>
            <w:r>
              <w:rPr>
                <w:rFonts w:ascii="Arial" w:cs="Arial" w:eastAsia="Arial" w:hAnsi="Arial"/>
                <w:sz w:val="18"/>
                <w:szCs w:val="18"/>
                <w:color w:val="auto"/>
              </w:rPr>
              <w:t>Unamortized debt issuance costs</w:t>
            </w:r>
          </w:p>
        </w:tc>
        <w:tc>
          <w:tcPr>
            <w:tcW w:w="24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7"/>
        </w:trPr>
        <w:tc>
          <w:tcPr>
            <w:tcW w:w="70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43"/>
        </w:trPr>
        <w:tc>
          <w:tcPr>
            <w:tcW w:w="70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w:t>
            </w:r>
          </w:p>
        </w:tc>
      </w:tr>
      <w:tr>
        <w:trPr>
          <w:trHeight w:val="297"/>
        </w:trPr>
        <w:tc>
          <w:tcPr>
            <w:tcW w:w="7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Convertible Notes</w:t>
            </w:r>
          </w:p>
        </w:tc>
        <w:tc>
          <w:tcPr>
            <w:tcW w:w="24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230</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Unamortized debt discount and issuance costs</w:t>
            </w:r>
          </w:p>
        </w:tc>
        <w:tc>
          <w:tcPr>
            <w:tcW w:w="24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7"/>
        </w:trPr>
        <w:tc>
          <w:tcPr>
            <w:tcW w:w="70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43"/>
        </w:trPr>
        <w:tc>
          <w:tcPr>
            <w:tcW w:w="70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207</w:t>
            </w:r>
          </w:p>
        </w:tc>
      </w:tr>
      <w:tr>
        <w:trPr>
          <w:trHeight w:val="297"/>
        </w:trPr>
        <w:tc>
          <w:tcPr>
            <w:tcW w:w="7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27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Finance leases</w:t>
            </w:r>
          </w:p>
        </w:tc>
        <w:tc>
          <w:tcPr>
            <w:tcW w:w="24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w:t>
            </w:r>
          </w:p>
        </w:tc>
      </w:tr>
      <w:tr>
        <w:trPr>
          <w:trHeight w:val="237"/>
        </w:trPr>
        <w:tc>
          <w:tcPr>
            <w:tcW w:w="708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7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2,778</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2,216</w:t>
            </w:r>
          </w:p>
        </w:tc>
      </w:tr>
      <w:tr>
        <w:trPr>
          <w:trHeight w:val="27"/>
        </w:trPr>
        <w:tc>
          <w:tcPr>
            <w:tcW w:w="70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0"/>
        </w:trPr>
        <w:tc>
          <w:tcPr>
            <w:tcW w:w="70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shows scheduled future principal payments for our debt, excluding finance leases, as of March 31, 2020.</w:t>
      </w:r>
    </w:p>
    <w:p>
      <w:pPr>
        <w:spacing w:after="0" w:line="225"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40"/>
          </w:cols>
          <w:pgMar w:left="320" w:top="125" w:right="3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8" w:lineRule="exact"/>
        <w:rPr>
          <w:sz w:val="20"/>
          <w:szCs w:val="20"/>
          <w:color w:val="auto"/>
        </w:rPr>
      </w:pPr>
    </w:p>
    <w:tbl>
      <w:tblPr>
        <w:tblLayout w:type="fixed"/>
        <w:tblInd w:w="1080" w:type="dxa"/>
        <w:tblCellMar>
          <w:top w:w="0" w:type="dxa"/>
          <w:left w:w="0" w:type="dxa"/>
          <w:bottom w:w="0" w:type="dxa"/>
          <w:right w:w="0" w:type="dxa"/>
        </w:tblCellMar>
      </w:tblPr>
      <w:tr>
        <w:trPr>
          <w:trHeight w:val="203"/>
        </w:trPr>
        <w:tc>
          <w:tcPr>
            <w:tcW w:w="1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8"/>
              </w:rPr>
              <w:t>Revolving</w:t>
            </w: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1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4"/>
              </w:rPr>
              <w:t>Corporate</w:t>
            </w:r>
          </w:p>
        </w:tc>
        <w:tc>
          <w:tcPr>
            <w:tcW w:w="140" w:type="dxa"/>
            <w:vAlign w:val="bottom"/>
          </w:tcPr>
          <w:p>
            <w:pPr>
              <w:spacing w:after="0"/>
              <w:rPr>
                <w:sz w:val="17"/>
                <w:szCs w:val="17"/>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3"/>
              </w:rPr>
              <w:t>Convertible</w:t>
            </w: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37"/>
        </w:trPr>
        <w:tc>
          <w:tcPr>
            <w:tcW w:w="166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40" w:type="dxa"/>
            <w:vAlign w:val="bottom"/>
          </w:tcPr>
          <w:p>
            <w:pPr>
              <w:spacing w:after="0"/>
              <w:rPr>
                <w:sz w:val="20"/>
                <w:szCs w:val="20"/>
                <w:color w:val="auto"/>
              </w:rPr>
            </w:pPr>
          </w:p>
        </w:tc>
        <w:tc>
          <w:tcPr>
            <w:tcW w:w="1100" w:type="dxa"/>
            <w:vAlign w:val="bottom"/>
            <w:gridSpan w:val="2"/>
          </w:tcPr>
          <w:p>
            <w:pPr>
              <w:ind w:left="40"/>
              <w:spacing w:after="0"/>
              <w:rPr>
                <w:sz w:val="20"/>
                <w:szCs w:val="20"/>
                <w:color w:val="auto"/>
              </w:rPr>
            </w:pPr>
            <w:r>
              <w:rPr>
                <w:rFonts w:ascii="Arial" w:cs="Arial" w:eastAsia="Arial" w:hAnsi="Arial"/>
                <w:sz w:val="16"/>
                <w:szCs w:val="16"/>
                <w:b w:val="1"/>
                <w:bCs w:val="1"/>
                <w:color w:val="auto"/>
              </w:rPr>
              <w:t>2026 Notes</w:t>
            </w:r>
          </w:p>
        </w:tc>
        <w:tc>
          <w:tcPr>
            <w:tcW w:w="140" w:type="dxa"/>
            <w:vAlign w:val="bottom"/>
          </w:tcPr>
          <w:p>
            <w:pPr>
              <w:spacing w:after="0"/>
              <w:rPr>
                <w:sz w:val="20"/>
                <w:szCs w:val="20"/>
                <w:color w:val="auto"/>
              </w:rPr>
            </w:pPr>
          </w:p>
        </w:tc>
        <w:tc>
          <w:tcPr>
            <w:tcW w:w="1120" w:type="dxa"/>
            <w:vAlign w:val="bottom"/>
            <w:gridSpan w:val="2"/>
          </w:tcPr>
          <w:p>
            <w:pPr>
              <w:ind w:left="40"/>
              <w:spacing w:after="0"/>
              <w:rPr>
                <w:sz w:val="20"/>
                <w:szCs w:val="20"/>
                <w:color w:val="auto"/>
              </w:rPr>
            </w:pPr>
            <w:r>
              <w:rPr>
                <w:rFonts w:ascii="Arial" w:cs="Arial" w:eastAsia="Arial" w:hAnsi="Arial"/>
                <w:sz w:val="16"/>
                <w:szCs w:val="16"/>
                <w:b w:val="1"/>
                <w:bCs w:val="1"/>
                <w:color w:val="auto"/>
              </w:rPr>
              <w:t>2028 Notes</w:t>
            </w:r>
          </w:p>
        </w:tc>
        <w:tc>
          <w:tcPr>
            <w:tcW w:w="140" w:type="dxa"/>
            <w:vAlign w:val="bottom"/>
          </w:tcPr>
          <w:p>
            <w:pPr>
              <w:spacing w:after="0"/>
              <w:rPr>
                <w:sz w:val="20"/>
                <w:szCs w:val="20"/>
                <w:color w:val="auto"/>
              </w:rPr>
            </w:pPr>
          </w:p>
        </w:tc>
        <w:tc>
          <w:tcPr>
            <w:tcW w:w="1100" w:type="dxa"/>
            <w:vAlign w:val="bottom"/>
            <w:gridSpan w:val="2"/>
          </w:tcPr>
          <w:p>
            <w:pPr>
              <w:ind w:left="40"/>
              <w:spacing w:after="0"/>
              <w:rPr>
                <w:sz w:val="20"/>
                <w:szCs w:val="20"/>
                <w:color w:val="auto"/>
              </w:rPr>
            </w:pPr>
            <w:r>
              <w:rPr>
                <w:rFonts w:ascii="Arial" w:cs="Arial" w:eastAsia="Arial" w:hAnsi="Arial"/>
                <w:sz w:val="16"/>
                <w:szCs w:val="16"/>
                <w:b w:val="1"/>
                <w:bCs w:val="1"/>
                <w:color w:val="auto"/>
              </w:rPr>
              <w:t>Term Loan</w:t>
            </w:r>
          </w:p>
        </w:tc>
        <w:tc>
          <w:tcPr>
            <w:tcW w:w="128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4"/>
              </w:rPr>
              <w:t>Credit Facility</w:t>
            </w:r>
          </w:p>
        </w:tc>
        <w:tc>
          <w:tcPr>
            <w:tcW w:w="140" w:type="dxa"/>
            <w:vAlign w:val="bottom"/>
          </w:tcPr>
          <w:p>
            <w:pPr>
              <w:spacing w:after="0"/>
              <w:rPr>
                <w:sz w:val="20"/>
                <w:szCs w:val="20"/>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Notes</w:t>
            </w:r>
          </w:p>
        </w:tc>
        <w:tc>
          <w:tcPr>
            <w:tcW w:w="240" w:type="dxa"/>
            <w:vAlign w:val="bottom"/>
          </w:tcPr>
          <w:p>
            <w:pPr>
              <w:spacing w:after="0"/>
              <w:rPr>
                <w:sz w:val="20"/>
                <w:szCs w:val="20"/>
                <w:color w:val="auto"/>
              </w:rPr>
            </w:pPr>
          </w:p>
        </w:tc>
        <w:tc>
          <w:tcPr>
            <w:tcW w:w="900" w:type="dxa"/>
            <w:vAlign w:val="bottom"/>
          </w:tcPr>
          <w:p>
            <w:pPr>
              <w:jc w:val="right"/>
              <w:ind w:right="311"/>
              <w:spacing w:after="0"/>
              <w:rPr>
                <w:sz w:val="20"/>
                <w:szCs w:val="20"/>
                <w:color w:val="auto"/>
              </w:rPr>
            </w:pPr>
            <w:r>
              <w:rPr>
                <w:rFonts w:ascii="Arial" w:cs="Arial" w:eastAsia="Arial" w:hAnsi="Arial"/>
                <w:sz w:val="16"/>
                <w:szCs w:val="16"/>
                <w:b w:val="1"/>
                <w:bCs w:val="1"/>
                <w:color w:val="auto"/>
              </w:rPr>
              <w:t>Total</w:t>
            </w:r>
          </w:p>
        </w:tc>
      </w:tr>
      <w:tr>
        <w:trPr>
          <w:trHeight w:val="249"/>
        </w:trPr>
        <w:tc>
          <w:tcPr>
            <w:tcW w:w="1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Payments Year</w:t>
            </w: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1660" w:type="dxa"/>
            <w:vAlign w:val="bottom"/>
          </w:tcPr>
          <w:p>
            <w:pPr>
              <w:ind w:left="20"/>
              <w:spacing w:after="0"/>
              <w:rPr>
                <w:sz w:val="20"/>
                <w:szCs w:val="20"/>
                <w:color w:val="auto"/>
              </w:rPr>
            </w:pPr>
            <w:r>
              <w:rPr>
                <w:rFonts w:ascii="Arial" w:cs="Arial" w:eastAsia="Arial" w:hAnsi="Arial"/>
                <w:sz w:val="18"/>
                <w:szCs w:val="18"/>
                <w:color w:val="auto"/>
              </w:rPr>
              <w:t>2020, remaining</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7"/>
        </w:trPr>
        <w:tc>
          <w:tcPr>
            <w:tcW w:w="1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1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43"/>
        </w:trPr>
        <w:tc>
          <w:tcPr>
            <w:tcW w:w="1660" w:type="dxa"/>
            <w:vAlign w:val="bottom"/>
          </w:tcPr>
          <w:p>
            <w:pPr>
              <w:ind w:left="20"/>
              <w:spacing w:after="0"/>
              <w:rPr>
                <w:sz w:val="20"/>
                <w:szCs w:val="20"/>
                <w:color w:val="auto"/>
              </w:rPr>
            </w:pPr>
            <w:r>
              <w:rPr>
                <w:rFonts w:ascii="Arial" w:cs="Arial" w:eastAsia="Arial" w:hAnsi="Arial"/>
                <w:sz w:val="18"/>
                <w:szCs w:val="18"/>
                <w:color w:val="auto"/>
              </w:rPr>
              <w:t>2022</w:t>
            </w:r>
          </w:p>
        </w:tc>
        <w:tc>
          <w:tcPr>
            <w:tcW w:w="140" w:type="dxa"/>
            <w:vAlign w:val="bottom"/>
          </w:tcPr>
          <w:p>
            <w:pPr>
              <w:spacing w:after="0"/>
              <w:rPr>
                <w:sz w:val="21"/>
                <w:szCs w:val="21"/>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239</w:t>
            </w:r>
          </w:p>
        </w:tc>
      </w:tr>
      <w:tr>
        <w:trPr>
          <w:trHeight w:val="27"/>
        </w:trPr>
        <w:tc>
          <w:tcPr>
            <w:tcW w:w="1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1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605</w:t>
            </w:r>
          </w:p>
        </w:tc>
      </w:tr>
      <w:tr>
        <w:trPr>
          <w:trHeight w:val="243"/>
        </w:trPr>
        <w:tc>
          <w:tcPr>
            <w:tcW w:w="1660" w:type="dxa"/>
            <w:vAlign w:val="bottom"/>
          </w:tcPr>
          <w:p>
            <w:pPr>
              <w:ind w:left="20"/>
              <w:spacing w:after="0"/>
              <w:rPr>
                <w:sz w:val="20"/>
                <w:szCs w:val="20"/>
                <w:color w:val="auto"/>
              </w:rPr>
            </w:pPr>
            <w:r>
              <w:rPr>
                <w:rFonts w:ascii="Arial" w:cs="Arial" w:eastAsia="Arial" w:hAnsi="Arial"/>
                <w:sz w:val="18"/>
                <w:szCs w:val="18"/>
                <w:color w:val="auto"/>
              </w:rPr>
              <w:t>2024</w:t>
            </w:r>
          </w:p>
        </w:tc>
        <w:tc>
          <w:tcPr>
            <w:tcW w:w="140" w:type="dxa"/>
            <w:vAlign w:val="bottom"/>
          </w:tcPr>
          <w:p>
            <w:pPr>
              <w:spacing w:after="0"/>
              <w:rPr>
                <w:sz w:val="21"/>
                <w:szCs w:val="21"/>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7"/>
        </w:trPr>
        <w:tc>
          <w:tcPr>
            <w:tcW w:w="1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1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Thereafter</w:t>
            </w: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1,948</w:t>
            </w:r>
          </w:p>
        </w:tc>
      </w:tr>
      <w:tr>
        <w:trPr>
          <w:trHeight w:val="237"/>
        </w:trPr>
        <w:tc>
          <w:tcPr>
            <w:tcW w:w="166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750</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350</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891</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596</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230</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2,817</w:t>
            </w:r>
          </w:p>
        </w:tc>
      </w:tr>
      <w:tr>
        <w:trPr>
          <w:trHeight w:val="27"/>
        </w:trPr>
        <w:tc>
          <w:tcPr>
            <w:tcW w:w="16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0"/>
        </w:trPr>
        <w:tc>
          <w:tcPr>
            <w:tcW w:w="1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Unsecured Notes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Senior Unsecured Notes, as further discussed below, include the following:</w:t>
      </w:r>
    </w:p>
    <w:p>
      <w:pPr>
        <w:spacing w:after="0" w:line="63" w:lineRule="exact"/>
        <w:rPr>
          <w:sz w:val="20"/>
          <w:szCs w:val="20"/>
          <w:color w:val="auto"/>
        </w:rPr>
      </w:pPr>
    </w:p>
    <w:p>
      <w:pPr>
        <w:ind w:left="980" w:right="60" w:hanging="324"/>
        <w:spacing w:after="0" w:line="277"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$750 million aggregate principal amount of 6.500% Senior Unsecured Notes due 2026 issued in the third quarter of 2018 with a maturity date of September 15, 2026 (the “2026 Notes”); and</w:t>
      </w:r>
    </w:p>
    <w:p>
      <w:pPr>
        <w:spacing w:after="0" w:line="8" w:lineRule="exact"/>
        <w:rPr>
          <w:rFonts w:ascii="Arial" w:cs="Arial" w:eastAsia="Arial" w:hAnsi="Arial"/>
          <w:sz w:val="18"/>
          <w:szCs w:val="18"/>
          <w:color w:val="auto"/>
        </w:rPr>
      </w:pPr>
    </w:p>
    <w:p>
      <w:pPr>
        <w:ind w:left="980" w:right="300" w:hanging="324"/>
        <w:spacing w:after="0" w:line="277"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$350 million aggregate principal amount of 4.750% Senior Unsecured Notes due 2028 issued in the fourth quarter of 2019 with a maturity date of January 15, 2028 (the “2028 Notes”).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Corporate Credit Facility</w:t>
      </w:r>
    </w:p>
    <w:p>
      <w:pPr>
        <w:spacing w:after="0" w:line="117"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Our corporate credit facility (“Corporate Credit Facility”), which provides support for our business, including ongoing liquidity and letters of credit, includes a $900 million term loan facility (the “Term Loan”), which matures on August 31, 2025, and a revolving credit facility with a borrowing capacity of $600 million (the “Revolving Corporate Credit Facility”), including a letter of credit sub-facility of $75 million, that terminates on August 31, 2023.</w:t>
      </w:r>
    </w:p>
    <w:p>
      <w:pPr>
        <w:spacing w:after="0" w:line="79"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The Term Loan bears interest at LIBOR plus 1.75 percent. Borrowings under the Revolving Corporate Credit Facility generally bear interest at a floating rate plus an applicable margin that varies from 0.50 percent to 2.75 percent depending on the type of loan and our credit rating. In addition, we pay a commitment fee on the unused availability under the Revolving Corporate Credit Facility at a rate that varies from 20 to 40 basis points per annum, also depending on our credit rating. As of March 31, 2020, we were in compliance with the applicable financial and operating covenants under the Corporate Credit Facility.</w:t>
      </w:r>
    </w:p>
    <w:p>
      <w:pPr>
        <w:spacing w:after="0" w:line="80" w:lineRule="exact"/>
        <w:rPr>
          <w:sz w:val="20"/>
          <w:szCs w:val="20"/>
          <w:color w:val="auto"/>
        </w:rPr>
      </w:pPr>
    </w:p>
    <w:p>
      <w:pPr>
        <w:jc w:val="both"/>
        <w:ind w:right="280" w:firstLine="648"/>
        <w:spacing w:after="0" w:line="263" w:lineRule="auto"/>
        <w:rPr>
          <w:sz w:val="20"/>
          <w:szCs w:val="20"/>
          <w:color w:val="auto"/>
        </w:rPr>
      </w:pPr>
      <w:r>
        <w:rPr>
          <w:rFonts w:ascii="Arial" w:cs="Arial" w:eastAsia="Arial" w:hAnsi="Arial"/>
          <w:sz w:val="18"/>
          <w:szCs w:val="18"/>
          <w:color w:val="auto"/>
        </w:rPr>
        <w:t>As a precautionary measure to ensure adequate liquidity for a sustained period, we borrowed the remaining $386 million under our Revolving Corporate Credit Facility in March 2020 to increase our cash position and preserve financial flexibility in light of the impact on global markets resulting from the COVID-19 pandemic.</w:t>
      </w:r>
    </w:p>
    <w:p>
      <w:pPr>
        <w:spacing w:after="0" w:line="76" w:lineRule="exact"/>
        <w:rPr>
          <w:sz w:val="20"/>
          <w:szCs w:val="20"/>
          <w:color w:val="auto"/>
        </w:rPr>
      </w:pPr>
    </w:p>
    <w:p>
      <w:pPr>
        <w:ind w:firstLine="648"/>
        <w:spacing w:after="0" w:line="275" w:lineRule="auto"/>
        <w:rPr>
          <w:sz w:val="20"/>
          <w:szCs w:val="20"/>
          <w:color w:val="auto"/>
        </w:rPr>
      </w:pPr>
      <w:r>
        <w:rPr>
          <w:rFonts w:ascii="Arial" w:cs="Arial" w:eastAsia="Arial" w:hAnsi="Arial"/>
          <w:sz w:val="17"/>
          <w:szCs w:val="17"/>
          <w:color w:val="auto"/>
        </w:rPr>
        <w:t>In May 2020, we entered into a waiver (the “Waiver”) to the agreement that governs the Corporate Credit Facility. The Waiver, among other things, suspends the requirement to comply with the leverage covenant in the Revolving Corporate Credit Facility for up to four quarters, commencing with the fiscal quarter ending June 30, 2020. During the suspension period, we will be required to maintain monthly minimum liquidity of at least $300 million until the later of March 31, 2021 or the end of the suspension period. In addition, for the duration of the period during which the waiver of the leverage covenant remains in effect, we are prohibited from making certain restricted payments, including share repurchases and dividends.</w:t>
      </w:r>
    </w:p>
    <w:p>
      <w:pPr>
        <w:spacing w:after="0" w:line="68"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Further, subsequent to the first quarter of 2020, we repaid the entire $596 million balance that was outstanding on the Revolving Corporate Credit Facility as of March 31, 2020.</w:t>
      </w:r>
    </w:p>
    <w:p>
      <w:pPr>
        <w:spacing w:after="0" w:line="62"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Prior to 2020, we entered into $250 million of interest rate swaps under which we pay a fixed rate of 2.9625 percent and receive a floating interest rate through September 2023 and $200 million of interest rate swaps under which we pay a fixed rate of 2.2480 percent and receive a floating interest rate through April 2024, in each case to hedge a portion of our interest rate risk on the Term Loan. We also entered into a $100 million interest rate collar with a cap strike rate of 2.5000 percent and a floor strike rate of 1.8810 percent through April 2024 to further hedge our interest rate risk on the Term Loan. Both the interest rate swaps and the interest rate collar have been designated and qualify as cash flow hedges of interest rate risk and recorded in Other liabilities on our Balance Sheet as of March 31, 2020 and December 31, 2019. We characterize payments we make in connection with these derivative instruments as interest expense and a reclassification of accumulated other comprehensive income for presentation purposes.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40"/>
          </w:cols>
          <w:pgMar w:left="320" w:top="125" w:right="3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reflects the activity in accumulated other comprehensive loss related to our derivative instruments: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960" w:type="dxa"/>
            <w:vAlign w:val="bottom"/>
            <w:gridSpan w:val="4"/>
          </w:tcPr>
          <w:p>
            <w:pPr>
              <w:jc w:val="right"/>
              <w:ind w:right="1292"/>
              <w:spacing w:after="0"/>
              <w:rPr>
                <w:sz w:val="20"/>
                <w:szCs w:val="20"/>
                <w:color w:val="auto"/>
              </w:rPr>
            </w:pPr>
            <w:r>
              <w:rPr>
                <w:rFonts w:ascii="Arial" w:cs="Arial" w:eastAsia="Arial" w:hAnsi="Arial"/>
                <w:sz w:val="16"/>
                <w:szCs w:val="16"/>
                <w:b w:val="1"/>
                <w:bCs w:val="1"/>
                <w:color w:val="auto"/>
              </w:rPr>
              <w:t>Three Months Ended</w:t>
            </w:r>
          </w:p>
        </w:tc>
      </w:tr>
      <w:tr>
        <w:trPr>
          <w:trHeight w:val="33"/>
        </w:trPr>
        <w:tc>
          <w:tcPr>
            <w:tcW w:w="69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58"/>
        </w:trPr>
        <w:tc>
          <w:tcPr>
            <w:tcW w:w="69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300" w:type="dxa"/>
            <w:vAlign w:val="bottom"/>
            <w:tcBorders>
              <w:bottom w:val="single" w:sz="8" w:color="auto"/>
            </w:tcBorders>
          </w:tcPr>
          <w:p>
            <w:pPr>
              <w:spacing w:after="0"/>
              <w:rPr>
                <w:sz w:val="22"/>
                <w:szCs w:val="22"/>
                <w:color w:val="auto"/>
              </w:rPr>
            </w:pPr>
          </w:p>
        </w:tc>
        <w:tc>
          <w:tcPr>
            <w:tcW w:w="1820" w:type="dxa"/>
            <w:vAlign w:val="bottom"/>
            <w:tcBorders>
              <w:bottom w:val="single" w:sz="8" w:color="auto"/>
            </w:tcBorders>
            <w:gridSpan w:val="2"/>
          </w:tcPr>
          <w:p>
            <w:pPr>
              <w:ind w:left="180"/>
              <w:spacing w:after="0"/>
              <w:rPr>
                <w:sz w:val="20"/>
                <w:szCs w:val="20"/>
                <w:color w:val="auto"/>
              </w:rPr>
            </w:pPr>
            <w:r>
              <w:rPr>
                <w:rFonts w:ascii="Arial" w:cs="Arial" w:eastAsia="Arial" w:hAnsi="Arial"/>
                <w:sz w:val="16"/>
                <w:szCs w:val="16"/>
                <w:b w:val="1"/>
                <w:bCs w:val="1"/>
                <w:color w:val="auto"/>
              </w:rPr>
              <w:t>March 31, 2020</w:t>
            </w:r>
          </w:p>
        </w:tc>
        <w:tc>
          <w:tcPr>
            <w:tcW w:w="340" w:type="dxa"/>
            <w:vAlign w:val="bottom"/>
            <w:tcBorders>
              <w:bottom w:val="single" w:sz="8" w:color="auto"/>
            </w:tcBorders>
          </w:tcPr>
          <w:p>
            <w:pPr>
              <w:spacing w:after="0"/>
              <w:rPr>
                <w:sz w:val="22"/>
                <w:szCs w:val="22"/>
                <w:color w:val="auto"/>
              </w:rPr>
            </w:pPr>
          </w:p>
        </w:tc>
        <w:tc>
          <w:tcPr>
            <w:tcW w:w="1800" w:type="dxa"/>
            <w:vAlign w:val="bottom"/>
            <w:tcBorders>
              <w:bottom w:val="single" w:sz="8" w:color="auto"/>
            </w:tcBorders>
          </w:tcPr>
          <w:p>
            <w:pPr>
              <w:jc w:val="right"/>
              <w:ind w:right="452"/>
              <w:spacing w:after="0"/>
              <w:rPr>
                <w:sz w:val="20"/>
                <w:szCs w:val="20"/>
                <w:color w:val="auto"/>
              </w:rPr>
            </w:pPr>
            <w:r>
              <w:rPr>
                <w:rFonts w:ascii="Arial" w:cs="Arial" w:eastAsia="Arial" w:hAnsi="Arial"/>
                <w:sz w:val="16"/>
                <w:szCs w:val="16"/>
                <w:b w:val="1"/>
                <w:bCs w:val="1"/>
                <w:color w:val="auto"/>
              </w:rPr>
              <w:t>March 31, 2019</w:t>
            </w:r>
          </w:p>
        </w:tc>
      </w:tr>
      <w:tr>
        <w:trPr>
          <w:trHeight w:val="249"/>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Derivative instrument adjustment balance, beginning of period</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43"/>
        </w:trPr>
        <w:tc>
          <w:tcPr>
            <w:tcW w:w="6980" w:type="dxa"/>
            <w:vAlign w:val="bottom"/>
          </w:tcPr>
          <w:p>
            <w:pPr>
              <w:ind w:left="280"/>
              <w:spacing w:after="0"/>
              <w:rPr>
                <w:sz w:val="20"/>
                <w:szCs w:val="20"/>
                <w:color w:val="auto"/>
              </w:rPr>
            </w:pPr>
            <w:r>
              <w:rPr>
                <w:rFonts w:ascii="Arial" w:cs="Arial" w:eastAsia="Arial" w:hAnsi="Arial"/>
                <w:sz w:val="18"/>
                <w:szCs w:val="18"/>
                <w:color w:val="auto"/>
              </w:rPr>
              <w:t>Other comprehensive loss before reclassifications</w:t>
            </w:r>
          </w:p>
        </w:tc>
        <w:tc>
          <w:tcPr>
            <w:tcW w:w="30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7"/>
        </w:trPr>
        <w:tc>
          <w:tcPr>
            <w:tcW w:w="6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70"/>
        </w:trPr>
        <w:tc>
          <w:tcPr>
            <w:tcW w:w="6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Reclassification to Income Statement</w:t>
            </w:r>
          </w:p>
        </w:tc>
        <w:tc>
          <w:tcPr>
            <w:tcW w:w="30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37"/>
        </w:trPr>
        <w:tc>
          <w:tcPr>
            <w:tcW w:w="6980" w:type="dxa"/>
            <w:vAlign w:val="bottom"/>
          </w:tcPr>
          <w:p>
            <w:pPr>
              <w:ind w:left="500"/>
              <w:spacing w:after="0"/>
              <w:rPr>
                <w:sz w:val="20"/>
                <w:szCs w:val="20"/>
                <w:color w:val="auto"/>
              </w:rPr>
            </w:pPr>
            <w:r>
              <w:rPr>
                <w:rFonts w:ascii="Arial" w:cs="Arial" w:eastAsia="Arial" w:hAnsi="Arial"/>
                <w:sz w:val="18"/>
                <w:szCs w:val="18"/>
                <w:color w:val="auto"/>
              </w:rPr>
              <w:t>Net other comprehensive loss</w:t>
            </w:r>
          </w:p>
        </w:tc>
        <w:tc>
          <w:tcPr>
            <w:tcW w:w="300" w:type="dxa"/>
            <w:vAlign w:val="bottom"/>
            <w:tcBorders>
              <w:top w:val="single" w:sz="8" w:color="auto"/>
            </w:tcBorders>
          </w:tcPr>
          <w:p>
            <w:pPr>
              <w:spacing w:after="0"/>
              <w:rPr>
                <w:sz w:val="20"/>
                <w:szCs w:val="20"/>
                <w:color w:val="auto"/>
              </w:rPr>
            </w:pPr>
          </w:p>
        </w:tc>
        <w:tc>
          <w:tcPr>
            <w:tcW w:w="1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w:t>
            </w:r>
          </w:p>
        </w:tc>
      </w:tr>
      <w:tr>
        <w:trPr>
          <w:trHeight w:val="27"/>
        </w:trPr>
        <w:tc>
          <w:tcPr>
            <w:tcW w:w="69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57"/>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Derivative instrument adjustment balance, end of period</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0"/>
        </w:trPr>
        <w:tc>
          <w:tcPr>
            <w:tcW w:w="69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Secured Notes</w:t>
      </w:r>
    </w:p>
    <w:p>
      <w:pPr>
        <w:spacing w:after="0" w:line="117" w:lineRule="exact"/>
        <w:rPr>
          <w:sz w:val="20"/>
          <w:szCs w:val="20"/>
          <w:color w:val="auto"/>
        </w:rPr>
      </w:pPr>
    </w:p>
    <w:p>
      <w:pPr>
        <w:ind w:right="300" w:firstLine="648"/>
        <w:spacing w:after="0" w:line="301" w:lineRule="auto"/>
        <w:rPr>
          <w:sz w:val="20"/>
          <w:szCs w:val="20"/>
          <w:color w:val="auto"/>
        </w:rPr>
      </w:pPr>
      <w:r>
        <w:rPr>
          <w:rFonts w:ascii="Arial" w:cs="Arial" w:eastAsia="Arial" w:hAnsi="Arial"/>
          <w:sz w:val="16"/>
          <w:szCs w:val="16"/>
          <w:color w:val="auto"/>
        </w:rPr>
        <w:t>Subsequent to the first quarter of 2020, in May 2020, we issued $500 million aggregate principal amount of 6.125% Senior Secured Notes due September 15, 2025 (the “2025 Notes”). The 2025 Notes will be pari passu with and secured by the same collateral as our Corporate Credit Facility. We will pay interest on the 2025 Notes on May 15 and November 15 of each year, commencing on November 15, 2020. We received net proceeds of approximately $494 million from the offering of the 2025 Notes, after deducting fees and expenses related to the offering.</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Convertible Notes</w:t>
      </w:r>
    </w:p>
    <w:p>
      <w:pPr>
        <w:spacing w:after="0" w:line="117"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During 2017, we issued $230 million of aggregate principal amount of convertible senior notes (the “Convertible Notes”) that bear interest at a rate of 1.50 percent, payable in cash semi-annually. The conversion rate is subject to adjustment for certain events as described in the indenture governing the notes and was subject to adjustment during the first quarter of 2020 to 6.8114 shares of common stock per $1,000 principal amount of Convertible Notes (equivalent to a conversion price of approximately $146.81 per share of our common stock) when we declared a quarterly dividend of $0.54 per share, which was greater than the quarterly dividend when the Convertible Notes were issued. Upon conversion, we will pay or deliver, as the case may be, cash, shares of our common stock or a combination of cash and shares of our common stock, at our election. It is our intent to settle conversions of the Convertible Notes through combination settlement, which contemplates repayment in cash of the principal amount and repayment in shares of our common stock of any excess of the conversion value over the principal amount. As of March 31, 2020, the effective interest rate was 4.7% and the remaining discount amortization period was 2.5 years.</w:t>
      </w:r>
    </w:p>
    <w:p>
      <w:pPr>
        <w:spacing w:after="0" w:line="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shows the net carrying value of the Convertible Notes.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08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240" w:type="dxa"/>
            <w:vAlign w:val="bottom"/>
          </w:tcPr>
          <w:p>
            <w:pPr>
              <w:spacing w:after="0"/>
              <w:rPr>
                <w:sz w:val="20"/>
                <w:szCs w:val="20"/>
                <w:color w:val="auto"/>
              </w:rPr>
            </w:pPr>
          </w:p>
        </w:tc>
        <w:tc>
          <w:tcPr>
            <w:tcW w:w="1900" w:type="dxa"/>
            <w:vAlign w:val="bottom"/>
            <w:gridSpan w:val="2"/>
          </w:tcPr>
          <w:p>
            <w:pPr>
              <w:ind w:left="140"/>
              <w:spacing w:after="0"/>
              <w:rPr>
                <w:sz w:val="20"/>
                <w:szCs w:val="20"/>
                <w:color w:val="auto"/>
              </w:rPr>
            </w:pPr>
            <w:r>
              <w:rPr>
                <w:rFonts w:ascii="Arial" w:cs="Arial" w:eastAsia="Arial" w:hAnsi="Arial"/>
                <w:sz w:val="16"/>
                <w:szCs w:val="16"/>
                <w:b w:val="1"/>
                <w:bCs w:val="1"/>
                <w:color w:val="auto"/>
              </w:rPr>
              <w:t>At March 31, 2020</w:t>
            </w:r>
          </w:p>
        </w:tc>
        <w:tc>
          <w:tcPr>
            <w:tcW w:w="180" w:type="dxa"/>
            <w:vAlign w:val="bottom"/>
          </w:tcPr>
          <w:p>
            <w:pPr>
              <w:spacing w:after="0"/>
              <w:rPr>
                <w:sz w:val="20"/>
                <w:szCs w:val="20"/>
                <w:color w:val="auto"/>
              </w:rPr>
            </w:pPr>
          </w:p>
        </w:tc>
        <w:tc>
          <w:tcPr>
            <w:tcW w:w="1840" w:type="dxa"/>
            <w:vAlign w:val="bottom"/>
          </w:tcPr>
          <w:p>
            <w:pPr>
              <w:jc w:val="right"/>
              <w:ind w:right="172"/>
              <w:spacing w:after="0"/>
              <w:rPr>
                <w:sz w:val="20"/>
                <w:szCs w:val="20"/>
                <w:color w:val="auto"/>
              </w:rPr>
            </w:pPr>
            <w:r>
              <w:rPr>
                <w:rFonts w:ascii="Arial" w:cs="Arial" w:eastAsia="Arial" w:hAnsi="Arial"/>
                <w:sz w:val="16"/>
                <w:szCs w:val="16"/>
                <w:b w:val="1"/>
                <w:bCs w:val="1"/>
                <w:color w:val="auto"/>
                <w:w w:val="94"/>
              </w:rPr>
              <w:t>At December 31, 2019</w:t>
            </w:r>
          </w:p>
        </w:tc>
      </w:tr>
      <w:tr>
        <w:trPr>
          <w:trHeight w:val="250"/>
        </w:trPr>
        <w:tc>
          <w:tcPr>
            <w:tcW w:w="70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Liability component</w:t>
            </w: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7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84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7080" w:type="dxa"/>
            <w:vAlign w:val="bottom"/>
          </w:tcPr>
          <w:p>
            <w:pPr>
              <w:ind w:left="280"/>
              <w:spacing w:after="0"/>
              <w:rPr>
                <w:sz w:val="20"/>
                <w:szCs w:val="20"/>
                <w:color w:val="auto"/>
              </w:rPr>
            </w:pPr>
            <w:r>
              <w:rPr>
                <w:rFonts w:ascii="Arial" w:cs="Arial" w:eastAsia="Arial" w:hAnsi="Arial"/>
                <w:sz w:val="18"/>
                <w:szCs w:val="18"/>
                <w:color w:val="auto"/>
              </w:rPr>
              <w:t>Principal amount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780" w:type="dxa"/>
            <w:vAlign w:val="bottom"/>
          </w:tcPr>
          <w:p>
            <w:pPr>
              <w:jc w:val="right"/>
              <w:ind w:right="12"/>
              <w:spacing w:after="0"/>
              <w:rPr>
                <w:sz w:val="20"/>
                <w:szCs w:val="20"/>
                <w:color w:val="auto"/>
              </w:rPr>
            </w:pPr>
            <w:r>
              <w:rPr>
                <w:rFonts w:ascii="Arial" w:cs="Arial" w:eastAsia="Arial" w:hAnsi="Arial"/>
                <w:sz w:val="18"/>
                <w:szCs w:val="18"/>
                <w:color w:val="auto"/>
              </w:rPr>
              <w:t>230</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40" w:type="dxa"/>
            <w:vAlign w:val="bottom"/>
          </w:tcPr>
          <w:p>
            <w:pPr>
              <w:jc w:val="right"/>
              <w:ind w:right="12"/>
              <w:spacing w:after="0"/>
              <w:rPr>
                <w:sz w:val="20"/>
                <w:szCs w:val="20"/>
                <w:color w:val="auto"/>
              </w:rPr>
            </w:pPr>
            <w:r>
              <w:rPr>
                <w:rFonts w:ascii="Arial" w:cs="Arial" w:eastAsia="Arial" w:hAnsi="Arial"/>
                <w:sz w:val="18"/>
                <w:szCs w:val="18"/>
                <w:color w:val="auto"/>
              </w:rPr>
              <w:t>230</w:t>
            </w:r>
          </w:p>
        </w:tc>
      </w:tr>
      <w:tr>
        <w:trPr>
          <w:trHeight w:val="27"/>
        </w:trPr>
        <w:tc>
          <w:tcPr>
            <w:tcW w:w="7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Unamortized debt discount</w:t>
            </w:r>
          </w:p>
        </w:tc>
        <w:tc>
          <w:tcPr>
            <w:tcW w:w="24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43"/>
        </w:trPr>
        <w:tc>
          <w:tcPr>
            <w:tcW w:w="7080" w:type="dxa"/>
            <w:vAlign w:val="bottom"/>
          </w:tcPr>
          <w:p>
            <w:pPr>
              <w:ind w:left="280"/>
              <w:spacing w:after="0"/>
              <w:rPr>
                <w:sz w:val="20"/>
                <w:szCs w:val="20"/>
                <w:color w:val="auto"/>
              </w:rPr>
            </w:pPr>
            <w:r>
              <w:rPr>
                <w:rFonts w:ascii="Arial" w:cs="Arial" w:eastAsia="Arial" w:hAnsi="Arial"/>
                <w:sz w:val="18"/>
                <w:szCs w:val="18"/>
                <w:color w:val="auto"/>
              </w:rPr>
              <w:t>Unamortized debt issuance costs</w:t>
            </w:r>
          </w:p>
        </w:tc>
        <w:tc>
          <w:tcPr>
            <w:tcW w:w="24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7"/>
        </w:trPr>
        <w:tc>
          <w:tcPr>
            <w:tcW w:w="70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57"/>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carrying amount of the liability component</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209</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207</w:t>
            </w:r>
          </w:p>
        </w:tc>
      </w:tr>
      <w:tr>
        <w:trPr>
          <w:trHeight w:val="20"/>
        </w:trPr>
        <w:tc>
          <w:tcPr>
            <w:tcW w:w="70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r>
        <w:trPr>
          <w:trHeight w:val="284"/>
        </w:trPr>
        <w:tc>
          <w:tcPr>
            <w:tcW w:w="7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243"/>
        </w:trPr>
        <w:tc>
          <w:tcPr>
            <w:tcW w:w="7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Carrying amount of equity component, net of issuance costs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7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33</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33</w:t>
            </w:r>
          </w:p>
        </w:tc>
      </w:tr>
      <w:tr>
        <w:trPr>
          <w:trHeight w:val="27"/>
        </w:trPr>
        <w:tc>
          <w:tcPr>
            <w:tcW w:w="70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7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8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shows interest expense information related to the Convertible Notes.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6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60" w:type="dxa"/>
            <w:vAlign w:val="bottom"/>
            <w:gridSpan w:val="4"/>
          </w:tcPr>
          <w:p>
            <w:pPr>
              <w:jc w:val="right"/>
              <w:ind w:right="1232"/>
              <w:spacing w:after="0"/>
              <w:rPr>
                <w:sz w:val="20"/>
                <w:szCs w:val="20"/>
                <w:color w:val="auto"/>
              </w:rPr>
            </w:pPr>
            <w:r>
              <w:rPr>
                <w:rFonts w:ascii="Arial" w:cs="Arial" w:eastAsia="Arial" w:hAnsi="Arial"/>
                <w:sz w:val="16"/>
                <w:szCs w:val="16"/>
                <w:b w:val="1"/>
                <w:bCs w:val="1"/>
                <w:color w:val="auto"/>
              </w:rPr>
              <w:t>Three Months Ended</w:t>
            </w:r>
          </w:p>
        </w:tc>
        <w:tc>
          <w:tcPr>
            <w:tcW w:w="0" w:type="dxa"/>
            <w:vAlign w:val="bottom"/>
          </w:tcPr>
          <w:p>
            <w:pPr>
              <w:spacing w:after="0"/>
              <w:rPr>
                <w:sz w:val="1"/>
                <w:szCs w:val="1"/>
                <w:color w:val="auto"/>
              </w:rPr>
            </w:pPr>
          </w:p>
        </w:tc>
      </w:tr>
      <w:tr>
        <w:trPr>
          <w:trHeight w:val="33"/>
        </w:trPr>
        <w:tc>
          <w:tcPr>
            <w:tcW w:w="4060" w:type="dxa"/>
            <w:vAlign w:val="bottom"/>
          </w:tcPr>
          <w:p>
            <w:pPr>
              <w:spacing w:after="0"/>
              <w:rPr>
                <w:sz w:val="2"/>
                <w:szCs w:val="2"/>
                <w:color w:val="auto"/>
              </w:rPr>
            </w:pPr>
          </w:p>
        </w:tc>
        <w:tc>
          <w:tcPr>
            <w:tcW w:w="30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40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30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tcPr>
          <w:p>
            <w:pPr>
              <w:jc w:val="right"/>
              <w:ind w:right="373"/>
              <w:spacing w:after="0"/>
              <w:rPr>
                <w:sz w:val="20"/>
                <w:szCs w:val="20"/>
                <w:color w:val="auto"/>
              </w:rPr>
            </w:pPr>
            <w:r>
              <w:rPr>
                <w:rFonts w:ascii="Arial" w:cs="Arial" w:eastAsia="Arial" w:hAnsi="Arial"/>
                <w:sz w:val="16"/>
                <w:szCs w:val="16"/>
                <w:b w:val="1"/>
                <w:bCs w:val="1"/>
                <w:color w:val="auto"/>
              </w:rPr>
              <w:t>March 31, 2020</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tcPr>
          <w:p>
            <w:pPr>
              <w:jc w:val="right"/>
              <w:ind w:right="392"/>
              <w:spacing w:after="0"/>
              <w:rPr>
                <w:sz w:val="20"/>
                <w:szCs w:val="20"/>
                <w:color w:val="auto"/>
              </w:rPr>
            </w:pPr>
            <w:r>
              <w:rPr>
                <w:rFonts w:ascii="Arial" w:cs="Arial" w:eastAsia="Arial" w:hAnsi="Arial"/>
                <w:sz w:val="16"/>
                <w:szCs w:val="16"/>
                <w:b w:val="1"/>
                <w:bCs w:val="1"/>
                <w:color w:val="auto"/>
              </w:rPr>
              <w:t>March 31, 2019</w:t>
            </w:r>
          </w:p>
        </w:tc>
        <w:tc>
          <w:tcPr>
            <w:tcW w:w="0" w:type="dxa"/>
            <w:vAlign w:val="bottom"/>
          </w:tcPr>
          <w:p>
            <w:pPr>
              <w:spacing w:after="0"/>
              <w:rPr>
                <w:sz w:val="1"/>
                <w:szCs w:val="1"/>
                <w:color w:val="auto"/>
              </w:rPr>
            </w:pPr>
          </w:p>
        </w:tc>
      </w:tr>
      <w:tr>
        <w:trPr>
          <w:trHeight w:val="250"/>
        </w:trPr>
        <w:tc>
          <w:tcPr>
            <w:tcW w:w="4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Contractual interest expense</w:t>
            </w:r>
          </w:p>
        </w:tc>
        <w:tc>
          <w:tcPr>
            <w:tcW w:w="332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7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4060" w:type="dxa"/>
            <w:vAlign w:val="bottom"/>
          </w:tcPr>
          <w:p>
            <w:pPr>
              <w:ind w:left="40"/>
              <w:spacing w:after="0"/>
              <w:rPr>
                <w:sz w:val="20"/>
                <w:szCs w:val="20"/>
                <w:color w:val="auto"/>
              </w:rPr>
            </w:pPr>
            <w:r>
              <w:rPr>
                <w:rFonts w:ascii="Arial" w:cs="Arial" w:eastAsia="Arial" w:hAnsi="Arial"/>
                <w:sz w:val="18"/>
                <w:szCs w:val="18"/>
                <w:color w:val="auto"/>
              </w:rPr>
              <w:t>Amortization of debt discount</w:t>
            </w:r>
          </w:p>
        </w:tc>
        <w:tc>
          <w:tcPr>
            <w:tcW w:w="30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720" w:type="dxa"/>
            <w:vAlign w:val="bottom"/>
          </w:tcPr>
          <w:p>
            <w:pPr>
              <w:jc w:val="right"/>
              <w:ind w:right="13"/>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720" w:type="dxa"/>
            <w:vAlign w:val="bottom"/>
          </w:tcPr>
          <w:p>
            <w:pPr>
              <w:jc w:val="right"/>
              <w:ind w:right="12"/>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4060" w:type="dxa"/>
            <w:vAlign w:val="bottom"/>
          </w:tcPr>
          <w:p>
            <w:pPr>
              <w:spacing w:after="0"/>
              <w:rPr>
                <w:sz w:val="2"/>
                <w:szCs w:val="2"/>
                <w:color w:val="auto"/>
              </w:rPr>
            </w:pPr>
          </w:p>
        </w:tc>
        <w:tc>
          <w:tcPr>
            <w:tcW w:w="3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debt issuance costs</w:t>
            </w:r>
          </w:p>
        </w:tc>
        <w:tc>
          <w:tcPr>
            <w:tcW w:w="30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6"/>
        </w:trPr>
        <w:tc>
          <w:tcPr>
            <w:tcW w:w="406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7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7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4060" w:type="dxa"/>
            <w:vAlign w:val="bottom"/>
          </w:tcPr>
          <w:p>
            <w:pPr>
              <w:spacing w:after="0"/>
              <w:rPr>
                <w:sz w:val="2"/>
                <w:szCs w:val="2"/>
                <w:color w:val="auto"/>
              </w:rPr>
            </w:pPr>
          </w:p>
        </w:tc>
        <w:tc>
          <w:tcPr>
            <w:tcW w:w="3020" w:type="dxa"/>
            <w:vAlign w:val="bottom"/>
            <w:vMerge w:val="restart"/>
          </w:tcPr>
          <w:p>
            <w:pPr>
              <w:jc w:val="right"/>
              <w:ind w:right="1270"/>
              <w:spacing w:after="0"/>
              <w:rPr>
                <w:sz w:val="20"/>
                <w:szCs w:val="20"/>
                <w:color w:val="auto"/>
              </w:rPr>
            </w:pPr>
            <w:r>
              <w:rPr>
                <w:rFonts w:ascii="Arial" w:cs="Arial" w:eastAsia="Arial" w:hAnsi="Arial"/>
                <w:sz w:val="18"/>
                <w:szCs w:val="18"/>
                <w:color w:val="auto"/>
              </w:rPr>
              <w:t>28</w:t>
            </w:r>
          </w:p>
        </w:tc>
        <w:tc>
          <w:tcPr>
            <w:tcW w:w="3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3020" w:type="dxa"/>
            <w:vAlign w:val="bottom"/>
            <w:vMerge w:val="continue"/>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4060" w:type="dxa"/>
            <w:vAlign w:val="bottom"/>
          </w:tcPr>
          <w:p>
            <w:pPr>
              <w:spacing w:after="0"/>
              <w:rPr>
                <w:sz w:val="24"/>
                <w:szCs w:val="24"/>
                <w:color w:val="auto"/>
              </w:rPr>
            </w:pPr>
          </w:p>
        </w:tc>
        <w:tc>
          <w:tcPr>
            <w:tcW w:w="302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Convertible Note Hedges and Warrants</w:t>
      </w:r>
    </w:p>
    <w:p>
      <w:pPr>
        <w:spacing w:after="0" w:line="117"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In connection with the offering of the Convertible Notes, we concurrently entered into the following privately-negotiated separate transactions: convertible note hedge transactions with respect to our common stock (“Convertible Note Hedges”), covering a total of approximately 1.55 million shares of our common stock, and warrant transactions (“Warrants”), whereby we sold to the counterparties to the Convertible Note Hedges warrants to acquire approximately 1.55 million shares of our common stock at an initial strike price of $176.68 per share. The strike price was subject to adjustment during the first quarter of 2020 to $175.04 per share when we declared a quarterly dividend of $0.54 per share. As of March 31, 2020, no Convertible Note Hedges or Warrants have been exercised.</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Restrictions</w:t>
      </w:r>
    </w:p>
    <w:p>
      <w:pPr>
        <w:spacing w:after="0" w:line="117" w:lineRule="exact"/>
        <w:rPr>
          <w:sz w:val="20"/>
          <w:szCs w:val="20"/>
          <w:color w:val="auto"/>
        </w:rPr>
      </w:pPr>
    </w:p>
    <w:p>
      <w:pPr>
        <w:ind w:right="20" w:firstLine="648"/>
        <w:spacing w:after="0" w:line="275" w:lineRule="auto"/>
        <w:rPr>
          <w:sz w:val="20"/>
          <w:szCs w:val="20"/>
          <w:color w:val="auto"/>
        </w:rPr>
      </w:pPr>
      <w:r>
        <w:rPr>
          <w:rFonts w:ascii="Arial" w:cs="Arial" w:eastAsia="Arial" w:hAnsi="Arial"/>
          <w:sz w:val="17"/>
          <w:szCs w:val="17"/>
          <w:color w:val="auto"/>
        </w:rPr>
        <w:t>Amounts borrowed under the Corporate Credit Facility, as well as obligations with respect to letters of credit issued pursuant to that facility, are secured by a perfected first priority security interest in substantially all of the assets of the borrowers under, and guarantors of, that facility (which include MVWC and certain of our direct and indirect, existing and future, domestic subsidiaries, excluding certain bankruptcy remote special purpose subsidiaries), in each case including inventory, subject to certain exceptions. In addition, the 2026 Notes and 2028 Notes are guaranteed by MVWC and certain of our direct and indirect, existing and future, domestic subsidiaries, excluding bankruptcy remote special purpose subsidiaries.</w:t>
      </w:r>
    </w:p>
    <w:p>
      <w:pPr>
        <w:spacing w:after="0" w:line="200" w:lineRule="exact"/>
        <w:rPr>
          <w:sz w:val="20"/>
          <w:szCs w:val="20"/>
          <w:color w:val="auto"/>
        </w:rPr>
      </w:pPr>
    </w:p>
    <w:p>
      <w:pPr>
        <w:spacing w:after="0" w:line="24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14. SHAREHOLDERS’ EQUITY</w:t>
      </w:r>
    </w:p>
    <w:p>
      <w:pPr>
        <w:spacing w:after="0" w:line="148" w:lineRule="exact"/>
        <w:rPr>
          <w:sz w:val="20"/>
          <w:szCs w:val="20"/>
          <w:color w:val="auto"/>
        </w:rPr>
      </w:pPr>
    </w:p>
    <w:p>
      <w:pPr>
        <w:ind w:right="20" w:firstLine="648"/>
        <w:spacing w:after="0" w:line="296" w:lineRule="auto"/>
        <w:rPr>
          <w:sz w:val="20"/>
          <w:szCs w:val="20"/>
          <w:color w:val="auto"/>
        </w:rPr>
      </w:pPr>
      <w:r>
        <w:rPr>
          <w:rFonts w:ascii="Arial" w:cs="Arial" w:eastAsia="Arial" w:hAnsi="Arial"/>
          <w:sz w:val="16"/>
          <w:szCs w:val="16"/>
          <w:color w:val="auto"/>
        </w:rPr>
        <w:t>Marriott Vacations Worldwide has 100,000,000 authorized shares of common stock, par value of $0.01 per share. At March 31, 2020, there were 75,235,823 shares of Marriott Vacations Worldwide common stock issued, of which 41,039,198 shares were outstanding and 34,196,625 shares were held as treasury stock. At December 31, 2019, there were 75,020,272 shares of Marriott Vacations Worldwide common stock issued, of which 41,582,096 shares were outstanding and 33,438,176 shares were held as treasury stock. Marriott Vacations Worldwide has 2,000,000 authorized shares of preferred stock, par value of $0.01 per share, none of which were issued or outstanding as of March 31, 2020 or December 31, 2019.</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Repurchase Program</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share repurchase activity under our current share repurchase program:</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180" w:type="dxa"/>
            <w:vAlign w:val="bottom"/>
          </w:tcPr>
          <w:p>
            <w:pPr>
              <w:spacing w:after="0"/>
              <w:rPr>
                <w:sz w:val="17"/>
                <w:szCs w:val="17"/>
                <w:color w:val="auto"/>
              </w:rPr>
            </w:pPr>
          </w:p>
        </w:tc>
        <w:tc>
          <w:tcPr>
            <w:tcW w:w="21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Number of Shares</w:t>
            </w:r>
          </w:p>
        </w:tc>
        <w:tc>
          <w:tcPr>
            <w:tcW w:w="300" w:type="dxa"/>
            <w:vAlign w:val="bottom"/>
          </w:tcPr>
          <w:p>
            <w:pPr>
              <w:spacing w:after="0"/>
              <w:rPr>
                <w:sz w:val="17"/>
                <w:szCs w:val="17"/>
                <w:color w:val="auto"/>
              </w:rPr>
            </w:pPr>
          </w:p>
        </w:tc>
        <w:tc>
          <w:tcPr>
            <w:tcW w:w="172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88"/>
              </w:rPr>
              <w:t>Cost of Shares</w:t>
            </w:r>
          </w:p>
        </w:tc>
        <w:tc>
          <w:tcPr>
            <w:tcW w:w="140" w:type="dxa"/>
            <w:vAlign w:val="bottom"/>
          </w:tcPr>
          <w:p>
            <w:pPr>
              <w:spacing w:after="0"/>
              <w:rPr>
                <w:sz w:val="17"/>
                <w:szCs w:val="17"/>
                <w:color w:val="auto"/>
              </w:rPr>
            </w:pPr>
          </w:p>
        </w:tc>
        <w:tc>
          <w:tcPr>
            <w:tcW w:w="1760" w:type="dxa"/>
            <w:vAlign w:val="bottom"/>
          </w:tcPr>
          <w:p>
            <w:pPr>
              <w:jc w:val="right"/>
              <w:ind w:right="74"/>
              <w:spacing w:after="0"/>
              <w:rPr>
                <w:sz w:val="20"/>
                <w:szCs w:val="20"/>
                <w:color w:val="auto"/>
              </w:rPr>
            </w:pPr>
            <w:r>
              <w:rPr>
                <w:rFonts w:ascii="Arial" w:cs="Arial" w:eastAsia="Arial" w:hAnsi="Arial"/>
                <w:sz w:val="16"/>
                <w:szCs w:val="16"/>
                <w:b w:val="1"/>
                <w:bCs w:val="1"/>
                <w:color w:val="auto"/>
                <w:w w:val="90"/>
              </w:rPr>
              <w:t>Average Price Paid per</w:t>
            </w:r>
          </w:p>
        </w:tc>
      </w:tr>
      <w:tr>
        <w:trPr>
          <w:trHeight w:val="237"/>
        </w:trPr>
        <w:tc>
          <w:tcPr>
            <w:tcW w:w="518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millions, except per share amounts)</w:t>
            </w:r>
          </w:p>
        </w:tc>
        <w:tc>
          <w:tcPr>
            <w:tcW w:w="21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0"/>
              </w:rPr>
              <w:t>Repurchased</w:t>
            </w:r>
          </w:p>
        </w:tc>
        <w:tc>
          <w:tcPr>
            <w:tcW w:w="300" w:type="dxa"/>
            <w:vAlign w:val="bottom"/>
          </w:tcPr>
          <w:p>
            <w:pPr>
              <w:spacing w:after="0"/>
              <w:rPr>
                <w:sz w:val="20"/>
                <w:szCs w:val="20"/>
                <w:color w:val="auto"/>
              </w:rPr>
            </w:pPr>
          </w:p>
        </w:tc>
        <w:tc>
          <w:tcPr>
            <w:tcW w:w="172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88"/>
              </w:rPr>
              <w:t>Repurchased</w:t>
            </w:r>
          </w:p>
        </w:tc>
        <w:tc>
          <w:tcPr>
            <w:tcW w:w="140" w:type="dxa"/>
            <w:vAlign w:val="bottom"/>
          </w:tcPr>
          <w:p>
            <w:pPr>
              <w:spacing w:after="0"/>
              <w:rPr>
                <w:sz w:val="20"/>
                <w:szCs w:val="20"/>
                <w:color w:val="auto"/>
              </w:rPr>
            </w:pPr>
          </w:p>
        </w:tc>
        <w:tc>
          <w:tcPr>
            <w:tcW w:w="1760" w:type="dxa"/>
            <w:vAlign w:val="bottom"/>
          </w:tcPr>
          <w:p>
            <w:pPr>
              <w:jc w:val="right"/>
              <w:ind w:right="674"/>
              <w:spacing w:after="0"/>
              <w:rPr>
                <w:sz w:val="20"/>
                <w:szCs w:val="20"/>
                <w:color w:val="auto"/>
              </w:rPr>
            </w:pPr>
            <w:r>
              <w:rPr>
                <w:rFonts w:ascii="Arial" w:cs="Arial" w:eastAsia="Arial" w:hAnsi="Arial"/>
                <w:sz w:val="16"/>
                <w:szCs w:val="16"/>
                <w:b w:val="1"/>
                <w:bCs w:val="1"/>
                <w:color w:val="auto"/>
              </w:rPr>
              <w:t>Share</w:t>
            </w:r>
          </w:p>
        </w:tc>
      </w:tr>
      <w:tr>
        <w:trPr>
          <w:trHeight w:val="250"/>
        </w:trPr>
        <w:tc>
          <w:tcPr>
            <w:tcW w:w="51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 of December 31, 2019</w:t>
            </w:r>
          </w:p>
        </w:tc>
        <w:tc>
          <w:tcPr>
            <w:tcW w:w="204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16,418,950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1,258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76.60</w:t>
            </w:r>
          </w:p>
        </w:tc>
      </w:tr>
      <w:tr>
        <w:trPr>
          <w:trHeight w:val="243"/>
        </w:trPr>
        <w:tc>
          <w:tcPr>
            <w:tcW w:w="5180" w:type="dxa"/>
            <w:vAlign w:val="bottom"/>
          </w:tcPr>
          <w:p>
            <w:pPr>
              <w:ind w:left="280"/>
              <w:spacing w:after="0"/>
              <w:rPr>
                <w:sz w:val="20"/>
                <w:szCs w:val="20"/>
                <w:color w:val="auto"/>
              </w:rPr>
            </w:pPr>
            <w:r>
              <w:rPr>
                <w:rFonts w:ascii="Arial" w:cs="Arial" w:eastAsia="Arial" w:hAnsi="Arial"/>
                <w:sz w:val="18"/>
                <w:szCs w:val="18"/>
                <w:color w:val="auto"/>
              </w:rPr>
              <w:t>For the first quarter of 2020</w:t>
            </w:r>
          </w:p>
        </w:tc>
        <w:tc>
          <w:tcPr>
            <w:tcW w:w="2040" w:type="dxa"/>
            <w:vAlign w:val="bottom"/>
          </w:tcPr>
          <w:p>
            <w:pPr>
              <w:jc w:val="right"/>
              <w:ind w:right="34"/>
              <w:spacing w:after="0"/>
              <w:rPr>
                <w:sz w:val="20"/>
                <w:szCs w:val="20"/>
                <w:color w:val="auto"/>
              </w:rPr>
            </w:pPr>
            <w:r>
              <w:rPr>
                <w:rFonts w:ascii="Arial" w:cs="Arial" w:eastAsia="Arial" w:hAnsi="Arial"/>
                <w:sz w:val="18"/>
                <w:szCs w:val="18"/>
                <w:color w:val="auto"/>
              </w:rPr>
              <w:t>769,935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00" w:type="dxa"/>
            <w:vAlign w:val="bottom"/>
          </w:tcPr>
          <w:p>
            <w:pPr>
              <w:jc w:val="right"/>
              <w:ind w:right="14"/>
              <w:spacing w:after="0"/>
              <w:rPr>
                <w:sz w:val="20"/>
                <w:szCs w:val="20"/>
                <w:color w:val="auto"/>
              </w:rPr>
            </w:pPr>
            <w:r>
              <w:rPr>
                <w:rFonts w:ascii="Arial" w:cs="Arial" w:eastAsia="Arial" w:hAnsi="Arial"/>
                <w:sz w:val="18"/>
                <w:szCs w:val="18"/>
                <w:color w:val="auto"/>
              </w:rPr>
              <w:t>82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760" w:type="dxa"/>
            <w:vAlign w:val="bottom"/>
          </w:tcPr>
          <w:p>
            <w:pPr>
              <w:jc w:val="right"/>
              <w:ind w:right="14"/>
              <w:spacing w:after="0"/>
              <w:rPr>
                <w:sz w:val="20"/>
                <w:szCs w:val="20"/>
                <w:color w:val="auto"/>
              </w:rPr>
            </w:pPr>
            <w:r>
              <w:rPr>
                <w:rFonts w:ascii="Arial" w:cs="Arial" w:eastAsia="Arial" w:hAnsi="Arial"/>
                <w:sz w:val="18"/>
                <w:szCs w:val="18"/>
                <w:color w:val="auto"/>
              </w:rPr>
              <w:t>106.60</w:t>
            </w:r>
          </w:p>
        </w:tc>
      </w:tr>
      <w:tr>
        <w:trPr>
          <w:trHeight w:val="27"/>
        </w:trPr>
        <w:tc>
          <w:tcPr>
            <w:tcW w:w="5180" w:type="dxa"/>
            <w:vAlign w:val="bottom"/>
            <w:tcBorders>
              <w:bottom w:val="single" w:sz="8" w:color="CCEEFF"/>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57"/>
        </w:trPr>
        <w:tc>
          <w:tcPr>
            <w:tcW w:w="5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 of March 31, 2020</w:t>
            </w:r>
          </w:p>
        </w:tc>
        <w:tc>
          <w:tcPr>
            <w:tcW w:w="20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17,188,885</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1,340</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77.95</w:t>
            </w:r>
          </w:p>
        </w:tc>
      </w:tr>
      <w:tr>
        <w:trPr>
          <w:trHeight w:val="20"/>
        </w:trPr>
        <w:tc>
          <w:tcPr>
            <w:tcW w:w="5180" w:type="dxa"/>
            <w:vAlign w:val="bottom"/>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On July 30, 2019, our Board of Directors authorized the extension of the duration of our existing share repurchase program to December 31, 2020, as well as the repurchase of up to 4.5 million additional shares of our common stock. As of March 31, 2020, our Board of Directors had authorized the repurchase of an aggregate of up to 19.4 million shares of our common stock under the share repurchase program since the initiation of the program in October 2013. Share repurchases may be made through open market purchases, privately negotiated transactions, block transactions, tender offers, accelerated share repurchase agreements or otherwise. The specific timing, amount and other terms of the repurchases will depend on market conditions, corporate and regulatory requirements and other factors. Acquired shares of our common stock are held as treasury shares carried at cost in our Financial Statements. In connection with the repurchase program, we are authorized to adopt one or more trading plans pursuant to the provisions of Rule 10b5-1 under the Securities Exchange Act of 1934, as amended.</w:t>
      </w:r>
    </w:p>
    <w:p>
      <w:pPr>
        <w:spacing w:after="0" w:line="70" w:lineRule="exact"/>
        <w:rPr>
          <w:sz w:val="20"/>
          <w:szCs w:val="20"/>
          <w:color w:val="auto"/>
        </w:rPr>
      </w:pPr>
    </w:p>
    <w:p>
      <w:pPr>
        <w:ind w:right="140" w:firstLine="648"/>
        <w:spacing w:after="0" w:line="279" w:lineRule="auto"/>
        <w:rPr>
          <w:sz w:val="20"/>
          <w:szCs w:val="20"/>
          <w:color w:val="auto"/>
        </w:rPr>
      </w:pPr>
      <w:r>
        <w:rPr>
          <w:rFonts w:ascii="Arial" w:cs="Arial" w:eastAsia="Arial" w:hAnsi="Arial"/>
          <w:sz w:val="17"/>
          <w:szCs w:val="17"/>
          <w:color w:val="auto"/>
        </w:rPr>
        <w:t>As of March 31, 2020, 1.9 million shares remained available for repurchase under the authorization approved by our Board of Directors. The authorization for the share repurchase program may be suspended, terminated, increased or decreased by our Board of Directors at any time without prior notice. Due to the impact of the COVID-19 pandemic, we temporarily suspended repurchasing shares of our common stock. Any future share repurchases will be subject to the restrictions associated with the Waiver to the Corporate Credit Facility.</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40"/>
          </w:cols>
          <w:pgMar w:left="320" w:top="125" w:right="3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declared cash dividends to holders of common stock during the first quarter of 2020 as follows:</w:t>
      </w:r>
    </w:p>
    <w:p>
      <w:pPr>
        <w:spacing w:after="0" w:line="185" w:lineRule="exact"/>
        <w:rPr>
          <w:sz w:val="20"/>
          <w:szCs w:val="20"/>
          <w:color w:val="auto"/>
        </w:rPr>
      </w:pPr>
    </w:p>
    <w:tbl>
      <w:tblPr>
        <w:tblLayout w:type="fixed"/>
        <w:tblInd w:w="420" w:type="dxa"/>
        <w:tblCellMar>
          <w:top w:w="0" w:type="dxa"/>
          <w:left w:w="0" w:type="dxa"/>
          <w:bottom w:w="0" w:type="dxa"/>
          <w:right w:w="0" w:type="dxa"/>
        </w:tblCellMar>
      </w:tblPr>
      <w:tr>
        <w:trPr>
          <w:trHeight w:val="210"/>
        </w:trPr>
        <w:tc>
          <w:tcPr>
            <w:tcW w:w="252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3"/>
              </w:rPr>
              <w:t>Declaration Date</w:t>
            </w:r>
          </w:p>
        </w:tc>
        <w:tc>
          <w:tcPr>
            <w:tcW w:w="28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Shareholder Record Date</w:t>
            </w:r>
          </w:p>
        </w:tc>
        <w:tc>
          <w:tcPr>
            <w:tcW w:w="26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4"/>
              </w:rPr>
              <w:t>Distribution Date</w:t>
            </w:r>
          </w:p>
        </w:tc>
        <w:tc>
          <w:tcPr>
            <w:tcW w:w="2480" w:type="dxa"/>
            <w:vAlign w:val="bottom"/>
          </w:tcPr>
          <w:p>
            <w:pPr>
              <w:jc w:val="center"/>
              <w:spacing w:after="0"/>
              <w:rPr>
                <w:sz w:val="20"/>
                <w:szCs w:val="20"/>
                <w:color w:val="auto"/>
              </w:rPr>
            </w:pPr>
            <w:r>
              <w:rPr>
                <w:rFonts w:ascii="Arial" w:cs="Arial" w:eastAsia="Arial" w:hAnsi="Arial"/>
                <w:sz w:val="16"/>
                <w:szCs w:val="16"/>
                <w:b w:val="1"/>
                <w:bCs w:val="1"/>
                <w:color w:val="auto"/>
                <w:w w:val="91"/>
              </w:rPr>
              <w:t>Dividend per Share</w:t>
            </w:r>
          </w:p>
        </w:tc>
      </w:tr>
      <w:tr>
        <w:trPr>
          <w:trHeight w:val="33"/>
        </w:trPr>
        <w:tc>
          <w:tcPr>
            <w:tcW w:w="2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r>
      <w:tr>
        <w:trPr>
          <w:trHeight w:val="237"/>
        </w:trPr>
        <w:tc>
          <w:tcPr>
            <w:tcW w:w="252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89"/>
              </w:rPr>
              <w:t>February 14, 2020</w:t>
            </w:r>
          </w:p>
        </w:tc>
        <w:tc>
          <w:tcPr>
            <w:tcW w:w="2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February 27, 2020</w:t>
            </w:r>
          </w:p>
        </w:tc>
        <w:tc>
          <w:tcPr>
            <w:tcW w:w="26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1"/>
              </w:rPr>
              <w:t>March 12, 2020</w:t>
            </w:r>
          </w:p>
        </w:tc>
        <w:tc>
          <w:tcPr>
            <w:tcW w:w="2480" w:type="dxa"/>
            <w:vAlign w:val="bottom"/>
            <w:shd w:val="clear" w:color="auto" w:fill="CCEEFF"/>
          </w:tcPr>
          <w:p>
            <w:pPr>
              <w:jc w:val="right"/>
              <w:ind w:right="955"/>
              <w:spacing w:after="0"/>
              <w:rPr>
                <w:sz w:val="20"/>
                <w:szCs w:val="20"/>
                <w:color w:val="auto"/>
              </w:rPr>
            </w:pPr>
            <w:r>
              <w:rPr>
                <w:rFonts w:ascii="Arial" w:cs="Arial" w:eastAsia="Arial" w:hAnsi="Arial"/>
                <w:sz w:val="18"/>
                <w:szCs w:val="18"/>
                <w:color w:val="auto"/>
              </w:rPr>
              <w:t>$0.54</w:t>
            </w:r>
          </w:p>
        </w:tc>
      </w:tr>
      <w:tr>
        <w:trPr>
          <w:trHeight w:val="27"/>
        </w:trPr>
        <w:tc>
          <w:tcPr>
            <w:tcW w:w="24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7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5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80" w:type="dxa"/>
            <w:vAlign w:val="bottom"/>
            <w:shd w:val="clear" w:color="auto" w:fill="CCEEFF"/>
          </w:tcPr>
          <w:p>
            <w:pPr>
              <w:spacing w:after="0"/>
              <w:rPr>
                <w:sz w:val="2"/>
                <w:szCs w:val="2"/>
                <w:color w:val="auto"/>
              </w:rPr>
            </w:pPr>
          </w:p>
        </w:tc>
      </w:tr>
    </w:tbl>
    <w:p>
      <w:pPr>
        <w:spacing w:after="0" w:line="310" w:lineRule="exact"/>
        <w:rPr>
          <w:sz w:val="20"/>
          <w:szCs w:val="20"/>
          <w:color w:val="auto"/>
        </w:rPr>
      </w:pPr>
    </w:p>
    <w:p>
      <w:pPr>
        <w:ind w:right="60" w:firstLine="648"/>
        <w:spacing w:after="0" w:line="263" w:lineRule="auto"/>
        <w:rPr>
          <w:sz w:val="20"/>
          <w:szCs w:val="20"/>
          <w:color w:val="auto"/>
        </w:rPr>
      </w:pPr>
      <w:r>
        <w:rPr>
          <w:rFonts w:ascii="Arial" w:cs="Arial" w:eastAsia="Arial" w:hAnsi="Arial"/>
          <w:sz w:val="18"/>
          <w:szCs w:val="18"/>
          <w:color w:val="auto"/>
        </w:rPr>
        <w:t>Due to the impact of the COVID-19 pandemic, we temporarily suspended cash dividends. Any future dividend payments will be subject to the restrictions associated with the Waiver to the Corporate Credit Facility and Board approval, and there can be no assurance that we will pay dividends in the future.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Noncontrolling Interests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Property Owners’ Associations</w:t>
      </w:r>
    </w:p>
    <w:p>
      <w:pPr>
        <w:spacing w:after="0" w:line="117" w:lineRule="exact"/>
        <w:rPr>
          <w:sz w:val="20"/>
          <w:szCs w:val="20"/>
          <w:color w:val="auto"/>
        </w:rPr>
      </w:pPr>
    </w:p>
    <w:p>
      <w:pPr>
        <w:ind w:right="340" w:firstLine="648"/>
        <w:spacing w:after="0" w:line="263" w:lineRule="auto"/>
        <w:rPr>
          <w:sz w:val="20"/>
          <w:szCs w:val="20"/>
          <w:color w:val="auto"/>
        </w:rPr>
      </w:pPr>
      <w:r>
        <w:rPr>
          <w:rFonts w:ascii="Arial" w:cs="Arial" w:eastAsia="Arial" w:hAnsi="Arial"/>
          <w:sz w:val="18"/>
          <w:szCs w:val="18"/>
          <w:color w:val="auto"/>
        </w:rPr>
        <w:t>We consolidate certain property owners’ associations under the voting interest model. Noncontrolling interests represents the portion of the property owners’ associations related to individual or third-party VOI owners. Noncontrolling interests of $13 million and $12 million, as of March 31, 2020 and December 31, 2019, respectively, are included on our Balance Sheets as a component of equity.</w:t>
      </w:r>
    </w:p>
    <w:p>
      <w:pPr>
        <w:spacing w:after="0" w:line="200" w:lineRule="exact"/>
        <w:rPr>
          <w:sz w:val="20"/>
          <w:szCs w:val="20"/>
          <w:color w:val="auto"/>
        </w:rPr>
      </w:pPr>
    </w:p>
    <w:p>
      <w:pPr>
        <w:spacing w:after="0" w:line="25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15. SHARE-BASED COMPENSATION</w:t>
      </w:r>
    </w:p>
    <w:p>
      <w:pPr>
        <w:spacing w:after="0" w:line="148" w:lineRule="exact"/>
        <w:rPr>
          <w:sz w:val="20"/>
          <w:szCs w:val="20"/>
          <w:color w:val="auto"/>
        </w:rPr>
      </w:pPr>
    </w:p>
    <w:p>
      <w:pPr>
        <w:ind w:right="180" w:firstLine="648"/>
        <w:spacing w:after="0" w:line="301" w:lineRule="auto"/>
        <w:rPr>
          <w:sz w:val="20"/>
          <w:szCs w:val="20"/>
          <w:color w:val="auto"/>
        </w:rPr>
      </w:pPr>
      <w:r>
        <w:rPr>
          <w:rFonts w:ascii="Arial" w:cs="Arial" w:eastAsia="Arial" w:hAnsi="Arial"/>
          <w:sz w:val="16"/>
          <w:szCs w:val="16"/>
          <w:color w:val="auto"/>
        </w:rPr>
        <w:t>We maintain the Marriott Vacations Worldwide Corporation Stock and Cash Incentive Plan (the “MVW Stock Plan”) for the benefit of our officers, directors, and employees. Under the MVW Stock Plan, we are authorized to award: (1) restricted stock units (“RSUs”) of our common stock, (2) SARs relating to our common stock, and (3) stock options to purchase our common stock. A total of 6 million shares are authorized for issuance pursuant to grants under the MVW Stock Plan. As of March 31, 2020, less than 1 million shares were available for grants under the MVW Stock Plan.</w:t>
      </w:r>
    </w:p>
    <w:p>
      <w:pPr>
        <w:spacing w:after="0" w:line="49" w:lineRule="exact"/>
        <w:rPr>
          <w:sz w:val="20"/>
          <w:szCs w:val="20"/>
          <w:color w:val="auto"/>
        </w:rPr>
      </w:pPr>
    </w:p>
    <w:p>
      <w:pPr>
        <w:ind w:right="60" w:firstLine="661"/>
        <w:spacing w:after="0" w:line="263" w:lineRule="auto"/>
        <w:rPr>
          <w:sz w:val="20"/>
          <w:szCs w:val="20"/>
          <w:color w:val="auto"/>
        </w:rPr>
      </w:pPr>
      <w:r>
        <w:rPr>
          <w:rFonts w:ascii="Arial" w:cs="Arial" w:eastAsia="Arial" w:hAnsi="Arial"/>
          <w:sz w:val="18"/>
          <w:szCs w:val="18"/>
          <w:color w:val="auto"/>
        </w:rPr>
        <w:t>As part of the ILG Acquisition, we assumed the Interval Leisure Group, Inc. 2013 Stock and Incentive Plan (the “ILG Stock Plan”) and equity based awards outstanding under the ILG Stock Plan. As of March 31, 2020, 1 million shares were available for grants under the ILG Stock Plan to Legacy-ILG employees.</w:t>
      </w:r>
    </w:p>
    <w:p>
      <w:pPr>
        <w:spacing w:after="0" w:line="76" w:lineRule="exact"/>
        <w:rPr>
          <w:sz w:val="20"/>
          <w:szCs w:val="20"/>
          <w:color w:val="auto"/>
        </w:rPr>
      </w:pPr>
    </w:p>
    <w:p>
      <w:pPr>
        <w:ind w:right="60" w:firstLine="661"/>
        <w:spacing w:after="0" w:line="279" w:lineRule="auto"/>
        <w:rPr>
          <w:sz w:val="20"/>
          <w:szCs w:val="20"/>
          <w:color w:val="auto"/>
        </w:rPr>
      </w:pPr>
      <w:r>
        <w:rPr>
          <w:rFonts w:ascii="Arial" w:cs="Arial" w:eastAsia="Arial" w:hAnsi="Arial"/>
          <w:sz w:val="17"/>
          <w:szCs w:val="17"/>
          <w:color w:val="auto"/>
        </w:rPr>
        <w:t>Subsequent to the first quarter of 2020, our shareholders approved the Marriott Vacations Worldwide Corporation 2020 Equity Incentive Plan (the “MVW 2020 Equity Plan”), which supersedes both the MVW Stock Plan and the ILG Stock Plan (collectively, the “Prior Plans”) and no new awards will be granted under the Prior Plans. All awards that were granted under the Prior Plans will remain outstanding and continue to be governed by the Prior Plans. Approximately 2 million shares were available for grant under the MVW 2020 Equity Plan as of May 20, 2020.</w:t>
      </w:r>
    </w:p>
    <w:p>
      <w:pPr>
        <w:spacing w:after="0" w:line="6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details our share-based compensation expense related to award grants to our officers, directors, and employees: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0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60" w:type="dxa"/>
            <w:vAlign w:val="bottom"/>
            <w:gridSpan w:val="4"/>
          </w:tcPr>
          <w:p>
            <w:pPr>
              <w:jc w:val="right"/>
              <w:ind w:right="1231"/>
              <w:spacing w:after="0"/>
              <w:rPr>
                <w:sz w:val="20"/>
                <w:szCs w:val="20"/>
                <w:color w:val="auto"/>
              </w:rPr>
            </w:pPr>
            <w:r>
              <w:rPr>
                <w:rFonts w:ascii="Arial" w:cs="Arial" w:eastAsia="Arial" w:hAnsi="Arial"/>
                <w:sz w:val="16"/>
                <w:szCs w:val="16"/>
                <w:b w:val="1"/>
                <w:bCs w:val="1"/>
                <w:color w:val="auto"/>
              </w:rPr>
              <w:t>Three Months Ended</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30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40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308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tcPr>
          <w:p>
            <w:pPr>
              <w:jc w:val="right"/>
              <w:ind w:right="372"/>
              <w:spacing w:after="0"/>
              <w:rPr>
                <w:sz w:val="20"/>
                <w:szCs w:val="20"/>
                <w:color w:val="auto"/>
              </w:rPr>
            </w:pPr>
            <w:r>
              <w:rPr>
                <w:rFonts w:ascii="Arial" w:cs="Arial" w:eastAsia="Arial" w:hAnsi="Arial"/>
                <w:sz w:val="16"/>
                <w:szCs w:val="16"/>
                <w:b w:val="1"/>
                <w:bCs w:val="1"/>
                <w:color w:val="auto"/>
              </w:rPr>
              <w:t>March 31, 2020</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tcPr>
          <w:p>
            <w:pPr>
              <w:jc w:val="right"/>
              <w:ind w:right="391"/>
              <w:spacing w:after="0"/>
              <w:rPr>
                <w:sz w:val="20"/>
                <w:szCs w:val="20"/>
                <w:color w:val="auto"/>
              </w:rPr>
            </w:pPr>
            <w:r>
              <w:rPr>
                <w:rFonts w:ascii="Arial" w:cs="Arial" w:eastAsia="Arial" w:hAnsi="Arial"/>
                <w:sz w:val="16"/>
                <w:szCs w:val="16"/>
                <w:b w:val="1"/>
                <w:bCs w:val="1"/>
                <w:color w:val="auto"/>
              </w:rPr>
              <w:t>March 31, 2019</w:t>
            </w:r>
          </w:p>
        </w:tc>
        <w:tc>
          <w:tcPr>
            <w:tcW w:w="0" w:type="dxa"/>
            <w:vAlign w:val="bottom"/>
          </w:tcPr>
          <w:p>
            <w:pPr>
              <w:spacing w:after="0"/>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Service-based RSUs</w:t>
            </w:r>
          </w:p>
        </w:tc>
        <w:tc>
          <w:tcPr>
            <w:tcW w:w="33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Performance-based RSUs</w:t>
            </w:r>
          </w:p>
        </w:tc>
        <w:tc>
          <w:tcPr>
            <w:tcW w:w="30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720" w:type="dxa"/>
            <w:vAlign w:val="bottom"/>
          </w:tcPr>
          <w:p>
            <w:pPr>
              <w:jc w:val="right"/>
              <w:ind w:right="11"/>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3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ILG Acquisition Converted RSUs</w:t>
            </w:r>
          </w:p>
        </w:tc>
        <w:tc>
          <w:tcPr>
            <w:tcW w:w="30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7"/>
        </w:trPr>
        <w:tc>
          <w:tcPr>
            <w:tcW w:w="400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7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7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3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SARs</w:t>
            </w:r>
          </w:p>
        </w:tc>
        <w:tc>
          <w:tcPr>
            <w:tcW w:w="30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Stock options</w:t>
            </w:r>
          </w:p>
        </w:tc>
        <w:tc>
          <w:tcPr>
            <w:tcW w:w="30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7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30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4000" w:type="dxa"/>
            <w:vAlign w:val="bottom"/>
            <w:tcBorders>
              <w:bottom w:val="single" w:sz="8" w:color="CCEEFF"/>
            </w:tcBorders>
            <w:shd w:val="clear" w:color="auto" w:fill="CCEEFF"/>
          </w:tcPr>
          <w:p>
            <w:pPr>
              <w:spacing w:after="0"/>
              <w:rPr>
                <w:sz w:val="22"/>
                <w:szCs w:val="22"/>
                <w:color w:val="auto"/>
              </w:rPr>
            </w:pPr>
          </w:p>
        </w:tc>
        <w:tc>
          <w:tcPr>
            <w:tcW w:w="33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3080" w:type="dxa"/>
            <w:vAlign w:val="bottom"/>
            <w:tcBorders>
              <w:top w:val="single" w:sz="8" w:color="CCEEFF"/>
              <w:bottom w:val="single" w:sz="8" w:color="CCEEFF"/>
            </w:tcBorders>
            <w:vMerge w:val="restart"/>
          </w:tcPr>
          <w:p>
            <w:pPr>
              <w:jc w:val="right"/>
              <w:ind w:right="1270"/>
              <w:spacing w:after="0"/>
              <w:rPr>
                <w:sz w:val="20"/>
                <w:szCs w:val="20"/>
                <w:color w:val="auto"/>
              </w:rPr>
            </w:pPr>
            <w:r>
              <w:rPr>
                <w:rFonts w:ascii="Arial" w:cs="Arial" w:eastAsia="Arial" w:hAnsi="Arial"/>
                <w:sz w:val="18"/>
                <w:szCs w:val="18"/>
                <w:color w:val="auto"/>
              </w:rPr>
              <w:t>30</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4000" w:type="dxa"/>
            <w:vAlign w:val="bottom"/>
          </w:tcPr>
          <w:p>
            <w:pPr>
              <w:spacing w:after="0"/>
              <w:rPr>
                <w:sz w:val="24"/>
                <w:szCs w:val="24"/>
                <w:color w:val="auto"/>
              </w:rPr>
            </w:pPr>
          </w:p>
        </w:tc>
        <w:tc>
          <w:tcPr>
            <w:tcW w:w="308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details our deferred compensation costs related to unvested awards: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08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240" w:type="dxa"/>
            <w:vAlign w:val="bottom"/>
          </w:tcPr>
          <w:p>
            <w:pPr>
              <w:spacing w:after="0"/>
              <w:rPr>
                <w:sz w:val="20"/>
                <w:szCs w:val="20"/>
                <w:color w:val="auto"/>
              </w:rPr>
            </w:pPr>
          </w:p>
        </w:tc>
        <w:tc>
          <w:tcPr>
            <w:tcW w:w="1900" w:type="dxa"/>
            <w:vAlign w:val="bottom"/>
            <w:gridSpan w:val="2"/>
          </w:tcPr>
          <w:p>
            <w:pPr>
              <w:ind w:left="140"/>
              <w:spacing w:after="0"/>
              <w:rPr>
                <w:sz w:val="20"/>
                <w:szCs w:val="20"/>
                <w:color w:val="auto"/>
              </w:rPr>
            </w:pPr>
            <w:r>
              <w:rPr>
                <w:rFonts w:ascii="Arial" w:cs="Arial" w:eastAsia="Arial" w:hAnsi="Arial"/>
                <w:sz w:val="16"/>
                <w:szCs w:val="16"/>
                <w:b w:val="1"/>
                <w:bCs w:val="1"/>
                <w:color w:val="auto"/>
              </w:rPr>
              <w:t>At March 31, 2020</w:t>
            </w:r>
          </w:p>
        </w:tc>
        <w:tc>
          <w:tcPr>
            <w:tcW w:w="180" w:type="dxa"/>
            <w:vAlign w:val="bottom"/>
          </w:tcPr>
          <w:p>
            <w:pPr>
              <w:spacing w:after="0"/>
              <w:rPr>
                <w:sz w:val="20"/>
                <w:szCs w:val="20"/>
                <w:color w:val="auto"/>
              </w:rPr>
            </w:pPr>
          </w:p>
        </w:tc>
        <w:tc>
          <w:tcPr>
            <w:tcW w:w="1840" w:type="dxa"/>
            <w:vAlign w:val="bottom"/>
          </w:tcPr>
          <w:p>
            <w:pPr>
              <w:jc w:val="right"/>
              <w:ind w:right="171"/>
              <w:spacing w:after="0"/>
              <w:rPr>
                <w:sz w:val="20"/>
                <w:szCs w:val="20"/>
                <w:color w:val="auto"/>
              </w:rPr>
            </w:pPr>
            <w:r>
              <w:rPr>
                <w:rFonts w:ascii="Arial" w:cs="Arial" w:eastAsia="Arial" w:hAnsi="Arial"/>
                <w:sz w:val="16"/>
                <w:szCs w:val="16"/>
                <w:b w:val="1"/>
                <w:bCs w:val="1"/>
                <w:color w:val="auto"/>
                <w:w w:val="94"/>
              </w:rPr>
              <w:t>At December 31, 2019</w:t>
            </w:r>
          </w:p>
        </w:tc>
      </w:tr>
      <w:tr>
        <w:trPr>
          <w:trHeight w:val="249"/>
        </w:trPr>
        <w:tc>
          <w:tcPr>
            <w:tcW w:w="70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Service-based RSUs</w:t>
            </w: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78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4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Performance-based RSUs</w:t>
            </w:r>
          </w:p>
        </w:tc>
        <w:tc>
          <w:tcPr>
            <w:tcW w:w="240" w:type="dxa"/>
            <w:vAlign w:val="bottom"/>
          </w:tcPr>
          <w:p>
            <w:pPr>
              <w:spacing w:after="0"/>
              <w:rPr>
                <w:sz w:val="21"/>
                <w:szCs w:val="21"/>
                <w:color w:val="auto"/>
              </w:rPr>
            </w:pPr>
          </w:p>
        </w:tc>
        <w:tc>
          <w:tcPr>
            <w:tcW w:w="1780" w:type="dxa"/>
            <w:vAlign w:val="bottom"/>
          </w:tcPr>
          <w:p>
            <w:pPr>
              <w:jc w:val="right"/>
              <w:ind w:right="11"/>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40" w:type="dxa"/>
            <w:vAlign w:val="bottom"/>
          </w:tcPr>
          <w:p>
            <w:pPr>
              <w:jc w:val="right"/>
              <w:ind w:right="11"/>
              <w:spacing w:after="0"/>
              <w:rPr>
                <w:sz w:val="20"/>
                <w:szCs w:val="20"/>
                <w:color w:val="auto"/>
              </w:rPr>
            </w:pPr>
            <w:r>
              <w:rPr>
                <w:rFonts w:ascii="Arial" w:cs="Arial" w:eastAsia="Arial" w:hAnsi="Arial"/>
                <w:sz w:val="18"/>
                <w:szCs w:val="18"/>
                <w:color w:val="auto"/>
              </w:rPr>
              <w:t>10</w:t>
            </w:r>
          </w:p>
        </w:tc>
      </w:tr>
      <w:tr>
        <w:trPr>
          <w:trHeight w:val="27"/>
        </w:trPr>
        <w:tc>
          <w:tcPr>
            <w:tcW w:w="7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ILG Acquisition Converted RSUs</w:t>
            </w:r>
          </w:p>
        </w:tc>
        <w:tc>
          <w:tcPr>
            <w:tcW w:w="24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w:t>
            </w:r>
          </w:p>
        </w:tc>
      </w:tr>
      <w:tr>
        <w:trPr>
          <w:trHeight w:val="237"/>
        </w:trPr>
        <w:tc>
          <w:tcPr>
            <w:tcW w:w="708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7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8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30</w:t>
            </w:r>
          </w:p>
        </w:tc>
      </w:tr>
      <w:tr>
        <w:trPr>
          <w:trHeight w:val="27"/>
        </w:trPr>
        <w:tc>
          <w:tcPr>
            <w:tcW w:w="7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SARs</w:t>
            </w:r>
          </w:p>
        </w:tc>
        <w:tc>
          <w:tcPr>
            <w:tcW w:w="24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Stock options</w:t>
            </w:r>
          </w:p>
        </w:tc>
        <w:tc>
          <w:tcPr>
            <w:tcW w:w="240" w:type="dxa"/>
            <w:vAlign w:val="bottom"/>
          </w:tcPr>
          <w:p>
            <w:pPr>
              <w:spacing w:after="0"/>
              <w:rPr>
                <w:sz w:val="21"/>
                <w:szCs w:val="21"/>
                <w:color w:val="auto"/>
              </w:rPr>
            </w:pPr>
          </w:p>
        </w:tc>
        <w:tc>
          <w:tcPr>
            <w:tcW w:w="1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8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70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68"/>
        </w:trPr>
        <w:tc>
          <w:tcPr>
            <w:tcW w:w="70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w:t>
            </w:r>
          </w:p>
        </w:tc>
      </w:tr>
      <w:tr>
        <w:trPr>
          <w:trHeight w:val="20"/>
        </w:trPr>
        <w:tc>
          <w:tcPr>
            <w:tcW w:w="70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Units</w:t>
      </w:r>
    </w:p>
    <w:p>
      <w:pPr>
        <w:spacing w:after="0" w:line="117"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We granted 248,172 service-based RSUs, which are subject to time-based vesting conditions, with a weighted average grant-date fair value of $91.08, to our employees and non-employee directors during the first quarter of 2020. During the first quarter of 2020, we also granted performance-based RSUs, which are subject to performance-based vesting conditions, to members of management. A maximum of 177,208 RSUs may be earned under the performance-based RSU awards granted during the first quarter of 2020.</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Appreciation Rights</w:t>
      </w:r>
    </w:p>
    <w:p>
      <w:pPr>
        <w:spacing w:after="0" w:line="117" w:lineRule="exact"/>
        <w:rPr>
          <w:sz w:val="20"/>
          <w:szCs w:val="20"/>
          <w:color w:val="auto"/>
        </w:rPr>
      </w:pPr>
    </w:p>
    <w:p>
      <w:pPr>
        <w:ind w:right="120" w:firstLine="648"/>
        <w:spacing w:after="0" w:line="273" w:lineRule="auto"/>
        <w:rPr>
          <w:sz w:val="20"/>
          <w:szCs w:val="20"/>
          <w:color w:val="auto"/>
        </w:rPr>
      </w:pPr>
      <w:r>
        <w:rPr>
          <w:rFonts w:ascii="Arial" w:cs="Arial" w:eastAsia="Arial" w:hAnsi="Arial"/>
          <w:sz w:val="17"/>
          <w:szCs w:val="17"/>
          <w:color w:val="auto"/>
        </w:rPr>
        <w:t>We granted 116,434 SARs, with a weighted average grant-date fair value of $29.63 and a weighted average exercise price of $96.82, to members of management during the first quarter of 2020. We use the Black-Scholes model to estimate the fair value of the SARs granted. The expected stock price volatility was calculated based on the average of the historical and implied volatility of our stock price. The average expected life was calculated using the simplified method, as we have insufficient historical information to provide a basis for estimating average expected life. The risk-free interest rate was calculated based on U.S. Treasury zero-coupon issues with a remaining term equal to the expected life assumed at the date of grant. The dividend yield assumption listed below is based on the expectation of future payouts.</w:t>
      </w:r>
    </w:p>
    <w:p>
      <w:pPr>
        <w:spacing w:after="0" w:line="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outlines the assumptions used to estimate the fair value of grants during the first quarter of 2020:</w:t>
      </w:r>
    </w:p>
    <w:p>
      <w:pPr>
        <w:spacing w:after="0" w:line="158" w:lineRule="exact"/>
        <w:rPr>
          <w:sz w:val="20"/>
          <w:szCs w:val="20"/>
          <w:color w:val="auto"/>
        </w:rPr>
      </w:pPr>
    </w:p>
    <w:tbl>
      <w:tblPr>
        <w:tblLayout w:type="fixed"/>
        <w:tblInd w:w="2640" w:type="dxa"/>
        <w:tblCellMar>
          <w:top w:w="0" w:type="dxa"/>
          <w:left w:w="0" w:type="dxa"/>
          <w:bottom w:w="0" w:type="dxa"/>
          <w:right w:w="0" w:type="dxa"/>
        </w:tblCellMar>
      </w:tblPr>
      <w:tr>
        <w:trPr>
          <w:trHeight w:val="270"/>
        </w:trPr>
        <w:tc>
          <w:tcPr>
            <w:tcW w:w="3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volatility</w:t>
            </w:r>
          </w:p>
        </w:tc>
        <w:tc>
          <w:tcPr>
            <w:tcW w:w="2700" w:type="dxa"/>
            <w:vAlign w:val="bottom"/>
            <w:shd w:val="clear" w:color="auto" w:fill="CCEEFF"/>
          </w:tcPr>
          <w:p>
            <w:pPr>
              <w:jc w:val="center"/>
              <w:ind w:left="670"/>
              <w:spacing w:after="0"/>
              <w:rPr>
                <w:sz w:val="20"/>
                <w:szCs w:val="20"/>
                <w:color w:val="auto"/>
              </w:rPr>
            </w:pPr>
            <w:r>
              <w:rPr>
                <w:rFonts w:ascii="Arial" w:cs="Arial" w:eastAsia="Arial" w:hAnsi="Arial"/>
                <w:sz w:val="18"/>
                <w:szCs w:val="18"/>
                <w:color w:val="auto"/>
                <w:w w:val="88"/>
              </w:rPr>
              <w:t>38.81%</w:t>
            </w:r>
          </w:p>
        </w:tc>
      </w:tr>
      <w:tr>
        <w:trPr>
          <w:trHeight w:val="243"/>
        </w:trPr>
        <w:tc>
          <w:tcPr>
            <w:tcW w:w="3260" w:type="dxa"/>
            <w:vAlign w:val="bottom"/>
          </w:tcPr>
          <w:p>
            <w:pPr>
              <w:ind w:left="20"/>
              <w:spacing w:after="0"/>
              <w:rPr>
                <w:sz w:val="20"/>
                <w:szCs w:val="20"/>
                <w:color w:val="auto"/>
              </w:rPr>
            </w:pPr>
            <w:r>
              <w:rPr>
                <w:rFonts w:ascii="Arial" w:cs="Arial" w:eastAsia="Arial" w:hAnsi="Arial"/>
                <w:sz w:val="18"/>
                <w:szCs w:val="18"/>
                <w:color w:val="auto"/>
              </w:rPr>
              <w:t>Dividend yield</w:t>
            </w:r>
          </w:p>
        </w:tc>
        <w:tc>
          <w:tcPr>
            <w:tcW w:w="2700" w:type="dxa"/>
            <w:vAlign w:val="bottom"/>
          </w:tcPr>
          <w:p>
            <w:pPr>
              <w:jc w:val="center"/>
              <w:ind w:left="670"/>
              <w:spacing w:after="0"/>
              <w:rPr>
                <w:sz w:val="20"/>
                <w:szCs w:val="20"/>
                <w:color w:val="auto"/>
              </w:rPr>
            </w:pPr>
            <w:r>
              <w:rPr>
                <w:rFonts w:ascii="Arial" w:cs="Arial" w:eastAsia="Arial" w:hAnsi="Arial"/>
                <w:sz w:val="18"/>
                <w:szCs w:val="18"/>
                <w:color w:val="auto"/>
                <w:w w:val="90"/>
              </w:rPr>
              <w:t>2.13%</w:t>
            </w:r>
          </w:p>
        </w:tc>
      </w:tr>
      <w:tr>
        <w:trPr>
          <w:trHeight w:val="27"/>
        </w:trPr>
        <w:tc>
          <w:tcPr>
            <w:tcW w:w="3260" w:type="dxa"/>
            <w:vAlign w:val="bottom"/>
          </w:tcPr>
          <w:p>
            <w:pPr>
              <w:spacing w:after="0"/>
              <w:rPr>
                <w:sz w:val="2"/>
                <w:szCs w:val="2"/>
                <w:color w:val="auto"/>
              </w:rPr>
            </w:pPr>
          </w:p>
        </w:tc>
        <w:tc>
          <w:tcPr>
            <w:tcW w:w="2700" w:type="dxa"/>
            <w:vAlign w:val="bottom"/>
          </w:tcPr>
          <w:p>
            <w:pPr>
              <w:spacing w:after="0"/>
              <w:rPr>
                <w:sz w:val="2"/>
                <w:szCs w:val="2"/>
                <w:color w:val="auto"/>
              </w:rPr>
            </w:pPr>
          </w:p>
        </w:tc>
      </w:tr>
      <w:tr>
        <w:trPr>
          <w:trHeight w:val="250"/>
        </w:trPr>
        <w:tc>
          <w:tcPr>
            <w:tcW w:w="3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Risk-free rate</w:t>
            </w:r>
          </w:p>
        </w:tc>
        <w:tc>
          <w:tcPr>
            <w:tcW w:w="2700" w:type="dxa"/>
            <w:vAlign w:val="bottom"/>
            <w:tcBorders>
              <w:bottom w:val="single" w:sz="8" w:color="CCEEFF"/>
            </w:tcBorders>
            <w:shd w:val="clear" w:color="auto" w:fill="CCEEFF"/>
          </w:tcPr>
          <w:p>
            <w:pPr>
              <w:jc w:val="center"/>
              <w:ind w:left="670"/>
              <w:spacing w:after="0"/>
              <w:rPr>
                <w:sz w:val="20"/>
                <w:szCs w:val="20"/>
                <w:color w:val="auto"/>
              </w:rPr>
            </w:pPr>
            <w:r>
              <w:rPr>
                <w:rFonts w:ascii="Arial" w:cs="Arial" w:eastAsia="Arial" w:hAnsi="Arial"/>
                <w:sz w:val="18"/>
                <w:szCs w:val="18"/>
                <w:color w:val="auto"/>
                <w:w w:val="90"/>
              </w:rPr>
              <w:t>0.96%</w:t>
            </w:r>
          </w:p>
        </w:tc>
      </w:tr>
      <w:tr>
        <w:trPr>
          <w:trHeight w:val="243"/>
        </w:trPr>
        <w:tc>
          <w:tcPr>
            <w:tcW w:w="3260" w:type="dxa"/>
            <w:vAlign w:val="bottom"/>
          </w:tcPr>
          <w:p>
            <w:pPr>
              <w:ind w:left="20"/>
              <w:spacing w:after="0"/>
              <w:rPr>
                <w:sz w:val="20"/>
                <w:szCs w:val="20"/>
                <w:color w:val="auto"/>
              </w:rPr>
            </w:pPr>
            <w:r>
              <w:rPr>
                <w:rFonts w:ascii="Arial" w:cs="Arial" w:eastAsia="Arial" w:hAnsi="Arial"/>
                <w:sz w:val="18"/>
                <w:szCs w:val="18"/>
                <w:color w:val="auto"/>
              </w:rPr>
              <w:t>Expected term (in years)</w:t>
            </w:r>
          </w:p>
        </w:tc>
        <w:tc>
          <w:tcPr>
            <w:tcW w:w="2700" w:type="dxa"/>
            <w:vAlign w:val="bottom"/>
          </w:tcPr>
          <w:p>
            <w:pPr>
              <w:jc w:val="center"/>
              <w:ind w:left="670"/>
              <w:spacing w:after="0"/>
              <w:rPr>
                <w:sz w:val="20"/>
                <w:szCs w:val="20"/>
                <w:color w:val="auto"/>
              </w:rPr>
            </w:pPr>
            <w:r>
              <w:rPr>
                <w:rFonts w:ascii="Arial" w:cs="Arial" w:eastAsia="Arial" w:hAnsi="Arial"/>
                <w:sz w:val="18"/>
                <w:szCs w:val="18"/>
                <w:color w:val="auto"/>
                <w:w w:val="85"/>
              </w:rPr>
              <w:t>6.25</w:t>
            </w:r>
          </w:p>
        </w:tc>
      </w:tr>
    </w:tbl>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16. VARIABLE INTEREST ENTITIES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Variable Interest Entities Related to Our Vacation Ownership Notes Receivable Securitizations</w:t>
      </w:r>
    </w:p>
    <w:p>
      <w:pPr>
        <w:spacing w:after="0" w:line="117"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We periodically securitize, without recourse, through bankruptcy remote special purpose entities, notes receivable originated in connection with the sale of vacation ownership products. These vacation ownership notes receivable securitizations provide funding for us and transfer the economic risks and substantially all the benefits of the consumer loans we originate to third parties. In a vacation ownership notes receivable securitization, various classes of debt securities issued by a special purpose entity are generally collateralized by a single tranche of transferred assets, which consist of vacation ownership notes receivable. With each vacation ownership notes receivable securitization, we may retain a portion of the securities, subordinated tranches, interest-only strips, subordinated interests in accrued interest and fees on the securitized vacation ownership notes receivable or, in some cases, overcollateralization and cash reserve accounts.</w:t>
      </w:r>
    </w:p>
    <w:p>
      <w:pPr>
        <w:spacing w:after="0" w:line="87"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We created these bankruptcy remote special purpose entities to serve as a mechanism for holding assets and related liabilities, and the entities have no equity investment at risk, making them VIEs. We continue to service the vacation ownership notes receivable, transfer all proceeds collected to these special purpose entities, and retain rights to receive benefits that are potentially significant to the entities. Accordingly, we concluded that we are the entities’ primary beneficiary and, therefore, consolidate them. There is no noncontrolling interest balance related to these entities and the creditors of these entities do not have general recourse to us.</w:t>
      </w:r>
    </w:p>
    <w:p>
      <w:pPr>
        <w:spacing w:after="0" w:line="80" w:lineRule="exact"/>
        <w:rPr>
          <w:sz w:val="20"/>
          <w:szCs w:val="20"/>
          <w:color w:val="auto"/>
        </w:rPr>
      </w:pPr>
    </w:p>
    <w:p>
      <w:pPr>
        <w:jc w:val="both"/>
        <w:ind w:right="440" w:firstLine="648"/>
        <w:spacing w:after="0" w:line="263" w:lineRule="auto"/>
        <w:rPr>
          <w:sz w:val="20"/>
          <w:szCs w:val="20"/>
          <w:color w:val="auto"/>
        </w:rPr>
      </w:pPr>
      <w:r>
        <w:rPr>
          <w:rFonts w:ascii="Arial" w:cs="Arial" w:eastAsia="Arial" w:hAnsi="Arial"/>
          <w:sz w:val="18"/>
          <w:szCs w:val="18"/>
          <w:color w:val="auto"/>
        </w:rPr>
        <w:t>As part of the ILG Acquisition, we acquired the variable interests in the entities associated with ILG’s outstanding vacation ownership notes receivable securitization transactions. As these vacation ownership notes receivable securitizations are similar in nature to the Legacy-MVW vacation ownership notes receivable securitizations they have been aggregated for disclosure purposes.</w:t>
      </w:r>
    </w:p>
    <w:p>
      <w:pPr>
        <w:sectPr>
          <w:pgSz w:w="11900" w:h="16838" w:orient="portrait"/>
          <w:cols w:equalWidth="0" w:num="1">
            <w:col w:w="11240"/>
          </w:cols>
          <w:pgMar w:left="320" w:top="125" w:right="339" w:bottom="1440" w:gutter="0" w:footer="0" w:header="0"/>
        </w:sectPr>
      </w:pP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11240"/>
          </w:cols>
          <w:pgMar w:left="320" w:top="125" w:right="339" w:bottom="1440" w:gutter="0" w:footer="0" w:header="0"/>
          <w:type w:val="continuous"/>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shows consolidated assets, which are collateral for the obligations of these VIEs, and consolidated liabilities included on our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Balance Sheet at March 31, 2020:</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2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0"/>
              </w:rPr>
              <w:t>Vacation Ownership</w:t>
            </w:r>
          </w:p>
        </w:tc>
        <w:tc>
          <w:tcPr>
            <w:tcW w:w="3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2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7"/>
              </w:rPr>
              <w:t>Notes Receivable</w:t>
            </w:r>
          </w:p>
        </w:tc>
        <w:tc>
          <w:tcPr>
            <w:tcW w:w="320" w:type="dxa"/>
            <w:vAlign w:val="bottom"/>
          </w:tcPr>
          <w:p>
            <w:pPr>
              <w:spacing w:after="0"/>
              <w:rPr>
                <w:sz w:val="17"/>
                <w:szCs w:val="17"/>
                <w:color w:val="auto"/>
              </w:rPr>
            </w:pPr>
          </w:p>
        </w:tc>
        <w:tc>
          <w:tcPr>
            <w:tcW w:w="182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w w:val="90"/>
              </w:rPr>
              <w:t>Warehouse</w:t>
            </w:r>
          </w:p>
        </w:tc>
        <w:tc>
          <w:tcPr>
            <w:tcW w:w="4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494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220" w:type="dxa"/>
            <w:vAlign w:val="bottom"/>
          </w:tcPr>
          <w:p>
            <w:pPr>
              <w:spacing w:after="0"/>
              <w:rPr>
                <w:sz w:val="20"/>
                <w:szCs w:val="20"/>
                <w:color w:val="auto"/>
              </w:rPr>
            </w:pPr>
          </w:p>
        </w:tc>
        <w:tc>
          <w:tcPr>
            <w:tcW w:w="192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1"/>
              </w:rPr>
              <w:t>Securitizations</w:t>
            </w:r>
          </w:p>
        </w:tc>
        <w:tc>
          <w:tcPr>
            <w:tcW w:w="320" w:type="dxa"/>
            <w:vAlign w:val="bottom"/>
          </w:tcPr>
          <w:p>
            <w:pPr>
              <w:spacing w:after="0"/>
              <w:rPr>
                <w:sz w:val="20"/>
                <w:szCs w:val="20"/>
                <w:color w:val="auto"/>
              </w:rPr>
            </w:pPr>
          </w:p>
        </w:tc>
        <w:tc>
          <w:tcPr>
            <w:tcW w:w="182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4"/>
              </w:rPr>
              <w:t>Credit Facility</w:t>
            </w:r>
          </w:p>
        </w:tc>
        <w:tc>
          <w:tcPr>
            <w:tcW w:w="480" w:type="dxa"/>
            <w:vAlign w:val="bottom"/>
          </w:tcPr>
          <w:p>
            <w:pPr>
              <w:spacing w:after="0"/>
              <w:rPr>
                <w:sz w:val="20"/>
                <w:szCs w:val="20"/>
                <w:color w:val="auto"/>
              </w:rPr>
            </w:pPr>
          </w:p>
        </w:tc>
        <w:tc>
          <w:tcPr>
            <w:tcW w:w="1540" w:type="dxa"/>
            <w:vAlign w:val="bottom"/>
          </w:tcPr>
          <w:p>
            <w:pPr>
              <w:jc w:val="right"/>
              <w:ind w:right="752"/>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50"/>
        </w:trPr>
        <w:tc>
          <w:tcPr>
            <w:tcW w:w="49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Consolidated Assets</w:t>
            </w: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8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7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80" w:type="dxa"/>
            <w:vAlign w:val="bottom"/>
            <w:tcBorders>
              <w:top w:val="single" w:sz="8" w:color="auto"/>
              <w:bottom w:val="single" w:sz="8" w:color="CCEEFF"/>
            </w:tcBorders>
            <w:shd w:val="clear" w:color="auto" w:fill="CCEEFF"/>
          </w:tcPr>
          <w:p>
            <w:pPr>
              <w:spacing w:after="0"/>
              <w:rPr>
                <w:sz w:val="21"/>
                <w:szCs w:val="21"/>
                <w:color w:val="auto"/>
              </w:rPr>
            </w:pPr>
          </w:p>
        </w:tc>
        <w:tc>
          <w:tcPr>
            <w:tcW w:w="15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40" w:type="dxa"/>
            <w:vAlign w:val="bottom"/>
          </w:tcPr>
          <w:p>
            <w:pPr>
              <w:ind w:left="280"/>
              <w:spacing w:after="0"/>
              <w:rPr>
                <w:sz w:val="20"/>
                <w:szCs w:val="20"/>
                <w:color w:val="auto"/>
              </w:rPr>
            </w:pPr>
            <w:r>
              <w:rPr>
                <w:rFonts w:ascii="Arial" w:cs="Arial" w:eastAsia="Arial" w:hAnsi="Arial"/>
                <w:sz w:val="18"/>
                <w:szCs w:val="18"/>
                <w:color w:val="auto"/>
              </w:rPr>
              <w:t>Vacation ownership notes receivable, net of reserves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820" w:type="dxa"/>
            <w:vAlign w:val="bottom"/>
          </w:tcPr>
          <w:p>
            <w:pPr>
              <w:jc w:val="right"/>
              <w:ind w:right="33"/>
              <w:spacing w:after="0"/>
              <w:rPr>
                <w:sz w:val="20"/>
                <w:szCs w:val="20"/>
                <w:color w:val="auto"/>
              </w:rPr>
            </w:pPr>
            <w:r>
              <w:rPr>
                <w:rFonts w:ascii="Arial" w:cs="Arial" w:eastAsia="Arial" w:hAnsi="Arial"/>
                <w:sz w:val="18"/>
                <w:szCs w:val="18"/>
                <w:color w:val="auto"/>
              </w:rPr>
              <w:t>1,589</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700" w:type="dxa"/>
            <w:vAlign w:val="bottom"/>
          </w:tcPr>
          <w:p>
            <w:pPr>
              <w:jc w:val="right"/>
              <w:ind w:right="13"/>
              <w:spacing w:after="0"/>
              <w:rPr>
                <w:sz w:val="20"/>
                <w:szCs w:val="20"/>
                <w:color w:val="auto"/>
              </w:rPr>
            </w:pPr>
            <w:r>
              <w:rPr>
                <w:rFonts w:ascii="Arial" w:cs="Arial" w:eastAsia="Arial" w:hAnsi="Arial"/>
                <w:sz w:val="18"/>
                <w:szCs w:val="18"/>
                <w:color w:val="auto"/>
              </w:rPr>
              <w:t>233</w:t>
            </w:r>
          </w:p>
        </w:tc>
        <w:tc>
          <w:tcPr>
            <w:tcW w:w="12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ind w:right="12"/>
              <w:spacing w:after="0"/>
              <w:rPr>
                <w:sz w:val="20"/>
                <w:szCs w:val="20"/>
                <w:color w:val="auto"/>
              </w:rPr>
            </w:pPr>
            <w:r>
              <w:rPr>
                <w:rFonts w:ascii="Arial" w:cs="Arial" w:eastAsia="Arial" w:hAnsi="Arial"/>
                <w:sz w:val="18"/>
                <w:szCs w:val="18"/>
                <w:color w:val="auto"/>
              </w:rPr>
              <w:t>1,822</w:t>
            </w:r>
          </w:p>
        </w:tc>
        <w:tc>
          <w:tcPr>
            <w:tcW w:w="0" w:type="dxa"/>
            <w:vAlign w:val="bottom"/>
          </w:tcPr>
          <w:p>
            <w:pPr>
              <w:spacing w:after="0"/>
              <w:rPr>
                <w:sz w:val="1"/>
                <w:szCs w:val="1"/>
                <w:color w:val="auto"/>
              </w:rPr>
            </w:pPr>
          </w:p>
        </w:tc>
      </w:tr>
      <w:tr>
        <w:trPr>
          <w:trHeight w:val="27"/>
        </w:trPr>
        <w:tc>
          <w:tcPr>
            <w:tcW w:w="4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receivable</w:t>
            </w:r>
          </w:p>
        </w:tc>
        <w:tc>
          <w:tcPr>
            <w:tcW w:w="2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43"/>
        </w:trPr>
        <w:tc>
          <w:tcPr>
            <w:tcW w:w="4940" w:type="dxa"/>
            <w:vAlign w:val="bottom"/>
          </w:tcPr>
          <w:p>
            <w:pPr>
              <w:ind w:left="280"/>
              <w:spacing w:after="0"/>
              <w:rPr>
                <w:sz w:val="20"/>
                <w:szCs w:val="20"/>
                <w:color w:val="auto"/>
              </w:rPr>
            </w:pPr>
            <w:r>
              <w:rPr>
                <w:rFonts w:ascii="Arial" w:cs="Arial" w:eastAsia="Arial" w:hAnsi="Arial"/>
                <w:sz w:val="18"/>
                <w:szCs w:val="18"/>
                <w:color w:val="auto"/>
              </w:rPr>
              <w:t>Restricted cash</w:t>
            </w:r>
          </w:p>
        </w:tc>
        <w:tc>
          <w:tcPr>
            <w:tcW w:w="220" w:type="dxa"/>
            <w:vAlign w:val="bottom"/>
          </w:tcPr>
          <w:p>
            <w:pPr>
              <w:spacing w:after="0"/>
              <w:rPr>
                <w:sz w:val="21"/>
                <w:szCs w:val="21"/>
                <w:color w:val="auto"/>
              </w:rPr>
            </w:pPr>
          </w:p>
        </w:tc>
        <w:tc>
          <w:tcPr>
            <w:tcW w:w="1820" w:type="dxa"/>
            <w:vAlign w:val="bottom"/>
          </w:tcPr>
          <w:p>
            <w:pPr>
              <w:jc w:val="right"/>
              <w:ind w:right="33"/>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700" w:type="dxa"/>
            <w:vAlign w:val="bottom"/>
          </w:tcPr>
          <w:p>
            <w:pPr>
              <w:jc w:val="right"/>
              <w:ind w:right="13"/>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540" w:type="dxa"/>
            <w:vAlign w:val="bottom"/>
          </w:tcPr>
          <w:p>
            <w:pPr>
              <w:jc w:val="right"/>
              <w:ind w:right="12"/>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7"/>
        </w:trPr>
        <w:tc>
          <w:tcPr>
            <w:tcW w:w="49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9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1,662</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244</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1,906</w:t>
            </w:r>
          </w:p>
        </w:tc>
        <w:tc>
          <w:tcPr>
            <w:tcW w:w="0" w:type="dxa"/>
            <w:vAlign w:val="bottom"/>
          </w:tcPr>
          <w:p>
            <w:pPr>
              <w:spacing w:after="0"/>
              <w:rPr>
                <w:sz w:val="1"/>
                <w:szCs w:val="1"/>
                <w:color w:val="auto"/>
              </w:rPr>
            </w:pPr>
          </w:p>
        </w:tc>
      </w:tr>
      <w:tr>
        <w:trPr>
          <w:trHeight w:val="20"/>
        </w:trPr>
        <w:tc>
          <w:tcPr>
            <w:tcW w:w="494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Consolidated Liabilities</w:t>
            </w:r>
          </w:p>
        </w:tc>
        <w:tc>
          <w:tcPr>
            <w:tcW w:w="22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94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payable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3"/>
        </w:trPr>
        <w:tc>
          <w:tcPr>
            <w:tcW w:w="4940" w:type="dxa"/>
            <w:vAlign w:val="bottom"/>
          </w:tcPr>
          <w:p>
            <w:pPr>
              <w:ind w:left="280"/>
              <w:spacing w:after="0"/>
              <w:rPr>
                <w:sz w:val="20"/>
                <w:szCs w:val="20"/>
                <w:color w:val="auto"/>
              </w:rPr>
            </w:pPr>
            <w:r>
              <w:rPr>
                <w:rFonts w:ascii="Arial" w:cs="Arial" w:eastAsia="Arial" w:hAnsi="Arial"/>
                <w:sz w:val="18"/>
                <w:szCs w:val="18"/>
                <w:color w:val="auto"/>
              </w:rPr>
              <w:t>Securitized Debt</w:t>
            </w:r>
          </w:p>
        </w:tc>
        <w:tc>
          <w:tcPr>
            <w:tcW w:w="220" w:type="dxa"/>
            <w:vAlign w:val="bottom"/>
          </w:tcPr>
          <w:p>
            <w:pPr>
              <w:spacing w:after="0"/>
              <w:rPr>
                <w:sz w:val="21"/>
                <w:szCs w:val="21"/>
                <w:color w:val="auto"/>
              </w:rPr>
            </w:pPr>
          </w:p>
        </w:tc>
        <w:tc>
          <w:tcPr>
            <w:tcW w:w="1820" w:type="dxa"/>
            <w:vAlign w:val="bottom"/>
          </w:tcPr>
          <w:p>
            <w:pPr>
              <w:jc w:val="right"/>
              <w:ind w:right="33"/>
              <w:spacing w:after="0"/>
              <w:rPr>
                <w:sz w:val="20"/>
                <w:szCs w:val="20"/>
                <w:color w:val="auto"/>
              </w:rPr>
            </w:pPr>
            <w:r>
              <w:rPr>
                <w:rFonts w:ascii="Arial" w:cs="Arial" w:eastAsia="Arial" w:hAnsi="Arial"/>
                <w:sz w:val="18"/>
                <w:szCs w:val="18"/>
                <w:color w:val="auto"/>
              </w:rPr>
              <w:t>1,706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700" w:type="dxa"/>
            <w:vAlign w:val="bottom"/>
          </w:tcPr>
          <w:p>
            <w:pPr>
              <w:jc w:val="right"/>
              <w:ind w:right="13"/>
              <w:spacing w:after="0"/>
              <w:rPr>
                <w:sz w:val="20"/>
                <w:szCs w:val="20"/>
                <w:color w:val="auto"/>
              </w:rPr>
            </w:pPr>
            <w:r>
              <w:rPr>
                <w:rFonts w:ascii="Arial" w:cs="Arial" w:eastAsia="Arial" w:hAnsi="Arial"/>
                <w:sz w:val="18"/>
                <w:szCs w:val="18"/>
                <w:color w:val="auto"/>
              </w:rPr>
              <w:t>219</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540" w:type="dxa"/>
            <w:vAlign w:val="bottom"/>
          </w:tcPr>
          <w:p>
            <w:pPr>
              <w:jc w:val="right"/>
              <w:ind w:right="12"/>
              <w:spacing w:after="0"/>
              <w:rPr>
                <w:sz w:val="20"/>
                <w:szCs w:val="20"/>
                <w:color w:val="auto"/>
              </w:rPr>
            </w:pPr>
            <w:r>
              <w:rPr>
                <w:rFonts w:ascii="Arial" w:cs="Arial" w:eastAsia="Arial" w:hAnsi="Arial"/>
                <w:sz w:val="18"/>
                <w:szCs w:val="18"/>
                <w:color w:val="auto"/>
              </w:rPr>
              <w:t>1,925</w:t>
            </w:r>
          </w:p>
        </w:tc>
        <w:tc>
          <w:tcPr>
            <w:tcW w:w="0" w:type="dxa"/>
            <w:vAlign w:val="bottom"/>
          </w:tcPr>
          <w:p>
            <w:pPr>
              <w:spacing w:after="0"/>
              <w:rPr>
                <w:sz w:val="1"/>
                <w:szCs w:val="1"/>
                <w:color w:val="auto"/>
              </w:rPr>
            </w:pPr>
          </w:p>
        </w:tc>
      </w:tr>
      <w:tr>
        <w:trPr>
          <w:trHeight w:val="27"/>
        </w:trPr>
        <w:tc>
          <w:tcPr>
            <w:tcW w:w="49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9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1,708</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219</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1,927</w:t>
            </w: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20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2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5"/>
        </w:trPr>
        <w:tc>
          <w:tcPr>
            <w:tcW w:w="11240" w:type="dxa"/>
            <w:vAlign w:val="bottom"/>
            <w:gridSpan w:val="9"/>
          </w:tcPr>
          <w:p>
            <w:pPr>
              <w:ind w:left="660"/>
              <w:spacing w:after="0"/>
              <w:rPr>
                <w:sz w:val="20"/>
                <w:szCs w:val="20"/>
                <w:color w:val="auto"/>
              </w:rPr>
            </w:pPr>
            <w:r>
              <w:rPr>
                <w:rFonts w:ascii="Arial" w:cs="Arial" w:eastAsia="Arial" w:hAnsi="Arial"/>
                <w:sz w:val="18"/>
                <w:szCs w:val="18"/>
                <w:color w:val="auto"/>
                <w:w w:val="93"/>
              </w:rPr>
              <w:t>The following table shows the interest income and expense recognized as a result of our involvement with these VIEs during the first quarter of</w:t>
            </w:r>
          </w:p>
        </w:tc>
        <w:tc>
          <w:tcPr>
            <w:tcW w:w="0" w:type="dxa"/>
            <w:vAlign w:val="bottom"/>
          </w:tcPr>
          <w:p>
            <w:pPr>
              <w:spacing w:after="0"/>
              <w:rPr>
                <w:sz w:val="1"/>
                <w:szCs w:val="1"/>
                <w:color w:val="auto"/>
              </w:rPr>
            </w:pPr>
          </w:p>
        </w:tc>
      </w:tr>
      <w:tr>
        <w:trPr>
          <w:trHeight w:val="230"/>
        </w:trPr>
        <w:tc>
          <w:tcPr>
            <w:tcW w:w="4940" w:type="dxa"/>
            <w:vAlign w:val="bottom"/>
          </w:tcPr>
          <w:p>
            <w:pPr>
              <w:spacing w:after="0"/>
              <w:rPr>
                <w:sz w:val="20"/>
                <w:szCs w:val="20"/>
                <w:color w:val="auto"/>
              </w:rPr>
            </w:pPr>
            <w:r>
              <w:rPr>
                <w:rFonts w:ascii="Arial" w:cs="Arial" w:eastAsia="Arial" w:hAnsi="Arial"/>
                <w:sz w:val="18"/>
                <w:szCs w:val="18"/>
                <w:color w:val="auto"/>
              </w:rPr>
              <w:t>2020:</w:t>
            </w:r>
          </w:p>
        </w:tc>
        <w:tc>
          <w:tcPr>
            <w:tcW w:w="2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4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2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0"/>
              </w:rPr>
              <w:t>Vacation Ownership</w:t>
            </w:r>
          </w:p>
        </w:tc>
        <w:tc>
          <w:tcPr>
            <w:tcW w:w="3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2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7"/>
              </w:rPr>
              <w:t>Notes Receivable</w:t>
            </w:r>
          </w:p>
        </w:tc>
        <w:tc>
          <w:tcPr>
            <w:tcW w:w="320" w:type="dxa"/>
            <w:vAlign w:val="bottom"/>
          </w:tcPr>
          <w:p>
            <w:pPr>
              <w:spacing w:after="0"/>
              <w:rPr>
                <w:sz w:val="17"/>
                <w:szCs w:val="17"/>
                <w:color w:val="auto"/>
              </w:rPr>
            </w:pPr>
          </w:p>
        </w:tc>
        <w:tc>
          <w:tcPr>
            <w:tcW w:w="182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w w:val="90"/>
              </w:rPr>
              <w:t>Warehouse</w:t>
            </w:r>
          </w:p>
        </w:tc>
        <w:tc>
          <w:tcPr>
            <w:tcW w:w="4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494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220" w:type="dxa"/>
            <w:vAlign w:val="bottom"/>
          </w:tcPr>
          <w:p>
            <w:pPr>
              <w:spacing w:after="0"/>
              <w:rPr>
                <w:sz w:val="20"/>
                <w:szCs w:val="20"/>
                <w:color w:val="auto"/>
              </w:rPr>
            </w:pPr>
          </w:p>
        </w:tc>
        <w:tc>
          <w:tcPr>
            <w:tcW w:w="192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1"/>
              </w:rPr>
              <w:t>Securitizations</w:t>
            </w:r>
          </w:p>
        </w:tc>
        <w:tc>
          <w:tcPr>
            <w:tcW w:w="320" w:type="dxa"/>
            <w:vAlign w:val="bottom"/>
          </w:tcPr>
          <w:p>
            <w:pPr>
              <w:spacing w:after="0"/>
              <w:rPr>
                <w:sz w:val="20"/>
                <w:szCs w:val="20"/>
                <w:color w:val="auto"/>
              </w:rPr>
            </w:pPr>
          </w:p>
        </w:tc>
        <w:tc>
          <w:tcPr>
            <w:tcW w:w="182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4"/>
              </w:rPr>
              <w:t>Credit Facility</w:t>
            </w:r>
          </w:p>
        </w:tc>
        <w:tc>
          <w:tcPr>
            <w:tcW w:w="480" w:type="dxa"/>
            <w:vAlign w:val="bottom"/>
          </w:tcPr>
          <w:p>
            <w:pPr>
              <w:spacing w:after="0"/>
              <w:rPr>
                <w:sz w:val="20"/>
                <w:szCs w:val="20"/>
                <w:color w:val="auto"/>
              </w:rPr>
            </w:pPr>
          </w:p>
        </w:tc>
        <w:tc>
          <w:tcPr>
            <w:tcW w:w="1540" w:type="dxa"/>
            <w:vAlign w:val="bottom"/>
          </w:tcPr>
          <w:p>
            <w:pPr>
              <w:jc w:val="right"/>
              <w:ind w:right="752"/>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49"/>
        </w:trPr>
        <w:tc>
          <w:tcPr>
            <w:tcW w:w="49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2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70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80" w:type="dxa"/>
            <w:vAlign w:val="bottom"/>
            <w:tcBorders>
              <w:top w:val="single" w:sz="8" w:color="auto"/>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43"/>
        </w:trPr>
        <w:tc>
          <w:tcPr>
            <w:tcW w:w="4940" w:type="dxa"/>
            <w:vAlign w:val="bottom"/>
          </w:tcPr>
          <w:p>
            <w:pPr>
              <w:ind w:left="40"/>
              <w:spacing w:after="0"/>
              <w:rPr>
                <w:sz w:val="20"/>
                <w:szCs w:val="20"/>
                <w:color w:val="auto"/>
              </w:rPr>
            </w:pPr>
            <w:r>
              <w:rPr>
                <w:rFonts w:ascii="Arial" w:cs="Arial" w:eastAsia="Arial" w:hAnsi="Arial"/>
                <w:sz w:val="18"/>
                <w:szCs w:val="18"/>
                <w:color w:val="auto"/>
              </w:rPr>
              <w:t>Interest expense to investors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820" w:type="dxa"/>
            <w:vAlign w:val="bottom"/>
          </w:tcPr>
          <w:p>
            <w:pPr>
              <w:jc w:val="right"/>
              <w:ind w:right="33"/>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700" w:type="dxa"/>
            <w:vAlign w:val="bottom"/>
          </w:tcPr>
          <w:p>
            <w:pPr>
              <w:jc w:val="right"/>
              <w:ind w:right="13"/>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ind w:right="12"/>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
        </w:trPr>
        <w:tc>
          <w:tcPr>
            <w:tcW w:w="4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20" w:type="dxa"/>
            <w:vAlign w:val="bottom"/>
            <w:gridSpan w:val="2"/>
          </w:tcPr>
          <w:p>
            <w:pPr>
              <w:spacing w:after="0"/>
              <w:rPr>
                <w:sz w:val="2"/>
                <w:szCs w:val="2"/>
                <w:color w:val="auto"/>
              </w:rPr>
            </w:pPr>
          </w:p>
        </w:tc>
        <w:tc>
          <w:tcPr>
            <w:tcW w:w="4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Debt issuance cost amortization</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49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shows cash flows between us and the vacation ownership notes receivable securitization VIEs: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60" w:type="dxa"/>
            <w:vAlign w:val="bottom"/>
            <w:gridSpan w:val="4"/>
          </w:tcPr>
          <w:p>
            <w:pPr>
              <w:jc w:val="right"/>
              <w:ind w:right="1231"/>
              <w:spacing w:after="0"/>
              <w:rPr>
                <w:sz w:val="20"/>
                <w:szCs w:val="20"/>
                <w:color w:val="auto"/>
              </w:rPr>
            </w:pPr>
            <w:r>
              <w:rPr>
                <w:rFonts w:ascii="Arial" w:cs="Arial" w:eastAsia="Arial" w:hAnsi="Arial"/>
                <w:sz w:val="16"/>
                <w:szCs w:val="16"/>
                <w:b w:val="1"/>
                <w:bCs w:val="1"/>
                <w:color w:val="auto"/>
              </w:rPr>
              <w:t>Three Months Ended</w:t>
            </w:r>
          </w:p>
        </w:tc>
      </w:tr>
      <w:tr>
        <w:trPr>
          <w:trHeight w:val="33"/>
        </w:trPr>
        <w:tc>
          <w:tcPr>
            <w:tcW w:w="70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58"/>
        </w:trPr>
        <w:tc>
          <w:tcPr>
            <w:tcW w:w="708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300" w:type="dxa"/>
            <w:vAlign w:val="bottom"/>
          </w:tcPr>
          <w:p>
            <w:pPr>
              <w:spacing w:after="0"/>
              <w:rPr>
                <w:sz w:val="22"/>
                <w:szCs w:val="22"/>
                <w:color w:val="auto"/>
              </w:rPr>
            </w:pPr>
          </w:p>
        </w:tc>
        <w:tc>
          <w:tcPr>
            <w:tcW w:w="1840" w:type="dxa"/>
            <w:vAlign w:val="bottom"/>
            <w:gridSpan w:val="2"/>
          </w:tcPr>
          <w:p>
            <w:pPr>
              <w:ind w:left="180"/>
              <w:spacing w:after="0"/>
              <w:rPr>
                <w:sz w:val="20"/>
                <w:szCs w:val="20"/>
                <w:color w:val="auto"/>
              </w:rPr>
            </w:pPr>
            <w:r>
              <w:rPr>
                <w:rFonts w:ascii="Arial" w:cs="Arial" w:eastAsia="Arial" w:hAnsi="Arial"/>
                <w:sz w:val="16"/>
                <w:szCs w:val="16"/>
                <w:b w:val="1"/>
                <w:bCs w:val="1"/>
                <w:color w:val="auto"/>
              </w:rPr>
              <w:t>March 31, 2020</w:t>
            </w:r>
          </w:p>
        </w:tc>
        <w:tc>
          <w:tcPr>
            <w:tcW w:w="300" w:type="dxa"/>
            <w:vAlign w:val="bottom"/>
          </w:tcPr>
          <w:p>
            <w:pPr>
              <w:spacing w:after="0"/>
              <w:rPr>
                <w:sz w:val="22"/>
                <w:szCs w:val="22"/>
                <w:color w:val="auto"/>
              </w:rPr>
            </w:pPr>
          </w:p>
        </w:tc>
        <w:tc>
          <w:tcPr>
            <w:tcW w:w="1720" w:type="dxa"/>
            <w:vAlign w:val="bottom"/>
          </w:tcPr>
          <w:p>
            <w:pPr>
              <w:jc w:val="right"/>
              <w:ind w:right="391"/>
              <w:spacing w:after="0"/>
              <w:rPr>
                <w:sz w:val="20"/>
                <w:szCs w:val="20"/>
                <w:color w:val="auto"/>
              </w:rPr>
            </w:pPr>
            <w:r>
              <w:rPr>
                <w:rFonts w:ascii="Arial" w:cs="Arial" w:eastAsia="Arial" w:hAnsi="Arial"/>
                <w:sz w:val="16"/>
                <w:szCs w:val="16"/>
                <w:b w:val="1"/>
                <w:bCs w:val="1"/>
                <w:color w:val="auto"/>
              </w:rPr>
              <w:t>March 31, 2019</w:t>
            </w:r>
          </w:p>
        </w:tc>
      </w:tr>
      <w:tr>
        <w:trPr>
          <w:trHeight w:val="250"/>
        </w:trPr>
        <w:tc>
          <w:tcPr>
            <w:tcW w:w="70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Inflows</w:t>
            </w: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7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72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7080" w:type="dxa"/>
            <w:vAlign w:val="bottom"/>
          </w:tcPr>
          <w:p>
            <w:pPr>
              <w:ind w:left="280"/>
              <w:spacing w:after="0"/>
              <w:rPr>
                <w:sz w:val="20"/>
                <w:szCs w:val="20"/>
                <w:color w:val="auto"/>
              </w:rPr>
            </w:pPr>
            <w:r>
              <w:rPr>
                <w:rFonts w:ascii="Arial" w:cs="Arial" w:eastAsia="Arial" w:hAnsi="Arial"/>
                <w:sz w:val="18"/>
                <w:szCs w:val="18"/>
                <w:color w:val="auto"/>
              </w:rPr>
              <w:t>Principal receipts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720" w:type="dxa"/>
            <w:vAlign w:val="bottom"/>
          </w:tcPr>
          <w:p>
            <w:pPr>
              <w:jc w:val="right"/>
              <w:ind w:right="12"/>
              <w:spacing w:after="0"/>
              <w:rPr>
                <w:sz w:val="20"/>
                <w:szCs w:val="20"/>
                <w:color w:val="auto"/>
              </w:rPr>
            </w:pPr>
            <w:r>
              <w:rPr>
                <w:rFonts w:ascii="Arial" w:cs="Arial" w:eastAsia="Arial" w:hAnsi="Arial"/>
                <w:sz w:val="18"/>
                <w:szCs w:val="18"/>
                <w:color w:val="auto"/>
              </w:rPr>
              <w:t>121</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720" w:type="dxa"/>
            <w:vAlign w:val="bottom"/>
          </w:tcPr>
          <w:p>
            <w:pPr>
              <w:jc w:val="right"/>
              <w:ind w:right="11"/>
              <w:spacing w:after="0"/>
              <w:rPr>
                <w:sz w:val="20"/>
                <w:szCs w:val="20"/>
                <w:color w:val="auto"/>
              </w:rPr>
            </w:pPr>
            <w:r>
              <w:rPr>
                <w:rFonts w:ascii="Arial" w:cs="Arial" w:eastAsia="Arial" w:hAnsi="Arial"/>
                <w:sz w:val="18"/>
                <w:szCs w:val="18"/>
                <w:color w:val="auto"/>
              </w:rPr>
              <w:t>119</w:t>
            </w:r>
          </w:p>
        </w:tc>
      </w:tr>
      <w:tr>
        <w:trPr>
          <w:trHeight w:val="27"/>
        </w:trPr>
        <w:tc>
          <w:tcPr>
            <w:tcW w:w="7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receipts</w:t>
            </w:r>
          </w:p>
        </w:tc>
        <w:tc>
          <w:tcPr>
            <w:tcW w:w="3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w:t>
            </w:r>
          </w:p>
        </w:tc>
      </w:tr>
      <w:tr>
        <w:trPr>
          <w:trHeight w:val="243"/>
        </w:trPr>
        <w:tc>
          <w:tcPr>
            <w:tcW w:w="7080" w:type="dxa"/>
            <w:vAlign w:val="bottom"/>
          </w:tcPr>
          <w:p>
            <w:pPr>
              <w:ind w:left="280"/>
              <w:spacing w:after="0"/>
              <w:rPr>
                <w:sz w:val="20"/>
                <w:szCs w:val="20"/>
                <w:color w:val="auto"/>
              </w:rPr>
            </w:pPr>
            <w:r>
              <w:rPr>
                <w:rFonts w:ascii="Arial" w:cs="Arial" w:eastAsia="Arial" w:hAnsi="Arial"/>
                <w:sz w:val="18"/>
                <w:szCs w:val="18"/>
                <w:color w:val="auto"/>
              </w:rPr>
              <w:t>Reserve release</w:t>
            </w:r>
          </w:p>
        </w:tc>
        <w:tc>
          <w:tcPr>
            <w:tcW w:w="300" w:type="dxa"/>
            <w:vAlign w:val="bottom"/>
          </w:tcPr>
          <w:p>
            <w:pPr>
              <w:spacing w:after="0"/>
              <w:rPr>
                <w:sz w:val="21"/>
                <w:szCs w:val="21"/>
                <w:color w:val="auto"/>
              </w:rPr>
            </w:pPr>
          </w:p>
        </w:tc>
        <w:tc>
          <w:tcPr>
            <w:tcW w:w="1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720" w:type="dxa"/>
            <w:vAlign w:val="bottom"/>
          </w:tcPr>
          <w:p>
            <w:pPr>
              <w:jc w:val="right"/>
              <w:ind w:right="11"/>
              <w:spacing w:after="0"/>
              <w:rPr>
                <w:sz w:val="20"/>
                <w:szCs w:val="20"/>
                <w:color w:val="auto"/>
              </w:rPr>
            </w:pPr>
            <w:r>
              <w:rPr>
                <w:rFonts w:ascii="Arial" w:cs="Arial" w:eastAsia="Arial" w:hAnsi="Arial"/>
                <w:sz w:val="18"/>
                <w:szCs w:val="18"/>
                <w:color w:val="auto"/>
              </w:rPr>
              <w:t>13</w:t>
            </w:r>
          </w:p>
        </w:tc>
      </w:tr>
      <w:tr>
        <w:trPr>
          <w:trHeight w:val="27"/>
        </w:trPr>
        <w:tc>
          <w:tcPr>
            <w:tcW w:w="70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63"/>
        </w:trPr>
        <w:tc>
          <w:tcPr>
            <w:tcW w:w="70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CCEEFF"/>
            </w:tcBorders>
            <w:shd w:val="clear" w:color="auto" w:fill="CCEEFF"/>
          </w:tcPr>
          <w:p>
            <w:pPr>
              <w:spacing w:after="0"/>
              <w:rPr>
                <w:sz w:val="22"/>
                <w:szCs w:val="22"/>
                <w:color w:val="auto"/>
              </w:rPr>
            </w:pPr>
          </w:p>
        </w:tc>
        <w:tc>
          <w:tcPr>
            <w:tcW w:w="1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177</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182</w:t>
            </w:r>
          </w:p>
        </w:tc>
      </w:tr>
      <w:tr>
        <w:trPr>
          <w:trHeight w:val="223"/>
        </w:trPr>
        <w:tc>
          <w:tcPr>
            <w:tcW w:w="7080" w:type="dxa"/>
            <w:vAlign w:val="bottom"/>
          </w:tcPr>
          <w:p>
            <w:pPr>
              <w:ind w:left="40"/>
              <w:spacing w:after="0"/>
              <w:rPr>
                <w:sz w:val="20"/>
                <w:szCs w:val="20"/>
                <w:color w:val="auto"/>
              </w:rPr>
            </w:pPr>
            <w:r>
              <w:rPr>
                <w:rFonts w:ascii="Arial" w:cs="Arial" w:eastAsia="Arial" w:hAnsi="Arial"/>
                <w:sz w:val="18"/>
                <w:szCs w:val="18"/>
                <w:b w:val="1"/>
                <w:bCs w:val="1"/>
                <w:color w:val="auto"/>
              </w:rPr>
              <w:t>Cash Outflows</w:t>
            </w:r>
          </w:p>
        </w:tc>
        <w:tc>
          <w:tcPr>
            <w:tcW w:w="300" w:type="dxa"/>
            <w:vAlign w:val="bottom"/>
            <w:tcBorders>
              <w:top w:val="single" w:sz="8" w:color="auto"/>
            </w:tcBorders>
          </w:tcPr>
          <w:p>
            <w:pPr>
              <w:spacing w:after="0"/>
              <w:rPr>
                <w:sz w:val="19"/>
                <w:szCs w:val="19"/>
                <w:color w:val="auto"/>
              </w:rPr>
            </w:pPr>
          </w:p>
        </w:tc>
        <w:tc>
          <w:tcPr>
            <w:tcW w:w="17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720" w:type="dxa"/>
            <w:vAlign w:val="bottom"/>
            <w:tcBorders>
              <w:top w:val="single" w:sz="8" w:color="auto"/>
            </w:tcBorders>
          </w:tcPr>
          <w:p>
            <w:pPr>
              <w:spacing w:after="0"/>
              <w:rPr>
                <w:sz w:val="19"/>
                <w:szCs w:val="19"/>
                <w:color w:val="auto"/>
              </w:rPr>
            </w:pPr>
          </w:p>
        </w:tc>
      </w:tr>
      <w:tr>
        <w:trPr>
          <w:trHeight w:val="40"/>
        </w:trPr>
        <w:tc>
          <w:tcPr>
            <w:tcW w:w="70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72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720" w:type="dxa"/>
            <w:vAlign w:val="bottom"/>
          </w:tcPr>
          <w:p>
            <w:pPr>
              <w:spacing w:after="0"/>
              <w:rPr>
                <w:sz w:val="3"/>
                <w:szCs w:val="3"/>
                <w:color w:val="auto"/>
              </w:rPr>
            </w:pPr>
          </w:p>
        </w:tc>
      </w:tr>
      <w:tr>
        <w:trPr>
          <w:trHeight w:val="250"/>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Principal to investors</w:t>
            </w:r>
          </w:p>
        </w:tc>
        <w:tc>
          <w:tcPr>
            <w:tcW w:w="3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w:t>
            </w:r>
          </w:p>
        </w:tc>
      </w:tr>
      <w:tr>
        <w:trPr>
          <w:trHeight w:val="243"/>
        </w:trPr>
        <w:tc>
          <w:tcPr>
            <w:tcW w:w="7080" w:type="dxa"/>
            <w:vAlign w:val="bottom"/>
          </w:tcPr>
          <w:p>
            <w:pPr>
              <w:ind w:left="280"/>
              <w:spacing w:after="0"/>
              <w:rPr>
                <w:sz w:val="20"/>
                <w:szCs w:val="20"/>
                <w:color w:val="auto"/>
              </w:rPr>
            </w:pPr>
            <w:r>
              <w:rPr>
                <w:rFonts w:ascii="Arial" w:cs="Arial" w:eastAsia="Arial" w:hAnsi="Arial"/>
                <w:sz w:val="18"/>
                <w:szCs w:val="18"/>
                <w:color w:val="auto"/>
              </w:rPr>
              <w:t>Voluntary repurchases of defaulted vacation ownership notes receivable</w:t>
            </w:r>
          </w:p>
        </w:tc>
        <w:tc>
          <w:tcPr>
            <w:tcW w:w="30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7"/>
        </w:trPr>
        <w:tc>
          <w:tcPr>
            <w:tcW w:w="7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to investors</w:t>
            </w:r>
          </w:p>
        </w:tc>
        <w:tc>
          <w:tcPr>
            <w:tcW w:w="30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37"/>
        </w:trPr>
        <w:tc>
          <w:tcPr>
            <w:tcW w:w="7080" w:type="dxa"/>
            <w:vAlign w:val="bottom"/>
          </w:tcPr>
          <w:p>
            <w:pPr>
              <w:ind w:left="500"/>
              <w:spacing w:after="0"/>
              <w:rPr>
                <w:sz w:val="20"/>
                <w:szCs w:val="20"/>
                <w:color w:val="auto"/>
              </w:rPr>
            </w:pPr>
            <w:r>
              <w:rPr>
                <w:rFonts w:ascii="Arial" w:cs="Arial" w:eastAsia="Arial" w:hAnsi="Arial"/>
                <w:sz w:val="18"/>
                <w:szCs w:val="18"/>
                <w:color w:val="auto"/>
              </w:rPr>
              <w:t>Total</w:t>
            </w:r>
          </w:p>
        </w:tc>
        <w:tc>
          <w:tcPr>
            <w:tcW w:w="300" w:type="dxa"/>
            <w:vAlign w:val="bottom"/>
            <w:tcBorders>
              <w:top w:val="single" w:sz="8" w:color="auto"/>
            </w:tcBorders>
          </w:tcPr>
          <w:p>
            <w:pPr>
              <w:spacing w:after="0"/>
              <w:rPr>
                <w:sz w:val="20"/>
                <w:szCs w:val="20"/>
                <w:color w:val="auto"/>
              </w:rPr>
            </w:pPr>
          </w:p>
        </w:tc>
        <w:tc>
          <w:tcPr>
            <w:tcW w:w="1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(157)</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(139)</w:t>
            </w:r>
          </w:p>
        </w:tc>
      </w:tr>
      <w:tr>
        <w:trPr>
          <w:trHeight w:val="27"/>
        </w:trPr>
        <w:tc>
          <w:tcPr>
            <w:tcW w:w="70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69"/>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Cash Flows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w:t>
            </w:r>
          </w:p>
        </w:tc>
      </w:tr>
      <w:tr>
        <w:trPr>
          <w:trHeight w:val="20"/>
        </w:trPr>
        <w:tc>
          <w:tcPr>
            <w:tcW w:w="70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Under the terms of our vacation ownership notes receivable securitizations, we have the right to substitute loans for, or repurchase, defaulted loans at our option, subject to certain limitations. Our maximum exposure to loss relating to the special purpose entities that purchase, sell and own these vacation ownership notes receivable is the overcollateralization amount (the difference between the loan collateral balance and the balance on the outstanding vacation ownership notes receivable), plus cash reserves and any residual interest in future cash flows from collateral.</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40"/>
          </w:cols>
          <w:pgMar w:left="320" w:top="125" w:right="3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shows cash flows between us and the Warehouse Credit Facility VIE:</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60" w:type="dxa"/>
            <w:vAlign w:val="bottom"/>
            <w:gridSpan w:val="4"/>
          </w:tcPr>
          <w:p>
            <w:pPr>
              <w:jc w:val="right"/>
              <w:ind w:right="1231"/>
              <w:spacing w:after="0"/>
              <w:rPr>
                <w:sz w:val="20"/>
                <w:szCs w:val="20"/>
                <w:color w:val="auto"/>
              </w:rPr>
            </w:pPr>
            <w:r>
              <w:rPr>
                <w:rFonts w:ascii="Arial" w:cs="Arial" w:eastAsia="Arial" w:hAnsi="Arial"/>
                <w:sz w:val="16"/>
                <w:szCs w:val="16"/>
                <w:b w:val="1"/>
                <w:bCs w:val="1"/>
                <w:color w:val="auto"/>
              </w:rPr>
              <w:t>Three Months Ended</w:t>
            </w:r>
          </w:p>
        </w:tc>
      </w:tr>
      <w:tr>
        <w:trPr>
          <w:trHeight w:val="33"/>
        </w:trPr>
        <w:tc>
          <w:tcPr>
            <w:tcW w:w="70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58"/>
        </w:trPr>
        <w:tc>
          <w:tcPr>
            <w:tcW w:w="708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300" w:type="dxa"/>
            <w:vAlign w:val="bottom"/>
          </w:tcPr>
          <w:p>
            <w:pPr>
              <w:spacing w:after="0"/>
              <w:rPr>
                <w:sz w:val="22"/>
                <w:szCs w:val="22"/>
                <w:color w:val="auto"/>
              </w:rPr>
            </w:pPr>
          </w:p>
        </w:tc>
        <w:tc>
          <w:tcPr>
            <w:tcW w:w="1840" w:type="dxa"/>
            <w:vAlign w:val="bottom"/>
            <w:gridSpan w:val="2"/>
          </w:tcPr>
          <w:p>
            <w:pPr>
              <w:ind w:left="180"/>
              <w:spacing w:after="0"/>
              <w:rPr>
                <w:sz w:val="20"/>
                <w:szCs w:val="20"/>
                <w:color w:val="auto"/>
              </w:rPr>
            </w:pPr>
            <w:r>
              <w:rPr>
                <w:rFonts w:ascii="Arial" w:cs="Arial" w:eastAsia="Arial" w:hAnsi="Arial"/>
                <w:sz w:val="16"/>
                <w:szCs w:val="16"/>
                <w:b w:val="1"/>
                <w:bCs w:val="1"/>
                <w:color w:val="auto"/>
              </w:rPr>
              <w:t>March 31, 2020</w:t>
            </w:r>
          </w:p>
        </w:tc>
        <w:tc>
          <w:tcPr>
            <w:tcW w:w="300" w:type="dxa"/>
            <w:vAlign w:val="bottom"/>
          </w:tcPr>
          <w:p>
            <w:pPr>
              <w:spacing w:after="0"/>
              <w:rPr>
                <w:sz w:val="22"/>
                <w:szCs w:val="22"/>
                <w:color w:val="auto"/>
              </w:rPr>
            </w:pPr>
          </w:p>
        </w:tc>
        <w:tc>
          <w:tcPr>
            <w:tcW w:w="1720" w:type="dxa"/>
            <w:vAlign w:val="bottom"/>
          </w:tcPr>
          <w:p>
            <w:pPr>
              <w:jc w:val="right"/>
              <w:ind w:right="391"/>
              <w:spacing w:after="0"/>
              <w:rPr>
                <w:sz w:val="20"/>
                <w:szCs w:val="20"/>
                <w:color w:val="auto"/>
              </w:rPr>
            </w:pPr>
            <w:r>
              <w:rPr>
                <w:rFonts w:ascii="Arial" w:cs="Arial" w:eastAsia="Arial" w:hAnsi="Arial"/>
                <w:sz w:val="16"/>
                <w:szCs w:val="16"/>
                <w:b w:val="1"/>
                <w:bCs w:val="1"/>
                <w:color w:val="auto"/>
              </w:rPr>
              <w:t>March 31, 2019</w:t>
            </w:r>
          </w:p>
        </w:tc>
      </w:tr>
      <w:tr>
        <w:trPr>
          <w:trHeight w:val="249"/>
        </w:trPr>
        <w:tc>
          <w:tcPr>
            <w:tcW w:w="70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Inflows</w:t>
            </w: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7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72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7080" w:type="dxa"/>
            <w:vAlign w:val="bottom"/>
          </w:tcPr>
          <w:p>
            <w:pPr>
              <w:ind w:left="280"/>
              <w:spacing w:after="0"/>
              <w:rPr>
                <w:sz w:val="20"/>
                <w:szCs w:val="20"/>
                <w:color w:val="auto"/>
              </w:rPr>
            </w:pPr>
            <w:r>
              <w:rPr>
                <w:rFonts w:ascii="Arial" w:cs="Arial" w:eastAsia="Arial" w:hAnsi="Arial"/>
                <w:sz w:val="18"/>
                <w:szCs w:val="18"/>
                <w:color w:val="auto"/>
              </w:rPr>
              <w:t>Proceeds from vacation ownership notes receivable securitizations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720" w:type="dxa"/>
            <w:vAlign w:val="bottom"/>
          </w:tcPr>
          <w:p>
            <w:pPr>
              <w:jc w:val="right"/>
              <w:ind w:right="12"/>
              <w:spacing w:after="0"/>
              <w:rPr>
                <w:sz w:val="20"/>
                <w:szCs w:val="20"/>
                <w:color w:val="auto"/>
              </w:rPr>
            </w:pPr>
            <w:r>
              <w:rPr>
                <w:rFonts w:ascii="Arial" w:cs="Arial" w:eastAsia="Arial" w:hAnsi="Arial"/>
                <w:sz w:val="18"/>
                <w:szCs w:val="18"/>
                <w:color w:val="auto"/>
              </w:rPr>
              <w:t>202</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720" w:type="dxa"/>
            <w:vAlign w:val="bottom"/>
          </w:tcPr>
          <w:p>
            <w:pPr>
              <w:jc w:val="right"/>
              <w:ind w:right="11"/>
              <w:spacing w:after="0"/>
              <w:rPr>
                <w:sz w:val="20"/>
                <w:szCs w:val="20"/>
                <w:color w:val="auto"/>
              </w:rPr>
            </w:pPr>
            <w:r>
              <w:rPr>
                <w:rFonts w:ascii="Arial" w:cs="Arial" w:eastAsia="Arial" w:hAnsi="Arial"/>
                <w:sz w:val="18"/>
                <w:szCs w:val="18"/>
                <w:color w:val="auto"/>
              </w:rPr>
              <w:t>124</w:t>
            </w:r>
          </w:p>
        </w:tc>
      </w:tr>
      <w:tr>
        <w:trPr>
          <w:trHeight w:val="27"/>
        </w:trPr>
        <w:tc>
          <w:tcPr>
            <w:tcW w:w="7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Principal receipts</w:t>
            </w:r>
          </w:p>
        </w:tc>
        <w:tc>
          <w:tcPr>
            <w:tcW w:w="3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w:t>
            </w:r>
          </w:p>
        </w:tc>
      </w:tr>
      <w:tr>
        <w:trPr>
          <w:trHeight w:val="243"/>
        </w:trPr>
        <w:tc>
          <w:tcPr>
            <w:tcW w:w="7080" w:type="dxa"/>
            <w:vAlign w:val="bottom"/>
          </w:tcPr>
          <w:p>
            <w:pPr>
              <w:ind w:left="280"/>
              <w:spacing w:after="0"/>
              <w:rPr>
                <w:sz w:val="20"/>
                <w:szCs w:val="20"/>
                <w:color w:val="auto"/>
              </w:rPr>
            </w:pPr>
            <w:r>
              <w:rPr>
                <w:rFonts w:ascii="Arial" w:cs="Arial" w:eastAsia="Arial" w:hAnsi="Arial"/>
                <w:sz w:val="18"/>
                <w:szCs w:val="18"/>
                <w:color w:val="auto"/>
              </w:rPr>
              <w:t>Interest receipts</w:t>
            </w:r>
          </w:p>
        </w:tc>
        <w:tc>
          <w:tcPr>
            <w:tcW w:w="300" w:type="dxa"/>
            <w:vAlign w:val="bottom"/>
          </w:tcPr>
          <w:p>
            <w:pPr>
              <w:spacing w:after="0"/>
              <w:rPr>
                <w:sz w:val="21"/>
                <w:szCs w:val="21"/>
                <w:color w:val="auto"/>
              </w:rPr>
            </w:pPr>
          </w:p>
        </w:tc>
        <w:tc>
          <w:tcPr>
            <w:tcW w:w="1720" w:type="dxa"/>
            <w:vAlign w:val="bottom"/>
          </w:tcPr>
          <w:p>
            <w:pPr>
              <w:jc w:val="right"/>
              <w:ind w:right="12"/>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720" w:type="dxa"/>
            <w:vAlign w:val="bottom"/>
          </w:tcPr>
          <w:p>
            <w:pPr>
              <w:jc w:val="right"/>
              <w:ind w:right="11"/>
              <w:spacing w:after="0"/>
              <w:rPr>
                <w:sz w:val="20"/>
                <w:szCs w:val="20"/>
                <w:color w:val="auto"/>
              </w:rPr>
            </w:pPr>
            <w:r>
              <w:rPr>
                <w:rFonts w:ascii="Arial" w:cs="Arial" w:eastAsia="Arial" w:hAnsi="Arial"/>
                <w:sz w:val="18"/>
                <w:szCs w:val="18"/>
                <w:color w:val="auto"/>
              </w:rPr>
              <w:t>7</w:t>
            </w:r>
          </w:p>
        </w:tc>
      </w:tr>
      <w:tr>
        <w:trPr>
          <w:trHeight w:val="27"/>
        </w:trPr>
        <w:tc>
          <w:tcPr>
            <w:tcW w:w="70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64"/>
        </w:trPr>
        <w:tc>
          <w:tcPr>
            <w:tcW w:w="70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CCEEFF"/>
            </w:tcBorders>
            <w:shd w:val="clear" w:color="auto" w:fill="CCEEFF"/>
          </w:tcPr>
          <w:p>
            <w:pPr>
              <w:spacing w:after="0"/>
              <w:rPr>
                <w:sz w:val="22"/>
                <w:szCs w:val="22"/>
                <w:color w:val="auto"/>
              </w:rPr>
            </w:pPr>
          </w:p>
        </w:tc>
        <w:tc>
          <w:tcPr>
            <w:tcW w:w="1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217</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138</w:t>
            </w:r>
          </w:p>
        </w:tc>
      </w:tr>
      <w:tr>
        <w:trPr>
          <w:trHeight w:val="223"/>
        </w:trPr>
        <w:tc>
          <w:tcPr>
            <w:tcW w:w="7080" w:type="dxa"/>
            <w:vAlign w:val="bottom"/>
          </w:tcPr>
          <w:p>
            <w:pPr>
              <w:ind w:left="40"/>
              <w:spacing w:after="0"/>
              <w:rPr>
                <w:sz w:val="20"/>
                <w:szCs w:val="20"/>
                <w:color w:val="auto"/>
              </w:rPr>
            </w:pPr>
            <w:r>
              <w:rPr>
                <w:rFonts w:ascii="Arial" w:cs="Arial" w:eastAsia="Arial" w:hAnsi="Arial"/>
                <w:sz w:val="18"/>
                <w:szCs w:val="18"/>
                <w:b w:val="1"/>
                <w:bCs w:val="1"/>
                <w:color w:val="auto"/>
              </w:rPr>
              <w:t>Cash Outflows</w:t>
            </w:r>
          </w:p>
        </w:tc>
        <w:tc>
          <w:tcPr>
            <w:tcW w:w="300" w:type="dxa"/>
            <w:vAlign w:val="bottom"/>
            <w:tcBorders>
              <w:top w:val="single" w:sz="8" w:color="auto"/>
            </w:tcBorders>
          </w:tcPr>
          <w:p>
            <w:pPr>
              <w:spacing w:after="0"/>
              <w:rPr>
                <w:sz w:val="19"/>
                <w:szCs w:val="19"/>
                <w:color w:val="auto"/>
              </w:rPr>
            </w:pPr>
          </w:p>
        </w:tc>
        <w:tc>
          <w:tcPr>
            <w:tcW w:w="17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720" w:type="dxa"/>
            <w:vAlign w:val="bottom"/>
            <w:tcBorders>
              <w:top w:val="single" w:sz="8" w:color="auto"/>
            </w:tcBorders>
          </w:tcPr>
          <w:p>
            <w:pPr>
              <w:spacing w:after="0"/>
              <w:rPr>
                <w:sz w:val="19"/>
                <w:szCs w:val="19"/>
                <w:color w:val="auto"/>
              </w:rPr>
            </w:pPr>
          </w:p>
        </w:tc>
      </w:tr>
      <w:tr>
        <w:trPr>
          <w:trHeight w:val="41"/>
        </w:trPr>
        <w:tc>
          <w:tcPr>
            <w:tcW w:w="70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72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720" w:type="dxa"/>
            <w:vAlign w:val="bottom"/>
          </w:tcPr>
          <w:p>
            <w:pPr>
              <w:spacing w:after="0"/>
              <w:rPr>
                <w:sz w:val="3"/>
                <w:szCs w:val="3"/>
                <w:color w:val="auto"/>
              </w:rPr>
            </w:pPr>
          </w:p>
        </w:tc>
      </w:tr>
      <w:tr>
        <w:trPr>
          <w:trHeight w:val="250"/>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Principal to investors</w:t>
            </w:r>
          </w:p>
        </w:tc>
        <w:tc>
          <w:tcPr>
            <w:tcW w:w="3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43"/>
        </w:trPr>
        <w:tc>
          <w:tcPr>
            <w:tcW w:w="7080" w:type="dxa"/>
            <w:vAlign w:val="bottom"/>
          </w:tcPr>
          <w:p>
            <w:pPr>
              <w:ind w:left="280"/>
              <w:spacing w:after="0"/>
              <w:rPr>
                <w:sz w:val="20"/>
                <w:szCs w:val="20"/>
                <w:color w:val="auto"/>
              </w:rPr>
            </w:pPr>
            <w:r>
              <w:rPr>
                <w:rFonts w:ascii="Arial" w:cs="Arial" w:eastAsia="Arial" w:hAnsi="Arial"/>
                <w:sz w:val="18"/>
                <w:szCs w:val="18"/>
                <w:color w:val="auto"/>
              </w:rPr>
              <w:t>Interest to investors</w:t>
            </w:r>
          </w:p>
        </w:tc>
        <w:tc>
          <w:tcPr>
            <w:tcW w:w="30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7"/>
        </w:trPr>
        <w:tc>
          <w:tcPr>
            <w:tcW w:w="7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Funding of restricted cash</w:t>
            </w:r>
          </w:p>
        </w:tc>
        <w:tc>
          <w:tcPr>
            <w:tcW w:w="30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37"/>
        </w:trPr>
        <w:tc>
          <w:tcPr>
            <w:tcW w:w="7080" w:type="dxa"/>
            <w:vAlign w:val="bottom"/>
          </w:tcPr>
          <w:p>
            <w:pPr>
              <w:ind w:left="500"/>
              <w:spacing w:after="0"/>
              <w:rPr>
                <w:sz w:val="20"/>
                <w:szCs w:val="20"/>
                <w:color w:val="auto"/>
              </w:rPr>
            </w:pPr>
            <w:r>
              <w:rPr>
                <w:rFonts w:ascii="Arial" w:cs="Arial" w:eastAsia="Arial" w:hAnsi="Arial"/>
                <w:sz w:val="18"/>
                <w:szCs w:val="18"/>
                <w:color w:val="auto"/>
              </w:rPr>
              <w:t>Total</w:t>
            </w:r>
          </w:p>
        </w:tc>
        <w:tc>
          <w:tcPr>
            <w:tcW w:w="300" w:type="dxa"/>
            <w:vAlign w:val="bottom"/>
            <w:tcBorders>
              <w:top w:val="single" w:sz="8" w:color="auto"/>
            </w:tcBorders>
          </w:tcPr>
          <w:p>
            <w:pPr>
              <w:spacing w:after="0"/>
              <w:rPr>
                <w:sz w:val="20"/>
                <w:szCs w:val="20"/>
                <w:color w:val="auto"/>
              </w:rPr>
            </w:pPr>
          </w:p>
        </w:tc>
        <w:tc>
          <w:tcPr>
            <w:tcW w:w="1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w:t>
            </w:r>
          </w:p>
        </w:tc>
      </w:tr>
      <w:tr>
        <w:trPr>
          <w:trHeight w:val="27"/>
        </w:trPr>
        <w:tc>
          <w:tcPr>
            <w:tcW w:w="70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68"/>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Cash Flows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211</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130</w:t>
            </w:r>
          </w:p>
        </w:tc>
      </w:tr>
      <w:tr>
        <w:trPr>
          <w:trHeight w:val="20"/>
        </w:trPr>
        <w:tc>
          <w:tcPr>
            <w:tcW w:w="70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Variable Interest Entities</w:t>
      </w:r>
    </w:p>
    <w:p>
      <w:pPr>
        <w:spacing w:after="0" w:line="117" w:lineRule="exact"/>
        <w:rPr>
          <w:sz w:val="20"/>
          <w:szCs w:val="20"/>
          <w:color w:val="auto"/>
        </w:rPr>
      </w:pPr>
    </w:p>
    <w:p>
      <w:pPr>
        <w:ind w:right="100" w:firstLine="648"/>
        <w:spacing w:after="0" w:line="272" w:lineRule="auto"/>
        <w:rPr>
          <w:sz w:val="20"/>
          <w:szCs w:val="20"/>
          <w:color w:val="auto"/>
        </w:rPr>
      </w:pPr>
      <w:r>
        <w:rPr>
          <w:rFonts w:ascii="Arial" w:cs="Arial" w:eastAsia="Arial" w:hAnsi="Arial"/>
          <w:sz w:val="17"/>
          <w:szCs w:val="17"/>
          <w:color w:val="auto"/>
        </w:rPr>
        <w:t>We have a commitment to purchase an operating property located in San Francisco, California, that we currently manage as Marriott Vacation Club Pulse, San Francisco. Refer to Footnote 11 “Contingencies and Commitments” for additional information on the commitment. We are required to purchase the property from the third-party developer unless the developer has sold the property to another party. The property is held by a VIE for which we are not the primary beneficiary as we cannot prevent the VIE from selling the property at a higher price. Accordingly, we have not consolidated the VIE. As of March 31, 2020, our Balance Sheet reflected $3 million in Accounts Receivable, including a note receivable of less than $1 million, and $5 million in Other assets for a deposit related to the acquisition of a portion of this property. We believe that our maximum exposure to loss as a result of our involvement with this VIE is approximately $8 million as of March 31, 2020.</w:t>
      </w:r>
    </w:p>
    <w:p>
      <w:pPr>
        <w:spacing w:after="0" w:line="69"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We have a commitment to purchase an operating property located in New York, New York, that we currently manage as Marriott Vacation Club Pulse, New York City. Refer to Footnote 11 “Contingencies and Commitments” for additional information on the commitment. We are required to purchase the completed property from the third-party developer unless the developer has sold the property to another party. The property is held by a VIE for which we are not the primary beneficiary as we cannot prevent the VIE from selling the property at a higher price. Accordingly, we have not consolidated the VIE. As of March 31, 2020, our Balance Sheet reflected $22 million in Other assets for a deposit related to the acquisition of a portion of this property, and a note receivable of less than $1 million that is included in the Accounts receivable line. We believe that our maximum exposure to loss as a result of our involvement with this VIE is approximately $23 million as of March 31, 2020.</w:t>
      </w:r>
    </w:p>
    <w:p>
      <w:pPr>
        <w:spacing w:after="0" w:line="69"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We have a commitment to purchase a property located in Waikiki, Hawaii. Refer to Footnote 11 “Contingencies and Commitments” for additional information on the commitment. If we are unable to negotiate a capital efficient inventory arrangement, we are committed to purchasing the property, in its current form. We are required to purchase the completed property from the third-party developer unless it has been sold to another party. The property is held by a VIE for which we are not the primary beneficiary as we do not control the operations of the VIE. Accordingly, we have not consolidated the VIE. As of March 31, 2020, our Balance Sheet reflected $1 million in Accounts Receivable, including a note receivable of less than $1 million. We believe that our maximum exposure to loss as a result of our involvement with this VIE is less than $1 million as of March 31, 2020.</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Deferred Compensation Plan</w:t>
      </w:r>
    </w:p>
    <w:p>
      <w:pPr>
        <w:spacing w:after="0" w:line="117"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We consolidate the liabilities of the Marriott Vacations Worldwide Deferred Compensation Plan and the related assets, which consist of the COLI policies held in the rabbi trust. The rabbi trust is considered a VIE. We are considered the primary beneficiary of the rabbi trust because we direct the activities of the trust and are the beneficiary of the trust. At March 31, 2020, the value of the assets held in the rabbi trust was $36 million, which is included in the Other line within assets on our Balance Sheets.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40"/>
          </w:cols>
          <w:pgMar w:left="320" w:top="125" w:right="3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20" w:hanging="485"/>
        <w:spacing w:after="0"/>
        <w:tabs>
          <w:tab w:leader="none" w:pos="52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BUSINESS SEGMENTS</w:t>
      </w:r>
    </w:p>
    <w:p>
      <w:pPr>
        <w:spacing w:after="0" w:line="148"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We define our reportable segments based on the way in which the chief operating decision maker (“CODM”), currently our chief executive officer, manages the operations of the Company for purposes of allocating resources and assessing performance. We operate in two operating and reportable business segments:</w:t>
      </w:r>
    </w:p>
    <w:p>
      <w:pPr>
        <w:spacing w:after="0" w:line="76" w:lineRule="exact"/>
        <w:rPr>
          <w:sz w:val="20"/>
          <w:szCs w:val="20"/>
          <w:color w:val="auto"/>
        </w:rPr>
      </w:pPr>
    </w:p>
    <w:p>
      <w:pPr>
        <w:ind w:left="980" w:right="60" w:hanging="324"/>
        <w:spacing w:after="0" w:line="291" w:lineRule="auto"/>
        <w:tabs>
          <w:tab w:leader="none" w:pos="9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Vacation Ownership includes a diverse portfolio of resorts that includes seven vacation ownership brands licensed under exclusive, long-term relationships with Marriott International and Hyatt Hotels Corporation. We are the exclusive worldwide developer, marketer, seller and manager of vacation ownership and related products under the Marriott Vacation Club, Grand Residences by Marriott, Sheraton Vacation Club, Westin Vacation Club and Hyatt Residence Club brands, as well as under Marriott Vacation Club Pulse, an extension to the Marriott Vacation Club brand. We are also the exclusive worldwide developer, marketer and seller of vacation ownership and related products under The Ritz-Carlton Destination Club brand, we have the non-exclusive right to develop, market and sell whole ownership residential products under The Ritz-Carlton Residences brand and have a license to use the St. Regis brand for specified fractional ownership resorts.</w:t>
      </w:r>
    </w:p>
    <w:p>
      <w:pPr>
        <w:spacing w:after="0" w:line="58" w:lineRule="exact"/>
        <w:rPr>
          <w:rFonts w:ascii="Arial" w:cs="Arial" w:eastAsia="Arial" w:hAnsi="Arial"/>
          <w:sz w:val="16"/>
          <w:szCs w:val="16"/>
          <w:color w:val="auto"/>
        </w:rPr>
      </w:pPr>
    </w:p>
    <w:p>
      <w:pPr>
        <w:ind w:left="980" w:right="180"/>
        <w:spacing w:after="0" w:line="263" w:lineRule="auto"/>
        <w:rPr>
          <w:rFonts w:ascii="Arial" w:cs="Arial" w:eastAsia="Arial" w:hAnsi="Arial"/>
          <w:sz w:val="16"/>
          <w:szCs w:val="16"/>
          <w:color w:val="auto"/>
        </w:rPr>
      </w:pPr>
      <w:r>
        <w:rPr>
          <w:rFonts w:ascii="Arial" w:cs="Arial" w:eastAsia="Arial" w:hAnsi="Arial"/>
          <w:sz w:val="18"/>
          <w:szCs w:val="18"/>
          <w:color w:val="auto"/>
        </w:rPr>
        <w:t>Our Vacation Ownership segment generates most of its revenues from four primary sources: selling vacation ownership products; managing vacation ownership resorts, clubs and owners’ associations; financing consumer purchases of vacation ownership products; and renting vacation ownership inventory.</w:t>
      </w:r>
    </w:p>
    <w:p>
      <w:pPr>
        <w:spacing w:after="0" w:line="75" w:lineRule="exact"/>
        <w:rPr>
          <w:rFonts w:ascii="Arial" w:cs="Arial" w:eastAsia="Arial" w:hAnsi="Arial"/>
          <w:sz w:val="16"/>
          <w:szCs w:val="16"/>
          <w:color w:val="auto"/>
        </w:rPr>
      </w:pPr>
    </w:p>
    <w:p>
      <w:pPr>
        <w:ind w:left="980" w:right="80" w:hanging="324"/>
        <w:spacing w:after="0" w:line="279" w:lineRule="auto"/>
        <w:tabs>
          <w:tab w:leader="none" w:pos="9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Exchange &amp; Third-Party Management includes exchange networks and membership programs, as well as management of resorts and lodging properties. We provide these services through a variety of brands including Interval International, Trading Places International, Vacation Resorts International, and Aqua-Aston. Exchange &amp; Third-Party Management revenue generally is fee-based and derived from membership, exchange and rental transactions, property and association management, and other related products and services.</w:t>
      </w:r>
    </w:p>
    <w:p>
      <w:pPr>
        <w:spacing w:after="0" w:line="63" w:lineRule="exact"/>
        <w:rPr>
          <w:sz w:val="20"/>
          <w:szCs w:val="20"/>
          <w:color w:val="auto"/>
        </w:rPr>
      </w:pPr>
    </w:p>
    <w:p>
      <w:pPr>
        <w:ind w:right="100" w:firstLine="648"/>
        <w:spacing w:after="0" w:line="254" w:lineRule="auto"/>
        <w:rPr>
          <w:sz w:val="20"/>
          <w:szCs w:val="20"/>
          <w:color w:val="auto"/>
        </w:rPr>
      </w:pPr>
      <w:r>
        <w:rPr>
          <w:rFonts w:ascii="Arial" w:cs="Arial" w:eastAsia="Arial" w:hAnsi="Arial"/>
          <w:sz w:val="18"/>
          <w:szCs w:val="18"/>
          <w:color w:val="auto"/>
        </w:rPr>
        <w:t>Our CODM evaluates the performance of our segments based primarily on the results of the segment without allocating corporate expenses or income taxes. We do not allocate corporate interest expense or indirect general and administrative expenses to our segments. We include interest income specific to segment activities within the appropriate segment. We allocate depreciation, other gains and losses, equity in earnings or losses from our joint ventures and noncontrolling interest to each of our segments as appropriate. Corporate and other represents that portion of our results that are not allocable to our segments, including those relating to property owners’ associations consolidated under the voting interest model, as our CODM does not use this information to make operating segment resource allocations. Prior year segment information has been reclassified to conform to the current reportable segment presentation.</w:t>
      </w:r>
    </w:p>
    <w:p>
      <w:pPr>
        <w:spacing w:after="0" w:line="87" w:lineRule="exact"/>
        <w:rPr>
          <w:sz w:val="20"/>
          <w:szCs w:val="20"/>
          <w:color w:val="auto"/>
        </w:rPr>
      </w:pPr>
    </w:p>
    <w:p>
      <w:pPr>
        <w:ind w:right="40" w:firstLine="661"/>
        <w:spacing w:after="0" w:line="255" w:lineRule="auto"/>
        <w:rPr>
          <w:sz w:val="20"/>
          <w:szCs w:val="20"/>
          <w:color w:val="auto"/>
        </w:rPr>
      </w:pPr>
      <w:r>
        <w:rPr>
          <w:rFonts w:ascii="Arial" w:cs="Arial" w:eastAsia="Arial" w:hAnsi="Arial"/>
          <w:sz w:val="18"/>
          <w:szCs w:val="18"/>
          <w:color w:val="auto"/>
        </w:rPr>
        <w:t>Our CODM uses Adjusted EBITDA to evaluate the profitability of our operating segments, and the components of net income attributable to common shareholders excluded from Adjusted EBITDA are not separately evaluated. Adjusted EBITDA is defined as net income attributable to common shareholders, before interest expense (excluding consumer financing interest expense associated with term loan securitization transactions), income taxes, depreciation and amortization, excluding share-based compensation expense and adjusted for certain items that affect the comparability or our operating performance. Our reconciliation of the aggregate amount of Adjusted EBITDA for our reportable segments to consolidated net (loss) income attributable to common shareholders is presented below.</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16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60" w:type="dxa"/>
            <w:vAlign w:val="bottom"/>
            <w:gridSpan w:val="4"/>
          </w:tcPr>
          <w:p>
            <w:pPr>
              <w:jc w:val="right"/>
              <w:ind w:right="1232"/>
              <w:spacing w:after="0"/>
              <w:rPr>
                <w:sz w:val="20"/>
                <w:szCs w:val="20"/>
                <w:color w:val="auto"/>
              </w:rPr>
            </w:pPr>
            <w:r>
              <w:rPr>
                <w:rFonts w:ascii="Arial" w:cs="Arial" w:eastAsia="Arial" w:hAnsi="Arial"/>
                <w:sz w:val="16"/>
                <w:szCs w:val="16"/>
                <w:b w:val="1"/>
                <w:bCs w:val="1"/>
                <w:color w:val="auto"/>
              </w:rPr>
              <w:t>Three Months Ended</w:t>
            </w:r>
          </w:p>
        </w:tc>
        <w:tc>
          <w:tcPr>
            <w:tcW w:w="0" w:type="dxa"/>
            <w:vAlign w:val="bottom"/>
          </w:tcPr>
          <w:p>
            <w:pPr>
              <w:spacing w:after="0"/>
              <w:rPr>
                <w:sz w:val="1"/>
                <w:szCs w:val="1"/>
                <w:color w:val="auto"/>
              </w:rPr>
            </w:pPr>
          </w:p>
        </w:tc>
      </w:tr>
      <w:tr>
        <w:trPr>
          <w:trHeight w:val="33"/>
        </w:trPr>
        <w:tc>
          <w:tcPr>
            <w:tcW w:w="4160" w:type="dxa"/>
            <w:vAlign w:val="bottom"/>
          </w:tcPr>
          <w:p>
            <w:pPr>
              <w:spacing w:after="0"/>
              <w:rPr>
                <w:sz w:val="2"/>
                <w:szCs w:val="2"/>
                <w:color w:val="auto"/>
              </w:rPr>
            </w:pPr>
          </w:p>
        </w:tc>
        <w:tc>
          <w:tcPr>
            <w:tcW w:w="29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41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29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tcPr>
          <w:p>
            <w:pPr>
              <w:jc w:val="right"/>
              <w:ind w:right="373"/>
              <w:spacing w:after="0"/>
              <w:rPr>
                <w:sz w:val="20"/>
                <w:szCs w:val="20"/>
                <w:color w:val="auto"/>
              </w:rPr>
            </w:pPr>
            <w:r>
              <w:rPr>
                <w:rFonts w:ascii="Arial" w:cs="Arial" w:eastAsia="Arial" w:hAnsi="Arial"/>
                <w:sz w:val="16"/>
                <w:szCs w:val="16"/>
                <w:b w:val="1"/>
                <w:bCs w:val="1"/>
                <w:color w:val="auto"/>
              </w:rPr>
              <w:t>March 31, 2020</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tcPr>
          <w:p>
            <w:pPr>
              <w:jc w:val="right"/>
              <w:ind w:right="392"/>
              <w:spacing w:after="0"/>
              <w:rPr>
                <w:sz w:val="20"/>
                <w:szCs w:val="20"/>
                <w:color w:val="auto"/>
              </w:rPr>
            </w:pPr>
            <w:r>
              <w:rPr>
                <w:rFonts w:ascii="Arial" w:cs="Arial" w:eastAsia="Arial" w:hAnsi="Arial"/>
                <w:sz w:val="16"/>
                <w:szCs w:val="16"/>
                <w:b w:val="1"/>
                <w:bCs w:val="1"/>
                <w:color w:val="auto"/>
              </w:rPr>
              <w:t>March 31, 2019</w:t>
            </w:r>
          </w:p>
        </w:tc>
        <w:tc>
          <w:tcPr>
            <w:tcW w:w="0" w:type="dxa"/>
            <w:vAlign w:val="bottom"/>
          </w:tcPr>
          <w:p>
            <w:pPr>
              <w:spacing w:after="0"/>
              <w:rPr>
                <w:sz w:val="1"/>
                <w:szCs w:val="1"/>
                <w:color w:val="auto"/>
              </w:rPr>
            </w:pPr>
          </w:p>
        </w:tc>
      </w:tr>
      <w:tr>
        <w:trPr>
          <w:trHeight w:val="249"/>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Vacation Ownership</w:t>
            </w:r>
          </w:p>
        </w:tc>
        <w:tc>
          <w:tcPr>
            <w:tcW w:w="32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7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908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905</w:t>
            </w:r>
          </w:p>
        </w:tc>
        <w:tc>
          <w:tcPr>
            <w:tcW w:w="0" w:type="dxa"/>
            <w:vAlign w:val="bottom"/>
          </w:tcPr>
          <w:p>
            <w:pPr>
              <w:spacing w:after="0"/>
              <w:rPr>
                <w:sz w:val="1"/>
                <w:szCs w:val="1"/>
                <w:color w:val="auto"/>
              </w:rPr>
            </w:pPr>
          </w:p>
        </w:tc>
      </w:tr>
      <w:tr>
        <w:trPr>
          <w:trHeight w:val="243"/>
        </w:trPr>
        <w:tc>
          <w:tcPr>
            <w:tcW w:w="4160" w:type="dxa"/>
            <w:vAlign w:val="bottom"/>
          </w:tcPr>
          <w:p>
            <w:pPr>
              <w:ind w:left="40"/>
              <w:spacing w:after="0"/>
              <w:rPr>
                <w:sz w:val="20"/>
                <w:szCs w:val="20"/>
                <w:color w:val="auto"/>
              </w:rPr>
            </w:pPr>
            <w:r>
              <w:rPr>
                <w:rFonts w:ascii="Arial" w:cs="Arial" w:eastAsia="Arial" w:hAnsi="Arial"/>
                <w:sz w:val="18"/>
                <w:szCs w:val="18"/>
                <w:color w:val="auto"/>
              </w:rPr>
              <w:t>Exchange &amp; Third-Party Management</w:t>
            </w:r>
          </w:p>
        </w:tc>
        <w:tc>
          <w:tcPr>
            <w:tcW w:w="29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720" w:type="dxa"/>
            <w:vAlign w:val="bottom"/>
          </w:tcPr>
          <w:p>
            <w:pPr>
              <w:jc w:val="right"/>
              <w:ind w:right="13"/>
              <w:spacing w:after="0"/>
              <w:rPr>
                <w:sz w:val="20"/>
                <w:szCs w:val="20"/>
                <w:color w:val="auto"/>
              </w:rPr>
            </w:pPr>
            <w:r>
              <w:rPr>
                <w:rFonts w:ascii="Arial" w:cs="Arial" w:eastAsia="Arial" w:hAnsi="Arial"/>
                <w:sz w:val="18"/>
                <w:szCs w:val="18"/>
                <w:color w:val="auto"/>
              </w:rPr>
              <w:t>107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720" w:type="dxa"/>
            <w:vAlign w:val="bottom"/>
          </w:tcPr>
          <w:p>
            <w:pPr>
              <w:jc w:val="right"/>
              <w:ind w:right="12"/>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7"/>
        </w:trPr>
        <w:tc>
          <w:tcPr>
            <w:tcW w:w="4160" w:type="dxa"/>
            <w:vAlign w:val="bottom"/>
            <w:tcBorders>
              <w:bottom w:val="single" w:sz="8" w:color="CCEEFF"/>
            </w:tcBorders>
          </w:tcPr>
          <w:p>
            <w:pPr>
              <w:spacing w:after="0"/>
              <w:rPr>
                <w:sz w:val="2"/>
                <w:szCs w:val="2"/>
                <w:color w:val="auto"/>
              </w:rPr>
            </w:pPr>
          </w:p>
        </w:tc>
        <w:tc>
          <w:tcPr>
            <w:tcW w:w="29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segment revenues</w:t>
            </w:r>
          </w:p>
        </w:tc>
        <w:tc>
          <w:tcPr>
            <w:tcW w:w="29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1,015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1,029</w:t>
            </w:r>
          </w:p>
        </w:tc>
        <w:tc>
          <w:tcPr>
            <w:tcW w:w="0" w:type="dxa"/>
            <w:vAlign w:val="bottom"/>
          </w:tcPr>
          <w:p>
            <w:pPr>
              <w:spacing w:after="0"/>
              <w:rPr>
                <w:sz w:val="1"/>
                <w:szCs w:val="1"/>
                <w:color w:val="auto"/>
              </w:rPr>
            </w:pPr>
          </w:p>
        </w:tc>
      </w:tr>
      <w:tr>
        <w:trPr>
          <w:trHeight w:val="243"/>
        </w:trPr>
        <w:tc>
          <w:tcPr>
            <w:tcW w:w="4160" w:type="dxa"/>
            <w:vAlign w:val="bottom"/>
          </w:tcPr>
          <w:p>
            <w:pPr>
              <w:ind w:left="40"/>
              <w:spacing w:after="0"/>
              <w:rPr>
                <w:sz w:val="20"/>
                <w:szCs w:val="20"/>
                <w:color w:val="auto"/>
              </w:rPr>
            </w:pPr>
            <w:r>
              <w:rPr>
                <w:rFonts w:ascii="Arial" w:cs="Arial" w:eastAsia="Arial" w:hAnsi="Arial"/>
                <w:sz w:val="18"/>
                <w:szCs w:val="18"/>
                <w:color w:val="auto"/>
              </w:rPr>
              <w:t>Corporate and other</w:t>
            </w:r>
          </w:p>
        </w:tc>
        <w:tc>
          <w:tcPr>
            <w:tcW w:w="29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720" w:type="dxa"/>
            <w:vAlign w:val="bottom"/>
          </w:tcPr>
          <w:p>
            <w:pPr>
              <w:jc w:val="right"/>
              <w:ind w:right="12"/>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4160" w:type="dxa"/>
            <w:vAlign w:val="bottom"/>
            <w:tcBorders>
              <w:bottom w:val="single" w:sz="8" w:color="CCEEFF"/>
            </w:tcBorders>
          </w:tcPr>
          <w:p>
            <w:pPr>
              <w:spacing w:after="0"/>
              <w:rPr>
                <w:sz w:val="2"/>
                <w:szCs w:val="2"/>
                <w:color w:val="auto"/>
              </w:rPr>
            </w:pPr>
          </w:p>
        </w:tc>
        <w:tc>
          <w:tcPr>
            <w:tcW w:w="29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160" w:type="dxa"/>
            <w:vAlign w:val="bottom"/>
            <w:tcBorders>
              <w:bottom w:val="single" w:sz="8" w:color="CCEEFF"/>
            </w:tcBorders>
            <w:shd w:val="clear" w:color="auto" w:fill="CCEEFF"/>
          </w:tcPr>
          <w:p>
            <w:pPr>
              <w:spacing w:after="0"/>
              <w:rPr>
                <w:sz w:val="22"/>
                <w:szCs w:val="22"/>
                <w:color w:val="auto"/>
              </w:rPr>
            </w:pPr>
          </w:p>
        </w:tc>
        <w:tc>
          <w:tcPr>
            <w:tcW w:w="32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7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1,010</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1,034</w:t>
            </w: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2920" w:type="dxa"/>
            <w:vAlign w:val="bottom"/>
            <w:tcBorders>
              <w:top w:val="single" w:sz="8" w:color="CCEEFF"/>
              <w:bottom w:val="single" w:sz="8" w:color="CCEEFF"/>
            </w:tcBorders>
            <w:vMerge w:val="restart"/>
          </w:tcPr>
          <w:p>
            <w:pPr>
              <w:jc w:val="right"/>
              <w:ind w:right="1270"/>
              <w:spacing w:after="0"/>
              <w:rPr>
                <w:sz w:val="20"/>
                <w:szCs w:val="20"/>
                <w:color w:val="auto"/>
              </w:rPr>
            </w:pPr>
            <w:r>
              <w:rPr>
                <w:rFonts w:ascii="Arial" w:cs="Arial" w:eastAsia="Arial" w:hAnsi="Arial"/>
                <w:sz w:val="18"/>
                <w:szCs w:val="18"/>
                <w:color w:val="auto"/>
              </w:rPr>
              <w:t>34</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160" w:type="dxa"/>
            <w:vAlign w:val="bottom"/>
          </w:tcPr>
          <w:p>
            <w:pPr>
              <w:spacing w:after="0"/>
              <w:rPr>
                <w:sz w:val="24"/>
                <w:szCs w:val="24"/>
                <w:color w:val="auto"/>
              </w:rPr>
            </w:pPr>
          </w:p>
        </w:tc>
        <w:tc>
          <w:tcPr>
            <w:tcW w:w="292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EBITDA and Reconciliation to Net (Loss) Income Attributable to Common Shareholders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920" w:type="dxa"/>
            <w:vAlign w:val="bottom"/>
            <w:gridSpan w:val="4"/>
          </w:tcPr>
          <w:p>
            <w:pPr>
              <w:jc w:val="right"/>
              <w:ind w:right="1231"/>
              <w:spacing w:after="0"/>
              <w:rPr>
                <w:sz w:val="20"/>
                <w:szCs w:val="20"/>
                <w:color w:val="auto"/>
              </w:rPr>
            </w:pPr>
            <w:r>
              <w:rPr>
                <w:rFonts w:ascii="Arial" w:cs="Arial" w:eastAsia="Arial" w:hAnsi="Arial"/>
                <w:sz w:val="16"/>
                <w:szCs w:val="16"/>
                <w:b w:val="1"/>
                <w:bCs w:val="1"/>
                <w:color w:val="auto"/>
              </w:rPr>
              <w:t>Three Months Ended</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704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240" w:type="dxa"/>
            <w:vAlign w:val="bottom"/>
          </w:tcPr>
          <w:p>
            <w:pPr>
              <w:spacing w:after="0"/>
              <w:rPr>
                <w:sz w:val="22"/>
                <w:szCs w:val="22"/>
                <w:color w:val="auto"/>
              </w:rPr>
            </w:pPr>
          </w:p>
        </w:tc>
        <w:tc>
          <w:tcPr>
            <w:tcW w:w="19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4"/>
              </w:rPr>
              <w:t>March 31, 2020</w:t>
            </w:r>
          </w:p>
        </w:tc>
        <w:tc>
          <w:tcPr>
            <w:tcW w:w="180" w:type="dxa"/>
            <w:vAlign w:val="bottom"/>
          </w:tcPr>
          <w:p>
            <w:pPr>
              <w:spacing w:after="0"/>
              <w:rPr>
                <w:sz w:val="22"/>
                <w:szCs w:val="22"/>
                <w:color w:val="auto"/>
              </w:rPr>
            </w:pPr>
          </w:p>
        </w:tc>
        <w:tc>
          <w:tcPr>
            <w:tcW w:w="1840" w:type="dxa"/>
            <w:vAlign w:val="bottom"/>
          </w:tcPr>
          <w:p>
            <w:pPr>
              <w:jc w:val="right"/>
              <w:ind w:right="391"/>
              <w:spacing w:after="0"/>
              <w:rPr>
                <w:sz w:val="20"/>
                <w:szCs w:val="20"/>
                <w:color w:val="auto"/>
              </w:rPr>
            </w:pPr>
            <w:r>
              <w:rPr>
                <w:rFonts w:ascii="Arial" w:cs="Arial" w:eastAsia="Arial" w:hAnsi="Arial"/>
                <w:sz w:val="16"/>
                <w:szCs w:val="16"/>
                <w:b w:val="1"/>
                <w:bCs w:val="1"/>
                <w:color w:val="auto"/>
              </w:rPr>
              <w:t>March 31, 2019</w:t>
            </w:r>
          </w:p>
        </w:tc>
        <w:tc>
          <w:tcPr>
            <w:tcW w:w="0" w:type="dxa"/>
            <w:vAlign w:val="bottom"/>
          </w:tcPr>
          <w:p>
            <w:pPr>
              <w:spacing w:after="0"/>
              <w:rPr>
                <w:sz w:val="1"/>
                <w:szCs w:val="1"/>
                <w:color w:val="auto"/>
              </w:rPr>
            </w:pPr>
          </w:p>
        </w:tc>
      </w:tr>
      <w:tr>
        <w:trPr>
          <w:trHeight w:val="250"/>
        </w:trPr>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704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Adjusted EBITDA Vacation Ownership</w:t>
            </w: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78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4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040" w:type="dxa"/>
            <w:vAlign w:val="bottom"/>
            <w:gridSpan w:val="2"/>
          </w:tcPr>
          <w:p>
            <w:pPr>
              <w:spacing w:after="0"/>
              <w:rPr>
                <w:sz w:val="20"/>
                <w:szCs w:val="20"/>
                <w:color w:val="auto"/>
              </w:rPr>
            </w:pPr>
            <w:r>
              <w:rPr>
                <w:rFonts w:ascii="Arial" w:cs="Arial" w:eastAsia="Arial" w:hAnsi="Arial"/>
                <w:sz w:val="18"/>
                <w:szCs w:val="18"/>
                <w:color w:val="auto"/>
              </w:rPr>
              <w:t>Adjusted EBITDA Exchange &amp; Third-Party Management</w:t>
            </w:r>
          </w:p>
        </w:tc>
        <w:tc>
          <w:tcPr>
            <w:tcW w:w="240" w:type="dxa"/>
            <w:vAlign w:val="bottom"/>
          </w:tcPr>
          <w:p>
            <w:pPr>
              <w:spacing w:after="0"/>
              <w:rPr>
                <w:sz w:val="21"/>
                <w:szCs w:val="21"/>
                <w:color w:val="auto"/>
              </w:rPr>
            </w:pPr>
          </w:p>
        </w:tc>
        <w:tc>
          <w:tcPr>
            <w:tcW w:w="1780" w:type="dxa"/>
            <w:vAlign w:val="bottom"/>
          </w:tcPr>
          <w:p>
            <w:pPr>
              <w:jc w:val="right"/>
              <w:ind w:right="12"/>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40" w:type="dxa"/>
            <w:vAlign w:val="bottom"/>
          </w:tcPr>
          <w:p>
            <w:pPr>
              <w:jc w:val="right"/>
              <w:ind w:right="11"/>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0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Reconciling items:</w:t>
            </w:r>
          </w:p>
        </w:tc>
        <w:tc>
          <w:tcPr>
            <w:tcW w:w="24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Corporate and other</w:t>
            </w:r>
          </w:p>
        </w:tc>
        <w:tc>
          <w:tcPr>
            <w:tcW w:w="24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4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Tax benefit (provision)</w:t>
            </w:r>
          </w:p>
        </w:tc>
        <w:tc>
          <w:tcPr>
            <w:tcW w:w="240" w:type="dxa"/>
            <w:vAlign w:val="bottom"/>
          </w:tcPr>
          <w:p>
            <w:pPr>
              <w:spacing w:after="0"/>
              <w:rPr>
                <w:sz w:val="21"/>
                <w:szCs w:val="21"/>
                <w:color w:val="auto"/>
              </w:rPr>
            </w:pPr>
          </w:p>
        </w:tc>
        <w:tc>
          <w:tcPr>
            <w:tcW w:w="1780" w:type="dxa"/>
            <w:vAlign w:val="bottom"/>
          </w:tcPr>
          <w:p>
            <w:pPr>
              <w:jc w:val="right"/>
              <w:ind w:right="12"/>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24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Share-based compensation expense</w:t>
            </w:r>
          </w:p>
        </w:tc>
        <w:tc>
          <w:tcPr>
            <w:tcW w:w="24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6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Certain items</w:t>
            </w:r>
          </w:p>
        </w:tc>
        <w:tc>
          <w:tcPr>
            <w:tcW w:w="24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7040" w:type="dxa"/>
            <w:vAlign w:val="bottom"/>
            <w:gridSpan w:val="2"/>
          </w:tcPr>
          <w:p>
            <w:pPr>
              <w:spacing w:after="0"/>
              <w:rPr>
                <w:sz w:val="20"/>
                <w:szCs w:val="20"/>
                <w:color w:val="auto"/>
              </w:rPr>
            </w:pPr>
            <w:r>
              <w:rPr>
                <w:rFonts w:ascii="Arial" w:cs="Arial" w:eastAsia="Arial" w:hAnsi="Arial"/>
                <w:sz w:val="18"/>
                <w:szCs w:val="18"/>
                <w:color w:val="auto"/>
              </w:rPr>
              <w:t>Net (loss) income attributable to common shareholders</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
        </w:trPr>
        <w:tc>
          <w:tcPr>
            <w:tcW w:w="7080" w:type="dxa"/>
            <w:vAlign w:val="bottom"/>
            <w:gridSpan w:val="3"/>
            <w:vMerge w:val="restart"/>
          </w:tcPr>
          <w:p>
            <w:pPr>
              <w:spacing w:after="0"/>
              <w:rPr>
                <w:sz w:val="20"/>
                <w:szCs w:val="20"/>
                <w:color w:val="auto"/>
              </w:rPr>
            </w:pPr>
            <w:r>
              <w:rPr>
                <w:rFonts w:ascii="Arial" w:cs="Arial" w:eastAsia="Arial" w:hAnsi="Arial"/>
                <w:sz w:val="18"/>
                <w:szCs w:val="18"/>
                <w:i w:val="1"/>
                <w:iCs w:val="1"/>
                <w:color w:val="auto"/>
              </w:rPr>
              <w:t>Assets</w:t>
            </w:r>
          </w:p>
        </w:tc>
        <w:tc>
          <w:tcPr>
            <w:tcW w:w="24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7080" w:type="dxa"/>
            <w:vAlign w:val="bottom"/>
            <w:gridSpan w:val="3"/>
            <w:vMerge w:val="continue"/>
          </w:tcPr>
          <w:p>
            <w:pPr>
              <w:spacing w:after="0"/>
              <w:rPr>
                <w:sz w:val="24"/>
                <w:szCs w:val="24"/>
                <w:color w:val="auto"/>
              </w:rPr>
            </w:pPr>
          </w:p>
        </w:tc>
        <w:tc>
          <w:tcPr>
            <w:tcW w:w="2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40" w:type="dxa"/>
            <w:vAlign w:val="bottom"/>
          </w:tcPr>
          <w:p>
            <w:pPr>
              <w:spacing w:after="0"/>
              <w:rPr>
                <w:sz w:val="24"/>
                <w:szCs w:val="24"/>
                <w:color w:val="auto"/>
              </w:rPr>
            </w:pPr>
          </w:p>
        </w:tc>
        <w:tc>
          <w:tcPr>
            <w:tcW w:w="704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240" w:type="dxa"/>
            <w:vAlign w:val="bottom"/>
          </w:tcPr>
          <w:p>
            <w:pPr>
              <w:spacing w:after="0"/>
              <w:rPr>
                <w:sz w:val="24"/>
                <w:szCs w:val="24"/>
                <w:color w:val="auto"/>
              </w:rPr>
            </w:pPr>
          </w:p>
        </w:tc>
        <w:tc>
          <w:tcPr>
            <w:tcW w:w="19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4"/>
              </w:rPr>
              <w:t>At March 31, 2020</w:t>
            </w:r>
          </w:p>
        </w:tc>
        <w:tc>
          <w:tcPr>
            <w:tcW w:w="180" w:type="dxa"/>
            <w:vAlign w:val="bottom"/>
          </w:tcPr>
          <w:p>
            <w:pPr>
              <w:spacing w:after="0"/>
              <w:rPr>
                <w:sz w:val="24"/>
                <w:szCs w:val="24"/>
                <w:color w:val="auto"/>
              </w:rPr>
            </w:pPr>
          </w:p>
        </w:tc>
        <w:tc>
          <w:tcPr>
            <w:tcW w:w="1840" w:type="dxa"/>
            <w:vAlign w:val="bottom"/>
          </w:tcPr>
          <w:p>
            <w:pPr>
              <w:jc w:val="right"/>
              <w:ind w:right="171"/>
              <w:spacing w:after="0"/>
              <w:rPr>
                <w:sz w:val="20"/>
                <w:szCs w:val="20"/>
                <w:color w:val="auto"/>
              </w:rPr>
            </w:pPr>
            <w:r>
              <w:rPr>
                <w:rFonts w:ascii="Arial" w:cs="Arial" w:eastAsia="Arial" w:hAnsi="Arial"/>
                <w:sz w:val="16"/>
                <w:szCs w:val="16"/>
                <w:b w:val="1"/>
                <w:bCs w:val="1"/>
                <w:color w:val="auto"/>
                <w:w w:val="94"/>
              </w:rPr>
              <w:t>At December 31, 2019</w:t>
            </w:r>
          </w:p>
        </w:tc>
        <w:tc>
          <w:tcPr>
            <w:tcW w:w="0" w:type="dxa"/>
            <w:vAlign w:val="bottom"/>
          </w:tcPr>
          <w:p>
            <w:pPr>
              <w:spacing w:after="0"/>
              <w:rPr>
                <w:sz w:val="1"/>
                <w:szCs w:val="1"/>
                <w:color w:val="auto"/>
              </w:rPr>
            </w:pPr>
          </w:p>
        </w:tc>
      </w:tr>
      <w:tr>
        <w:trPr>
          <w:trHeight w:val="250"/>
        </w:trPr>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704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shd w:val="clear" w:color="auto" w:fill="CCEEFF"/>
              </w:rPr>
              <w:t>Vacation Ownership</w:t>
            </w: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78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7,446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4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7,345</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040" w:type="dxa"/>
            <w:vAlign w:val="bottom"/>
            <w:gridSpan w:val="2"/>
          </w:tcPr>
          <w:p>
            <w:pPr>
              <w:spacing w:after="0"/>
              <w:rPr>
                <w:sz w:val="20"/>
                <w:szCs w:val="20"/>
                <w:color w:val="auto"/>
              </w:rPr>
            </w:pPr>
            <w:r>
              <w:rPr>
                <w:rFonts w:ascii="Arial" w:cs="Arial" w:eastAsia="Arial" w:hAnsi="Arial"/>
                <w:sz w:val="18"/>
                <w:szCs w:val="18"/>
                <w:color w:val="auto"/>
              </w:rPr>
              <w:t>Exchange &amp; Third-Party Management</w:t>
            </w:r>
          </w:p>
        </w:tc>
        <w:tc>
          <w:tcPr>
            <w:tcW w:w="240" w:type="dxa"/>
            <w:vAlign w:val="bottom"/>
          </w:tcPr>
          <w:p>
            <w:pPr>
              <w:spacing w:after="0"/>
              <w:rPr>
                <w:sz w:val="21"/>
                <w:szCs w:val="21"/>
                <w:color w:val="auto"/>
              </w:rPr>
            </w:pPr>
          </w:p>
        </w:tc>
        <w:tc>
          <w:tcPr>
            <w:tcW w:w="1780" w:type="dxa"/>
            <w:vAlign w:val="bottom"/>
          </w:tcPr>
          <w:p>
            <w:pPr>
              <w:jc w:val="right"/>
              <w:ind w:right="12"/>
              <w:spacing w:after="0"/>
              <w:rPr>
                <w:sz w:val="20"/>
                <w:szCs w:val="20"/>
                <w:color w:val="auto"/>
              </w:rPr>
            </w:pPr>
            <w:r>
              <w:rPr>
                <w:rFonts w:ascii="Arial" w:cs="Arial" w:eastAsia="Arial" w:hAnsi="Arial"/>
                <w:sz w:val="18"/>
                <w:szCs w:val="18"/>
                <w:color w:val="auto"/>
              </w:rPr>
              <w:t>1,073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40" w:type="dxa"/>
            <w:vAlign w:val="bottom"/>
          </w:tcPr>
          <w:p>
            <w:pPr>
              <w:jc w:val="right"/>
              <w:ind w:right="11"/>
              <w:spacing w:after="0"/>
              <w:rPr>
                <w:sz w:val="20"/>
                <w:szCs w:val="20"/>
                <w:color w:val="auto"/>
              </w:rPr>
            </w:pPr>
            <w:r>
              <w:rPr>
                <w:rFonts w:ascii="Arial" w:cs="Arial" w:eastAsia="Arial" w:hAnsi="Arial"/>
                <w:sz w:val="18"/>
                <w:szCs w:val="18"/>
                <w:color w:val="auto"/>
              </w:rPr>
              <w:t>1,162</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68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shd w:val="clear" w:color="auto" w:fill="CCEEFF"/>
              </w:rPr>
              <w:t>Total segment assets</w:t>
            </w:r>
          </w:p>
        </w:tc>
        <w:tc>
          <w:tcPr>
            <w:tcW w:w="24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8,519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8,507</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040" w:type="dxa"/>
            <w:vAlign w:val="bottom"/>
            <w:gridSpan w:val="2"/>
          </w:tcPr>
          <w:p>
            <w:pPr>
              <w:spacing w:after="0"/>
              <w:rPr>
                <w:sz w:val="20"/>
                <w:szCs w:val="20"/>
                <w:color w:val="auto"/>
              </w:rPr>
            </w:pPr>
            <w:r>
              <w:rPr>
                <w:rFonts w:ascii="Arial" w:cs="Arial" w:eastAsia="Arial" w:hAnsi="Arial"/>
                <w:sz w:val="18"/>
                <w:szCs w:val="18"/>
                <w:color w:val="auto"/>
              </w:rPr>
              <w:t>Corporate and other</w:t>
            </w:r>
          </w:p>
        </w:tc>
        <w:tc>
          <w:tcPr>
            <w:tcW w:w="240" w:type="dxa"/>
            <w:vAlign w:val="bottom"/>
          </w:tcPr>
          <w:p>
            <w:pPr>
              <w:spacing w:after="0"/>
              <w:rPr>
                <w:sz w:val="21"/>
                <w:szCs w:val="21"/>
                <w:color w:val="auto"/>
              </w:rPr>
            </w:pPr>
          </w:p>
        </w:tc>
        <w:tc>
          <w:tcPr>
            <w:tcW w:w="1780" w:type="dxa"/>
            <w:vAlign w:val="bottom"/>
          </w:tcPr>
          <w:p>
            <w:pPr>
              <w:jc w:val="right"/>
              <w:ind w:right="12"/>
              <w:spacing w:after="0"/>
              <w:rPr>
                <w:sz w:val="20"/>
                <w:szCs w:val="20"/>
                <w:color w:val="auto"/>
              </w:rPr>
            </w:pPr>
            <w:r>
              <w:rPr>
                <w:rFonts w:ascii="Arial" w:cs="Arial" w:eastAsia="Arial" w:hAnsi="Arial"/>
                <w:sz w:val="18"/>
                <w:szCs w:val="18"/>
                <w:color w:val="auto"/>
              </w:rPr>
              <w:t>913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40" w:type="dxa"/>
            <w:vAlign w:val="bottom"/>
          </w:tcPr>
          <w:p>
            <w:pPr>
              <w:jc w:val="right"/>
              <w:ind w:right="11"/>
              <w:spacing w:after="0"/>
              <w:rPr>
                <w:sz w:val="20"/>
                <w:szCs w:val="20"/>
                <w:color w:val="auto"/>
              </w:rPr>
            </w:pPr>
            <w:r>
              <w:rPr>
                <w:rFonts w:ascii="Arial" w:cs="Arial" w:eastAsia="Arial" w:hAnsi="Arial"/>
                <w:sz w:val="18"/>
                <w:szCs w:val="18"/>
                <w:color w:val="auto"/>
              </w:rPr>
              <w:t>707</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68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68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9,432</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9,214</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68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We conduct business globally, and our operations outside the United States represented approximately 12 percent and 14 percent of our revenues, excluding cost reimbursements, for the three months ended March 31, 2020 and March 31, 2019, respectively.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40"/>
          </w:cols>
          <w:pgMar w:left="320" w:top="125" w:right="3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right="40" w:firstLine="648"/>
        <w:spacing w:after="0" w:line="268" w:lineRule="auto"/>
        <w:rPr>
          <w:sz w:val="20"/>
          <w:szCs w:val="20"/>
          <w:color w:val="auto"/>
        </w:rPr>
      </w:pPr>
      <w:r>
        <w:rPr>
          <w:rFonts w:ascii="Arial" w:cs="Arial" w:eastAsia="Arial" w:hAnsi="Arial"/>
          <w:sz w:val="17"/>
          <w:szCs w:val="17"/>
          <w:color w:val="auto"/>
        </w:rPr>
        <w:t>We make forward-looking statements in Management’s Discussion and Analysis of Financial Condition and Results of Operations and elsewhere in this Quarterly Report on Form 10-Q based on our management’s beliefs and assumptions and on information currently available to our management. Forward-looking statements include, among other things, the information concerning our possible or assumed future results of operations, business strategies, financing plans, competitive position, potential growth opportunities, potential operating performance improvements, the effects of competition, and the ongoing COVID-19 pandemic. Forward-looking statements include all statements that are not historical facts and can be identified by the use of forward-looking terminology such as the words “believe,” “expect,” “plan,” “intend,” “anticipate,” “estimate,” “predict,” “potential,” “continue,” “may,” “might,” “should,” “could” or the negative of these terms or similar expressions. The Company cautions you that these statements are not guarantees and are subject to numerous risks and uncertainties, such as: the effects of the COVID-19 pandemic outbreak, including reduced demand for vacation ownership and exchange products and services, volatility in the international and national economy and credit markets, worker absenteeism, quarantines or other travel or health-related restrictions; the length and severity of the COVID-19 pandemic outbreak; the pace of recovery following the COVID-19 pandemic outbreak; competitive conditions; the availability of capital to finance growth, and other matters referred to under the heading “Risk Factors” contained herein and also in the our most recent Annual Report on Form 10-K filed and on our Current Report on Form 8-K filed May 6, 2020 with the U.S. Securities and Exchange Commission (the “SEC”), any of which could cause actual results to differ materially from those expressed in or implied in this press release. The Company undertakes no obligation to publicly update or revise any forward-looking statement, whether as a result of new information, future events, or otherwise.</w:t>
      </w:r>
    </w:p>
    <w:p>
      <w:pPr>
        <w:spacing w:after="0" w:line="74"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The risk factors discussed in “Risk Factors” in our most recent Annual Report on Form 10-K, our Current Report on Form 8-K filed May 6, 2020 and which may be discussed in subsequent Quarterly Reports on Form 10-Q or other filings with the SEC, could cause our results to differ materially from those expressed in forward-looking statements. There may be other risks and uncertainties that we cannot predict at this time or that we currently do not expect will have a material adverse effect on our financial position, results of operations or cash flows. Any such risks could cause our results to differ materially from those we express in forward-looking statements.</w:t>
      </w:r>
    </w:p>
    <w:p>
      <w:pPr>
        <w:spacing w:after="0" w:line="80"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Our Financial Statements (as defined below), which we discuss below, reflect our historical financial condition, results of operations and cash flows. The financial information discussed below and included in this Quarterly Report on Form 10-Q may not necessarily reflect what our financial condition, results of operations or cash flows may be in the future. In order to make this report easier to read, we refer to (i) our Interim Consolidated Financial Statements as our “Financial Statements,” (ii) our Interim Consolidated Statements of Income as our “Income Statements,” (iii) our Interim Consolidated Balance Sheets as our “Balance Sheets” and (iv) our Interim Consolidated Statements of Cash Flows as our “Cash Flows.” In addition, references throughout to numbered “Footnotes” refer to the numbered Notes to our Financial Statements that we include in the Financial Statements of this Quarterly Report on Form 10-Q.</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121" w:lineRule="exact"/>
        <w:rPr>
          <w:sz w:val="20"/>
          <w:szCs w:val="20"/>
          <w:color w:val="auto"/>
        </w:rPr>
      </w:pPr>
    </w:p>
    <w:p>
      <w:pPr>
        <w:ind w:right="440" w:firstLine="648"/>
        <w:spacing w:after="0" w:line="263" w:lineRule="auto"/>
        <w:rPr>
          <w:sz w:val="20"/>
          <w:szCs w:val="20"/>
          <w:color w:val="auto"/>
        </w:rPr>
      </w:pPr>
      <w:r>
        <w:rPr>
          <w:rFonts w:ascii="Arial" w:cs="Arial" w:eastAsia="Arial" w:hAnsi="Arial"/>
          <w:sz w:val="18"/>
          <w:szCs w:val="18"/>
          <w:color w:val="auto"/>
        </w:rPr>
        <w:t>We are a leading global vacation company that offers vacation ownership, exchange, rental, and resort and property management, along with related businesses, products and services. Our business operates in two reportable segments: Vacation Ownership and Exchange &amp; Third-Party Management.</w:t>
      </w:r>
    </w:p>
    <w:p>
      <w:pPr>
        <w:spacing w:after="0" w:line="76" w:lineRule="exact"/>
        <w:rPr>
          <w:sz w:val="20"/>
          <w:szCs w:val="20"/>
          <w:color w:val="auto"/>
        </w:rPr>
      </w:pPr>
    </w:p>
    <w:p>
      <w:pPr>
        <w:ind w:right="800" w:firstLine="648"/>
        <w:spacing w:after="0" w:line="277" w:lineRule="auto"/>
        <w:rPr>
          <w:sz w:val="20"/>
          <w:szCs w:val="20"/>
          <w:color w:val="auto"/>
        </w:rPr>
      </w:pPr>
      <w:r>
        <w:rPr>
          <w:rFonts w:ascii="Arial" w:cs="Arial" w:eastAsia="Arial" w:hAnsi="Arial"/>
          <w:sz w:val="18"/>
          <w:szCs w:val="18"/>
          <w:color w:val="auto"/>
        </w:rPr>
        <w:t>In 2018, we completed the ILG Acquisition and oftentimes refer to our business associated with the brands that existed prior to the ILG Acquisition as “Legacy-MVW” and to ILG’s business and brands that we acquired as “Legacy-ILG.”</w:t>
      </w:r>
    </w:p>
    <w:p>
      <w:pPr>
        <w:spacing w:after="0" w:line="62"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Our Vacation Ownership segment includes seven vacation ownership brands licensed under exclusive, long-term relationships with Marriott International and Hyatt Hotels Corporation. We are the exclusive worldwide developer, marketer, seller and manager of vacation ownership and related products under the Marriott Vacation Club, Grand Residences by Marriott, Sheraton Vacation Club, Westin Vacation Club, and Hyatt Residence Club brands, as well as under Marriott Vacation Club Pulse, an extension to the Marriott Vacation Club brand. We are also the exclusive worldwide developer, marketer and seller of vacation ownership and related products under The Ritz-Carlton Destination Club brand, we have the non-exclusive right to develop, market and sell whole ownership residential products under The Ritz-Carlton Residences brand and have a license to use the St. Regis brand for specified fractional ownership resorts.</w:t>
      </w:r>
    </w:p>
    <w:p>
      <w:pPr>
        <w:spacing w:after="0" w:line="87"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Our Vacation Ownership segment generates most of its revenues from four primary sources: selling vacation ownership products; managing vacation ownership resorts, clubs and owners’ associations; financing consumer purchases of vacation ownership products; and renting vacation ownership inventory.</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20"/>
          </w:cols>
          <w:pgMar w:left="320" w:top="125" w:right="35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Our Exchange &amp; Third-Party Management segment includes exchange networks and membership programs, as well as management of resorts and lodging properties. We provide these services through a variety of brands including Interval International, Trading Places International, Vacation Resorts International, and Aqua-Aston. Exchange &amp; Third-Party Management revenue generally is fee-based and derived from membership, exchange and rental transactions, property and association management, and other related products and services.</w:t>
      </w:r>
    </w:p>
    <w:p>
      <w:pPr>
        <w:spacing w:after="0" w:line="63"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Corporate and other represents that portion of our results that are not allocable to our segments, including those relating to property owners’ associations consolidated under the voting interest model (“Consolidated Property Owners’ Associations”).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COVID-19 pandemic</w:t>
      </w:r>
    </w:p>
    <w:p>
      <w:pPr>
        <w:spacing w:after="0" w:line="117" w:lineRule="exact"/>
        <w:rPr>
          <w:sz w:val="20"/>
          <w:szCs w:val="20"/>
          <w:color w:val="auto"/>
        </w:rPr>
      </w:pPr>
    </w:p>
    <w:p>
      <w:pPr>
        <w:ind w:right="480" w:firstLine="661"/>
        <w:spacing w:after="0" w:line="311" w:lineRule="auto"/>
        <w:rPr>
          <w:sz w:val="20"/>
          <w:szCs w:val="20"/>
          <w:color w:val="auto"/>
        </w:rPr>
      </w:pPr>
      <w:r>
        <w:rPr>
          <w:rFonts w:ascii="Arial" w:cs="Arial" w:eastAsia="Arial" w:hAnsi="Arial"/>
          <w:sz w:val="16"/>
          <w:szCs w:val="16"/>
          <w:color w:val="auto"/>
        </w:rPr>
        <w:t>The COVID-19 pandemic (as discussed further in Footnote 1 “Basis of Presentation” of the Financial Statements) has caused significant disruptions in international and U.S. economies and markets. We discuss the COVID-19 pandemic and its potential future implications in this report; however, the COVID-19 pandemic is an evolving and challenging situation and its impact on our business in the future remains uncertain.</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Significant Accounting Policies Used in Describing Results of Operations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Sale of Vacation Ownership Products</w:t>
      </w:r>
    </w:p>
    <w:p>
      <w:pPr>
        <w:spacing w:after="0" w:line="117"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We recognize revenues from the sale of vacation ownership products (“VOIs”) when control of the vacation ownership product is transferred to the customer and the transaction price is deemed collectible. Based upon the different terms of the contracts with the customer and business practices, control of the vacation ownership product is transferred to the customer at closing for Legacy-MVW transactions and upon expiration of the statutory rescission period for Legacy-ILG transactions. Sales of vacation ownership products may be made for cash or we may provide financing. In addition, we recognize settlement fees associated with the transfer of vacation ownership products and commission revenues from sales of vacation ownership products on behalf of third parties, which we refer to as “resales revenue.”</w:t>
      </w:r>
    </w:p>
    <w:p>
      <w:pPr>
        <w:spacing w:after="0" w:line="70" w:lineRule="exact"/>
        <w:rPr>
          <w:sz w:val="20"/>
          <w:szCs w:val="20"/>
          <w:color w:val="auto"/>
        </w:rPr>
      </w:pPr>
    </w:p>
    <w:p>
      <w:pPr>
        <w:ind w:right="140" w:firstLine="648"/>
        <w:spacing w:after="0" w:line="286" w:lineRule="auto"/>
        <w:rPr>
          <w:sz w:val="20"/>
          <w:szCs w:val="20"/>
          <w:color w:val="auto"/>
        </w:rPr>
      </w:pPr>
      <w:r>
        <w:rPr>
          <w:rFonts w:ascii="Arial" w:cs="Arial" w:eastAsia="Arial" w:hAnsi="Arial"/>
          <w:sz w:val="17"/>
          <w:szCs w:val="17"/>
          <w:color w:val="auto"/>
        </w:rPr>
        <w:t>We also provide sales incentives to certain purchasers. These sales incentives typically include Marriott Bonvoy points, World of Hyatt points or an alternative sales incentive that we refer to as “plus points.” These plus points are redeemable for stays at our resorts or for use in other third-party offerings, generally up to two years from the date of issuance. Typically, sales incentives are only awarded if the sale is closed.</w:t>
      </w:r>
    </w:p>
    <w:p>
      <w:pPr>
        <w:spacing w:after="0" w:line="57" w:lineRule="exact"/>
        <w:rPr>
          <w:sz w:val="20"/>
          <w:szCs w:val="20"/>
          <w:color w:val="auto"/>
        </w:rPr>
      </w:pPr>
    </w:p>
    <w:p>
      <w:pPr>
        <w:ind w:right="320" w:firstLine="648"/>
        <w:spacing w:after="0" w:line="308" w:lineRule="auto"/>
        <w:rPr>
          <w:sz w:val="20"/>
          <w:szCs w:val="20"/>
          <w:color w:val="auto"/>
        </w:rPr>
      </w:pPr>
      <w:r>
        <w:rPr>
          <w:rFonts w:ascii="Arial" w:cs="Arial" w:eastAsia="Arial" w:hAnsi="Arial"/>
          <w:sz w:val="17"/>
          <w:szCs w:val="17"/>
          <w:color w:val="auto"/>
        </w:rPr>
        <w:t>There may be timing differences between the date of the contract with the customer and when revenue is recognized. When comparing results year-over-year, this timing difference may generate significant variances, which we refer to as the impact of revenue reportability.</w:t>
      </w:r>
    </w:p>
    <w:p>
      <w:pPr>
        <w:spacing w:after="0" w:line="38" w:lineRule="exact"/>
        <w:rPr>
          <w:sz w:val="20"/>
          <w:szCs w:val="20"/>
          <w:color w:val="auto"/>
        </w:rPr>
      </w:pPr>
    </w:p>
    <w:p>
      <w:pPr>
        <w:ind w:right="60" w:firstLine="648"/>
        <w:spacing w:after="0" w:line="263" w:lineRule="auto"/>
        <w:rPr>
          <w:sz w:val="20"/>
          <w:szCs w:val="20"/>
          <w:color w:val="auto"/>
        </w:rPr>
      </w:pPr>
      <w:r>
        <w:rPr>
          <w:rFonts w:ascii="Arial" w:cs="Arial" w:eastAsia="Arial" w:hAnsi="Arial"/>
          <w:sz w:val="18"/>
          <w:szCs w:val="18"/>
          <w:color w:val="auto"/>
        </w:rPr>
        <w:t>Finally, as more fully described in “</w:t>
      </w:r>
      <w:r>
        <w:rPr>
          <w:rFonts w:ascii="Arial" w:cs="Arial" w:eastAsia="Arial" w:hAnsi="Arial"/>
          <w:sz w:val="18"/>
          <w:szCs w:val="18"/>
          <w:i w:val="1"/>
          <w:iCs w:val="1"/>
          <w:color w:val="auto"/>
        </w:rPr>
        <w:t>Financing</w:t>
      </w:r>
      <w:r>
        <w:rPr>
          <w:rFonts w:ascii="Arial" w:cs="Arial" w:eastAsia="Arial" w:hAnsi="Arial"/>
          <w:sz w:val="18"/>
          <w:szCs w:val="18"/>
          <w:color w:val="auto"/>
        </w:rPr>
        <w:t>” below, we record the difference between the vacation ownership note receivable and the consideration to which we expect to be entitled (also known as a vacation ownership notes receivable reserve or a sales reserve) as a reduction of revenues from the sale of vacation ownership products at the time we recognize revenues from a sale.</w:t>
      </w:r>
    </w:p>
    <w:p>
      <w:pPr>
        <w:spacing w:after="0" w:line="76"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We report, on a supplemental basis, contract sales for our Vacation Ownership segment. Contract sales consist of the total amount of vacation ownership product sales under contract signed during the period where we have generally received a down payment of at least ten percent of the contract price, reduced by actual rescissions during the period, inclusive of contracts associated with sales of vacation ownership products on behalf of third-parties, which we refer to as “resales contract sales.” In circumstances where a customer applies any or all of their existing ownership interests as part of the purchase price for additional interests, we include only the incremental value purchased as contract sales. Contract sales differ from revenues from the sale of vacation ownership products that we report on our income statements due to the requirements for revenue recognition described above. We consider contract sales to be an important operating measure because it reflects the pace of sales in our business.</w:t>
      </w:r>
    </w:p>
    <w:p>
      <w:pPr>
        <w:spacing w:after="0" w:line="69" w:lineRule="exact"/>
        <w:rPr>
          <w:sz w:val="20"/>
          <w:szCs w:val="20"/>
          <w:color w:val="auto"/>
        </w:rPr>
      </w:pPr>
    </w:p>
    <w:p>
      <w:pPr>
        <w:jc w:val="both"/>
        <w:ind w:right="80" w:firstLine="648"/>
        <w:spacing w:after="0" w:line="273" w:lineRule="auto"/>
        <w:rPr>
          <w:sz w:val="20"/>
          <w:szCs w:val="20"/>
          <w:color w:val="auto"/>
        </w:rPr>
      </w:pPr>
      <w:r>
        <w:rPr>
          <w:rFonts w:ascii="Arial" w:cs="Arial" w:eastAsia="Arial" w:hAnsi="Arial"/>
          <w:sz w:val="17"/>
          <w:szCs w:val="17"/>
          <w:color w:val="auto"/>
        </w:rPr>
        <w:t>Cost of vacation ownership products includes costs to develop and construct our projects (also known as real estate inventory costs), other non-capitalizable costs associated with the overall project development process and settlement expenses associated with the closing process. For each project, we expense real estate inventory costs in the same proportion as the revenue recognized. Consistent with the applicable accounting guidance, to the extent there is a change in the estimated sales revenues or inventory costs for the project in a period, a non-cash adjustment is recorded on our income statements to true-up costs in that period to those that would have been recorded historically if the revised estimates had been used. These true-ups, which we refer to as product cost true-up activity, can have a positive or negative impact on our income statements.</w:t>
      </w:r>
    </w:p>
    <w:p>
      <w:pPr>
        <w:spacing w:after="0" w:line="70" w:lineRule="exact"/>
        <w:rPr>
          <w:sz w:val="20"/>
          <w:szCs w:val="20"/>
          <w:color w:val="auto"/>
        </w:rPr>
      </w:pPr>
    </w:p>
    <w:p>
      <w:pPr>
        <w:ind w:right="160" w:firstLine="648"/>
        <w:spacing w:after="0" w:line="263" w:lineRule="auto"/>
        <w:rPr>
          <w:sz w:val="20"/>
          <w:szCs w:val="20"/>
          <w:color w:val="auto"/>
        </w:rPr>
      </w:pPr>
      <w:r>
        <w:rPr>
          <w:rFonts w:ascii="Arial" w:cs="Arial" w:eastAsia="Arial" w:hAnsi="Arial"/>
          <w:sz w:val="18"/>
          <w:szCs w:val="18"/>
          <w:color w:val="auto"/>
        </w:rPr>
        <w:t>We refer to revenues from the sale of vacation ownership products less the cost of vacation ownership products and marketing and sales costs as development margin. Development margin percentage is calculated by dividing development margin by revenues from the sale of vacation ownership products.</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00"/>
          </w:cols>
          <w:pgMar w:left="320" w:top="125" w:right="37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Management and Exchange</w:t>
      </w:r>
    </w:p>
    <w:p>
      <w:pPr>
        <w:spacing w:after="0" w:line="117" w:lineRule="exact"/>
        <w:rPr>
          <w:sz w:val="20"/>
          <w:szCs w:val="20"/>
          <w:color w:val="auto"/>
        </w:rPr>
      </w:pPr>
    </w:p>
    <w:p>
      <w:pPr>
        <w:ind w:right="100" w:firstLine="648"/>
        <w:spacing w:after="0" w:line="311" w:lineRule="auto"/>
        <w:rPr>
          <w:sz w:val="20"/>
          <w:szCs w:val="20"/>
          <w:color w:val="auto"/>
        </w:rPr>
      </w:pPr>
      <w:r>
        <w:rPr>
          <w:rFonts w:ascii="Arial" w:cs="Arial" w:eastAsia="Arial" w:hAnsi="Arial"/>
          <w:sz w:val="16"/>
          <w:szCs w:val="16"/>
          <w:color w:val="auto"/>
        </w:rPr>
        <w:t>Our management and exchange revenues include revenues generated from fees we earn for managing each of our vacation ownership resorts, providing property management, property owners’ association management and related services to third-party vacation ownership resorts and fees we earn for providing rental services and related hotel, condominium resort, and property owners’ association management services to vacation property owners.</w:t>
      </w:r>
    </w:p>
    <w:p>
      <w:pPr>
        <w:spacing w:after="0" w:line="41" w:lineRule="exact"/>
        <w:rPr>
          <w:sz w:val="20"/>
          <w:szCs w:val="20"/>
          <w:color w:val="auto"/>
        </w:rPr>
      </w:pPr>
    </w:p>
    <w:p>
      <w:pPr>
        <w:jc w:val="both"/>
        <w:ind w:right="60" w:firstLine="648"/>
        <w:spacing w:after="0" w:line="263" w:lineRule="auto"/>
        <w:rPr>
          <w:sz w:val="20"/>
          <w:szCs w:val="20"/>
          <w:color w:val="auto"/>
        </w:rPr>
      </w:pPr>
      <w:r>
        <w:rPr>
          <w:rFonts w:ascii="Arial" w:cs="Arial" w:eastAsia="Arial" w:hAnsi="Arial"/>
          <w:sz w:val="18"/>
          <w:szCs w:val="18"/>
          <w:color w:val="auto"/>
        </w:rPr>
        <w:t>In addition, we earn revenue from ancillary offerings, including food and beverage outlets, golf courses and other retail and service outlets located at our Vacation Ownership resorts. We also receive annual membership fees, club dues and certain transaction-based fees from members, owners and other third parties.</w:t>
      </w:r>
    </w:p>
    <w:p>
      <w:pPr>
        <w:spacing w:after="0" w:line="76" w:lineRule="exact"/>
        <w:rPr>
          <w:sz w:val="20"/>
          <w:szCs w:val="20"/>
          <w:color w:val="auto"/>
        </w:rPr>
      </w:pPr>
    </w:p>
    <w:p>
      <w:pPr>
        <w:ind w:right="200" w:firstLine="648"/>
        <w:spacing w:after="0" w:line="342" w:lineRule="auto"/>
        <w:rPr>
          <w:sz w:val="20"/>
          <w:szCs w:val="20"/>
          <w:color w:val="auto"/>
        </w:rPr>
      </w:pPr>
      <w:r>
        <w:rPr>
          <w:rFonts w:ascii="Arial" w:cs="Arial" w:eastAsia="Arial" w:hAnsi="Arial"/>
          <w:sz w:val="16"/>
          <w:szCs w:val="16"/>
          <w:color w:val="auto"/>
        </w:rPr>
        <w:t>Management and exchange expenses include costs to operate the food and beverage outlets and other ancillary operations and to provide overall customer support services, including reservations, and certain transaction-based expenses relating to external exchange service providers.</w:t>
      </w:r>
    </w:p>
    <w:p>
      <w:pPr>
        <w:spacing w:after="0" w:line="16"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In our Vacation Ownership segment and Consolidated Property Owners’ Associations, we refer to these activities as “Resort Management and Other Services.”</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Financing</w:t>
      </w:r>
    </w:p>
    <w:p>
      <w:pPr>
        <w:spacing w:after="0" w:line="117" w:lineRule="exact"/>
        <w:rPr>
          <w:sz w:val="20"/>
          <w:szCs w:val="20"/>
          <w:color w:val="auto"/>
        </w:rPr>
      </w:pPr>
    </w:p>
    <w:p>
      <w:pPr>
        <w:ind w:right="720" w:firstLine="648"/>
        <w:spacing w:after="0" w:line="277" w:lineRule="auto"/>
        <w:rPr>
          <w:sz w:val="20"/>
          <w:szCs w:val="20"/>
          <w:color w:val="auto"/>
        </w:rPr>
      </w:pPr>
      <w:r>
        <w:rPr>
          <w:rFonts w:ascii="Arial" w:cs="Arial" w:eastAsia="Arial" w:hAnsi="Arial"/>
          <w:sz w:val="18"/>
          <w:szCs w:val="18"/>
          <w:color w:val="auto"/>
        </w:rPr>
        <w:t>We offer financing to qualified customers for the purchase of most types of our vacation ownership products. The average FICO score of customers who were U.S. citizens or residents who financed a vacation ownership purchase was as follows:</w:t>
      </w:r>
    </w:p>
    <w:p>
      <w:pPr>
        <w:spacing w:after="0" w:line="130" w:lineRule="exact"/>
        <w:rPr>
          <w:sz w:val="20"/>
          <w:szCs w:val="20"/>
          <w:color w:val="auto"/>
        </w:rPr>
      </w:pPr>
    </w:p>
    <w:tbl>
      <w:tblPr>
        <w:tblLayout w:type="fixed"/>
        <w:tblInd w:w="1040" w:type="dxa"/>
        <w:tblCellMar>
          <w:top w:w="0" w:type="dxa"/>
          <w:left w:w="0" w:type="dxa"/>
          <w:bottom w:w="0" w:type="dxa"/>
          <w:right w:w="0" w:type="dxa"/>
        </w:tblCellMar>
      </w:tblPr>
      <w:tr>
        <w:trPr>
          <w:trHeight w:val="210"/>
        </w:trPr>
        <w:tc>
          <w:tcPr>
            <w:tcW w:w="5420" w:type="dxa"/>
            <w:vAlign w:val="bottom"/>
          </w:tcPr>
          <w:p>
            <w:pPr>
              <w:spacing w:after="0"/>
              <w:rPr>
                <w:sz w:val="18"/>
                <w:szCs w:val="18"/>
                <w:color w:val="auto"/>
              </w:rPr>
            </w:pPr>
          </w:p>
        </w:tc>
        <w:tc>
          <w:tcPr>
            <w:tcW w:w="3760" w:type="dxa"/>
            <w:vAlign w:val="bottom"/>
            <w:gridSpan w:val="3"/>
          </w:tcPr>
          <w:p>
            <w:pPr>
              <w:ind w:left="1140"/>
              <w:spacing w:after="0"/>
              <w:rPr>
                <w:sz w:val="20"/>
                <w:szCs w:val="20"/>
                <w:color w:val="auto"/>
              </w:rPr>
            </w:pPr>
            <w:r>
              <w:rPr>
                <w:rFonts w:ascii="Arial" w:cs="Arial" w:eastAsia="Arial" w:hAnsi="Arial"/>
                <w:sz w:val="16"/>
                <w:szCs w:val="16"/>
                <w:b w:val="1"/>
                <w:bCs w:val="1"/>
                <w:color w:val="auto"/>
              </w:rPr>
              <w:t>Three Months Ended</w:t>
            </w:r>
          </w:p>
        </w:tc>
      </w:tr>
      <w:tr>
        <w:trPr>
          <w:trHeight w:val="33"/>
        </w:trPr>
        <w:tc>
          <w:tcPr>
            <w:tcW w:w="5420" w:type="dxa"/>
            <w:vAlign w:val="bottom"/>
          </w:tcPr>
          <w:p>
            <w:pPr>
              <w:spacing w:after="0"/>
              <w:rPr>
                <w:sz w:val="2"/>
                <w:szCs w:val="2"/>
                <w:color w:val="auto"/>
              </w:rPr>
            </w:pPr>
          </w:p>
        </w:tc>
        <w:tc>
          <w:tcPr>
            <w:tcW w:w="1940" w:type="dxa"/>
            <w:vAlign w:val="bottom"/>
            <w:tcBorders>
              <w:bottom w:val="single" w:sz="8" w:color="auto"/>
            </w:tcBorders>
            <w:gridSpan w:val="2"/>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31"/>
        </w:trPr>
        <w:tc>
          <w:tcPr>
            <w:tcW w:w="5420" w:type="dxa"/>
            <w:vAlign w:val="bottom"/>
          </w:tcPr>
          <w:p>
            <w:pPr>
              <w:spacing w:after="0"/>
              <w:rPr>
                <w:sz w:val="20"/>
                <w:szCs w:val="20"/>
                <w:color w:val="auto"/>
              </w:rPr>
            </w:pPr>
          </w:p>
        </w:tc>
        <w:tc>
          <w:tcPr>
            <w:tcW w:w="194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4"/>
              </w:rPr>
              <w:t>March 31, 2020</w:t>
            </w:r>
          </w:p>
        </w:tc>
        <w:tc>
          <w:tcPr>
            <w:tcW w:w="1820" w:type="dxa"/>
            <w:vAlign w:val="bottom"/>
          </w:tcPr>
          <w:p>
            <w:pPr>
              <w:jc w:val="center"/>
              <w:spacing w:after="0"/>
              <w:rPr>
                <w:sz w:val="20"/>
                <w:szCs w:val="20"/>
                <w:color w:val="auto"/>
              </w:rPr>
            </w:pPr>
            <w:r>
              <w:rPr>
                <w:rFonts w:ascii="Arial" w:cs="Arial" w:eastAsia="Arial" w:hAnsi="Arial"/>
                <w:sz w:val="16"/>
                <w:szCs w:val="16"/>
                <w:b w:val="1"/>
                <w:bCs w:val="1"/>
                <w:color w:val="auto"/>
                <w:w w:val="94"/>
              </w:rPr>
              <w:t>March 31, 2019</w:t>
            </w:r>
          </w:p>
        </w:tc>
      </w:tr>
      <w:tr>
        <w:trPr>
          <w:trHeight w:val="33"/>
        </w:trPr>
        <w:tc>
          <w:tcPr>
            <w:tcW w:w="542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37"/>
        </w:trPr>
        <w:tc>
          <w:tcPr>
            <w:tcW w:w="5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Average FICO score</w:t>
            </w:r>
          </w:p>
        </w:tc>
        <w:tc>
          <w:tcPr>
            <w:tcW w:w="1820" w:type="dxa"/>
            <w:vAlign w:val="bottom"/>
            <w:shd w:val="clear" w:color="auto" w:fill="CCEEFF"/>
          </w:tcPr>
          <w:p>
            <w:pPr>
              <w:jc w:val="right"/>
              <w:ind w:right="696"/>
              <w:spacing w:after="0"/>
              <w:rPr>
                <w:sz w:val="20"/>
                <w:szCs w:val="20"/>
                <w:color w:val="auto"/>
              </w:rPr>
            </w:pPr>
            <w:r>
              <w:rPr>
                <w:rFonts w:ascii="Arial" w:cs="Arial" w:eastAsia="Arial" w:hAnsi="Arial"/>
                <w:sz w:val="18"/>
                <w:szCs w:val="18"/>
                <w:color w:val="auto"/>
              </w:rPr>
              <w:t>739</w:t>
            </w:r>
          </w:p>
        </w:tc>
        <w:tc>
          <w:tcPr>
            <w:tcW w:w="120" w:type="dxa"/>
            <w:vAlign w:val="bottom"/>
            <w:shd w:val="clear" w:color="auto" w:fill="CCEEFF"/>
          </w:tcPr>
          <w:p>
            <w:pPr>
              <w:spacing w:after="0"/>
              <w:rPr>
                <w:sz w:val="20"/>
                <w:szCs w:val="20"/>
                <w:color w:val="auto"/>
              </w:rPr>
            </w:pPr>
          </w:p>
        </w:tc>
        <w:tc>
          <w:tcPr>
            <w:tcW w:w="1820" w:type="dxa"/>
            <w:vAlign w:val="bottom"/>
            <w:shd w:val="clear" w:color="auto" w:fill="CCEEFF"/>
          </w:tcPr>
          <w:p>
            <w:pPr>
              <w:jc w:val="right"/>
              <w:ind w:right="695"/>
              <w:spacing w:after="0"/>
              <w:rPr>
                <w:sz w:val="20"/>
                <w:szCs w:val="20"/>
                <w:color w:val="auto"/>
              </w:rPr>
            </w:pPr>
            <w:r>
              <w:rPr>
                <w:rFonts w:ascii="Arial" w:cs="Arial" w:eastAsia="Arial" w:hAnsi="Arial"/>
                <w:sz w:val="18"/>
                <w:szCs w:val="18"/>
                <w:color w:val="auto"/>
              </w:rPr>
              <w:t>744</w:t>
            </w:r>
          </w:p>
        </w:tc>
      </w:tr>
      <w:tr>
        <w:trPr>
          <w:trHeight w:val="27"/>
        </w:trPr>
        <w:tc>
          <w:tcPr>
            <w:tcW w:w="5420" w:type="dxa"/>
            <w:vAlign w:val="bottom"/>
            <w:shd w:val="clear" w:color="auto" w:fill="CCEEFF"/>
          </w:tcPr>
          <w:p>
            <w:pPr>
              <w:spacing w:after="0"/>
              <w:rPr>
                <w:sz w:val="2"/>
                <w:szCs w:val="2"/>
                <w:color w:val="auto"/>
              </w:rPr>
            </w:pPr>
          </w:p>
        </w:tc>
        <w:tc>
          <w:tcPr>
            <w:tcW w:w="18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2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ind w:right="160" w:firstLine="648"/>
        <w:spacing w:after="0" w:line="311" w:lineRule="auto"/>
        <w:rPr>
          <w:sz w:val="20"/>
          <w:szCs w:val="20"/>
          <w:color w:val="auto"/>
        </w:rPr>
      </w:pPr>
      <w:r>
        <w:rPr>
          <w:rFonts w:ascii="Arial" w:cs="Arial" w:eastAsia="Arial" w:hAnsi="Arial"/>
          <w:sz w:val="16"/>
          <w:szCs w:val="16"/>
          <w:color w:val="auto"/>
        </w:rPr>
        <w:t>The typical financing agreement provides for monthly payments of principal and interest with the principal balance of the loan fully amortizing over the term of the related vacation ownership note receivable, which is generally ten years. Included within our vacation ownership notes receivable are originated vacation ownership notes receivable and vacation ownership notes receivable acquired in connection with the ILG Acquisition.</w:t>
      </w:r>
    </w:p>
    <w:p>
      <w:pPr>
        <w:spacing w:after="0" w:line="41"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The interest income earned from the originated vacation ownership financing arrangements is earned on an accrual basis on the principal balance outstanding over the contractual life of the arrangement and is recorded as Financing revenues on our Income Statements. Financing revenues also include fees earned from servicing the existing vacation ownership notes receivable portfolio. Financing expenses include costs in support of the financing, servicing and securitization processes and changes in expected credit losses related to acquired vacation ownership notes receivable. The amount of interest income earned in a period depends on the amount of outstanding vacation ownership notes receivable, which, for originated vacation ownership notes receivable, is impacted positively by the origination of new vacation ownership notes receivable and negatively by principal collections. We calculate financing propensity as contract sales volume of finance contracts originated in the period divided by contract sales volume of all contracts originated in the period. We do not include resales contract sales in the financing propensity calculation. Financing propensity was 62 percent in the first quarter of 2019 and 57 percent in the first quarter of 2020. We expect to continue to offer financing incentive programs and that interest income will continue to increase as new originations of vacation ownership notes receivable outpace the decline in principal of existing vacation ownership notes receivable.</w:t>
      </w:r>
    </w:p>
    <w:p>
      <w:pPr>
        <w:spacing w:after="0" w:line="60" w:lineRule="exact"/>
        <w:rPr>
          <w:sz w:val="20"/>
          <w:szCs w:val="20"/>
          <w:color w:val="auto"/>
        </w:rPr>
      </w:pPr>
    </w:p>
    <w:p>
      <w:pPr>
        <w:ind w:right="80" w:firstLine="648"/>
        <w:spacing w:after="0" w:line="301" w:lineRule="auto"/>
        <w:rPr>
          <w:sz w:val="20"/>
          <w:szCs w:val="20"/>
          <w:color w:val="auto"/>
        </w:rPr>
      </w:pPr>
      <w:r>
        <w:rPr>
          <w:rFonts w:ascii="Arial" w:cs="Arial" w:eastAsia="Arial" w:hAnsi="Arial"/>
          <w:sz w:val="16"/>
          <w:szCs w:val="16"/>
          <w:color w:val="auto"/>
        </w:rPr>
        <w:t>In the event of a default, we generally have the right to foreclose on or revoke the underlying VOI. We return VOIs that we reacquire through foreclosure or revocation back to inventory. As discussed above, for originated vacation ownership notes receivable, we record a reserve at the time of sale and classify the reserve as a reduction to revenues from the sale of vacation ownership products on our Income Statements. Historical default rates, which represent defaults as a percentage of each year’s beginning gross vacation ownership notes receivable balance, were as follows:</w:t>
      </w:r>
    </w:p>
    <w:p>
      <w:pPr>
        <w:spacing w:after="0" w:line="117" w:lineRule="exact"/>
        <w:rPr>
          <w:sz w:val="20"/>
          <w:szCs w:val="20"/>
          <w:color w:val="auto"/>
        </w:rPr>
      </w:pPr>
    </w:p>
    <w:tbl>
      <w:tblPr>
        <w:tblLayout w:type="fixed"/>
        <w:tblInd w:w="1040" w:type="dxa"/>
        <w:tblCellMar>
          <w:top w:w="0" w:type="dxa"/>
          <w:left w:w="0" w:type="dxa"/>
          <w:bottom w:w="0" w:type="dxa"/>
          <w:right w:w="0" w:type="dxa"/>
        </w:tblCellMar>
      </w:tblPr>
      <w:tr>
        <w:trPr>
          <w:trHeight w:val="210"/>
        </w:trPr>
        <w:tc>
          <w:tcPr>
            <w:tcW w:w="5420" w:type="dxa"/>
            <w:vAlign w:val="bottom"/>
          </w:tcPr>
          <w:p>
            <w:pPr>
              <w:spacing w:after="0"/>
              <w:rPr>
                <w:sz w:val="18"/>
                <w:szCs w:val="18"/>
                <w:color w:val="auto"/>
              </w:rPr>
            </w:pPr>
          </w:p>
        </w:tc>
        <w:tc>
          <w:tcPr>
            <w:tcW w:w="3760" w:type="dxa"/>
            <w:vAlign w:val="bottom"/>
            <w:gridSpan w:val="3"/>
          </w:tcPr>
          <w:p>
            <w:pPr>
              <w:ind w:left="1140"/>
              <w:spacing w:after="0"/>
              <w:rPr>
                <w:sz w:val="20"/>
                <w:szCs w:val="20"/>
                <w:color w:val="auto"/>
              </w:rPr>
            </w:pPr>
            <w:r>
              <w:rPr>
                <w:rFonts w:ascii="Arial" w:cs="Arial" w:eastAsia="Arial" w:hAnsi="Arial"/>
                <w:sz w:val="16"/>
                <w:szCs w:val="16"/>
                <w:b w:val="1"/>
                <w:bCs w:val="1"/>
                <w:color w:val="auto"/>
              </w:rPr>
              <w:t>Three Months Ended</w:t>
            </w:r>
          </w:p>
        </w:tc>
      </w:tr>
      <w:tr>
        <w:trPr>
          <w:trHeight w:val="33"/>
        </w:trPr>
        <w:tc>
          <w:tcPr>
            <w:tcW w:w="5420" w:type="dxa"/>
            <w:vAlign w:val="bottom"/>
          </w:tcPr>
          <w:p>
            <w:pPr>
              <w:spacing w:after="0"/>
              <w:rPr>
                <w:sz w:val="2"/>
                <w:szCs w:val="2"/>
                <w:color w:val="auto"/>
              </w:rPr>
            </w:pPr>
          </w:p>
        </w:tc>
        <w:tc>
          <w:tcPr>
            <w:tcW w:w="1940" w:type="dxa"/>
            <w:vAlign w:val="bottom"/>
            <w:tcBorders>
              <w:bottom w:val="single" w:sz="8" w:color="auto"/>
            </w:tcBorders>
            <w:gridSpan w:val="2"/>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30"/>
        </w:trPr>
        <w:tc>
          <w:tcPr>
            <w:tcW w:w="5420" w:type="dxa"/>
            <w:vAlign w:val="bottom"/>
          </w:tcPr>
          <w:p>
            <w:pPr>
              <w:spacing w:after="0"/>
              <w:rPr>
                <w:sz w:val="20"/>
                <w:szCs w:val="20"/>
                <w:color w:val="auto"/>
              </w:rPr>
            </w:pPr>
          </w:p>
        </w:tc>
        <w:tc>
          <w:tcPr>
            <w:tcW w:w="194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4"/>
              </w:rPr>
              <w:t>March 31, 2020</w:t>
            </w:r>
          </w:p>
        </w:tc>
        <w:tc>
          <w:tcPr>
            <w:tcW w:w="1820" w:type="dxa"/>
            <w:vAlign w:val="bottom"/>
          </w:tcPr>
          <w:p>
            <w:pPr>
              <w:jc w:val="center"/>
              <w:spacing w:after="0"/>
              <w:rPr>
                <w:sz w:val="20"/>
                <w:szCs w:val="20"/>
                <w:color w:val="auto"/>
              </w:rPr>
            </w:pPr>
            <w:r>
              <w:rPr>
                <w:rFonts w:ascii="Arial" w:cs="Arial" w:eastAsia="Arial" w:hAnsi="Arial"/>
                <w:sz w:val="16"/>
                <w:szCs w:val="16"/>
                <w:b w:val="1"/>
                <w:bCs w:val="1"/>
                <w:color w:val="auto"/>
                <w:w w:val="94"/>
              </w:rPr>
              <w:t>March 31, 2019</w:t>
            </w:r>
          </w:p>
        </w:tc>
      </w:tr>
      <w:tr>
        <w:trPr>
          <w:trHeight w:val="33"/>
        </w:trPr>
        <w:tc>
          <w:tcPr>
            <w:tcW w:w="542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37"/>
        </w:trPr>
        <w:tc>
          <w:tcPr>
            <w:tcW w:w="5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Historical default rates</w:t>
            </w:r>
          </w:p>
        </w:tc>
        <w:tc>
          <w:tcPr>
            <w:tcW w:w="1820" w:type="dxa"/>
            <w:vAlign w:val="bottom"/>
            <w:shd w:val="clear" w:color="auto" w:fill="CCEEFF"/>
          </w:tcPr>
          <w:p>
            <w:pPr>
              <w:jc w:val="right"/>
              <w:ind w:right="636"/>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20"/>
                <w:szCs w:val="20"/>
                <w:color w:val="auto"/>
              </w:rPr>
            </w:pPr>
          </w:p>
        </w:tc>
        <w:tc>
          <w:tcPr>
            <w:tcW w:w="1820" w:type="dxa"/>
            <w:vAlign w:val="bottom"/>
            <w:shd w:val="clear" w:color="auto" w:fill="CCEEFF"/>
          </w:tcPr>
          <w:p>
            <w:pPr>
              <w:jc w:val="right"/>
              <w:ind w:right="655"/>
              <w:spacing w:after="0"/>
              <w:rPr>
                <w:sz w:val="20"/>
                <w:szCs w:val="20"/>
                <w:color w:val="auto"/>
              </w:rPr>
            </w:pPr>
            <w:r>
              <w:rPr>
                <w:rFonts w:ascii="Arial" w:cs="Arial" w:eastAsia="Arial" w:hAnsi="Arial"/>
                <w:sz w:val="18"/>
                <w:szCs w:val="18"/>
                <w:color w:val="auto"/>
              </w:rPr>
              <w:t>1.0%</w:t>
            </w:r>
          </w:p>
        </w:tc>
      </w:tr>
      <w:tr>
        <w:trPr>
          <w:trHeight w:val="27"/>
        </w:trPr>
        <w:tc>
          <w:tcPr>
            <w:tcW w:w="5420" w:type="dxa"/>
            <w:vAlign w:val="bottom"/>
            <w:shd w:val="clear" w:color="auto" w:fill="CCEEFF"/>
          </w:tcPr>
          <w:p>
            <w:pPr>
              <w:spacing w:after="0"/>
              <w:rPr>
                <w:sz w:val="2"/>
                <w:szCs w:val="2"/>
                <w:color w:val="auto"/>
              </w:rPr>
            </w:pPr>
          </w:p>
        </w:tc>
        <w:tc>
          <w:tcPr>
            <w:tcW w:w="18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2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Financing expenses include consumer financing interest expense, which represents interest expense associated with the securitization of our vacation ownership notes receivable. We distinguish consumer financing interest expense from all other interest expense because the debt associated with the consumer financing interest expense is secured by vacation ownership notes receivable that have been sold to bankruptcy remote special purpose entities and is generally non-recourse to us.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40"/>
          </w:cols>
          <w:pgMar w:left="320" w:top="125" w:right="3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Rental</w:t>
      </w:r>
    </w:p>
    <w:p>
      <w:pPr>
        <w:spacing w:after="0" w:line="117" w:lineRule="exact"/>
        <w:rPr>
          <w:sz w:val="20"/>
          <w:szCs w:val="20"/>
          <w:color w:val="auto"/>
        </w:rPr>
      </w:pPr>
    </w:p>
    <w:p>
      <w:pPr>
        <w:ind w:right="20" w:firstLine="648"/>
        <w:spacing w:after="0" w:line="288" w:lineRule="auto"/>
        <w:rPr>
          <w:sz w:val="20"/>
          <w:szCs w:val="20"/>
          <w:color w:val="auto"/>
        </w:rPr>
      </w:pPr>
      <w:r>
        <w:rPr>
          <w:rFonts w:ascii="Arial" w:cs="Arial" w:eastAsia="Arial" w:hAnsi="Arial"/>
          <w:sz w:val="16"/>
          <w:szCs w:val="16"/>
          <w:color w:val="auto"/>
        </w:rPr>
        <w:t>In our Vacation Ownership segment, we operate a rental business to provide owner flexibility and to help mitigate carrying costs associated with our inventory. We generate revenue from rentals of inventory that we hold for sale as interests in our vacation ownership programs, inventory that we control because our owners have elected alternative usage options permitted under our vacation ownership programs and rentals of owned-hotel properties. We also recognize rental revenue from the utilization of plus points under the MVCD program when the points are redeemed for rental stays at one of our resorts or in other third-party offerings. We obtain rental inventory from unsold inventory and inventory we control because owners have elected alternative usage options offered through our vacation ownership programs. For rental revenues associated with vacation ownership products which we own and which are registered and held for sale, to the extent that the revenues from rental are less than costs, revenues are reported net in accordance with ASC Topic 978, “</w:t>
      </w:r>
      <w:r>
        <w:rPr>
          <w:rFonts w:ascii="Arial" w:cs="Arial" w:eastAsia="Arial" w:hAnsi="Arial"/>
          <w:sz w:val="16"/>
          <w:szCs w:val="16"/>
          <w:i w:val="1"/>
          <w:iCs w:val="1"/>
          <w:color w:val="auto"/>
        </w:rPr>
        <w:t>Real Estate - Time-Sharing Activities</w:t>
      </w:r>
      <w:r>
        <w:rPr>
          <w:rFonts w:ascii="Arial" w:cs="Arial" w:eastAsia="Arial" w:hAnsi="Arial"/>
          <w:sz w:val="16"/>
          <w:szCs w:val="16"/>
          <w:color w:val="auto"/>
        </w:rPr>
        <w:t>” (“ASC 978”). The rental activity associated with discounted vacation packages requiring a tour (“preview stays”) is not included in transient rental metrics, and because the majority of these preview stays are sourced directly or indirectly from unsold inventory, the associated revenues and expenses are reported net in Marketing and sales expense.</w:t>
      </w:r>
    </w:p>
    <w:p>
      <w:pPr>
        <w:spacing w:after="0" w:line="60"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In our Exchange &amp; Third-Party Management segment, we offer vacation rental opportunities to members of the Interval International Network and certain other membership programs. The offering of Getaways allows us to monetize excess availability of resort accommodations within the applicable exchange network. Resort accommodations available as Getaways typically result from seasonal oversupply or underutilized space, as well as resort accommodations we source specifically for Getaways.</w:t>
      </w:r>
    </w:p>
    <w:p>
      <w:pPr>
        <w:spacing w:after="0" w:line="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Rental expenses include:</w:t>
      </w:r>
    </w:p>
    <w:p>
      <w:pPr>
        <w:spacing w:after="0" w:line="63" w:lineRule="exact"/>
        <w:rPr>
          <w:sz w:val="20"/>
          <w:szCs w:val="20"/>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Maintenance fees on unsold inventory;</w:t>
      </w:r>
    </w:p>
    <w:p>
      <w:pPr>
        <w:spacing w:after="0" w:line="63" w:lineRule="exact"/>
        <w:rPr>
          <w:rFonts w:ascii="Arial" w:cs="Arial" w:eastAsia="Arial" w:hAnsi="Arial"/>
          <w:sz w:val="18"/>
          <w:szCs w:val="18"/>
          <w:color w:val="auto"/>
        </w:rPr>
      </w:pPr>
    </w:p>
    <w:p>
      <w:pPr>
        <w:ind w:left="980" w:right="220" w:hanging="324"/>
        <w:spacing w:after="0" w:line="277" w:lineRule="auto"/>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Costs to provide alternative usage options, including Marriott Bonvoy points, World of Hyatt points and offerings available as part of third-party offerings, for owners who elect to exchange their inventory;</w:t>
      </w:r>
    </w:p>
    <w:p>
      <w:pPr>
        <w:spacing w:after="0" w:line="8" w:lineRule="exact"/>
        <w:rPr>
          <w:rFonts w:ascii="Arial" w:cs="Arial" w:eastAsia="Arial" w:hAnsi="Arial"/>
          <w:sz w:val="18"/>
          <w:szCs w:val="18"/>
          <w:color w:val="auto"/>
        </w:rPr>
      </w:pPr>
    </w:p>
    <w:p>
      <w:pPr>
        <w:ind w:left="980" w:right="120" w:hanging="324"/>
        <w:spacing w:after="0" w:line="277" w:lineRule="auto"/>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Marketing costs and direct operating and related expenses in connection with the rental business (such as housekeeping, credit card expenses and reservation services); and</w:t>
      </w:r>
    </w:p>
    <w:p>
      <w:pPr>
        <w:spacing w:after="0" w:line="8"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Costs to secure resort accommodations for use in Getaways.</w:t>
      </w:r>
    </w:p>
    <w:p>
      <w:pPr>
        <w:spacing w:after="0" w:line="117"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Rental metrics, including the average daily transient rate or the number of transient keys rented, may not be comparable between periods given fluctuation in available occupancy by location, unit size (such as two bedroom, one bedroom or studio unit), owner use and exchange behavior. In addition, rental metrics may not correlate with rental revenues due to the requirement to report certain rental revenues net of rental expenses in accordance with ASC 978 (as discussed above). Further, as our ability to rent certain luxury and other inventory is often limited on a site-by-site basis, rental operations may not generate adequate rental revenues to cover associated costs. Our Vacation Ownership segment units are either “full villas” or “lock-off” villas. Lock-off villas are units that can be separated into a master unit and a guest room. Full villas are “non-lock-off” villas because they cannot be separated. A “key” is the lowest increment for reporting occupancy statistics based upon the mix of non-lock-off and lock-off villas. Lock-off villas represent two keys and non-lock-off villas represent one key. The “transient keys” metric represents the blended mix of inventory available for rent and includes all of the combined inventory configurations available in our resort system.</w:t>
      </w:r>
    </w:p>
    <w:p>
      <w:pPr>
        <w:spacing w:after="0" w:line="12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Cost Reimbursements</w:t>
      </w:r>
    </w:p>
    <w:p>
      <w:pPr>
        <w:spacing w:after="0" w:line="117" w:lineRule="exact"/>
        <w:rPr>
          <w:sz w:val="20"/>
          <w:szCs w:val="20"/>
          <w:color w:val="auto"/>
        </w:rPr>
      </w:pPr>
    </w:p>
    <w:p>
      <w:pPr>
        <w:ind w:right="220" w:firstLine="648"/>
        <w:spacing w:after="0" w:line="286" w:lineRule="auto"/>
        <w:rPr>
          <w:sz w:val="20"/>
          <w:szCs w:val="20"/>
          <w:color w:val="auto"/>
        </w:rPr>
      </w:pPr>
      <w:r>
        <w:rPr>
          <w:rFonts w:ascii="Arial" w:cs="Arial" w:eastAsia="Arial" w:hAnsi="Arial"/>
          <w:sz w:val="17"/>
          <w:szCs w:val="17"/>
          <w:color w:val="auto"/>
        </w:rPr>
        <w:t>Cost reimbursements include direct and indirect costs that are reimbursed to us by customers under management contracts. All costs, with the exception of taxes assessed by a governmental authority, reimbursed to us by customers are reported on a gross basis. We recognize cost reimbursements when we incur the related reimbursable costs. Cost reimbursements consist of actual expenses with no added margin.</w:t>
      </w:r>
    </w:p>
    <w:p>
      <w:pPr>
        <w:spacing w:after="0" w:line="11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Interest Expense</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Interest expense consists of all interest expense other than consumer financing interest expense, which is included with Financing expense.</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Other Items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measure operating performance using the following key metrics:</w:t>
      </w:r>
    </w:p>
    <w:p>
      <w:pPr>
        <w:spacing w:after="0" w:line="117" w:lineRule="exact"/>
        <w:rPr>
          <w:sz w:val="20"/>
          <w:szCs w:val="20"/>
          <w:color w:val="auto"/>
        </w:rPr>
      </w:pPr>
    </w:p>
    <w:p>
      <w:pPr>
        <w:ind w:left="1300" w:hanging="320"/>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Contract sales from the sale of vacation ownership products;</w:t>
      </w:r>
    </w:p>
    <w:p>
      <w:pPr>
        <w:spacing w:after="0" w:line="117" w:lineRule="exact"/>
        <w:rPr>
          <w:rFonts w:ascii="Arial" w:cs="Arial" w:eastAsia="Arial" w:hAnsi="Arial"/>
          <w:sz w:val="18"/>
          <w:szCs w:val="18"/>
          <w:color w:val="auto"/>
        </w:rPr>
      </w:pPr>
    </w:p>
    <w:p>
      <w:pPr>
        <w:ind w:left="1960" w:hanging="332"/>
        <w:spacing w:after="0"/>
        <w:tabs>
          <w:tab w:leader="none" w:pos="1960" w:val="left"/>
        </w:tabs>
        <w:numPr>
          <w:ilvl w:val="1"/>
          <w:numId w:val="22"/>
        </w:numPr>
        <w:rPr>
          <w:rFonts w:ascii="Arial" w:cs="Arial" w:eastAsia="Arial" w:hAnsi="Arial"/>
          <w:sz w:val="18"/>
          <w:szCs w:val="18"/>
          <w:color w:val="auto"/>
        </w:rPr>
      </w:pPr>
      <w:r>
        <w:rPr>
          <w:rFonts w:ascii="Arial" w:cs="Arial" w:eastAsia="Arial" w:hAnsi="Arial"/>
          <w:sz w:val="18"/>
          <w:szCs w:val="18"/>
          <w:color w:val="auto"/>
        </w:rPr>
        <w:t>Total contract sales include contract sales from the sale of vacation ownership products including joint ventures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40"/>
          </w:cols>
          <w:pgMar w:left="320" w:top="125" w:right="3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left="1960" w:right="360" w:hanging="332"/>
        <w:spacing w:after="0" w:line="277" w:lineRule="auto"/>
        <w:tabs>
          <w:tab w:leader="none" w:pos="1960" w:val="left"/>
        </w:tabs>
        <w:numPr>
          <w:ilvl w:val="1"/>
          <w:numId w:val="23"/>
        </w:numPr>
        <w:rPr>
          <w:rFonts w:ascii="Arial" w:cs="Arial" w:eastAsia="Arial" w:hAnsi="Arial"/>
          <w:sz w:val="18"/>
          <w:szCs w:val="18"/>
          <w:color w:val="auto"/>
        </w:rPr>
      </w:pPr>
      <w:r>
        <w:rPr>
          <w:rFonts w:ascii="Arial" w:cs="Arial" w:eastAsia="Arial" w:hAnsi="Arial"/>
          <w:sz w:val="18"/>
          <w:szCs w:val="18"/>
          <w:color w:val="auto"/>
        </w:rPr>
        <w:t>Consolidated contract sales exclude contract sales from the sale of vacation ownership products for non-consolidated joint ventures</w:t>
      </w:r>
    </w:p>
    <w:p>
      <w:pPr>
        <w:spacing w:after="0" w:line="62" w:lineRule="exact"/>
        <w:rPr>
          <w:rFonts w:ascii="Arial" w:cs="Arial" w:eastAsia="Arial" w:hAnsi="Arial"/>
          <w:sz w:val="18"/>
          <w:szCs w:val="18"/>
          <w:color w:val="auto"/>
        </w:rPr>
      </w:pPr>
    </w:p>
    <w:p>
      <w:pPr>
        <w:ind w:left="1300" w:hanging="320"/>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Development margin percentage;</w:t>
      </w:r>
    </w:p>
    <w:p>
      <w:pPr>
        <w:spacing w:after="0" w:line="117" w:lineRule="exact"/>
        <w:rPr>
          <w:rFonts w:ascii="Arial" w:cs="Arial" w:eastAsia="Arial" w:hAnsi="Arial"/>
          <w:sz w:val="18"/>
          <w:szCs w:val="18"/>
          <w:color w:val="auto"/>
        </w:rPr>
      </w:pPr>
    </w:p>
    <w:p>
      <w:pPr>
        <w:ind w:left="1300" w:right="140" w:hanging="320"/>
        <w:spacing w:after="0" w:line="257" w:lineRule="auto"/>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Volume per guest (“VPG”), which we calculate by dividing consolidated vacation ownership contract sales, excluding fractional sales, telesales, resales, joint venture sales and other sales that are not attributed to a tour at a sales location, by the number of tours at sales locations in a given period (which we refer to as “tour flow”). We believe that this operating metric is valuable in evaluating the effectiveness of the sales process as it combines the impact of average contract price with the number of touring guests who make a purchase;</w:t>
      </w:r>
    </w:p>
    <w:p>
      <w:pPr>
        <w:spacing w:after="0" w:line="79" w:lineRule="exact"/>
        <w:rPr>
          <w:rFonts w:ascii="Arial" w:cs="Arial" w:eastAsia="Arial" w:hAnsi="Arial"/>
          <w:sz w:val="18"/>
          <w:szCs w:val="18"/>
          <w:color w:val="auto"/>
        </w:rPr>
      </w:pPr>
    </w:p>
    <w:p>
      <w:pPr>
        <w:ind w:left="1300" w:hanging="320"/>
        <w:spacing w:after="0" w:line="263" w:lineRule="auto"/>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Average revenue per member, which we calculate by dividing membership fee revenue, transaction revenue and other member revenue for the Interval International network by the monthly weighted average number of Interval International network active members during the applicable period; and</w:t>
      </w:r>
    </w:p>
    <w:p>
      <w:pPr>
        <w:spacing w:after="0" w:line="75" w:lineRule="exact"/>
        <w:rPr>
          <w:rFonts w:ascii="Arial" w:cs="Arial" w:eastAsia="Arial" w:hAnsi="Arial"/>
          <w:sz w:val="18"/>
          <w:szCs w:val="18"/>
          <w:color w:val="auto"/>
        </w:rPr>
      </w:pPr>
    </w:p>
    <w:p>
      <w:pPr>
        <w:ind w:left="1300" w:hanging="320"/>
        <w:spacing w:after="0"/>
        <w:tabs>
          <w:tab w:leader="none" w:pos="13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Total active members, which is the number of Interval International network active members at the end of the applicable period.</w:t>
      </w:r>
    </w:p>
    <w:p>
      <w:pPr>
        <w:spacing w:after="0" w:line="23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120"/>
          </w:cols>
          <w:pgMar w:left="320" w:top="125" w:right="45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60" w:type="dxa"/>
            <w:vAlign w:val="bottom"/>
            <w:gridSpan w:val="4"/>
          </w:tcPr>
          <w:p>
            <w:pPr>
              <w:jc w:val="right"/>
              <w:ind w:right="670"/>
              <w:spacing w:after="0"/>
              <w:rPr>
                <w:sz w:val="20"/>
                <w:szCs w:val="20"/>
                <w:color w:val="auto"/>
              </w:rPr>
            </w:pPr>
            <w:r>
              <w:rPr>
                <w:rFonts w:ascii="Arial" w:cs="Arial" w:eastAsia="Arial" w:hAnsi="Arial"/>
                <w:sz w:val="16"/>
                <w:szCs w:val="16"/>
                <w:b w:val="1"/>
                <w:bCs w:val="1"/>
                <w:color w:val="auto"/>
              </w:rPr>
              <w:t>Three Months Ended</w:t>
            </w:r>
          </w:p>
        </w:tc>
      </w:tr>
      <w:tr>
        <w:trPr>
          <w:trHeight w:val="33"/>
        </w:trPr>
        <w:tc>
          <w:tcPr>
            <w:tcW w:w="82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8"/>
        </w:trPr>
        <w:tc>
          <w:tcPr>
            <w:tcW w:w="822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160" w:type="dxa"/>
            <w:vAlign w:val="bottom"/>
          </w:tcPr>
          <w:p>
            <w:pPr>
              <w:spacing w:after="0"/>
              <w:rPr>
                <w:sz w:val="22"/>
                <w:szCs w:val="22"/>
                <w:color w:val="auto"/>
              </w:rPr>
            </w:pPr>
          </w:p>
        </w:tc>
        <w:tc>
          <w:tcPr>
            <w:tcW w:w="1400" w:type="dxa"/>
            <w:vAlign w:val="bottom"/>
            <w:gridSpan w:val="2"/>
          </w:tcPr>
          <w:p>
            <w:pPr>
              <w:ind w:left="20"/>
              <w:spacing w:after="0"/>
              <w:rPr>
                <w:sz w:val="20"/>
                <w:szCs w:val="20"/>
                <w:color w:val="auto"/>
              </w:rPr>
            </w:pPr>
            <w:r>
              <w:rPr>
                <w:rFonts w:ascii="Arial" w:cs="Arial" w:eastAsia="Arial" w:hAnsi="Arial"/>
                <w:sz w:val="16"/>
                <w:szCs w:val="16"/>
                <w:b w:val="1"/>
                <w:bCs w:val="1"/>
                <w:color w:val="auto"/>
              </w:rPr>
              <w:t>March 31, 2020</w:t>
            </w:r>
          </w:p>
        </w:tc>
        <w:tc>
          <w:tcPr>
            <w:tcW w:w="160" w:type="dxa"/>
            <w:vAlign w:val="bottom"/>
          </w:tcPr>
          <w:p>
            <w:pPr>
              <w:spacing w:after="0"/>
              <w:rPr>
                <w:sz w:val="22"/>
                <w:szCs w:val="22"/>
                <w:color w:val="auto"/>
              </w:rPr>
            </w:pPr>
          </w:p>
        </w:tc>
        <w:tc>
          <w:tcPr>
            <w:tcW w:w="1300" w:type="dxa"/>
            <w:vAlign w:val="bottom"/>
          </w:tcPr>
          <w:p>
            <w:pPr>
              <w:jc w:val="right"/>
              <w:ind w:right="110"/>
              <w:spacing w:after="0"/>
              <w:rPr>
                <w:sz w:val="20"/>
                <w:szCs w:val="20"/>
                <w:color w:val="auto"/>
              </w:rPr>
            </w:pPr>
            <w:r>
              <w:rPr>
                <w:rFonts w:ascii="Arial" w:cs="Arial" w:eastAsia="Arial" w:hAnsi="Arial"/>
                <w:sz w:val="16"/>
                <w:szCs w:val="16"/>
                <w:b w:val="1"/>
                <w:bCs w:val="1"/>
                <w:color w:val="auto"/>
                <w:w w:val="94"/>
              </w:rPr>
              <w:t>March 31, 2019</w:t>
            </w:r>
          </w:p>
        </w:tc>
      </w:tr>
      <w:tr>
        <w:trPr>
          <w:trHeight w:val="250"/>
        </w:trPr>
        <w:tc>
          <w:tcPr>
            <w:tcW w:w="82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REVENUES</w:t>
            </w: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8220" w:type="dxa"/>
            <w:vAlign w:val="bottom"/>
          </w:tcPr>
          <w:p>
            <w:pPr>
              <w:ind w:left="280"/>
              <w:spacing w:after="0"/>
              <w:rPr>
                <w:sz w:val="20"/>
                <w:szCs w:val="20"/>
                <w:color w:val="auto"/>
              </w:rPr>
            </w:pPr>
            <w:r>
              <w:rPr>
                <w:rFonts w:ascii="Arial" w:cs="Arial" w:eastAsia="Arial" w:hAnsi="Arial"/>
                <w:sz w:val="18"/>
                <w:szCs w:val="18"/>
                <w:color w:val="auto"/>
              </w:rPr>
              <w:t>Sale of vacation ownership products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258</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293</w:t>
            </w:r>
          </w:p>
        </w:tc>
      </w:tr>
      <w:tr>
        <w:trPr>
          <w:trHeight w:val="27"/>
        </w:trPr>
        <w:tc>
          <w:tcPr>
            <w:tcW w:w="8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Management and exchange</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239</w:t>
            </w:r>
          </w:p>
        </w:tc>
      </w:tr>
      <w:tr>
        <w:trPr>
          <w:trHeight w:val="243"/>
        </w:trPr>
        <w:tc>
          <w:tcPr>
            <w:tcW w:w="8220" w:type="dxa"/>
            <w:vAlign w:val="bottom"/>
          </w:tcPr>
          <w:p>
            <w:pPr>
              <w:ind w:left="280"/>
              <w:spacing w:after="0"/>
              <w:rPr>
                <w:sz w:val="20"/>
                <w:szCs w:val="20"/>
                <w:color w:val="auto"/>
              </w:rPr>
            </w:pPr>
            <w:r>
              <w:rPr>
                <w:rFonts w:ascii="Arial" w:cs="Arial" w:eastAsia="Arial" w:hAnsi="Arial"/>
                <w:sz w:val="18"/>
                <w:szCs w:val="18"/>
                <w:color w:val="auto"/>
              </w:rPr>
              <w:t>Rental</w:t>
            </w:r>
          </w:p>
        </w:tc>
        <w:tc>
          <w:tcPr>
            <w:tcW w:w="16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147</w:t>
            </w:r>
          </w:p>
        </w:tc>
      </w:tr>
      <w:tr>
        <w:trPr>
          <w:trHeight w:val="27"/>
        </w:trPr>
        <w:tc>
          <w:tcPr>
            <w:tcW w:w="8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Financing</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w:t>
            </w:r>
          </w:p>
        </w:tc>
      </w:tr>
      <w:tr>
        <w:trPr>
          <w:trHeight w:val="243"/>
        </w:trPr>
        <w:tc>
          <w:tcPr>
            <w:tcW w:w="8220" w:type="dxa"/>
            <w:vAlign w:val="bottom"/>
          </w:tcPr>
          <w:p>
            <w:pPr>
              <w:ind w:left="280"/>
              <w:spacing w:after="0"/>
              <w:rPr>
                <w:sz w:val="20"/>
                <w:szCs w:val="20"/>
                <w:color w:val="auto"/>
              </w:rPr>
            </w:pPr>
            <w:r>
              <w:rPr>
                <w:rFonts w:ascii="Arial" w:cs="Arial" w:eastAsia="Arial" w:hAnsi="Arial"/>
                <w:sz w:val="18"/>
                <w:szCs w:val="18"/>
                <w:color w:val="auto"/>
              </w:rPr>
              <w:t>Cost reimbursements</w:t>
            </w:r>
          </w:p>
        </w:tc>
        <w:tc>
          <w:tcPr>
            <w:tcW w:w="16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318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287</w:t>
            </w:r>
          </w:p>
        </w:tc>
      </w:tr>
      <w:tr>
        <w:trPr>
          <w:trHeight w:val="27"/>
        </w:trPr>
        <w:tc>
          <w:tcPr>
            <w:tcW w:w="8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4"/>
        </w:trPr>
        <w:tc>
          <w:tcPr>
            <w:tcW w:w="82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b w:val="1"/>
                <w:bCs w:val="1"/>
                <w:color w:val="auto"/>
              </w:rPr>
              <w:t>TOTAL REVENUES</w:t>
            </w:r>
          </w:p>
        </w:tc>
        <w:tc>
          <w:tcPr>
            <w:tcW w:w="16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1,010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1,034</w:t>
            </w:r>
          </w:p>
        </w:tc>
      </w:tr>
      <w:tr>
        <w:trPr>
          <w:trHeight w:val="237"/>
        </w:trPr>
        <w:tc>
          <w:tcPr>
            <w:tcW w:w="8220" w:type="dxa"/>
            <w:vAlign w:val="bottom"/>
          </w:tcPr>
          <w:p>
            <w:pPr>
              <w:ind w:left="40"/>
              <w:spacing w:after="0"/>
              <w:rPr>
                <w:sz w:val="20"/>
                <w:szCs w:val="20"/>
                <w:color w:val="auto"/>
              </w:rPr>
            </w:pPr>
            <w:r>
              <w:rPr>
                <w:rFonts w:ascii="Arial" w:cs="Arial" w:eastAsia="Arial" w:hAnsi="Arial"/>
                <w:sz w:val="18"/>
                <w:szCs w:val="18"/>
                <w:b w:val="1"/>
                <w:bCs w:val="1"/>
                <w:color w:val="auto"/>
              </w:rPr>
              <w:t>EXPENSES</w:t>
            </w:r>
          </w:p>
        </w:tc>
        <w:tc>
          <w:tcPr>
            <w:tcW w:w="16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r>
      <w:tr>
        <w:trPr>
          <w:trHeight w:val="27"/>
        </w:trPr>
        <w:tc>
          <w:tcPr>
            <w:tcW w:w="8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Cost of vacation ownership products</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w:t>
            </w:r>
          </w:p>
        </w:tc>
      </w:tr>
      <w:tr>
        <w:trPr>
          <w:trHeight w:val="243"/>
        </w:trPr>
        <w:tc>
          <w:tcPr>
            <w:tcW w:w="8220" w:type="dxa"/>
            <w:vAlign w:val="bottom"/>
          </w:tcPr>
          <w:p>
            <w:pPr>
              <w:ind w:left="280"/>
              <w:spacing w:after="0"/>
              <w:rPr>
                <w:sz w:val="20"/>
                <w:szCs w:val="20"/>
                <w:color w:val="auto"/>
              </w:rPr>
            </w:pPr>
            <w:r>
              <w:rPr>
                <w:rFonts w:ascii="Arial" w:cs="Arial" w:eastAsia="Arial" w:hAnsi="Arial"/>
                <w:sz w:val="18"/>
                <w:szCs w:val="18"/>
                <w:color w:val="auto"/>
              </w:rPr>
              <w:t>Marketing and sales</w:t>
            </w:r>
          </w:p>
        </w:tc>
        <w:tc>
          <w:tcPr>
            <w:tcW w:w="16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183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186</w:t>
            </w:r>
          </w:p>
        </w:tc>
      </w:tr>
      <w:tr>
        <w:trPr>
          <w:trHeight w:val="27"/>
        </w:trPr>
        <w:tc>
          <w:tcPr>
            <w:tcW w:w="8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Management and exchange</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133</w:t>
            </w:r>
          </w:p>
        </w:tc>
      </w:tr>
      <w:tr>
        <w:trPr>
          <w:trHeight w:val="243"/>
        </w:trPr>
        <w:tc>
          <w:tcPr>
            <w:tcW w:w="8220" w:type="dxa"/>
            <w:vAlign w:val="bottom"/>
          </w:tcPr>
          <w:p>
            <w:pPr>
              <w:ind w:left="280"/>
              <w:spacing w:after="0"/>
              <w:rPr>
                <w:sz w:val="20"/>
                <w:szCs w:val="20"/>
                <w:color w:val="auto"/>
              </w:rPr>
            </w:pPr>
            <w:r>
              <w:rPr>
                <w:rFonts w:ascii="Arial" w:cs="Arial" w:eastAsia="Arial" w:hAnsi="Arial"/>
                <w:sz w:val="18"/>
                <w:szCs w:val="18"/>
                <w:color w:val="auto"/>
              </w:rPr>
              <w:t>Rental</w:t>
            </w:r>
          </w:p>
        </w:tc>
        <w:tc>
          <w:tcPr>
            <w:tcW w:w="16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80</w:t>
            </w:r>
          </w:p>
        </w:tc>
      </w:tr>
      <w:tr>
        <w:trPr>
          <w:trHeight w:val="27"/>
        </w:trPr>
        <w:tc>
          <w:tcPr>
            <w:tcW w:w="8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Financing</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w:t>
            </w:r>
          </w:p>
        </w:tc>
      </w:tr>
      <w:tr>
        <w:trPr>
          <w:trHeight w:val="243"/>
        </w:trPr>
        <w:tc>
          <w:tcPr>
            <w:tcW w:w="8220" w:type="dxa"/>
            <w:vAlign w:val="bottom"/>
          </w:tcPr>
          <w:p>
            <w:pPr>
              <w:ind w:left="280"/>
              <w:spacing w:after="0"/>
              <w:rPr>
                <w:sz w:val="20"/>
                <w:szCs w:val="20"/>
                <w:color w:val="auto"/>
              </w:rPr>
            </w:pPr>
            <w:r>
              <w:rPr>
                <w:rFonts w:ascii="Arial" w:cs="Arial" w:eastAsia="Arial" w:hAnsi="Arial"/>
                <w:sz w:val="18"/>
                <w:szCs w:val="18"/>
                <w:color w:val="auto"/>
              </w:rPr>
              <w:t>General and administrative</w:t>
            </w:r>
          </w:p>
        </w:tc>
        <w:tc>
          <w:tcPr>
            <w:tcW w:w="16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67</w:t>
            </w:r>
          </w:p>
        </w:tc>
      </w:tr>
      <w:tr>
        <w:trPr>
          <w:trHeight w:val="27"/>
        </w:trPr>
        <w:tc>
          <w:tcPr>
            <w:tcW w:w="8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Depreciation and amortization</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w:t>
            </w:r>
          </w:p>
        </w:tc>
      </w:tr>
      <w:tr>
        <w:trPr>
          <w:trHeight w:val="243"/>
        </w:trPr>
        <w:tc>
          <w:tcPr>
            <w:tcW w:w="8220" w:type="dxa"/>
            <w:vAlign w:val="bottom"/>
          </w:tcPr>
          <w:p>
            <w:pPr>
              <w:ind w:left="280"/>
              <w:spacing w:after="0"/>
              <w:rPr>
                <w:sz w:val="20"/>
                <w:szCs w:val="20"/>
                <w:color w:val="auto"/>
              </w:rPr>
            </w:pPr>
            <w:r>
              <w:rPr>
                <w:rFonts w:ascii="Arial" w:cs="Arial" w:eastAsia="Arial" w:hAnsi="Arial"/>
                <w:sz w:val="18"/>
                <w:szCs w:val="18"/>
                <w:color w:val="auto"/>
              </w:rPr>
              <w:t>Litigation charges</w:t>
            </w:r>
          </w:p>
        </w:tc>
        <w:tc>
          <w:tcPr>
            <w:tcW w:w="16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w:t>
            </w:r>
          </w:p>
        </w:tc>
      </w:tr>
      <w:tr>
        <w:trPr>
          <w:trHeight w:val="27"/>
        </w:trPr>
        <w:tc>
          <w:tcPr>
            <w:tcW w:w="8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Royalty fee</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w:t>
            </w:r>
          </w:p>
        </w:tc>
      </w:tr>
      <w:tr>
        <w:trPr>
          <w:trHeight w:val="243"/>
        </w:trPr>
        <w:tc>
          <w:tcPr>
            <w:tcW w:w="8220" w:type="dxa"/>
            <w:vAlign w:val="bottom"/>
          </w:tcPr>
          <w:p>
            <w:pPr>
              <w:ind w:left="280"/>
              <w:spacing w:after="0"/>
              <w:rPr>
                <w:sz w:val="20"/>
                <w:szCs w:val="20"/>
                <w:color w:val="auto"/>
              </w:rPr>
            </w:pPr>
            <w:r>
              <w:rPr>
                <w:rFonts w:ascii="Arial" w:cs="Arial" w:eastAsia="Arial" w:hAnsi="Arial"/>
                <w:sz w:val="18"/>
                <w:szCs w:val="18"/>
                <w:color w:val="auto"/>
              </w:rPr>
              <w:t>Impairment</w:t>
            </w:r>
          </w:p>
        </w:tc>
        <w:tc>
          <w:tcPr>
            <w:tcW w:w="16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26</w:t>
            </w:r>
          </w:p>
        </w:tc>
      </w:tr>
      <w:tr>
        <w:trPr>
          <w:trHeight w:val="27"/>
        </w:trPr>
        <w:tc>
          <w:tcPr>
            <w:tcW w:w="8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82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Cost reimbursements</w:t>
            </w: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287</w:t>
            </w:r>
          </w:p>
        </w:tc>
      </w:tr>
      <w:tr>
        <w:trPr>
          <w:trHeight w:val="237"/>
        </w:trPr>
        <w:tc>
          <w:tcPr>
            <w:tcW w:w="8220" w:type="dxa"/>
            <w:vAlign w:val="bottom"/>
          </w:tcPr>
          <w:p>
            <w:pPr>
              <w:ind w:left="500"/>
              <w:spacing w:after="0"/>
              <w:rPr>
                <w:sz w:val="20"/>
                <w:szCs w:val="20"/>
                <w:color w:val="auto"/>
              </w:rPr>
            </w:pPr>
            <w:r>
              <w:rPr>
                <w:rFonts w:ascii="Arial" w:cs="Arial" w:eastAsia="Arial" w:hAnsi="Arial"/>
                <w:sz w:val="18"/>
                <w:szCs w:val="18"/>
                <w:b w:val="1"/>
                <w:bCs w:val="1"/>
                <w:color w:val="auto"/>
              </w:rPr>
              <w:t>TOTAL EXPENSES</w:t>
            </w:r>
          </w:p>
        </w:tc>
        <w:tc>
          <w:tcPr>
            <w:tcW w:w="16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1,060</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943</w:t>
            </w:r>
          </w:p>
        </w:tc>
      </w:tr>
      <w:tr>
        <w:trPr>
          <w:trHeight w:val="27"/>
        </w:trPr>
        <w:tc>
          <w:tcPr>
            <w:tcW w:w="8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82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(Losses) gains and other (expense) income, net</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w:t>
            </w:r>
          </w:p>
        </w:tc>
      </w:tr>
      <w:tr>
        <w:trPr>
          <w:trHeight w:val="243"/>
        </w:trPr>
        <w:tc>
          <w:tcPr>
            <w:tcW w:w="8220" w:type="dxa"/>
            <w:vAlign w:val="bottom"/>
          </w:tcPr>
          <w:p>
            <w:pPr>
              <w:ind w:left="280"/>
              <w:spacing w:after="0"/>
              <w:rPr>
                <w:sz w:val="20"/>
                <w:szCs w:val="20"/>
                <w:color w:val="auto"/>
              </w:rPr>
            </w:pPr>
            <w:r>
              <w:rPr>
                <w:rFonts w:ascii="Arial" w:cs="Arial" w:eastAsia="Arial" w:hAnsi="Arial"/>
                <w:sz w:val="18"/>
                <w:szCs w:val="18"/>
                <w:color w:val="auto"/>
              </w:rPr>
              <w:t>Interest expense</w:t>
            </w: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7"/>
        </w:trPr>
        <w:tc>
          <w:tcPr>
            <w:tcW w:w="8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ILG acquisition-related costs</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43"/>
        </w:trPr>
        <w:tc>
          <w:tcPr>
            <w:tcW w:w="8220" w:type="dxa"/>
            <w:vAlign w:val="bottom"/>
          </w:tcPr>
          <w:p>
            <w:pPr>
              <w:ind w:left="280"/>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(LOSS) INCOME BEFORE INCOME TAXES AND NONCONTROLLING INTERESTS</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w:t>
            </w:r>
          </w:p>
        </w:tc>
      </w:tr>
      <w:tr>
        <w:trPr>
          <w:trHeight w:val="243"/>
        </w:trPr>
        <w:tc>
          <w:tcPr>
            <w:tcW w:w="8220" w:type="dxa"/>
            <w:vAlign w:val="bottom"/>
          </w:tcPr>
          <w:p>
            <w:pPr>
              <w:ind w:left="40"/>
              <w:spacing w:after="0"/>
              <w:rPr>
                <w:sz w:val="20"/>
                <w:szCs w:val="20"/>
                <w:color w:val="auto"/>
              </w:rPr>
            </w:pPr>
            <w:r>
              <w:rPr>
                <w:rFonts w:ascii="Arial" w:cs="Arial" w:eastAsia="Arial" w:hAnsi="Arial"/>
                <w:sz w:val="18"/>
                <w:szCs w:val="18"/>
                <w:color w:val="auto"/>
              </w:rPr>
              <w:t>Benefit (provision) for income taxes</w:t>
            </w:r>
          </w:p>
        </w:tc>
        <w:tc>
          <w:tcPr>
            <w:tcW w:w="16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7"/>
        </w:trPr>
        <w:tc>
          <w:tcPr>
            <w:tcW w:w="8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3"/>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(LOSS) INCOME</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w:t>
            </w:r>
          </w:p>
        </w:tc>
      </w:tr>
      <w:tr>
        <w:trPr>
          <w:trHeight w:val="243"/>
        </w:trPr>
        <w:tc>
          <w:tcPr>
            <w:tcW w:w="8220" w:type="dxa"/>
            <w:vAlign w:val="bottom"/>
          </w:tcPr>
          <w:p>
            <w:pPr>
              <w:ind w:left="40"/>
              <w:spacing w:after="0"/>
              <w:rPr>
                <w:sz w:val="20"/>
                <w:szCs w:val="20"/>
                <w:color w:val="auto"/>
              </w:rPr>
            </w:pPr>
            <w:r>
              <w:rPr>
                <w:rFonts w:ascii="Arial" w:cs="Arial" w:eastAsia="Arial" w:hAnsi="Arial"/>
                <w:sz w:val="18"/>
                <w:szCs w:val="18"/>
                <w:color w:val="auto"/>
              </w:rPr>
              <w:t>Net income attributable to noncontrolling interests</w:t>
            </w: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7"/>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(LOSS) INCOME ATTRIBUTABLE TO COMMON SHAREHOLDERS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24</w:t>
            </w:r>
          </w:p>
        </w:tc>
      </w:tr>
      <w:tr>
        <w:trPr>
          <w:trHeight w:val="20"/>
        </w:trPr>
        <w:tc>
          <w:tcPr>
            <w:tcW w:w="8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Statistics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2020 First Quarter</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0" w:type="dxa"/>
            <w:vAlign w:val="bottom"/>
            <w:gridSpan w:val="5"/>
          </w:tcPr>
          <w:p>
            <w:pPr>
              <w:ind w:left="640"/>
              <w:spacing w:after="0"/>
              <w:rPr>
                <w:sz w:val="20"/>
                <w:szCs w:val="20"/>
                <w:color w:val="auto"/>
              </w:rPr>
            </w:pPr>
            <w:r>
              <w:rPr>
                <w:rFonts w:ascii="Arial" w:cs="Arial" w:eastAsia="Arial" w:hAnsi="Arial"/>
                <w:sz w:val="16"/>
                <w:szCs w:val="16"/>
                <w:b w:val="1"/>
                <w:bCs w:val="1"/>
                <w:color w:val="auto"/>
              </w:rPr>
              <w:t>Three Months Ended</w:t>
            </w: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33"/>
        </w:trPr>
        <w:tc>
          <w:tcPr>
            <w:tcW w:w="50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1460" w:type="dxa"/>
            <w:vAlign w:val="bottom"/>
          </w:tcPr>
          <w:p>
            <w:pPr>
              <w:spacing w:after="0"/>
              <w:rPr>
                <w:sz w:val="2"/>
                <w:szCs w:val="2"/>
                <w:color w:val="auto"/>
              </w:rPr>
            </w:pPr>
          </w:p>
        </w:tc>
      </w:tr>
      <w:tr>
        <w:trPr>
          <w:trHeight w:val="258"/>
        </w:trPr>
        <w:tc>
          <w:tcPr>
            <w:tcW w:w="508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(Contract sales $ in millions)</w:t>
            </w:r>
          </w:p>
        </w:tc>
        <w:tc>
          <w:tcPr>
            <w:tcW w:w="140" w:type="dxa"/>
            <w:vAlign w:val="bottom"/>
          </w:tcPr>
          <w:p>
            <w:pPr>
              <w:spacing w:after="0"/>
              <w:rPr>
                <w:sz w:val="22"/>
                <w:szCs w:val="22"/>
                <w:color w:val="auto"/>
              </w:rPr>
            </w:pPr>
          </w:p>
        </w:tc>
        <w:tc>
          <w:tcPr>
            <w:tcW w:w="1420" w:type="dxa"/>
            <w:vAlign w:val="bottom"/>
            <w:gridSpan w:val="2"/>
          </w:tcPr>
          <w:p>
            <w:pPr>
              <w:ind w:left="60"/>
              <w:spacing w:after="0"/>
              <w:rPr>
                <w:sz w:val="20"/>
                <w:szCs w:val="20"/>
                <w:color w:val="auto"/>
              </w:rPr>
            </w:pPr>
            <w:r>
              <w:rPr>
                <w:rFonts w:ascii="Arial" w:cs="Arial" w:eastAsia="Arial" w:hAnsi="Arial"/>
                <w:sz w:val="16"/>
                <w:szCs w:val="16"/>
                <w:b w:val="1"/>
                <w:bCs w:val="1"/>
                <w:color w:val="auto"/>
              </w:rPr>
              <w:t>March 31, 2020</w:t>
            </w:r>
          </w:p>
        </w:tc>
        <w:tc>
          <w:tcPr>
            <w:tcW w:w="160" w:type="dxa"/>
            <w:vAlign w:val="bottom"/>
          </w:tcPr>
          <w:p>
            <w:pPr>
              <w:spacing w:after="0"/>
              <w:rPr>
                <w:sz w:val="22"/>
                <w:szCs w:val="22"/>
                <w:color w:val="auto"/>
              </w:rPr>
            </w:pPr>
          </w:p>
        </w:tc>
        <w:tc>
          <w:tcPr>
            <w:tcW w:w="1420" w:type="dxa"/>
            <w:vAlign w:val="bottom"/>
            <w:gridSpan w:val="2"/>
          </w:tcPr>
          <w:p>
            <w:pPr>
              <w:ind w:left="40"/>
              <w:spacing w:after="0"/>
              <w:rPr>
                <w:sz w:val="20"/>
                <w:szCs w:val="20"/>
                <w:color w:val="auto"/>
              </w:rPr>
            </w:pPr>
            <w:r>
              <w:rPr>
                <w:rFonts w:ascii="Arial" w:cs="Arial" w:eastAsia="Arial" w:hAnsi="Arial"/>
                <w:sz w:val="16"/>
                <w:szCs w:val="16"/>
                <w:b w:val="1"/>
                <w:bCs w:val="1"/>
                <w:color w:val="auto"/>
              </w:rPr>
              <w:t>March 31, 2019</w:t>
            </w:r>
          </w:p>
        </w:tc>
        <w:tc>
          <w:tcPr>
            <w:tcW w:w="280" w:type="dxa"/>
            <w:vAlign w:val="bottom"/>
          </w:tcPr>
          <w:p>
            <w:pPr>
              <w:spacing w:after="0"/>
              <w:rPr>
                <w:sz w:val="22"/>
                <w:szCs w:val="22"/>
                <w:color w:val="auto"/>
              </w:rPr>
            </w:pPr>
          </w:p>
        </w:tc>
        <w:tc>
          <w:tcPr>
            <w:tcW w:w="1280" w:type="dxa"/>
            <w:vAlign w:val="bottom"/>
            <w:gridSpan w:val="2"/>
          </w:tcPr>
          <w:p>
            <w:pPr>
              <w:ind w:left="180"/>
              <w:spacing w:after="0"/>
              <w:rPr>
                <w:sz w:val="20"/>
                <w:szCs w:val="20"/>
                <w:color w:val="auto"/>
              </w:rPr>
            </w:pPr>
            <w:r>
              <w:rPr>
                <w:rFonts w:ascii="Arial" w:cs="Arial" w:eastAsia="Arial" w:hAnsi="Arial"/>
                <w:sz w:val="16"/>
                <w:szCs w:val="16"/>
                <w:b w:val="1"/>
                <w:bCs w:val="1"/>
                <w:color w:val="auto"/>
              </w:rPr>
              <w:t>Change</w:t>
            </w:r>
          </w:p>
        </w:tc>
        <w:tc>
          <w:tcPr>
            <w:tcW w:w="1460" w:type="dxa"/>
            <w:vAlign w:val="bottom"/>
          </w:tcPr>
          <w:p>
            <w:pPr>
              <w:ind w:left="360"/>
              <w:spacing w:after="0"/>
              <w:rPr>
                <w:sz w:val="20"/>
                <w:szCs w:val="20"/>
                <w:color w:val="auto"/>
              </w:rPr>
            </w:pPr>
            <w:r>
              <w:rPr>
                <w:rFonts w:ascii="Arial" w:cs="Arial" w:eastAsia="Arial" w:hAnsi="Arial"/>
                <w:sz w:val="16"/>
                <w:szCs w:val="16"/>
                <w:b w:val="1"/>
                <w:bCs w:val="1"/>
                <w:color w:val="auto"/>
              </w:rPr>
              <w:t>% Change</w:t>
            </w:r>
          </w:p>
        </w:tc>
      </w:tr>
      <w:tr>
        <w:trPr>
          <w:trHeight w:val="249"/>
        </w:trPr>
        <w:tc>
          <w:tcPr>
            <w:tcW w:w="50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Vacation Ownership</w:t>
            </w: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6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5080" w:type="dxa"/>
            <w:vAlign w:val="bottom"/>
          </w:tcPr>
          <w:p>
            <w:pPr>
              <w:ind w:left="280"/>
              <w:spacing w:after="0"/>
              <w:rPr>
                <w:sz w:val="20"/>
                <w:szCs w:val="20"/>
                <w:color w:val="auto"/>
              </w:rPr>
            </w:pPr>
            <w:r>
              <w:rPr>
                <w:rFonts w:ascii="Arial" w:cs="Arial" w:eastAsia="Arial" w:hAnsi="Arial"/>
                <w:sz w:val="18"/>
                <w:szCs w:val="18"/>
                <w:color w:val="auto"/>
              </w:rPr>
              <w:t>Total contract sales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315</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365</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1"/>
                <w:szCs w:val="21"/>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5"/>
              </w:rPr>
              <w:t>(14%)</w:t>
            </w:r>
          </w:p>
        </w:tc>
      </w:tr>
      <w:tr>
        <w:trPr>
          <w:trHeight w:val="27"/>
        </w:trPr>
        <w:tc>
          <w:tcPr>
            <w:tcW w:w="5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5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Consolidated contract sales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5"/>
              </w:rPr>
              <w:t>(13%)</w:t>
            </w: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b w:val="1"/>
                <w:bCs w:val="1"/>
                <w:color w:val="auto"/>
              </w:rPr>
              <w:t>Exchange &amp; Third-Party Management</w:t>
            </w:r>
          </w:p>
        </w:tc>
        <w:tc>
          <w:tcPr>
            <w:tcW w:w="1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r>
      <w:tr>
        <w:trPr>
          <w:trHeight w:val="27"/>
        </w:trPr>
        <w:tc>
          <w:tcPr>
            <w:tcW w:w="5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5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active members at end of period (000's)</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1,636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1,694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(3%)</w:t>
            </w:r>
          </w:p>
        </w:tc>
      </w:tr>
      <w:tr>
        <w:trPr>
          <w:trHeight w:val="254"/>
        </w:trPr>
        <w:tc>
          <w:tcPr>
            <w:tcW w:w="5080" w:type="dxa"/>
            <w:vAlign w:val="bottom"/>
          </w:tcPr>
          <w:p>
            <w:pPr>
              <w:ind w:left="280"/>
              <w:spacing w:after="0"/>
              <w:rPr>
                <w:sz w:val="20"/>
                <w:szCs w:val="20"/>
                <w:color w:val="auto"/>
              </w:rPr>
            </w:pPr>
            <w:r>
              <w:rPr>
                <w:rFonts w:ascii="Arial" w:cs="Arial" w:eastAsia="Arial" w:hAnsi="Arial"/>
                <w:sz w:val="18"/>
                <w:szCs w:val="18"/>
                <w:color w:val="auto"/>
              </w:rPr>
              <w:t>Average revenue per member</w:t>
            </w:r>
            <w:r>
              <w:rPr>
                <w:rFonts w:ascii="Arial" w:cs="Arial" w:eastAsia="Arial" w:hAnsi="Arial"/>
                <w:sz w:val="18"/>
                <w:szCs w:val="18"/>
                <w:color w:val="auto"/>
                <w:vertAlign w:val="superscript"/>
              </w:rPr>
              <w:t>(1)</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41.37</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46.24</w:t>
            </w:r>
          </w:p>
        </w:tc>
        <w:tc>
          <w:tcPr>
            <w:tcW w:w="120" w:type="dxa"/>
            <w:vAlign w:val="bottom"/>
          </w:tcPr>
          <w:p>
            <w:pPr>
              <w:spacing w:after="0"/>
              <w:rPr>
                <w:sz w:val="22"/>
                <w:szCs w:val="22"/>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(4.87)</w:t>
            </w:r>
          </w:p>
        </w:tc>
        <w:tc>
          <w:tcPr>
            <w:tcW w:w="100" w:type="dxa"/>
            <w:vAlign w:val="bottom"/>
          </w:tcPr>
          <w:p>
            <w:pPr>
              <w:spacing w:after="0"/>
              <w:rPr>
                <w:sz w:val="22"/>
                <w:szCs w:val="22"/>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5"/>
              </w:rPr>
              <w:t>(11%)</w:t>
            </w:r>
          </w:p>
        </w:tc>
      </w:tr>
      <w:tr>
        <w:trPr>
          <w:trHeight w:val="232"/>
        </w:trPr>
        <w:tc>
          <w:tcPr>
            <w:tcW w:w="5080" w:type="dxa"/>
            <w:vAlign w:val="bottom"/>
          </w:tcPr>
          <w:p>
            <w:pPr>
              <w:spacing w:after="0"/>
              <w:rPr>
                <w:sz w:val="20"/>
                <w:szCs w:val="20"/>
                <w:color w:val="auto"/>
              </w:rPr>
            </w:pPr>
            <w:r>
              <w:rPr>
                <w:rFonts w:ascii="Arial" w:cs="Arial" w:eastAsia="Arial" w:hAnsi="Arial"/>
                <w:sz w:val="18"/>
                <w:szCs w:val="18"/>
                <w:color w:val="auto"/>
              </w:rPr>
              <w:t>_______________</w:t>
            </w: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r>
    </w:tbl>
    <w:p>
      <w:pPr>
        <w:ind w:left="660" w:hanging="652"/>
        <w:spacing w:after="0" w:line="225" w:lineRule="auto"/>
        <w:tabs>
          <w:tab w:leader="none" w:pos="660" w:val="left"/>
        </w:tabs>
        <w:numPr>
          <w:ilvl w:val="0"/>
          <w:numId w:val="24"/>
        </w:numPr>
        <w:rPr>
          <w:rFonts w:ascii="Arial" w:cs="Arial" w:eastAsia="Arial" w:hAnsi="Arial"/>
          <w:sz w:val="25"/>
          <w:szCs w:val="25"/>
          <w:color w:val="auto"/>
          <w:vertAlign w:val="superscript"/>
        </w:rPr>
      </w:pPr>
      <w:r>
        <w:rPr>
          <w:rFonts w:ascii="Arial" w:cs="Arial" w:eastAsia="Arial" w:hAnsi="Arial"/>
          <w:sz w:val="18"/>
          <w:szCs w:val="18"/>
          <w:color w:val="auto"/>
        </w:rPr>
        <w:t>Only includes members of the Interval International exchange network.</w:t>
      </w:r>
    </w:p>
    <w:p>
      <w:pPr>
        <w:sectPr>
          <w:pgSz w:w="11900" w:h="16838" w:orient="portrait"/>
          <w:cols w:equalWidth="0" w:num="1">
            <w:col w:w="11240"/>
          </w:cols>
          <w:pgMar w:left="320" w:top="125" w:right="339" w:bottom="1440" w:gutter="0" w:footer="0" w:header="0"/>
        </w:sect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41</w:t>
      </w:r>
    </w:p>
    <w:p>
      <w:pPr>
        <w:sectPr>
          <w:pgSz w:w="11900" w:h="16838" w:orient="portrait"/>
          <w:cols w:equalWidth="0" w:num="1">
            <w:col w:w="11240"/>
          </w:cols>
          <w:pgMar w:left="320" w:top="125" w:right="339" w:bottom="1440" w:gutter="0" w:footer="0" w:header="0"/>
          <w:type w:val="continuous"/>
        </w:sectPr>
      </w:pPr>
    </w:p>
    <w:bookmarkStart w:id="44" w:name="page45"/>
    <w:bookmarkEnd w:id="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2020 First Quarter</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our revenues for the first quarter of 2020 compared to the first quarter of 2019.</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0" w:type="dxa"/>
            <w:vAlign w:val="bottom"/>
            <w:gridSpan w:val="5"/>
          </w:tcPr>
          <w:p>
            <w:pPr>
              <w:ind w:left="820"/>
              <w:spacing w:after="0"/>
              <w:rPr>
                <w:sz w:val="20"/>
                <w:szCs w:val="20"/>
                <w:color w:val="auto"/>
              </w:rPr>
            </w:pPr>
            <w:r>
              <w:rPr>
                <w:rFonts w:ascii="Arial" w:cs="Arial" w:eastAsia="Arial" w:hAnsi="Arial"/>
                <w:sz w:val="16"/>
                <w:szCs w:val="16"/>
                <w:b w:val="1"/>
                <w:bCs w:val="1"/>
                <w:color w:val="auto"/>
              </w:rPr>
              <w:t>Three Months Ended</w:t>
            </w:r>
          </w:p>
        </w:tc>
        <w:tc>
          <w:tcPr>
            <w:tcW w:w="1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33"/>
        </w:trPr>
        <w:tc>
          <w:tcPr>
            <w:tcW w:w="4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7"/>
        </w:trPr>
        <w:tc>
          <w:tcPr>
            <w:tcW w:w="416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220" w:type="dxa"/>
            <w:vAlign w:val="bottom"/>
          </w:tcPr>
          <w:p>
            <w:pPr>
              <w:spacing w:after="0"/>
              <w:rPr>
                <w:sz w:val="22"/>
                <w:szCs w:val="22"/>
                <w:color w:val="auto"/>
              </w:rPr>
            </w:pPr>
          </w:p>
        </w:tc>
        <w:tc>
          <w:tcPr>
            <w:tcW w:w="1600" w:type="dxa"/>
            <w:vAlign w:val="bottom"/>
            <w:gridSpan w:val="2"/>
          </w:tcPr>
          <w:p>
            <w:pPr>
              <w:ind w:left="100"/>
              <w:spacing w:after="0"/>
              <w:rPr>
                <w:sz w:val="20"/>
                <w:szCs w:val="20"/>
                <w:color w:val="auto"/>
              </w:rPr>
            </w:pPr>
            <w:r>
              <w:rPr>
                <w:rFonts w:ascii="Arial" w:cs="Arial" w:eastAsia="Arial" w:hAnsi="Arial"/>
                <w:sz w:val="16"/>
                <w:szCs w:val="16"/>
                <w:b w:val="1"/>
                <w:bCs w:val="1"/>
                <w:color w:val="auto"/>
              </w:rPr>
              <w:t>March 31, 2020</w:t>
            </w:r>
          </w:p>
        </w:tc>
        <w:tc>
          <w:tcPr>
            <w:tcW w:w="200" w:type="dxa"/>
            <w:vAlign w:val="bottom"/>
          </w:tcPr>
          <w:p>
            <w:pPr>
              <w:spacing w:after="0"/>
              <w:rPr>
                <w:sz w:val="22"/>
                <w:szCs w:val="22"/>
                <w:color w:val="auto"/>
              </w:rPr>
            </w:pPr>
          </w:p>
        </w:tc>
        <w:tc>
          <w:tcPr>
            <w:tcW w:w="1600" w:type="dxa"/>
            <w:vAlign w:val="bottom"/>
            <w:gridSpan w:val="2"/>
          </w:tcPr>
          <w:p>
            <w:pPr>
              <w:ind w:left="100"/>
              <w:spacing w:after="0"/>
              <w:rPr>
                <w:sz w:val="20"/>
                <w:szCs w:val="20"/>
                <w:color w:val="auto"/>
              </w:rPr>
            </w:pPr>
            <w:r>
              <w:rPr>
                <w:rFonts w:ascii="Arial" w:cs="Arial" w:eastAsia="Arial" w:hAnsi="Arial"/>
                <w:sz w:val="16"/>
                <w:szCs w:val="16"/>
                <w:b w:val="1"/>
                <w:bCs w:val="1"/>
                <w:color w:val="auto"/>
              </w:rPr>
              <w:t>March 31, 2019</w:t>
            </w:r>
          </w:p>
        </w:tc>
        <w:tc>
          <w:tcPr>
            <w:tcW w:w="1220" w:type="dxa"/>
            <w:vAlign w:val="bottom"/>
          </w:tcPr>
          <w:p>
            <w:pPr>
              <w:jc w:val="right"/>
              <w:ind w:right="33"/>
              <w:spacing w:after="0"/>
              <w:rPr>
                <w:sz w:val="20"/>
                <w:szCs w:val="20"/>
                <w:color w:val="auto"/>
              </w:rPr>
            </w:pPr>
            <w:r>
              <w:rPr>
                <w:rFonts w:ascii="Arial" w:cs="Arial" w:eastAsia="Arial" w:hAnsi="Arial"/>
                <w:sz w:val="16"/>
                <w:szCs w:val="16"/>
                <w:b w:val="1"/>
                <w:bCs w:val="1"/>
                <w:color w:val="auto"/>
              </w:rPr>
              <w:t>Change</w:t>
            </w:r>
          </w:p>
        </w:tc>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80" w:type="dxa"/>
            <w:vAlign w:val="bottom"/>
          </w:tcPr>
          <w:p>
            <w:pPr>
              <w:ind w:left="480"/>
              <w:spacing w:after="0"/>
              <w:rPr>
                <w:sz w:val="20"/>
                <w:szCs w:val="20"/>
                <w:color w:val="auto"/>
              </w:rPr>
            </w:pPr>
            <w:r>
              <w:rPr>
                <w:rFonts w:ascii="Arial" w:cs="Arial" w:eastAsia="Arial" w:hAnsi="Arial"/>
                <w:sz w:val="16"/>
                <w:szCs w:val="16"/>
                <w:b w:val="1"/>
                <w:bCs w:val="1"/>
                <w:color w:val="auto"/>
              </w:rPr>
              <w:t>% Change</w:t>
            </w:r>
          </w:p>
        </w:tc>
      </w:tr>
      <w:tr>
        <w:trPr>
          <w:trHeight w:val="250"/>
        </w:trPr>
        <w:tc>
          <w:tcPr>
            <w:tcW w:w="4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Vacation Ownership</w:t>
            </w: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908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905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jc w:val="right"/>
              <w:ind w:right="1033"/>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8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w:t>
            </w:r>
          </w:p>
        </w:tc>
      </w:tr>
      <w:tr>
        <w:trPr>
          <w:trHeight w:val="243"/>
        </w:trPr>
        <w:tc>
          <w:tcPr>
            <w:tcW w:w="4160" w:type="dxa"/>
            <w:vAlign w:val="bottom"/>
          </w:tcPr>
          <w:p>
            <w:pPr>
              <w:ind w:left="40"/>
              <w:spacing w:after="0"/>
              <w:rPr>
                <w:sz w:val="20"/>
                <w:szCs w:val="20"/>
                <w:color w:val="auto"/>
              </w:rPr>
            </w:pPr>
            <w:r>
              <w:rPr>
                <w:rFonts w:ascii="Arial" w:cs="Arial" w:eastAsia="Arial" w:hAnsi="Arial"/>
                <w:sz w:val="18"/>
                <w:szCs w:val="18"/>
                <w:color w:val="auto"/>
              </w:rPr>
              <w:t>Exchange &amp; Third-Party Management</w:t>
            </w:r>
          </w:p>
        </w:tc>
        <w:tc>
          <w:tcPr>
            <w:tcW w:w="220" w:type="dxa"/>
            <w:vAlign w:val="bottom"/>
          </w:tcPr>
          <w:p>
            <w:pPr>
              <w:spacing w:after="0"/>
              <w:rPr>
                <w:sz w:val="21"/>
                <w:szCs w:val="21"/>
                <w:color w:val="auto"/>
              </w:rPr>
            </w:pP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107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124</w:t>
            </w:r>
          </w:p>
        </w:tc>
        <w:tc>
          <w:tcPr>
            <w:tcW w:w="1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(17)</w:t>
            </w:r>
          </w:p>
        </w:tc>
        <w:tc>
          <w:tcPr>
            <w:tcW w:w="1780" w:type="dxa"/>
            <w:vAlign w:val="bottom"/>
            <w:gridSpan w:val="2"/>
          </w:tcPr>
          <w:p>
            <w:pPr>
              <w:jc w:val="center"/>
              <w:ind w:left="10"/>
              <w:spacing w:after="0"/>
              <w:rPr>
                <w:sz w:val="20"/>
                <w:szCs w:val="20"/>
                <w:color w:val="auto"/>
              </w:rPr>
            </w:pPr>
            <w:r>
              <w:rPr>
                <w:rFonts w:ascii="Arial" w:cs="Arial" w:eastAsia="Arial" w:hAnsi="Arial"/>
                <w:sz w:val="18"/>
                <w:szCs w:val="18"/>
                <w:color w:val="auto"/>
                <w:w w:val="91"/>
              </w:rPr>
              <w:t>(14%)</w:t>
            </w:r>
          </w:p>
        </w:tc>
      </w:tr>
      <w:tr>
        <w:trPr>
          <w:trHeight w:val="27"/>
        </w:trPr>
        <w:tc>
          <w:tcPr>
            <w:tcW w:w="41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80" w:type="dxa"/>
            <w:vAlign w:val="bottom"/>
            <w:tcBorders>
              <w:bottom w:val="single" w:sz="8" w:color="CCEEFF"/>
            </w:tcBorders>
          </w:tcPr>
          <w:p>
            <w:pPr>
              <w:spacing w:after="0"/>
              <w:rPr>
                <w:sz w:val="2"/>
                <w:szCs w:val="2"/>
                <w:color w:val="auto"/>
              </w:rPr>
            </w:pPr>
          </w:p>
        </w:tc>
      </w:tr>
      <w:tr>
        <w:trPr>
          <w:trHeight w:val="243"/>
        </w:trPr>
        <w:tc>
          <w:tcPr>
            <w:tcW w:w="4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Segment Revenues</w:t>
            </w: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1,015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1,029</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78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4"/>
              </w:rPr>
              <w:t>(2%)</w:t>
            </w:r>
          </w:p>
        </w:tc>
      </w:tr>
      <w:tr>
        <w:trPr>
          <w:trHeight w:val="243"/>
        </w:trPr>
        <w:tc>
          <w:tcPr>
            <w:tcW w:w="4160" w:type="dxa"/>
            <w:vAlign w:val="bottom"/>
          </w:tcPr>
          <w:p>
            <w:pPr>
              <w:ind w:left="40"/>
              <w:spacing w:after="0"/>
              <w:rPr>
                <w:sz w:val="20"/>
                <w:szCs w:val="20"/>
                <w:color w:val="auto"/>
              </w:rPr>
            </w:pPr>
            <w:r>
              <w:rPr>
                <w:rFonts w:ascii="Arial" w:cs="Arial" w:eastAsia="Arial" w:hAnsi="Arial"/>
                <w:sz w:val="18"/>
                <w:szCs w:val="18"/>
                <w:color w:val="auto"/>
              </w:rPr>
              <w:t>Consolidated Property Owners’ Associations</w:t>
            </w:r>
          </w:p>
        </w:tc>
        <w:tc>
          <w:tcPr>
            <w:tcW w:w="2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(10)</w:t>
            </w:r>
          </w:p>
        </w:tc>
        <w:tc>
          <w:tcPr>
            <w:tcW w:w="1780" w:type="dxa"/>
            <w:vAlign w:val="bottom"/>
            <w:gridSpan w:val="2"/>
          </w:tcPr>
          <w:p>
            <w:pPr>
              <w:jc w:val="center"/>
              <w:ind w:left="10"/>
              <w:spacing w:after="0"/>
              <w:rPr>
                <w:sz w:val="20"/>
                <w:szCs w:val="20"/>
                <w:color w:val="auto"/>
              </w:rPr>
            </w:pPr>
            <w:r>
              <w:rPr>
                <w:rFonts w:ascii="Arial" w:cs="Arial" w:eastAsia="Arial" w:hAnsi="Arial"/>
                <w:sz w:val="18"/>
                <w:szCs w:val="18"/>
                <w:color w:val="auto"/>
                <w:w w:val="89"/>
              </w:rPr>
              <w:t>(211%)</w:t>
            </w:r>
          </w:p>
        </w:tc>
      </w:tr>
      <w:tr>
        <w:trPr>
          <w:trHeight w:val="27"/>
        </w:trPr>
        <w:tc>
          <w:tcPr>
            <w:tcW w:w="41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80" w:type="dxa"/>
            <w:vAlign w:val="bottom"/>
            <w:tcBorders>
              <w:bottom w:val="single" w:sz="8" w:color="CCEEFF"/>
            </w:tcBorders>
          </w:tcPr>
          <w:p>
            <w:pPr>
              <w:spacing w:after="0"/>
              <w:rPr>
                <w:sz w:val="2"/>
                <w:szCs w:val="2"/>
                <w:color w:val="auto"/>
              </w:rPr>
            </w:pPr>
          </w:p>
        </w:tc>
      </w:tr>
      <w:tr>
        <w:trPr>
          <w:trHeight w:val="257"/>
        </w:trPr>
        <w:tc>
          <w:tcPr>
            <w:tcW w:w="4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Revenues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1,010</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1,034</w:t>
            </w:r>
          </w:p>
        </w:tc>
        <w:tc>
          <w:tcPr>
            <w:tcW w:w="1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ind w:right="1033"/>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78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4"/>
              </w:rPr>
              <w:t>(2%)</w:t>
            </w:r>
          </w:p>
        </w:tc>
      </w:tr>
      <w:tr>
        <w:trPr>
          <w:trHeight w:val="20"/>
        </w:trPr>
        <w:tc>
          <w:tcPr>
            <w:tcW w:w="4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Before Interest Expense, Taxes, Depreciation and Amortization (“EBITDA”) and Adjusted EBITDA</w:t>
      </w:r>
    </w:p>
    <w:p>
      <w:pPr>
        <w:spacing w:after="0" w:line="121" w:lineRule="exact"/>
        <w:rPr>
          <w:sz w:val="20"/>
          <w:szCs w:val="20"/>
          <w:color w:val="auto"/>
        </w:rPr>
      </w:pPr>
    </w:p>
    <w:p>
      <w:pPr>
        <w:ind w:right="80" w:firstLine="648"/>
        <w:spacing w:after="0" w:line="285" w:lineRule="auto"/>
        <w:rPr>
          <w:sz w:val="20"/>
          <w:szCs w:val="20"/>
          <w:color w:val="auto"/>
        </w:rPr>
      </w:pPr>
      <w:r>
        <w:rPr>
          <w:rFonts w:ascii="Arial" w:cs="Arial" w:eastAsia="Arial" w:hAnsi="Arial"/>
          <w:sz w:val="16"/>
          <w:szCs w:val="16"/>
          <w:color w:val="auto"/>
        </w:rPr>
        <w:t>EBITDA, a financial measure that is not prescribed by GAAP, is defined as earnings, or net income attributable to common shareholders, before interest expense (excluding consumer financing interest expense associated with term loan securitization transactions), income taxes, depreciation and amortization. For purposes of our EBITDA and Adjusted EBITDA calculations, we do not adjust for consumer financing interest expense because we consider it to be an operating expense of our business. We consider EBITDA and Adjusted EBITDA to be indicators of operating performance, which we use to measure our ability to service debt, fund capital expenditures and expand our business. We also use EBITDA and Adjusted EBITDA, as do analysts, lenders, investors and others, because these measures exclude certain items that can vary widely across different industries or among companies within the same industry. For example, interest expense can be dependent on a company’s capital structure, debt levels and credit ratings. Accordingly, the impact of interest expense on earnings can vary significantly among companies. The tax positions of companies can also vary because of their differing abilities to take advantage of tax benefits and because of the tax policies of the jurisdictions in which they operate. As a result, effective tax rates and provision for income taxes can vary considerably among companies. EBITDA and Adjusted EBITDA also exclude depreciation and amortization because companies utilize productive assets of different ages and use different methods of both acquiring and depreciating productive assets. These differences can result in considerable variability in the relative costs of productive assets and the depreciation and amortization expense among companies. Adjusted EBITDA reflects additional adjustments for certain items described below, and excludes share-based compensation expense to address considerable variability among companies in recording compensation expense because companies use share-based payment awards differently, both in the type and quantity of awards granted. We evaluate Adjusted EBITDA as an indicator of operating performance because it allows for period-over-period comparisons of our on-going core operations before the impact of the excluded items. Together, EBITDA and Adjusted EBITDA facilitate our comparison of results from our on-going core operations before the impact of these items with results from other vacation ownership companies.</w:t>
      </w:r>
    </w:p>
    <w:p>
      <w:pPr>
        <w:spacing w:after="0" w:line="66" w:lineRule="exact"/>
        <w:rPr>
          <w:sz w:val="20"/>
          <w:szCs w:val="20"/>
          <w:color w:val="auto"/>
        </w:rPr>
      </w:pPr>
    </w:p>
    <w:p>
      <w:pPr>
        <w:ind w:right="80" w:firstLine="648"/>
        <w:spacing w:after="0" w:line="301" w:lineRule="auto"/>
        <w:rPr>
          <w:sz w:val="20"/>
          <w:szCs w:val="20"/>
          <w:color w:val="auto"/>
        </w:rPr>
      </w:pPr>
      <w:r>
        <w:rPr>
          <w:rFonts w:ascii="Arial" w:cs="Arial" w:eastAsia="Arial" w:hAnsi="Arial"/>
          <w:sz w:val="16"/>
          <w:szCs w:val="16"/>
          <w:color w:val="auto"/>
        </w:rPr>
        <w:t>EBITDA and Adjusted EBITDA have limitations and should not be considered in isolation or as a substitute for performance measures calculated in accordance with GAAP. In addition, other companies in our industry may calculate EBITDA and Adjusted EBITDA differently than we do or may not calculate them at all, limiting their usefulness as comparative measures. The table below shows our EBITDA and Adjusted EBITDA calculation and reconciles these measures with Net (loss) income attributable to common shareholders, which is the most directly comparable GAAP financial measure.</w:t>
      </w:r>
    </w:p>
    <w:p>
      <w:pPr>
        <w:spacing w:after="0" w:line="4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2020 First Quarter</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76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980" w:type="dxa"/>
            <w:vAlign w:val="bottom"/>
            <w:gridSpan w:val="5"/>
          </w:tcPr>
          <w:p>
            <w:pPr>
              <w:ind w:left="640"/>
              <w:spacing w:after="0"/>
              <w:rPr>
                <w:sz w:val="20"/>
                <w:szCs w:val="20"/>
                <w:color w:val="auto"/>
              </w:rPr>
            </w:pPr>
            <w:r>
              <w:rPr>
                <w:rFonts w:ascii="Arial" w:cs="Arial" w:eastAsia="Arial" w:hAnsi="Arial"/>
                <w:sz w:val="16"/>
                <w:szCs w:val="16"/>
                <w:b w:val="1"/>
                <w:bCs w:val="1"/>
                <w:color w:val="auto"/>
              </w:rPr>
              <w:t>Three Months Ended</w:t>
            </w: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7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47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188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12"/>
              <w:spacing w:after="0"/>
              <w:rPr>
                <w:sz w:val="20"/>
                <w:szCs w:val="20"/>
                <w:color w:val="auto"/>
              </w:rPr>
            </w:pPr>
            <w:r>
              <w:rPr>
                <w:rFonts w:ascii="Arial" w:cs="Arial" w:eastAsia="Arial" w:hAnsi="Arial"/>
                <w:sz w:val="16"/>
                <w:szCs w:val="16"/>
                <w:b w:val="1"/>
                <w:bCs w:val="1"/>
                <w:color w:val="auto"/>
                <w:w w:val="94"/>
              </w:rPr>
              <w:t>March 31, 2020</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11"/>
              <w:spacing w:after="0"/>
              <w:rPr>
                <w:sz w:val="20"/>
                <w:szCs w:val="20"/>
                <w:color w:val="auto"/>
              </w:rPr>
            </w:pPr>
            <w:r>
              <w:rPr>
                <w:rFonts w:ascii="Arial" w:cs="Arial" w:eastAsia="Arial" w:hAnsi="Arial"/>
                <w:sz w:val="16"/>
                <w:szCs w:val="16"/>
                <w:b w:val="1"/>
                <w:bCs w:val="1"/>
                <w:color w:val="auto"/>
                <w:w w:val="94"/>
              </w:rPr>
              <w:t>March 31, 2019</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371"/>
              <w:spacing w:after="0"/>
              <w:rPr>
                <w:sz w:val="20"/>
                <w:szCs w:val="20"/>
                <w:color w:val="auto"/>
              </w:rPr>
            </w:pPr>
            <w:r>
              <w:rPr>
                <w:rFonts w:ascii="Arial" w:cs="Arial" w:eastAsia="Arial" w:hAnsi="Arial"/>
                <w:sz w:val="16"/>
                <w:szCs w:val="16"/>
                <w:b w:val="1"/>
                <w:bCs w:val="1"/>
                <w:color w:val="auto"/>
              </w:rPr>
              <w:t>Change</w:t>
            </w:r>
          </w:p>
        </w:tc>
        <w:tc>
          <w:tcPr>
            <w:tcW w:w="0" w:type="dxa"/>
            <w:vAlign w:val="bottom"/>
          </w:tcPr>
          <w:p>
            <w:pPr>
              <w:spacing w:after="0"/>
              <w:rPr>
                <w:sz w:val="1"/>
                <w:szCs w:val="1"/>
                <w:color w:val="auto"/>
              </w:rPr>
            </w:pPr>
          </w:p>
        </w:tc>
      </w:tr>
      <w:tr>
        <w:trPr>
          <w:trHeight w:val="250"/>
        </w:trPr>
        <w:tc>
          <w:tcPr>
            <w:tcW w:w="4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income attributable to common shareholders</w:t>
            </w:r>
          </w:p>
        </w:tc>
        <w:tc>
          <w:tcPr>
            <w:tcW w:w="20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43"/>
        </w:trPr>
        <w:tc>
          <w:tcPr>
            <w:tcW w:w="476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18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47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Tax (benefit) provision</w:t>
            </w:r>
          </w:p>
        </w:tc>
        <w:tc>
          <w:tcPr>
            <w:tcW w:w="18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43"/>
        </w:trPr>
        <w:tc>
          <w:tcPr>
            <w:tcW w:w="476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18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4760" w:type="dxa"/>
            <w:vAlign w:val="bottom"/>
            <w:tcBorders>
              <w:bottom w:val="single" w:sz="8" w:color="CCEEFF"/>
            </w:tcBorders>
          </w:tcPr>
          <w:p>
            <w:pPr>
              <w:spacing w:after="0"/>
              <w:rPr>
                <w:sz w:val="2"/>
                <w:szCs w:val="2"/>
                <w:color w:val="auto"/>
              </w:rPr>
            </w:pPr>
          </w:p>
        </w:tc>
        <w:tc>
          <w:tcPr>
            <w:tcW w:w="18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7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EBITDA</w:t>
            </w:r>
          </w:p>
        </w:tc>
        <w:tc>
          <w:tcPr>
            <w:tcW w:w="18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43"/>
        </w:trPr>
        <w:tc>
          <w:tcPr>
            <w:tcW w:w="4760" w:type="dxa"/>
            <w:vAlign w:val="bottom"/>
          </w:tcPr>
          <w:p>
            <w:pPr>
              <w:ind w:left="40"/>
              <w:spacing w:after="0"/>
              <w:rPr>
                <w:sz w:val="20"/>
                <w:szCs w:val="20"/>
                <w:color w:val="auto"/>
              </w:rPr>
            </w:pPr>
            <w:r>
              <w:rPr>
                <w:rFonts w:ascii="Arial" w:cs="Arial" w:eastAsia="Arial" w:hAnsi="Arial"/>
                <w:sz w:val="18"/>
                <w:szCs w:val="18"/>
                <w:color w:val="auto"/>
              </w:rPr>
              <w:t>Share-based compensation expense</w:t>
            </w:r>
          </w:p>
        </w:tc>
        <w:tc>
          <w:tcPr>
            <w:tcW w:w="18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47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Certain items</w:t>
            </w:r>
          </w:p>
        </w:tc>
        <w:tc>
          <w:tcPr>
            <w:tcW w:w="18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233</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57"/>
        </w:trPr>
        <w:tc>
          <w:tcPr>
            <w:tcW w:w="4760" w:type="dxa"/>
            <w:vAlign w:val="bottom"/>
          </w:tcPr>
          <w:p>
            <w:pPr>
              <w:ind w:left="280"/>
              <w:spacing w:after="0"/>
              <w:rPr>
                <w:sz w:val="20"/>
                <w:szCs w:val="20"/>
                <w:color w:val="auto"/>
              </w:rPr>
            </w:pPr>
            <w:r>
              <w:rPr>
                <w:rFonts w:ascii="Arial" w:cs="Arial" w:eastAsia="Arial" w:hAnsi="Arial"/>
                <w:sz w:val="18"/>
                <w:szCs w:val="18"/>
                <w:color w:val="auto"/>
              </w:rPr>
              <w:t>Adjusted EBITDA</w:t>
            </w:r>
          </w:p>
        </w:tc>
        <w:tc>
          <w:tcPr>
            <w:tcW w:w="188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138</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166</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1880" w:type="dxa"/>
            <w:vAlign w:val="bottom"/>
            <w:vMerge w:val="restart"/>
          </w:tcPr>
          <w:p>
            <w:pPr>
              <w:jc w:val="right"/>
              <w:ind w:right="830"/>
              <w:spacing w:after="0"/>
              <w:rPr>
                <w:sz w:val="20"/>
                <w:szCs w:val="20"/>
                <w:color w:val="auto"/>
              </w:rPr>
            </w:pPr>
            <w:r>
              <w:rPr>
                <w:rFonts w:ascii="Arial" w:cs="Arial" w:eastAsia="Arial" w:hAnsi="Arial"/>
                <w:sz w:val="18"/>
                <w:szCs w:val="18"/>
                <w:color w:val="auto"/>
              </w:rPr>
              <w:t>42</w:t>
            </w: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9"/>
        </w:trPr>
        <w:tc>
          <w:tcPr>
            <w:tcW w:w="4760" w:type="dxa"/>
            <w:vAlign w:val="bottom"/>
          </w:tcPr>
          <w:p>
            <w:pPr>
              <w:spacing w:after="0"/>
              <w:rPr>
                <w:sz w:val="24"/>
                <w:szCs w:val="24"/>
                <w:color w:val="auto"/>
              </w:rPr>
            </w:pPr>
          </w:p>
        </w:tc>
        <w:tc>
          <w:tcPr>
            <w:tcW w:w="18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right="140" w:firstLine="648"/>
        <w:spacing w:after="0" w:line="263" w:lineRule="auto"/>
        <w:rPr>
          <w:sz w:val="20"/>
          <w:szCs w:val="20"/>
          <w:color w:val="auto"/>
        </w:rPr>
      </w:pPr>
      <w:r>
        <w:rPr>
          <w:rFonts w:ascii="Arial" w:cs="Arial" w:eastAsia="Arial" w:hAnsi="Arial"/>
          <w:sz w:val="18"/>
          <w:szCs w:val="18"/>
          <w:color w:val="auto"/>
        </w:rPr>
        <w:t>Certain items for the first quarter of 2020 consisted of $95 million of impairment charges, $24 million of acquisition costs (including $21 million of ILG acquisition-related costs and $3 million of other acquisition costs), $56 million of losses and other expenses, $54 million of other charges, $2 million of purchase price adjustments, and $2 million of litigation charges.</w:t>
      </w:r>
    </w:p>
    <w:p>
      <w:pPr>
        <w:spacing w:after="0" w:line="76"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The $56 million of losses and other expenses includes $32 million related to foreign currency translation and $33 million related to a true-up to a Marriott International indemnification receivable upon settlement (true-up to the offsetting accrual is included in the provision for income taxes line), partially offset by a $6 million receivable related to an indemnification from Marriott International for VAT charges and $3 million related to insurance proceeds).</w:t>
      </w:r>
    </w:p>
    <w:p>
      <w:pPr>
        <w:spacing w:after="0" w:line="79"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The $54 million of other charges includes $37 million related to the net sales reserve adjustment due primarily to the impact of the COVID-19 pandemic, $11 million related to an accrual for certain health and welfare costs for furloughed associates, and $6 million related to VAT charges (see offset from indemnification above).</w:t>
      </w:r>
    </w:p>
    <w:p>
      <w:pPr>
        <w:spacing w:after="0" w:line="76" w:lineRule="exact"/>
        <w:rPr>
          <w:sz w:val="20"/>
          <w:szCs w:val="20"/>
          <w:color w:val="auto"/>
        </w:rPr>
      </w:pPr>
    </w:p>
    <w:p>
      <w:pPr>
        <w:ind w:right="20" w:firstLine="648"/>
        <w:spacing w:after="0" w:line="342" w:lineRule="auto"/>
        <w:rPr>
          <w:sz w:val="20"/>
          <w:szCs w:val="20"/>
          <w:color w:val="auto"/>
        </w:rPr>
      </w:pPr>
      <w:r>
        <w:rPr>
          <w:rFonts w:ascii="Arial" w:cs="Arial" w:eastAsia="Arial" w:hAnsi="Arial"/>
          <w:sz w:val="16"/>
          <w:szCs w:val="16"/>
          <w:color w:val="auto"/>
        </w:rPr>
        <w:t>The reduction in share-based compensation expense in the first quarter of 2020 includes a $4 million true-up for projected expense associated with the Company’s performance based share awards based upon the projected impact of the COVID-19 pandemic on financial metrics for the programs.</w:t>
      </w:r>
    </w:p>
    <w:p>
      <w:pPr>
        <w:spacing w:after="0" w:line="16"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Certain items for the first quarter of 2019 consisted of $26 million of ILG acquisition-related costs, $26 million of impairment charges, $1 million of purchase price adjustments, $1 million of litigation charges, and $1 million of other severance costs, partially offset by $8 million of gains and other income.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Adjusted EBITDA</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2020 First Quarter</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980" w:type="dxa"/>
            <w:vAlign w:val="bottom"/>
            <w:gridSpan w:val="5"/>
          </w:tcPr>
          <w:p>
            <w:pPr>
              <w:ind w:left="640"/>
              <w:spacing w:after="0"/>
              <w:rPr>
                <w:sz w:val="20"/>
                <w:szCs w:val="20"/>
                <w:color w:val="auto"/>
              </w:rPr>
            </w:pPr>
            <w:r>
              <w:rPr>
                <w:rFonts w:ascii="Arial" w:cs="Arial" w:eastAsia="Arial" w:hAnsi="Arial"/>
                <w:sz w:val="16"/>
                <w:szCs w:val="16"/>
                <w:b w:val="1"/>
                <w:bCs w:val="1"/>
                <w:color w:val="auto"/>
              </w:rPr>
              <w:t>Three Months Ended</w:t>
            </w: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33"/>
        </w:trPr>
        <w:tc>
          <w:tcPr>
            <w:tcW w:w="66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7"/>
        </w:trPr>
        <w:tc>
          <w:tcPr>
            <w:tcW w:w="664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160" w:type="dxa"/>
            <w:vAlign w:val="bottom"/>
          </w:tcPr>
          <w:p>
            <w:pPr>
              <w:spacing w:after="0"/>
              <w:rPr>
                <w:sz w:val="22"/>
                <w:szCs w:val="22"/>
                <w:color w:val="auto"/>
              </w:rPr>
            </w:pPr>
          </w:p>
        </w:tc>
        <w:tc>
          <w:tcPr>
            <w:tcW w:w="1420" w:type="dxa"/>
            <w:vAlign w:val="bottom"/>
            <w:gridSpan w:val="2"/>
          </w:tcPr>
          <w:p>
            <w:pPr>
              <w:ind w:left="40"/>
              <w:spacing w:after="0"/>
              <w:rPr>
                <w:sz w:val="20"/>
                <w:szCs w:val="20"/>
                <w:color w:val="auto"/>
              </w:rPr>
            </w:pPr>
            <w:r>
              <w:rPr>
                <w:rFonts w:ascii="Arial" w:cs="Arial" w:eastAsia="Arial" w:hAnsi="Arial"/>
                <w:sz w:val="16"/>
                <w:szCs w:val="16"/>
                <w:b w:val="1"/>
                <w:bCs w:val="1"/>
                <w:color w:val="auto"/>
              </w:rPr>
              <w:t>March 31, 2020</w:t>
            </w:r>
          </w:p>
        </w:tc>
        <w:tc>
          <w:tcPr>
            <w:tcW w:w="160" w:type="dxa"/>
            <w:vAlign w:val="bottom"/>
          </w:tcPr>
          <w:p>
            <w:pPr>
              <w:spacing w:after="0"/>
              <w:rPr>
                <w:sz w:val="22"/>
                <w:szCs w:val="22"/>
                <w:color w:val="auto"/>
              </w:rPr>
            </w:pPr>
          </w:p>
        </w:tc>
        <w:tc>
          <w:tcPr>
            <w:tcW w:w="1400" w:type="dxa"/>
            <w:vAlign w:val="bottom"/>
            <w:gridSpan w:val="2"/>
          </w:tcPr>
          <w:p>
            <w:pPr>
              <w:ind w:left="20"/>
              <w:spacing w:after="0"/>
              <w:rPr>
                <w:sz w:val="20"/>
                <w:szCs w:val="20"/>
                <w:color w:val="auto"/>
              </w:rPr>
            </w:pPr>
            <w:r>
              <w:rPr>
                <w:rFonts w:ascii="Arial" w:cs="Arial" w:eastAsia="Arial" w:hAnsi="Arial"/>
                <w:sz w:val="16"/>
                <w:szCs w:val="16"/>
                <w:b w:val="1"/>
                <w:bCs w:val="1"/>
                <w:color w:val="auto"/>
              </w:rPr>
              <w:t>March 31, 2019</w:t>
            </w:r>
          </w:p>
        </w:tc>
        <w:tc>
          <w:tcPr>
            <w:tcW w:w="300" w:type="dxa"/>
            <w:vAlign w:val="bottom"/>
          </w:tcPr>
          <w:p>
            <w:pPr>
              <w:spacing w:after="0"/>
              <w:rPr>
                <w:sz w:val="22"/>
                <w:szCs w:val="22"/>
                <w:color w:val="auto"/>
              </w:rPr>
            </w:pPr>
          </w:p>
        </w:tc>
        <w:tc>
          <w:tcPr>
            <w:tcW w:w="1160" w:type="dxa"/>
            <w:vAlign w:val="bottom"/>
          </w:tcPr>
          <w:p>
            <w:pPr>
              <w:jc w:val="right"/>
              <w:ind w:right="371"/>
              <w:spacing w:after="0"/>
              <w:rPr>
                <w:sz w:val="20"/>
                <w:szCs w:val="20"/>
                <w:color w:val="auto"/>
              </w:rPr>
            </w:pPr>
            <w:r>
              <w:rPr>
                <w:rFonts w:ascii="Arial" w:cs="Arial" w:eastAsia="Arial" w:hAnsi="Arial"/>
                <w:sz w:val="16"/>
                <w:szCs w:val="16"/>
                <w:b w:val="1"/>
                <w:bCs w:val="1"/>
                <w:color w:val="auto"/>
              </w:rPr>
              <w:t>Change</w:t>
            </w:r>
          </w:p>
        </w:tc>
      </w:tr>
      <w:tr>
        <w:trPr>
          <w:trHeight w:val="250"/>
        </w:trPr>
        <w:tc>
          <w:tcPr>
            <w:tcW w:w="66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Vacation Ownership</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rPr>
              <w:t>Exchange &amp; Third-Party Management</w:t>
            </w:r>
          </w:p>
        </w:tc>
        <w:tc>
          <w:tcPr>
            <w:tcW w:w="16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7"/>
        </w:trPr>
        <w:tc>
          <w:tcPr>
            <w:tcW w:w="66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3"/>
        </w:trPr>
        <w:tc>
          <w:tcPr>
            <w:tcW w:w="66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Segment adjusted EBITDA</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rPr>
              <w:t>General and administrative</w:t>
            </w: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10</w:t>
            </w:r>
          </w:p>
        </w:tc>
      </w:tr>
      <w:tr>
        <w:trPr>
          <w:trHeight w:val="27"/>
        </w:trPr>
        <w:tc>
          <w:tcPr>
            <w:tcW w:w="6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Consolidated property owners’ associations</w:t>
            </w: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57"/>
        </w:trPr>
        <w:tc>
          <w:tcPr>
            <w:tcW w:w="6640" w:type="dxa"/>
            <w:vAlign w:val="bottom"/>
          </w:tcPr>
          <w:p>
            <w:pPr>
              <w:ind w:left="280"/>
              <w:spacing w:after="0"/>
              <w:rPr>
                <w:sz w:val="20"/>
                <w:szCs w:val="20"/>
                <w:color w:val="auto"/>
              </w:rPr>
            </w:pPr>
            <w:r>
              <w:rPr>
                <w:rFonts w:ascii="Arial" w:cs="Arial" w:eastAsia="Arial" w:hAnsi="Arial"/>
                <w:sz w:val="18"/>
                <w:szCs w:val="18"/>
                <w:color w:val="auto"/>
              </w:rPr>
              <w:t>Adjusted EBITDA</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138</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166</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w:t>
            </w:r>
          </w:p>
        </w:tc>
      </w:tr>
      <w:tr>
        <w:trPr>
          <w:trHeight w:val="20"/>
        </w:trPr>
        <w:tc>
          <w:tcPr>
            <w:tcW w:w="66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present Adjusted EBITDA for our reportable segments reconciled to segment financial results.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Vacation Ownership</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2020 First Quarter</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980" w:type="dxa"/>
            <w:vAlign w:val="bottom"/>
            <w:gridSpan w:val="5"/>
          </w:tcPr>
          <w:p>
            <w:pPr>
              <w:ind w:left="640"/>
              <w:spacing w:after="0"/>
              <w:rPr>
                <w:sz w:val="20"/>
                <w:szCs w:val="20"/>
                <w:color w:val="auto"/>
              </w:rPr>
            </w:pPr>
            <w:r>
              <w:rPr>
                <w:rFonts w:ascii="Arial" w:cs="Arial" w:eastAsia="Arial" w:hAnsi="Arial"/>
                <w:sz w:val="16"/>
                <w:szCs w:val="16"/>
                <w:b w:val="1"/>
                <w:bCs w:val="1"/>
                <w:color w:val="auto"/>
              </w:rPr>
              <w:t>Three Months Ended</w:t>
            </w: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33"/>
        </w:trPr>
        <w:tc>
          <w:tcPr>
            <w:tcW w:w="66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8"/>
        </w:trPr>
        <w:tc>
          <w:tcPr>
            <w:tcW w:w="664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160" w:type="dxa"/>
            <w:vAlign w:val="bottom"/>
          </w:tcPr>
          <w:p>
            <w:pPr>
              <w:spacing w:after="0"/>
              <w:rPr>
                <w:sz w:val="22"/>
                <w:szCs w:val="22"/>
                <w:color w:val="auto"/>
              </w:rPr>
            </w:pPr>
          </w:p>
        </w:tc>
        <w:tc>
          <w:tcPr>
            <w:tcW w:w="1420" w:type="dxa"/>
            <w:vAlign w:val="bottom"/>
            <w:gridSpan w:val="2"/>
          </w:tcPr>
          <w:p>
            <w:pPr>
              <w:ind w:left="40"/>
              <w:spacing w:after="0"/>
              <w:rPr>
                <w:sz w:val="20"/>
                <w:szCs w:val="20"/>
                <w:color w:val="auto"/>
              </w:rPr>
            </w:pPr>
            <w:r>
              <w:rPr>
                <w:rFonts w:ascii="Arial" w:cs="Arial" w:eastAsia="Arial" w:hAnsi="Arial"/>
                <w:sz w:val="16"/>
                <w:szCs w:val="16"/>
                <w:b w:val="1"/>
                <w:bCs w:val="1"/>
                <w:color w:val="auto"/>
              </w:rPr>
              <w:t>March 31, 2020</w:t>
            </w:r>
          </w:p>
        </w:tc>
        <w:tc>
          <w:tcPr>
            <w:tcW w:w="160" w:type="dxa"/>
            <w:vAlign w:val="bottom"/>
          </w:tcPr>
          <w:p>
            <w:pPr>
              <w:spacing w:after="0"/>
              <w:rPr>
                <w:sz w:val="22"/>
                <w:szCs w:val="22"/>
                <w:color w:val="auto"/>
              </w:rPr>
            </w:pPr>
          </w:p>
        </w:tc>
        <w:tc>
          <w:tcPr>
            <w:tcW w:w="1400" w:type="dxa"/>
            <w:vAlign w:val="bottom"/>
            <w:gridSpan w:val="2"/>
          </w:tcPr>
          <w:p>
            <w:pPr>
              <w:ind w:left="20"/>
              <w:spacing w:after="0"/>
              <w:rPr>
                <w:sz w:val="20"/>
                <w:szCs w:val="20"/>
                <w:color w:val="auto"/>
              </w:rPr>
            </w:pPr>
            <w:r>
              <w:rPr>
                <w:rFonts w:ascii="Arial" w:cs="Arial" w:eastAsia="Arial" w:hAnsi="Arial"/>
                <w:sz w:val="16"/>
                <w:szCs w:val="16"/>
                <w:b w:val="1"/>
                <w:bCs w:val="1"/>
                <w:color w:val="auto"/>
              </w:rPr>
              <w:t>March 31, 2019</w:t>
            </w:r>
          </w:p>
        </w:tc>
        <w:tc>
          <w:tcPr>
            <w:tcW w:w="300" w:type="dxa"/>
            <w:vAlign w:val="bottom"/>
          </w:tcPr>
          <w:p>
            <w:pPr>
              <w:spacing w:after="0"/>
              <w:rPr>
                <w:sz w:val="22"/>
                <w:szCs w:val="22"/>
                <w:color w:val="auto"/>
              </w:rPr>
            </w:pPr>
          </w:p>
        </w:tc>
        <w:tc>
          <w:tcPr>
            <w:tcW w:w="1160" w:type="dxa"/>
            <w:vAlign w:val="bottom"/>
          </w:tcPr>
          <w:p>
            <w:pPr>
              <w:jc w:val="right"/>
              <w:ind w:right="372"/>
              <w:spacing w:after="0"/>
              <w:rPr>
                <w:sz w:val="20"/>
                <w:szCs w:val="20"/>
                <w:color w:val="auto"/>
              </w:rPr>
            </w:pPr>
            <w:r>
              <w:rPr>
                <w:rFonts w:ascii="Arial" w:cs="Arial" w:eastAsia="Arial" w:hAnsi="Arial"/>
                <w:sz w:val="16"/>
                <w:szCs w:val="16"/>
                <w:b w:val="1"/>
                <w:bCs w:val="1"/>
                <w:color w:val="auto"/>
              </w:rPr>
              <w:t>Change</w:t>
            </w:r>
          </w:p>
        </w:tc>
      </w:tr>
      <w:tr>
        <w:trPr>
          <w:trHeight w:val="249"/>
        </w:trPr>
        <w:tc>
          <w:tcPr>
            <w:tcW w:w="66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Segment adjusted EBITDA</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6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Share-based compensation expense</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w:t>
            </w: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rPr>
              <w:t>Certain items</w:t>
            </w: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7"/>
        </w:trPr>
        <w:tc>
          <w:tcPr>
            <w:tcW w:w="66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57"/>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Segment financial results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81</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134</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w:t>
            </w:r>
          </w:p>
        </w:tc>
      </w:tr>
      <w:tr>
        <w:trPr>
          <w:trHeight w:val="20"/>
        </w:trPr>
        <w:tc>
          <w:tcPr>
            <w:tcW w:w="66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Certain items in the Vacation Ownership segment for the first quarter of 2020 consisted of $37 million related to the net sales reserve adjustment due primarily to the impact of the COVID-19 pandemic, $3 million of transaction costs associated with our asset light inventory arrangements, $4 million of impairment charges, $2 million of purchase accounting adjustments, and $2 million of litigation charges, partially offset by $1 million of gains and other income.</w:t>
      </w:r>
    </w:p>
    <w:p>
      <w:pPr>
        <w:spacing w:after="0" w:line="133"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Certain items in the Vacation Ownership segment for the first quarter of 2019 consisted of $26 million of impairment charges, $1 million of purchase price adjustments, and $1 million of litigation charges, partially offset by $9 million of gains and other income.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240"/>
          </w:cols>
          <w:pgMar w:left="320" w:top="125" w:right="3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&amp; Third-Party Management</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2020 First Quarter</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0" w:type="dxa"/>
            <w:vAlign w:val="bottom"/>
            <w:gridSpan w:val="5"/>
          </w:tcPr>
          <w:p>
            <w:pPr>
              <w:ind w:left="640"/>
              <w:spacing w:after="0"/>
              <w:rPr>
                <w:sz w:val="20"/>
                <w:szCs w:val="20"/>
                <w:color w:val="auto"/>
              </w:rPr>
            </w:pPr>
            <w:r>
              <w:rPr>
                <w:rFonts w:ascii="Arial" w:cs="Arial" w:eastAsia="Arial" w:hAnsi="Arial"/>
                <w:sz w:val="16"/>
                <w:szCs w:val="16"/>
                <w:b w:val="1"/>
                <w:bCs w:val="1"/>
                <w:color w:val="auto"/>
              </w:rPr>
              <w:t>Three Months Ended</w:t>
            </w: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33"/>
        </w:trPr>
        <w:tc>
          <w:tcPr>
            <w:tcW w:w="68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8"/>
        </w:trPr>
        <w:tc>
          <w:tcPr>
            <w:tcW w:w="686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160" w:type="dxa"/>
            <w:vAlign w:val="bottom"/>
          </w:tcPr>
          <w:p>
            <w:pPr>
              <w:spacing w:after="0"/>
              <w:rPr>
                <w:sz w:val="22"/>
                <w:szCs w:val="22"/>
                <w:color w:val="auto"/>
              </w:rPr>
            </w:pPr>
          </w:p>
        </w:tc>
        <w:tc>
          <w:tcPr>
            <w:tcW w:w="1420" w:type="dxa"/>
            <w:vAlign w:val="bottom"/>
            <w:gridSpan w:val="2"/>
          </w:tcPr>
          <w:p>
            <w:pPr>
              <w:ind w:left="40"/>
              <w:spacing w:after="0"/>
              <w:rPr>
                <w:sz w:val="20"/>
                <w:szCs w:val="20"/>
                <w:color w:val="auto"/>
              </w:rPr>
            </w:pPr>
            <w:r>
              <w:rPr>
                <w:rFonts w:ascii="Arial" w:cs="Arial" w:eastAsia="Arial" w:hAnsi="Arial"/>
                <w:sz w:val="16"/>
                <w:szCs w:val="16"/>
                <w:b w:val="1"/>
                <w:bCs w:val="1"/>
                <w:color w:val="auto"/>
              </w:rPr>
              <w:t>March 31, 2020</w:t>
            </w:r>
          </w:p>
        </w:tc>
        <w:tc>
          <w:tcPr>
            <w:tcW w:w="160" w:type="dxa"/>
            <w:vAlign w:val="bottom"/>
          </w:tcPr>
          <w:p>
            <w:pPr>
              <w:spacing w:after="0"/>
              <w:rPr>
                <w:sz w:val="22"/>
                <w:szCs w:val="22"/>
                <w:color w:val="auto"/>
              </w:rPr>
            </w:pPr>
          </w:p>
        </w:tc>
        <w:tc>
          <w:tcPr>
            <w:tcW w:w="1420" w:type="dxa"/>
            <w:vAlign w:val="bottom"/>
            <w:gridSpan w:val="2"/>
          </w:tcPr>
          <w:p>
            <w:pPr>
              <w:ind w:left="40"/>
              <w:spacing w:after="0"/>
              <w:rPr>
                <w:sz w:val="20"/>
                <w:szCs w:val="20"/>
                <w:color w:val="auto"/>
              </w:rPr>
            </w:pPr>
            <w:r>
              <w:rPr>
                <w:rFonts w:ascii="Arial" w:cs="Arial" w:eastAsia="Arial" w:hAnsi="Arial"/>
                <w:sz w:val="16"/>
                <w:szCs w:val="16"/>
                <w:b w:val="1"/>
                <w:bCs w:val="1"/>
                <w:color w:val="auto"/>
              </w:rPr>
              <w:t>March 31, 2019</w:t>
            </w:r>
          </w:p>
        </w:tc>
        <w:tc>
          <w:tcPr>
            <w:tcW w:w="220" w:type="dxa"/>
            <w:vAlign w:val="bottom"/>
          </w:tcPr>
          <w:p>
            <w:pPr>
              <w:spacing w:after="0"/>
              <w:rPr>
                <w:sz w:val="22"/>
                <w:szCs w:val="22"/>
                <w:color w:val="auto"/>
              </w:rPr>
            </w:pPr>
          </w:p>
        </w:tc>
        <w:tc>
          <w:tcPr>
            <w:tcW w:w="1000" w:type="dxa"/>
            <w:vAlign w:val="bottom"/>
          </w:tcPr>
          <w:p>
            <w:pPr>
              <w:jc w:val="right"/>
              <w:ind w:right="252"/>
              <w:spacing w:after="0"/>
              <w:rPr>
                <w:sz w:val="20"/>
                <w:szCs w:val="20"/>
                <w:color w:val="auto"/>
              </w:rPr>
            </w:pPr>
            <w:r>
              <w:rPr>
                <w:rFonts w:ascii="Arial" w:cs="Arial" w:eastAsia="Arial" w:hAnsi="Arial"/>
                <w:sz w:val="16"/>
                <w:szCs w:val="16"/>
                <w:b w:val="1"/>
                <w:bCs w:val="1"/>
                <w:color w:val="auto"/>
              </w:rPr>
              <w:t>Change</w:t>
            </w:r>
          </w:p>
        </w:tc>
      </w:tr>
      <w:tr>
        <w:trPr>
          <w:trHeight w:val="250"/>
        </w:trPr>
        <w:tc>
          <w:tcPr>
            <w:tcW w:w="68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Segment adjusted EBITDA</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7</w:t>
            </w:r>
          </w:p>
        </w:tc>
      </w:tr>
      <w:tr>
        <w:trPr>
          <w:trHeight w:val="27"/>
        </w:trPr>
        <w:tc>
          <w:tcPr>
            <w:tcW w:w="6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Share-based compensation expense</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Certain items</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7"/>
        </w:trPr>
        <w:tc>
          <w:tcPr>
            <w:tcW w:w="68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57"/>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Segment financial results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40</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w:t>
            </w:r>
          </w:p>
        </w:tc>
      </w:tr>
      <w:tr>
        <w:trPr>
          <w:trHeight w:val="20"/>
        </w:trPr>
        <w:tc>
          <w:tcPr>
            <w:tcW w:w="68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right="140" w:firstLine="648"/>
        <w:spacing w:after="0" w:line="263" w:lineRule="auto"/>
        <w:rPr>
          <w:sz w:val="20"/>
          <w:szCs w:val="20"/>
          <w:color w:val="auto"/>
        </w:rPr>
      </w:pPr>
      <w:r>
        <w:rPr>
          <w:rFonts w:ascii="Arial" w:cs="Arial" w:eastAsia="Arial" w:hAnsi="Arial"/>
          <w:sz w:val="18"/>
          <w:szCs w:val="18"/>
          <w:color w:val="auto"/>
        </w:rPr>
        <w:t>Certain items in the Exchange &amp; Third-Party Management segment for the first quarter of 2020 consisted primarily of $91 million of impairment charges related to Goodwill and certain trademarks resulting from the impact of the COVID-19 pandemic. See Footnote 10 “Goodwill and Intangibles” to our Financial Statements for additional information.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Segments</w:t>
      </w:r>
    </w:p>
    <w:p>
      <w:pPr>
        <w:spacing w:after="0" w:line="121" w:lineRule="exact"/>
        <w:rPr>
          <w:sz w:val="20"/>
          <w:szCs w:val="20"/>
          <w:color w:val="auto"/>
        </w:rPr>
      </w:pPr>
    </w:p>
    <w:p>
      <w:pPr>
        <w:jc w:val="both"/>
        <w:ind w:right="140" w:firstLine="648"/>
        <w:spacing w:after="0" w:line="277" w:lineRule="auto"/>
        <w:rPr>
          <w:sz w:val="20"/>
          <w:szCs w:val="20"/>
          <w:color w:val="auto"/>
        </w:rPr>
      </w:pPr>
      <w:r>
        <w:rPr>
          <w:rFonts w:ascii="Arial" w:cs="Arial" w:eastAsia="Arial" w:hAnsi="Arial"/>
          <w:sz w:val="18"/>
          <w:szCs w:val="18"/>
          <w:color w:val="auto"/>
        </w:rPr>
        <w:t>Our business is grouped into two reportable business segments: Vacation Ownership and Exchange &amp; Third-Party Management. See Footnote 17 “Business Segments” to our Financial Statements for further information on our segments.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Vacation Ownership</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60" w:type="dxa"/>
            <w:vAlign w:val="bottom"/>
            <w:gridSpan w:val="4"/>
          </w:tcPr>
          <w:p>
            <w:pPr>
              <w:jc w:val="right"/>
              <w:ind w:right="670"/>
              <w:spacing w:after="0"/>
              <w:rPr>
                <w:sz w:val="20"/>
                <w:szCs w:val="20"/>
                <w:color w:val="auto"/>
              </w:rPr>
            </w:pPr>
            <w:r>
              <w:rPr>
                <w:rFonts w:ascii="Arial" w:cs="Arial" w:eastAsia="Arial" w:hAnsi="Arial"/>
                <w:sz w:val="16"/>
                <w:szCs w:val="16"/>
                <w:b w:val="1"/>
                <w:bCs w:val="1"/>
                <w:color w:val="auto"/>
              </w:rPr>
              <w:t>Three Months Ended</w:t>
            </w:r>
          </w:p>
        </w:tc>
        <w:tc>
          <w:tcPr>
            <w:tcW w:w="0" w:type="dxa"/>
            <w:vAlign w:val="bottom"/>
          </w:tcPr>
          <w:p>
            <w:pPr>
              <w:spacing w:after="0"/>
              <w:rPr>
                <w:sz w:val="1"/>
                <w:szCs w:val="1"/>
                <w:color w:val="auto"/>
              </w:rPr>
            </w:pPr>
          </w:p>
        </w:tc>
      </w:tr>
      <w:tr>
        <w:trPr>
          <w:trHeight w:val="33"/>
        </w:trPr>
        <w:tc>
          <w:tcPr>
            <w:tcW w:w="82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22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160" w:type="dxa"/>
            <w:vAlign w:val="bottom"/>
          </w:tcPr>
          <w:p>
            <w:pPr>
              <w:spacing w:after="0"/>
              <w:rPr>
                <w:sz w:val="22"/>
                <w:szCs w:val="22"/>
                <w:color w:val="auto"/>
              </w:rPr>
            </w:pPr>
          </w:p>
        </w:tc>
        <w:tc>
          <w:tcPr>
            <w:tcW w:w="1400" w:type="dxa"/>
            <w:vAlign w:val="bottom"/>
            <w:gridSpan w:val="2"/>
          </w:tcPr>
          <w:p>
            <w:pPr>
              <w:ind w:left="20"/>
              <w:spacing w:after="0"/>
              <w:rPr>
                <w:sz w:val="20"/>
                <w:szCs w:val="20"/>
                <w:color w:val="auto"/>
              </w:rPr>
            </w:pPr>
            <w:r>
              <w:rPr>
                <w:rFonts w:ascii="Arial" w:cs="Arial" w:eastAsia="Arial" w:hAnsi="Arial"/>
                <w:sz w:val="16"/>
                <w:szCs w:val="16"/>
                <w:b w:val="1"/>
                <w:bCs w:val="1"/>
                <w:color w:val="auto"/>
              </w:rPr>
              <w:t>March 31, 2020</w:t>
            </w:r>
          </w:p>
        </w:tc>
        <w:tc>
          <w:tcPr>
            <w:tcW w:w="160" w:type="dxa"/>
            <w:vAlign w:val="bottom"/>
          </w:tcPr>
          <w:p>
            <w:pPr>
              <w:spacing w:after="0"/>
              <w:rPr>
                <w:sz w:val="22"/>
                <w:szCs w:val="22"/>
                <w:color w:val="auto"/>
              </w:rPr>
            </w:pPr>
          </w:p>
        </w:tc>
        <w:tc>
          <w:tcPr>
            <w:tcW w:w="1300" w:type="dxa"/>
            <w:vAlign w:val="bottom"/>
          </w:tcPr>
          <w:p>
            <w:pPr>
              <w:jc w:val="right"/>
              <w:ind w:right="110"/>
              <w:spacing w:after="0"/>
              <w:rPr>
                <w:sz w:val="20"/>
                <w:szCs w:val="20"/>
                <w:color w:val="auto"/>
              </w:rPr>
            </w:pPr>
            <w:r>
              <w:rPr>
                <w:rFonts w:ascii="Arial" w:cs="Arial" w:eastAsia="Arial" w:hAnsi="Arial"/>
                <w:sz w:val="16"/>
                <w:szCs w:val="16"/>
                <w:b w:val="1"/>
                <w:bCs w:val="1"/>
                <w:color w:val="auto"/>
                <w:w w:val="94"/>
              </w:rPr>
              <w:t>March 31, 2019</w:t>
            </w:r>
          </w:p>
        </w:tc>
        <w:tc>
          <w:tcPr>
            <w:tcW w:w="0" w:type="dxa"/>
            <w:vAlign w:val="bottom"/>
          </w:tcPr>
          <w:p>
            <w:pPr>
              <w:spacing w:after="0"/>
              <w:rPr>
                <w:sz w:val="1"/>
                <w:szCs w:val="1"/>
                <w:color w:val="auto"/>
              </w:rPr>
            </w:pPr>
          </w:p>
        </w:tc>
      </w:tr>
      <w:tr>
        <w:trPr>
          <w:trHeight w:val="250"/>
        </w:trPr>
        <w:tc>
          <w:tcPr>
            <w:tcW w:w="82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REVENUES</w:t>
            </w: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220" w:type="dxa"/>
            <w:vAlign w:val="bottom"/>
          </w:tcPr>
          <w:p>
            <w:pPr>
              <w:ind w:left="280"/>
              <w:spacing w:after="0"/>
              <w:rPr>
                <w:sz w:val="20"/>
                <w:szCs w:val="20"/>
                <w:color w:val="auto"/>
              </w:rPr>
            </w:pPr>
            <w:r>
              <w:rPr>
                <w:rFonts w:ascii="Arial" w:cs="Arial" w:eastAsia="Arial" w:hAnsi="Arial"/>
                <w:sz w:val="18"/>
                <w:szCs w:val="18"/>
                <w:color w:val="auto"/>
              </w:rPr>
              <w:t>Sale of vacation ownership products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258</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293</w:t>
            </w:r>
          </w:p>
        </w:tc>
        <w:tc>
          <w:tcPr>
            <w:tcW w:w="0" w:type="dxa"/>
            <w:vAlign w:val="bottom"/>
          </w:tcPr>
          <w:p>
            <w:pPr>
              <w:spacing w:after="0"/>
              <w:rPr>
                <w:sz w:val="1"/>
                <w:szCs w:val="1"/>
                <w:color w:val="auto"/>
              </w:rPr>
            </w:pPr>
          </w:p>
        </w:tc>
      </w:tr>
      <w:tr>
        <w:trPr>
          <w:trHeight w:val="27"/>
        </w:trPr>
        <w:tc>
          <w:tcPr>
            <w:tcW w:w="8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Resort management and other services</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43"/>
        </w:trPr>
        <w:tc>
          <w:tcPr>
            <w:tcW w:w="8220" w:type="dxa"/>
            <w:vAlign w:val="bottom"/>
          </w:tcPr>
          <w:p>
            <w:pPr>
              <w:ind w:left="280"/>
              <w:spacing w:after="0"/>
              <w:rPr>
                <w:sz w:val="20"/>
                <w:szCs w:val="20"/>
                <w:color w:val="auto"/>
              </w:rPr>
            </w:pPr>
            <w:r>
              <w:rPr>
                <w:rFonts w:ascii="Arial" w:cs="Arial" w:eastAsia="Arial" w:hAnsi="Arial"/>
                <w:sz w:val="18"/>
                <w:szCs w:val="18"/>
                <w:color w:val="auto"/>
              </w:rPr>
              <w:t>Rental</w:t>
            </w:r>
          </w:p>
        </w:tc>
        <w:tc>
          <w:tcPr>
            <w:tcW w:w="16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122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7"/>
        </w:trPr>
        <w:tc>
          <w:tcPr>
            <w:tcW w:w="8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Financing</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43"/>
        </w:trPr>
        <w:tc>
          <w:tcPr>
            <w:tcW w:w="8220" w:type="dxa"/>
            <w:vAlign w:val="bottom"/>
          </w:tcPr>
          <w:p>
            <w:pPr>
              <w:ind w:left="280"/>
              <w:spacing w:after="0"/>
              <w:rPr>
                <w:sz w:val="20"/>
                <w:szCs w:val="20"/>
                <w:color w:val="auto"/>
              </w:rPr>
            </w:pPr>
            <w:r>
              <w:rPr>
                <w:rFonts w:ascii="Arial" w:cs="Arial" w:eastAsia="Arial" w:hAnsi="Arial"/>
                <w:sz w:val="18"/>
                <w:szCs w:val="18"/>
                <w:color w:val="auto"/>
              </w:rPr>
              <w:t>Cost reimbursements</w:t>
            </w:r>
          </w:p>
        </w:tc>
        <w:tc>
          <w:tcPr>
            <w:tcW w:w="16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345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291</w:t>
            </w:r>
          </w:p>
        </w:tc>
        <w:tc>
          <w:tcPr>
            <w:tcW w:w="0" w:type="dxa"/>
            <w:vAlign w:val="bottom"/>
          </w:tcPr>
          <w:p>
            <w:pPr>
              <w:spacing w:after="0"/>
              <w:rPr>
                <w:sz w:val="1"/>
                <w:szCs w:val="1"/>
                <w:color w:val="auto"/>
              </w:rPr>
            </w:pPr>
          </w:p>
        </w:tc>
      </w:tr>
      <w:tr>
        <w:trPr>
          <w:trHeight w:val="27"/>
        </w:trPr>
        <w:tc>
          <w:tcPr>
            <w:tcW w:w="8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82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b w:val="1"/>
                <w:bCs w:val="1"/>
                <w:color w:val="auto"/>
              </w:rPr>
              <w:t>TOTAL REVENUES</w:t>
            </w:r>
          </w:p>
        </w:tc>
        <w:tc>
          <w:tcPr>
            <w:tcW w:w="16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908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905</w:t>
            </w:r>
          </w:p>
        </w:tc>
        <w:tc>
          <w:tcPr>
            <w:tcW w:w="0" w:type="dxa"/>
            <w:vAlign w:val="bottom"/>
          </w:tcPr>
          <w:p>
            <w:pPr>
              <w:spacing w:after="0"/>
              <w:rPr>
                <w:sz w:val="1"/>
                <w:szCs w:val="1"/>
                <w:color w:val="auto"/>
              </w:rPr>
            </w:pPr>
          </w:p>
        </w:tc>
      </w:tr>
      <w:tr>
        <w:trPr>
          <w:trHeight w:val="237"/>
        </w:trPr>
        <w:tc>
          <w:tcPr>
            <w:tcW w:w="8220" w:type="dxa"/>
            <w:vAlign w:val="bottom"/>
          </w:tcPr>
          <w:p>
            <w:pPr>
              <w:ind w:left="40"/>
              <w:spacing w:after="0"/>
              <w:rPr>
                <w:sz w:val="20"/>
                <w:szCs w:val="20"/>
                <w:color w:val="auto"/>
              </w:rPr>
            </w:pPr>
            <w:r>
              <w:rPr>
                <w:rFonts w:ascii="Arial" w:cs="Arial" w:eastAsia="Arial" w:hAnsi="Arial"/>
                <w:sz w:val="18"/>
                <w:szCs w:val="18"/>
                <w:b w:val="1"/>
                <w:bCs w:val="1"/>
                <w:color w:val="auto"/>
              </w:rPr>
              <w:t>EXPENSES</w:t>
            </w:r>
          </w:p>
        </w:tc>
        <w:tc>
          <w:tcPr>
            <w:tcW w:w="16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Cost of vacation ownership products</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43"/>
        </w:trPr>
        <w:tc>
          <w:tcPr>
            <w:tcW w:w="8220" w:type="dxa"/>
            <w:vAlign w:val="bottom"/>
          </w:tcPr>
          <w:p>
            <w:pPr>
              <w:ind w:left="280"/>
              <w:spacing w:after="0"/>
              <w:rPr>
                <w:sz w:val="20"/>
                <w:szCs w:val="20"/>
                <w:color w:val="auto"/>
              </w:rPr>
            </w:pPr>
            <w:r>
              <w:rPr>
                <w:rFonts w:ascii="Arial" w:cs="Arial" w:eastAsia="Arial" w:hAnsi="Arial"/>
                <w:sz w:val="18"/>
                <w:szCs w:val="18"/>
                <w:color w:val="auto"/>
              </w:rPr>
              <w:t>Marketing and sales</w:t>
            </w:r>
          </w:p>
        </w:tc>
        <w:tc>
          <w:tcPr>
            <w:tcW w:w="16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170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7"/>
        </w:trPr>
        <w:tc>
          <w:tcPr>
            <w:tcW w:w="8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Resort management and other services</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43"/>
        </w:trPr>
        <w:tc>
          <w:tcPr>
            <w:tcW w:w="8220" w:type="dxa"/>
            <w:vAlign w:val="bottom"/>
          </w:tcPr>
          <w:p>
            <w:pPr>
              <w:ind w:left="280"/>
              <w:spacing w:after="0"/>
              <w:rPr>
                <w:sz w:val="20"/>
                <w:szCs w:val="20"/>
                <w:color w:val="auto"/>
              </w:rPr>
            </w:pPr>
            <w:r>
              <w:rPr>
                <w:rFonts w:ascii="Arial" w:cs="Arial" w:eastAsia="Arial" w:hAnsi="Arial"/>
                <w:sz w:val="18"/>
                <w:szCs w:val="18"/>
                <w:color w:val="auto"/>
              </w:rPr>
              <w:t>Rental</w:t>
            </w:r>
          </w:p>
        </w:tc>
        <w:tc>
          <w:tcPr>
            <w:tcW w:w="16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7"/>
        </w:trPr>
        <w:tc>
          <w:tcPr>
            <w:tcW w:w="8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Financing</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43"/>
        </w:trPr>
        <w:tc>
          <w:tcPr>
            <w:tcW w:w="8220" w:type="dxa"/>
            <w:vAlign w:val="bottom"/>
          </w:tcPr>
          <w:p>
            <w:pPr>
              <w:ind w:left="280"/>
              <w:spacing w:after="0"/>
              <w:rPr>
                <w:sz w:val="20"/>
                <w:szCs w:val="20"/>
                <w:color w:val="auto"/>
              </w:rPr>
            </w:pPr>
            <w:r>
              <w:rPr>
                <w:rFonts w:ascii="Arial" w:cs="Arial" w:eastAsia="Arial" w:hAnsi="Arial"/>
                <w:sz w:val="18"/>
                <w:szCs w:val="18"/>
                <w:color w:val="auto"/>
              </w:rPr>
              <w:t>Depreciation and amortization</w:t>
            </w:r>
          </w:p>
        </w:tc>
        <w:tc>
          <w:tcPr>
            <w:tcW w:w="16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
        </w:trPr>
        <w:tc>
          <w:tcPr>
            <w:tcW w:w="8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Litigation charges</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8220" w:type="dxa"/>
            <w:vAlign w:val="bottom"/>
          </w:tcPr>
          <w:p>
            <w:pPr>
              <w:ind w:left="280"/>
              <w:spacing w:after="0"/>
              <w:rPr>
                <w:sz w:val="20"/>
                <w:szCs w:val="20"/>
                <w:color w:val="auto"/>
              </w:rPr>
            </w:pPr>
            <w:r>
              <w:rPr>
                <w:rFonts w:ascii="Arial" w:cs="Arial" w:eastAsia="Arial" w:hAnsi="Arial"/>
                <w:sz w:val="18"/>
                <w:szCs w:val="18"/>
                <w:color w:val="auto"/>
              </w:rPr>
              <w:t>Royalty fee</w:t>
            </w:r>
          </w:p>
        </w:tc>
        <w:tc>
          <w:tcPr>
            <w:tcW w:w="16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7"/>
        </w:trPr>
        <w:tc>
          <w:tcPr>
            <w:tcW w:w="8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Impairment</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43"/>
        </w:trPr>
        <w:tc>
          <w:tcPr>
            <w:tcW w:w="8220" w:type="dxa"/>
            <w:vAlign w:val="bottom"/>
          </w:tcPr>
          <w:p>
            <w:pPr>
              <w:ind w:left="280"/>
              <w:spacing w:after="0"/>
              <w:rPr>
                <w:sz w:val="20"/>
                <w:szCs w:val="20"/>
                <w:color w:val="auto"/>
              </w:rPr>
            </w:pPr>
            <w:r>
              <w:rPr>
                <w:rFonts w:ascii="Arial" w:cs="Arial" w:eastAsia="Arial" w:hAnsi="Arial"/>
                <w:sz w:val="18"/>
                <w:szCs w:val="18"/>
                <w:color w:val="auto"/>
              </w:rPr>
              <w:t>Cost reimbursements</w:t>
            </w:r>
          </w:p>
        </w:tc>
        <w:tc>
          <w:tcPr>
            <w:tcW w:w="16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345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291</w:t>
            </w:r>
          </w:p>
        </w:tc>
        <w:tc>
          <w:tcPr>
            <w:tcW w:w="0" w:type="dxa"/>
            <w:vAlign w:val="bottom"/>
          </w:tcPr>
          <w:p>
            <w:pPr>
              <w:spacing w:after="0"/>
              <w:rPr>
                <w:sz w:val="1"/>
                <w:szCs w:val="1"/>
                <w:color w:val="auto"/>
              </w:rPr>
            </w:pPr>
          </w:p>
        </w:tc>
      </w:tr>
      <w:tr>
        <w:trPr>
          <w:trHeight w:val="27"/>
        </w:trPr>
        <w:tc>
          <w:tcPr>
            <w:tcW w:w="8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2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b w:val="1"/>
                <w:bCs w:val="1"/>
                <w:color w:val="auto"/>
              </w:rPr>
              <w:t>TOTAL EXPENSES</w:t>
            </w:r>
          </w:p>
        </w:tc>
        <w:tc>
          <w:tcPr>
            <w:tcW w:w="16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825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781</w:t>
            </w:r>
          </w:p>
        </w:tc>
        <w:tc>
          <w:tcPr>
            <w:tcW w:w="0" w:type="dxa"/>
            <w:vAlign w:val="bottom"/>
          </w:tcPr>
          <w:p>
            <w:pPr>
              <w:spacing w:after="0"/>
              <w:rPr>
                <w:sz w:val="1"/>
                <w:szCs w:val="1"/>
                <w:color w:val="auto"/>
              </w:rPr>
            </w:pPr>
          </w:p>
        </w:tc>
      </w:tr>
      <w:tr>
        <w:trPr>
          <w:trHeight w:val="236"/>
        </w:trPr>
        <w:tc>
          <w:tcPr>
            <w:tcW w:w="8220" w:type="dxa"/>
            <w:vAlign w:val="bottom"/>
          </w:tcPr>
          <w:p>
            <w:pPr>
              <w:ind w:left="280"/>
              <w:spacing w:after="0"/>
              <w:rPr>
                <w:sz w:val="20"/>
                <w:szCs w:val="20"/>
                <w:color w:val="auto"/>
              </w:rPr>
            </w:pPr>
            <w:r>
              <w:rPr>
                <w:rFonts w:ascii="Arial" w:cs="Arial" w:eastAsia="Arial" w:hAnsi="Arial"/>
                <w:sz w:val="18"/>
                <w:szCs w:val="18"/>
                <w:color w:val="auto"/>
              </w:rPr>
              <w:t>Gains and other income, net</w:t>
            </w:r>
          </w:p>
        </w:tc>
        <w:tc>
          <w:tcPr>
            <w:tcW w:w="16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8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2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6"/>
        </w:trPr>
        <w:tc>
          <w:tcPr>
            <w:tcW w:w="8220" w:type="dxa"/>
            <w:vAlign w:val="bottom"/>
          </w:tcPr>
          <w:p>
            <w:pPr>
              <w:ind w:left="40"/>
              <w:spacing w:after="0"/>
              <w:rPr>
                <w:sz w:val="20"/>
                <w:szCs w:val="20"/>
                <w:color w:val="auto"/>
              </w:rPr>
            </w:pPr>
            <w:r>
              <w:rPr>
                <w:rFonts w:ascii="Arial" w:cs="Arial" w:eastAsia="Arial" w:hAnsi="Arial"/>
                <w:sz w:val="18"/>
                <w:szCs w:val="18"/>
                <w:b w:val="1"/>
                <w:bCs w:val="1"/>
                <w:color w:val="auto"/>
              </w:rPr>
              <w:t>SEGMENT FINANCIAL RESULTS BEFORE NONCONTROLLING INTERESTS</w:t>
            </w:r>
          </w:p>
        </w:tc>
        <w:tc>
          <w:tcPr>
            <w:tcW w:w="16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7"/>
        </w:trPr>
        <w:tc>
          <w:tcPr>
            <w:tcW w:w="8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attributable to noncontrolling interests</w:t>
            </w:r>
          </w:p>
        </w:tc>
        <w:tc>
          <w:tcPr>
            <w:tcW w:w="16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57"/>
        </w:trPr>
        <w:tc>
          <w:tcPr>
            <w:tcW w:w="8220" w:type="dxa"/>
            <w:vAlign w:val="bottom"/>
          </w:tcPr>
          <w:p>
            <w:pPr>
              <w:ind w:left="40"/>
              <w:spacing w:after="0"/>
              <w:rPr>
                <w:sz w:val="20"/>
                <w:szCs w:val="20"/>
                <w:color w:val="auto"/>
              </w:rPr>
            </w:pPr>
            <w:r>
              <w:rPr>
                <w:rFonts w:ascii="Arial" w:cs="Arial" w:eastAsia="Arial" w:hAnsi="Arial"/>
                <w:sz w:val="18"/>
                <w:szCs w:val="18"/>
                <w:b w:val="1"/>
                <w:bCs w:val="1"/>
                <w:color w:val="auto"/>
              </w:rPr>
              <w:t>SEGMENT FINANCIAL RESULTS ATTRIBUTABLE TO COMMON SHAREHOLDERS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0"/>
        </w:trPr>
        <w:tc>
          <w:tcPr>
            <w:tcW w:w="8220" w:type="dxa"/>
            <w:vAlign w:val="bottom"/>
            <w:vMerge w:val="restart"/>
          </w:tcPr>
          <w:p>
            <w:pPr>
              <w:ind w:left="5540"/>
              <w:spacing w:after="0"/>
              <w:rPr>
                <w:sz w:val="20"/>
                <w:szCs w:val="20"/>
                <w:color w:val="auto"/>
              </w:rPr>
            </w:pPr>
            <w:r>
              <w:rPr>
                <w:rFonts w:ascii="Arial" w:cs="Arial" w:eastAsia="Arial" w:hAnsi="Arial"/>
                <w:sz w:val="18"/>
                <w:szCs w:val="18"/>
                <w:color w:val="auto"/>
              </w:rPr>
              <w:t>44</w:t>
            </w: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822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Sales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2020 First Quarter</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0" w:type="dxa"/>
            <w:vAlign w:val="bottom"/>
            <w:gridSpan w:val="5"/>
          </w:tcPr>
          <w:p>
            <w:pPr>
              <w:ind w:left="640"/>
              <w:spacing w:after="0"/>
              <w:rPr>
                <w:sz w:val="20"/>
                <w:szCs w:val="20"/>
                <w:color w:val="auto"/>
              </w:rPr>
            </w:pPr>
            <w:r>
              <w:rPr>
                <w:rFonts w:ascii="Arial" w:cs="Arial" w:eastAsia="Arial" w:hAnsi="Arial"/>
                <w:sz w:val="16"/>
                <w:szCs w:val="16"/>
                <w:b w:val="1"/>
                <w:bCs w:val="1"/>
                <w:color w:val="auto"/>
              </w:rPr>
              <w:t>Three Months Ended</w:t>
            </w: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0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0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14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112"/>
              <w:spacing w:after="0"/>
              <w:rPr>
                <w:sz w:val="20"/>
                <w:szCs w:val="20"/>
                <w:color w:val="auto"/>
              </w:rPr>
            </w:pPr>
            <w:r>
              <w:rPr>
                <w:rFonts w:ascii="Arial" w:cs="Arial" w:eastAsia="Arial" w:hAnsi="Arial"/>
                <w:sz w:val="16"/>
                <w:szCs w:val="16"/>
                <w:b w:val="1"/>
                <w:bCs w:val="1"/>
                <w:color w:val="auto"/>
                <w:w w:val="96"/>
              </w:rPr>
              <w:t>March 31, 2020</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91"/>
              <w:spacing w:after="0"/>
              <w:rPr>
                <w:sz w:val="20"/>
                <w:szCs w:val="20"/>
                <w:color w:val="auto"/>
              </w:rPr>
            </w:pPr>
            <w:r>
              <w:rPr>
                <w:rFonts w:ascii="Arial" w:cs="Arial" w:eastAsia="Arial" w:hAnsi="Arial"/>
                <w:sz w:val="16"/>
                <w:szCs w:val="16"/>
                <w:b w:val="1"/>
                <w:bCs w:val="1"/>
                <w:color w:val="auto"/>
                <w:w w:val="96"/>
              </w:rPr>
              <w:t>March 31, 2019</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371"/>
              <w:spacing w:after="0"/>
              <w:rPr>
                <w:sz w:val="20"/>
                <w:szCs w:val="20"/>
                <w:color w:val="auto"/>
              </w:rPr>
            </w:pPr>
            <w:r>
              <w:rPr>
                <w:rFonts w:ascii="Arial" w:cs="Arial" w:eastAsia="Arial" w:hAnsi="Arial"/>
                <w:sz w:val="16"/>
                <w:szCs w:val="16"/>
                <w:b w:val="1"/>
                <w:bCs w:val="1"/>
                <w:color w:val="auto"/>
              </w:rPr>
              <w:t>Change</w:t>
            </w:r>
          </w:p>
        </w:tc>
        <w:tc>
          <w:tcPr>
            <w:tcW w:w="100" w:type="dxa"/>
            <w:vAlign w:val="bottom"/>
            <w:tcBorders>
              <w:bottom w:val="single" w:sz="8" w:color="CCEEFF"/>
            </w:tcBorders>
          </w:tcPr>
          <w:p>
            <w:pPr>
              <w:spacing w:after="0"/>
              <w:rPr>
                <w:sz w:val="22"/>
                <w:szCs w:val="22"/>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5"/>
              </w:rPr>
              <w:t>% Change</w:t>
            </w:r>
          </w:p>
        </w:tc>
        <w:tc>
          <w:tcPr>
            <w:tcW w:w="0" w:type="dxa"/>
            <w:vAlign w:val="bottom"/>
          </w:tcPr>
          <w:p>
            <w:pPr>
              <w:spacing w:after="0"/>
              <w:rPr>
                <w:sz w:val="1"/>
                <w:szCs w:val="1"/>
                <w:color w:val="auto"/>
              </w:rPr>
            </w:pP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consolidated contract sales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56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5"/>
              </w:rPr>
              <w:t>(13%)</w:t>
            </w:r>
          </w:p>
        </w:tc>
        <w:tc>
          <w:tcPr>
            <w:tcW w:w="0" w:type="dxa"/>
            <w:vAlign w:val="bottom"/>
          </w:tcPr>
          <w:p>
            <w:pPr>
              <w:spacing w:after="0"/>
              <w:rPr>
                <w:sz w:val="1"/>
                <w:szCs w:val="1"/>
                <w:color w:val="auto"/>
              </w:rPr>
            </w:pP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Joint venture contract sales</w:t>
            </w:r>
          </w:p>
        </w:tc>
        <w:tc>
          <w:tcPr>
            <w:tcW w:w="140" w:type="dxa"/>
            <w:vAlign w:val="bottom"/>
          </w:tcPr>
          <w:p>
            <w:pPr>
              <w:spacing w:after="0"/>
              <w:rPr>
                <w:sz w:val="21"/>
                <w:szCs w:val="21"/>
                <w:color w:val="auto"/>
              </w:rPr>
            </w:pP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w:t>
            </w:r>
          </w:p>
        </w:tc>
        <w:tc>
          <w:tcPr>
            <w:tcW w:w="1560" w:type="dxa"/>
            <w:vAlign w:val="bottom"/>
            <w:gridSpan w:val="2"/>
          </w:tcPr>
          <w:p>
            <w:pPr>
              <w:jc w:val="center"/>
              <w:ind w:left="10"/>
              <w:spacing w:after="0"/>
              <w:rPr>
                <w:sz w:val="20"/>
                <w:szCs w:val="20"/>
                <w:color w:val="auto"/>
              </w:rPr>
            </w:pPr>
            <w:r>
              <w:rPr>
                <w:rFonts w:ascii="Arial" w:cs="Arial" w:eastAsia="Arial" w:hAnsi="Arial"/>
                <w:sz w:val="18"/>
                <w:szCs w:val="18"/>
                <w:color w:val="auto"/>
                <w:w w:val="95"/>
              </w:rPr>
              <w:t>(18%)</w:t>
            </w:r>
          </w:p>
        </w:tc>
        <w:tc>
          <w:tcPr>
            <w:tcW w:w="0" w:type="dxa"/>
            <w:vAlign w:val="bottom"/>
          </w:tcPr>
          <w:p>
            <w:pPr>
              <w:spacing w:after="0"/>
              <w:rPr>
                <w:sz w:val="1"/>
                <w:szCs w:val="1"/>
                <w:color w:val="auto"/>
              </w:rPr>
            </w:pPr>
          </w:p>
        </w:tc>
      </w:tr>
      <w:tr>
        <w:trPr>
          <w:trHeight w:val="27"/>
        </w:trPr>
        <w:tc>
          <w:tcPr>
            <w:tcW w:w="50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contract sales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315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365</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56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5"/>
              </w:rPr>
              <w:t>(14%)</w:t>
            </w:r>
          </w:p>
        </w:tc>
        <w:tc>
          <w:tcPr>
            <w:tcW w:w="0" w:type="dxa"/>
            <w:vAlign w:val="bottom"/>
          </w:tcPr>
          <w:p>
            <w:pPr>
              <w:spacing w:after="0"/>
              <w:rPr>
                <w:sz w:val="1"/>
                <w:szCs w:val="1"/>
                <w:color w:val="auto"/>
              </w:rPr>
            </w:pPr>
          </w:p>
        </w:tc>
      </w:tr>
      <w:tr>
        <w:trPr>
          <w:trHeight w:val="20"/>
        </w:trPr>
        <w:tc>
          <w:tcPr>
            <w:tcW w:w="5080" w:type="dxa"/>
            <w:vAlign w:val="bottom"/>
            <w:vMerge w:val="restart"/>
          </w:tcPr>
          <w:p>
            <w:pPr>
              <w:spacing w:after="0"/>
              <w:rPr>
                <w:sz w:val="20"/>
                <w:szCs w:val="20"/>
                <w:color w:val="auto"/>
              </w:rPr>
            </w:pPr>
            <w:r>
              <w:rPr>
                <w:rFonts w:ascii="Arial" w:cs="Arial" w:eastAsia="Arial" w:hAnsi="Arial"/>
                <w:sz w:val="18"/>
                <w:szCs w:val="18"/>
                <w:b w:val="1"/>
                <w:bCs w:val="1"/>
                <w:color w:val="auto"/>
              </w:rPr>
              <w:t>Sale of Vacation Ownership Products</w:t>
            </w: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508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080" w:type="dxa"/>
            <w:vAlign w:val="bottom"/>
          </w:tcPr>
          <w:p>
            <w:pPr>
              <w:ind w:left="660"/>
              <w:spacing w:after="0"/>
              <w:rPr>
                <w:sz w:val="20"/>
                <w:szCs w:val="20"/>
                <w:color w:val="auto"/>
              </w:rPr>
            </w:pPr>
            <w:r>
              <w:rPr>
                <w:rFonts w:ascii="Arial" w:cs="Arial" w:eastAsia="Arial" w:hAnsi="Arial"/>
                <w:sz w:val="18"/>
                <w:szCs w:val="18"/>
                <w:i w:val="1"/>
                <w:iCs w:val="1"/>
                <w:color w:val="auto"/>
              </w:rPr>
              <w:t>2020 First Quarter</w:t>
            </w: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5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0" w:type="dxa"/>
            <w:vAlign w:val="bottom"/>
            <w:gridSpan w:val="5"/>
          </w:tcPr>
          <w:p>
            <w:pPr>
              <w:ind w:left="640"/>
              <w:spacing w:after="0"/>
              <w:rPr>
                <w:sz w:val="20"/>
                <w:szCs w:val="20"/>
                <w:color w:val="auto"/>
              </w:rPr>
            </w:pPr>
            <w:r>
              <w:rPr>
                <w:rFonts w:ascii="Arial" w:cs="Arial" w:eastAsia="Arial" w:hAnsi="Arial"/>
                <w:sz w:val="16"/>
                <w:szCs w:val="16"/>
                <w:b w:val="1"/>
                <w:bCs w:val="1"/>
                <w:color w:val="auto"/>
              </w:rPr>
              <w:t>Three Months Ended</w:t>
            </w: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50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50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14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112"/>
              <w:spacing w:after="0"/>
              <w:rPr>
                <w:sz w:val="20"/>
                <w:szCs w:val="20"/>
                <w:color w:val="auto"/>
              </w:rPr>
            </w:pPr>
            <w:r>
              <w:rPr>
                <w:rFonts w:ascii="Arial" w:cs="Arial" w:eastAsia="Arial" w:hAnsi="Arial"/>
                <w:sz w:val="16"/>
                <w:szCs w:val="16"/>
                <w:b w:val="1"/>
                <w:bCs w:val="1"/>
                <w:color w:val="auto"/>
                <w:w w:val="96"/>
              </w:rPr>
              <w:t>March 31, 2020</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91"/>
              <w:spacing w:after="0"/>
              <w:rPr>
                <w:sz w:val="20"/>
                <w:szCs w:val="20"/>
                <w:color w:val="auto"/>
              </w:rPr>
            </w:pPr>
            <w:r>
              <w:rPr>
                <w:rFonts w:ascii="Arial" w:cs="Arial" w:eastAsia="Arial" w:hAnsi="Arial"/>
                <w:sz w:val="16"/>
                <w:szCs w:val="16"/>
                <w:b w:val="1"/>
                <w:bCs w:val="1"/>
                <w:color w:val="auto"/>
                <w:w w:val="96"/>
              </w:rPr>
              <w:t>March 31, 2019</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371"/>
              <w:spacing w:after="0"/>
              <w:rPr>
                <w:sz w:val="20"/>
                <w:szCs w:val="20"/>
                <w:color w:val="auto"/>
              </w:rPr>
            </w:pPr>
            <w:r>
              <w:rPr>
                <w:rFonts w:ascii="Arial" w:cs="Arial" w:eastAsia="Arial" w:hAnsi="Arial"/>
                <w:sz w:val="16"/>
                <w:szCs w:val="16"/>
                <w:b w:val="1"/>
                <w:bCs w:val="1"/>
                <w:color w:val="auto"/>
              </w:rPr>
              <w:t>Change</w:t>
            </w:r>
          </w:p>
        </w:tc>
        <w:tc>
          <w:tcPr>
            <w:tcW w:w="100" w:type="dxa"/>
            <w:vAlign w:val="bottom"/>
            <w:tcBorders>
              <w:bottom w:val="single" w:sz="8" w:color="CCEEFF"/>
            </w:tcBorders>
          </w:tcPr>
          <w:p>
            <w:pPr>
              <w:spacing w:after="0"/>
              <w:rPr>
                <w:sz w:val="22"/>
                <w:szCs w:val="22"/>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5"/>
              </w:rPr>
              <w:t>% Change</w:t>
            </w:r>
          </w:p>
        </w:tc>
        <w:tc>
          <w:tcPr>
            <w:tcW w:w="0" w:type="dxa"/>
            <w:vAlign w:val="bottom"/>
          </w:tcPr>
          <w:p>
            <w:pPr>
              <w:spacing w:after="0"/>
              <w:rPr>
                <w:sz w:val="1"/>
                <w:szCs w:val="1"/>
                <w:color w:val="auto"/>
              </w:rPr>
            </w:pP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contract sales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56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5"/>
              </w:rPr>
              <w:t>(14%)</w:t>
            </w:r>
          </w:p>
        </w:tc>
        <w:tc>
          <w:tcPr>
            <w:tcW w:w="0" w:type="dxa"/>
            <w:vAlign w:val="bottom"/>
          </w:tcPr>
          <w:p>
            <w:pPr>
              <w:spacing w:after="0"/>
              <w:rPr>
                <w:sz w:val="1"/>
                <w:szCs w:val="1"/>
                <w:color w:val="auto"/>
              </w:rPr>
            </w:pP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Less resales contract sales</w:t>
            </w:r>
          </w:p>
        </w:tc>
        <w:tc>
          <w:tcPr>
            <w:tcW w:w="1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joint venture contract sales</w:t>
            </w: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5080" w:type="dxa"/>
            <w:vAlign w:val="bottom"/>
          </w:tcPr>
          <w:p>
            <w:pPr>
              <w:ind w:left="40"/>
              <w:spacing w:after="0"/>
              <w:rPr>
                <w:sz w:val="20"/>
                <w:szCs w:val="20"/>
                <w:color w:val="auto"/>
              </w:rPr>
            </w:pPr>
            <w:r>
              <w:rPr>
                <w:rFonts w:ascii="Arial" w:cs="Arial" w:eastAsia="Arial" w:hAnsi="Arial"/>
                <w:sz w:val="18"/>
                <w:szCs w:val="18"/>
                <w:color w:val="auto"/>
              </w:rPr>
              <w:t>Consolidated contract sales, net of resales</w:t>
            </w:r>
          </w:p>
        </w:tc>
        <w:tc>
          <w:tcPr>
            <w:tcW w:w="14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299</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346</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Plus:</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80" w:type="dxa"/>
            <w:vAlign w:val="bottom"/>
          </w:tcPr>
          <w:p>
            <w:pPr>
              <w:ind w:left="280"/>
              <w:spacing w:after="0"/>
              <w:rPr>
                <w:sz w:val="20"/>
                <w:szCs w:val="20"/>
                <w:color w:val="auto"/>
              </w:rPr>
            </w:pPr>
            <w:r>
              <w:rPr>
                <w:rFonts w:ascii="Arial" w:cs="Arial" w:eastAsia="Arial" w:hAnsi="Arial"/>
                <w:sz w:val="18"/>
                <w:szCs w:val="18"/>
                <w:color w:val="auto"/>
              </w:rPr>
              <w:t>Settlement revenue</w:t>
            </w:r>
          </w:p>
        </w:tc>
        <w:tc>
          <w:tcPr>
            <w:tcW w:w="140" w:type="dxa"/>
            <w:vAlign w:val="bottom"/>
          </w:tcPr>
          <w:p>
            <w:pPr>
              <w:spacing w:after="0"/>
              <w:rPr>
                <w:sz w:val="21"/>
                <w:szCs w:val="21"/>
                <w:color w:val="auto"/>
              </w:rPr>
            </w:pP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Resales revenue</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Revenue recognition adjustments:</w:t>
            </w:r>
          </w:p>
        </w:tc>
        <w:tc>
          <w:tcPr>
            <w:tcW w:w="1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Reportability</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80" w:type="dxa"/>
            <w:vAlign w:val="bottom"/>
          </w:tcPr>
          <w:p>
            <w:pPr>
              <w:ind w:left="280"/>
              <w:spacing w:after="0"/>
              <w:rPr>
                <w:sz w:val="20"/>
                <w:szCs w:val="20"/>
                <w:color w:val="auto"/>
              </w:rPr>
            </w:pPr>
            <w:r>
              <w:rPr>
                <w:rFonts w:ascii="Arial" w:cs="Arial" w:eastAsia="Arial" w:hAnsi="Arial"/>
                <w:sz w:val="18"/>
                <w:szCs w:val="18"/>
                <w:color w:val="auto"/>
              </w:rPr>
              <w:t>Sales reserve</w:t>
            </w:r>
          </w:p>
        </w:tc>
        <w:tc>
          <w:tcPr>
            <w:tcW w:w="1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Other</w:t>
            </w:r>
            <w:r>
              <w:rPr>
                <w:rFonts w:ascii="Arial" w:cs="Arial" w:eastAsia="Arial" w:hAnsi="Arial"/>
                <w:sz w:val="18"/>
                <w:szCs w:val="18"/>
                <w:color w:val="auto"/>
                <w:vertAlign w:val="superscript"/>
              </w:rPr>
              <w:t>(1)</w:t>
            </w:r>
          </w:p>
        </w:tc>
        <w:tc>
          <w:tcPr>
            <w:tcW w:w="14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5080" w:type="dxa"/>
            <w:vAlign w:val="bottom"/>
          </w:tcPr>
          <w:p>
            <w:pPr>
              <w:ind w:left="40"/>
              <w:spacing w:after="0"/>
              <w:rPr>
                <w:sz w:val="20"/>
                <w:szCs w:val="20"/>
                <w:color w:val="auto"/>
              </w:rPr>
            </w:pPr>
            <w:r>
              <w:rPr>
                <w:rFonts w:ascii="Arial" w:cs="Arial" w:eastAsia="Arial" w:hAnsi="Arial"/>
                <w:sz w:val="18"/>
                <w:szCs w:val="18"/>
                <w:color w:val="auto"/>
              </w:rPr>
              <w:t>Sale of vacation ownership products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258</w:t>
            </w:r>
          </w:p>
        </w:tc>
        <w:tc>
          <w:tcPr>
            <w:tcW w:w="10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293</w:t>
            </w:r>
          </w:p>
        </w:tc>
        <w:tc>
          <w:tcPr>
            <w:tcW w:w="120" w:type="dxa"/>
            <w:vAlign w:val="bottom"/>
          </w:tcPr>
          <w:p>
            <w:pPr>
              <w:spacing w:after="0"/>
              <w:rPr>
                <w:sz w:val="22"/>
                <w:szCs w:val="22"/>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1560" w:type="dxa"/>
            <w:vAlign w:val="bottom"/>
            <w:gridSpan w:val="2"/>
          </w:tcPr>
          <w:p>
            <w:pPr>
              <w:jc w:val="center"/>
              <w:ind w:left="10"/>
              <w:spacing w:after="0"/>
              <w:rPr>
                <w:sz w:val="20"/>
                <w:szCs w:val="20"/>
                <w:color w:val="auto"/>
              </w:rPr>
            </w:pPr>
            <w:r>
              <w:rPr>
                <w:rFonts w:ascii="Arial" w:cs="Arial" w:eastAsia="Arial" w:hAnsi="Arial"/>
                <w:sz w:val="18"/>
                <w:szCs w:val="18"/>
                <w:color w:val="auto"/>
                <w:w w:val="95"/>
              </w:rPr>
              <w:t>(12%)</w:t>
            </w:r>
          </w:p>
        </w:tc>
        <w:tc>
          <w:tcPr>
            <w:tcW w:w="0" w:type="dxa"/>
            <w:vAlign w:val="bottom"/>
          </w:tcPr>
          <w:p>
            <w:pPr>
              <w:spacing w:after="0"/>
              <w:rPr>
                <w:sz w:val="1"/>
                <w:szCs w:val="1"/>
                <w:color w:val="auto"/>
              </w:rPr>
            </w:pPr>
          </w:p>
        </w:tc>
      </w:tr>
      <w:tr>
        <w:trPr>
          <w:trHeight w:val="20"/>
        </w:trPr>
        <w:tc>
          <w:tcPr>
            <w:tcW w:w="5080" w:type="dxa"/>
            <w:vAlign w:val="bottom"/>
            <w:vMerge w:val="restart"/>
          </w:tcPr>
          <w:p>
            <w:pPr>
              <w:spacing w:after="0"/>
              <w:rPr>
                <w:sz w:val="20"/>
                <w:szCs w:val="20"/>
                <w:color w:val="auto"/>
              </w:rPr>
            </w:pPr>
            <w:r>
              <w:rPr>
                <w:rFonts w:ascii="Arial" w:cs="Arial" w:eastAsia="Arial" w:hAnsi="Arial"/>
                <w:sz w:val="18"/>
                <w:szCs w:val="18"/>
                <w:color w:val="auto"/>
              </w:rPr>
              <w:t>_______________</w:t>
            </w: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08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660" w:right="520" w:hanging="652"/>
        <w:spacing w:after="0" w:line="216" w:lineRule="auto"/>
        <w:tabs>
          <w:tab w:leader="none" w:pos="660" w:val="left"/>
        </w:tabs>
        <w:numPr>
          <w:ilvl w:val="0"/>
          <w:numId w:val="25"/>
        </w:numPr>
        <w:rPr>
          <w:rFonts w:ascii="Arial" w:cs="Arial" w:eastAsia="Arial" w:hAnsi="Arial"/>
          <w:sz w:val="25"/>
          <w:szCs w:val="25"/>
          <w:color w:val="auto"/>
          <w:vertAlign w:val="superscript"/>
        </w:rPr>
      </w:pPr>
      <w:r>
        <w:rPr>
          <w:rFonts w:ascii="Arial" w:cs="Arial" w:eastAsia="Arial" w:hAnsi="Arial"/>
          <w:sz w:val="18"/>
          <w:szCs w:val="18"/>
          <w:color w:val="auto"/>
        </w:rPr>
        <w:t>Adjustment for sales incentives that will not be recognized as Sale of vacation ownership products revenue and other adjustments to Sale of vacation ownership products revenue.</w:t>
      </w:r>
    </w:p>
    <w:p>
      <w:pPr>
        <w:spacing w:after="0" w:line="95"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Sale of vacation ownership products decreased $35 million due to $47 million of lower contract sales volumes and $52 million of higher sales reserve activity, partially offset by a $64 million favorable change in revenue reportability.</w:t>
      </w:r>
    </w:p>
    <w:p>
      <w:pPr>
        <w:spacing w:after="0" w:line="62"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The lower contract sales performance as well as the higher sales reserve activity is driven primarily from the impact of the COVID-19 pandemic. Contract sales and VPG as of March 13, 2020 were 10 percent and 11 percent higher, respectively, than the same period during the first quarter of 2019. However, as the virus continued to spread throughout the United States and, as we began closing our sales centers during the second half of March, contract sales volumes declined significantly. The higher sales reserve recorded in the first quarter of 2020 reflects an estimate of future default activity to the extent our notes receivable portfolio performs similar to how it performed during the financial crisis of 2009 and 2010. We expect to continue to evaluate this estimate against actual activity as we proceed throughout the year.</w:t>
      </w:r>
    </w:p>
    <w:p>
      <w:pPr>
        <w:spacing w:after="0" w:line="84"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While revenue reportability is typically negative in the first quarter of a particular year, revenue reportability was significantly positive in the first quarter of 2020. The first quarter of 2020 benefited from the contract sales from late in the fourth quarter of 2019 that were recognized as revenue in 2020. However, it was not impacted by an offsetting shift of revenues into the second quarter, given the low sales volumes in March 2020 resulting from the impact of the COVID-19 pandemic.</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240"/>
          </w:cols>
          <w:pgMar w:left="320" w:top="125" w:right="33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Development Margin</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2020 First Quarter</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0" w:type="dxa"/>
            <w:vAlign w:val="bottom"/>
            <w:gridSpan w:val="5"/>
          </w:tcPr>
          <w:p>
            <w:pPr>
              <w:ind w:left="640"/>
              <w:spacing w:after="0"/>
              <w:rPr>
                <w:sz w:val="20"/>
                <w:szCs w:val="20"/>
                <w:color w:val="auto"/>
              </w:rPr>
            </w:pPr>
            <w:r>
              <w:rPr>
                <w:rFonts w:ascii="Arial" w:cs="Arial" w:eastAsia="Arial" w:hAnsi="Arial"/>
                <w:sz w:val="16"/>
                <w:szCs w:val="16"/>
                <w:b w:val="1"/>
                <w:bCs w:val="1"/>
                <w:color w:val="auto"/>
              </w:rPr>
              <w:t>Three Months Ended</w:t>
            </w: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33"/>
        </w:trPr>
        <w:tc>
          <w:tcPr>
            <w:tcW w:w="50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8"/>
        </w:trPr>
        <w:tc>
          <w:tcPr>
            <w:tcW w:w="50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14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113"/>
              <w:spacing w:after="0"/>
              <w:rPr>
                <w:sz w:val="20"/>
                <w:szCs w:val="20"/>
                <w:color w:val="auto"/>
              </w:rPr>
            </w:pPr>
            <w:r>
              <w:rPr>
                <w:rFonts w:ascii="Arial" w:cs="Arial" w:eastAsia="Arial" w:hAnsi="Arial"/>
                <w:sz w:val="16"/>
                <w:szCs w:val="16"/>
                <w:b w:val="1"/>
                <w:bCs w:val="1"/>
                <w:color w:val="auto"/>
                <w:w w:val="96"/>
              </w:rPr>
              <w:t>March 31, 2020</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92"/>
              <w:spacing w:after="0"/>
              <w:rPr>
                <w:sz w:val="20"/>
                <w:szCs w:val="20"/>
                <w:color w:val="auto"/>
              </w:rPr>
            </w:pPr>
            <w:r>
              <w:rPr>
                <w:rFonts w:ascii="Arial" w:cs="Arial" w:eastAsia="Arial" w:hAnsi="Arial"/>
                <w:sz w:val="16"/>
                <w:szCs w:val="16"/>
                <w:b w:val="1"/>
                <w:bCs w:val="1"/>
                <w:color w:val="auto"/>
                <w:w w:val="96"/>
              </w:rPr>
              <w:t>March 31, 2019</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372"/>
              <w:spacing w:after="0"/>
              <w:rPr>
                <w:sz w:val="20"/>
                <w:szCs w:val="20"/>
                <w:color w:val="auto"/>
              </w:rPr>
            </w:pPr>
            <w:r>
              <w:rPr>
                <w:rFonts w:ascii="Arial" w:cs="Arial" w:eastAsia="Arial" w:hAnsi="Arial"/>
                <w:sz w:val="16"/>
                <w:szCs w:val="16"/>
                <w:b w:val="1"/>
                <w:bCs w:val="1"/>
                <w:color w:val="auto"/>
              </w:rPr>
              <w:t>Change</w:t>
            </w:r>
          </w:p>
        </w:tc>
        <w:tc>
          <w:tcPr>
            <w:tcW w:w="100" w:type="dxa"/>
            <w:vAlign w:val="bottom"/>
            <w:tcBorders>
              <w:bottom w:val="single" w:sz="8" w:color="CCEEFF"/>
            </w:tcBorders>
          </w:tcPr>
          <w:p>
            <w:pPr>
              <w:spacing w:after="0"/>
              <w:rPr>
                <w:sz w:val="22"/>
                <w:szCs w:val="22"/>
                <w:color w:val="auto"/>
              </w:rPr>
            </w:pPr>
          </w:p>
        </w:tc>
        <w:tc>
          <w:tcPr>
            <w:tcW w:w="1460" w:type="dxa"/>
            <w:vAlign w:val="bottom"/>
            <w:tcBorders>
              <w:bottom w:val="single" w:sz="8" w:color="auto"/>
            </w:tcBorders>
          </w:tcPr>
          <w:p>
            <w:pPr>
              <w:ind w:left="360"/>
              <w:spacing w:after="0"/>
              <w:rPr>
                <w:sz w:val="20"/>
                <w:szCs w:val="20"/>
                <w:color w:val="auto"/>
              </w:rPr>
            </w:pPr>
            <w:r>
              <w:rPr>
                <w:rFonts w:ascii="Arial" w:cs="Arial" w:eastAsia="Arial" w:hAnsi="Arial"/>
                <w:sz w:val="16"/>
                <w:szCs w:val="16"/>
                <w:b w:val="1"/>
                <w:bCs w:val="1"/>
                <w:color w:val="auto"/>
              </w:rPr>
              <w:t>% Change</w:t>
            </w:r>
          </w:p>
        </w:tc>
      </w:tr>
      <w:tr>
        <w:trPr>
          <w:trHeight w:val="249"/>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Sale of vacation ownership products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56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5"/>
              </w:rPr>
              <w:t>(12%)</w:t>
            </w: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Cost of vacation ownership products</w:t>
            </w:r>
          </w:p>
        </w:tc>
        <w:tc>
          <w:tcPr>
            <w:tcW w:w="1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18</w:t>
            </w:r>
          </w:p>
        </w:tc>
        <w:tc>
          <w:tcPr>
            <w:tcW w:w="1560" w:type="dxa"/>
            <w:vAlign w:val="bottom"/>
            <w:gridSpan w:val="2"/>
          </w:tcPr>
          <w:p>
            <w:pPr>
              <w:jc w:val="center"/>
              <w:ind w:left="10"/>
              <w:spacing w:after="0"/>
              <w:rPr>
                <w:sz w:val="20"/>
                <w:szCs w:val="20"/>
                <w:color w:val="auto"/>
              </w:rPr>
            </w:pPr>
            <w:r>
              <w:rPr>
                <w:rFonts w:ascii="Arial" w:cs="Arial" w:eastAsia="Arial" w:hAnsi="Arial"/>
                <w:sz w:val="18"/>
                <w:szCs w:val="18"/>
                <w:color w:val="auto"/>
                <w:w w:val="95"/>
              </w:rPr>
              <w:t>(22%)</w:t>
            </w:r>
          </w:p>
        </w:tc>
      </w:tr>
      <w:tr>
        <w:trPr>
          <w:trHeight w:val="27"/>
        </w:trPr>
        <w:tc>
          <w:tcPr>
            <w:tcW w:w="5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Marketing and sales</w:t>
            </w: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w:t>
            </w:r>
          </w:p>
        </w:tc>
        <w:tc>
          <w:tcPr>
            <w:tcW w:w="156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4"/>
              </w:rPr>
              <w:t>(1%)</w:t>
            </w:r>
          </w:p>
        </w:tc>
      </w:tr>
      <w:tr>
        <w:trPr>
          <w:trHeight w:val="297"/>
        </w:trPr>
        <w:tc>
          <w:tcPr>
            <w:tcW w:w="50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Development margin</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43</w:t>
            </w:r>
          </w:p>
        </w:tc>
        <w:tc>
          <w:tcPr>
            <w:tcW w:w="12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560" w:type="dxa"/>
            <w:vAlign w:val="bottom"/>
            <w:tcBorders>
              <w:bottom w:val="single" w:sz="8" w:color="CCEEFF"/>
            </w:tcBorders>
            <w:gridSpan w:val="2"/>
          </w:tcPr>
          <w:p>
            <w:pPr>
              <w:jc w:val="center"/>
              <w:ind w:left="10"/>
              <w:spacing w:after="0"/>
              <w:rPr>
                <w:sz w:val="20"/>
                <w:szCs w:val="20"/>
                <w:color w:val="auto"/>
              </w:rPr>
            </w:pPr>
            <w:r>
              <w:rPr>
                <w:rFonts w:ascii="Arial" w:cs="Arial" w:eastAsia="Arial" w:hAnsi="Arial"/>
                <w:sz w:val="18"/>
                <w:szCs w:val="18"/>
                <w:color w:val="auto"/>
                <w:w w:val="95"/>
              </w:rPr>
              <w:t>(36%)</w:t>
            </w:r>
          </w:p>
        </w:tc>
      </w:tr>
      <w:tr>
        <w:trPr>
          <w:trHeight w:val="230"/>
        </w:trPr>
        <w:tc>
          <w:tcPr>
            <w:tcW w:w="5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Development margin percentage</w:t>
            </w:r>
          </w:p>
        </w:tc>
        <w:tc>
          <w:tcPr>
            <w:tcW w:w="140" w:type="dxa"/>
            <w:vAlign w:val="bottom"/>
            <w:shd w:val="clear" w:color="auto" w:fill="CCEEFF"/>
          </w:tcPr>
          <w:p>
            <w:pPr>
              <w:spacing w:after="0"/>
              <w:rPr>
                <w:sz w:val="20"/>
                <w:szCs w:val="20"/>
                <w:color w:val="auto"/>
              </w:rPr>
            </w:pPr>
          </w:p>
        </w:tc>
        <w:tc>
          <w:tcPr>
            <w:tcW w:w="1320" w:type="dxa"/>
            <w:vAlign w:val="bottom"/>
            <w:shd w:val="clear" w:color="auto" w:fill="CCEEFF"/>
          </w:tcPr>
          <w:p>
            <w:pPr>
              <w:jc w:val="right"/>
              <w:ind w:right="413"/>
              <w:spacing w:after="0"/>
              <w:rPr>
                <w:sz w:val="20"/>
                <w:szCs w:val="20"/>
                <w:color w:val="auto"/>
              </w:rPr>
            </w:pPr>
            <w:r>
              <w:rPr>
                <w:rFonts w:ascii="Arial" w:cs="Arial" w:eastAsia="Arial" w:hAnsi="Arial"/>
                <w:sz w:val="18"/>
                <w:szCs w:val="18"/>
                <w:color w:val="auto"/>
              </w:rPr>
              <w:t>10.7%</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00" w:type="dxa"/>
            <w:vAlign w:val="bottom"/>
            <w:shd w:val="clear" w:color="auto" w:fill="CCEEFF"/>
          </w:tcPr>
          <w:p>
            <w:pPr>
              <w:jc w:val="right"/>
              <w:ind w:right="392"/>
              <w:spacing w:after="0"/>
              <w:rPr>
                <w:sz w:val="20"/>
                <w:szCs w:val="20"/>
                <w:color w:val="auto"/>
              </w:rPr>
            </w:pPr>
            <w:r>
              <w:rPr>
                <w:rFonts w:ascii="Arial" w:cs="Arial" w:eastAsia="Arial" w:hAnsi="Arial"/>
                <w:sz w:val="18"/>
                <w:szCs w:val="18"/>
                <w:color w:val="auto"/>
              </w:rPr>
              <w:t>14.8%</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00" w:type="dxa"/>
            <w:vAlign w:val="bottom"/>
            <w:shd w:val="clear" w:color="auto" w:fill="CCEEFF"/>
          </w:tcPr>
          <w:p>
            <w:pPr>
              <w:jc w:val="right"/>
              <w:ind w:right="352"/>
              <w:spacing w:after="0"/>
              <w:rPr>
                <w:sz w:val="20"/>
                <w:szCs w:val="20"/>
                <w:color w:val="auto"/>
              </w:rPr>
            </w:pPr>
            <w:r>
              <w:rPr>
                <w:rFonts w:ascii="Arial" w:cs="Arial" w:eastAsia="Arial" w:hAnsi="Arial"/>
                <w:sz w:val="18"/>
                <w:szCs w:val="18"/>
                <w:color w:val="auto"/>
              </w:rPr>
              <w:t>(4.1 pts)</w:t>
            </w:r>
          </w:p>
        </w:tc>
        <w:tc>
          <w:tcPr>
            <w:tcW w:w="10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r>
      <w:tr>
        <w:trPr>
          <w:trHeight w:val="27"/>
        </w:trPr>
        <w:tc>
          <w:tcPr>
            <w:tcW w:w="50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Development margin decreased $15 million year-over-year. The change in margin reflected $52 million related to higher sales reserve activity due primarily to higher estimated defaults projected due to the impact of the COVID-19 pandemic ($42 million) and $34 million due to lower sales volumes and less efficient marketing and sales spending due to the inability to leverage fixed costs also resulting from the COVID-19 pandemic. These declines were partially offset by $46 million due to favorable revenue reportability compared to the first quarter of 2019 and $25 million from lower product costs, primarily from the lower revenue resulting from the sales reserve adjustment ($15 million) as well as from a favorable mix of products being sold and the timing of reacquired inventory costs compared to the first quarter of 2019.</w:t>
      </w:r>
    </w:p>
    <w:p>
      <w:pPr>
        <w:spacing w:after="0" w:line="70"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The decrease in the development margin percentage reflected a 15 percentage point decline due to higher sales reserve activity (revenue impact net of related product costs) and a 9 percentage point decline due to less efficient marketing and sales spending due to the inability to leverage fixed costs with the lower sales volumes resulting from the COVID-19 pandemic. These declines were partially offset by 14 percentage points due to favorable revenue reportability compared to the first quarter of 2019 and 6 percentage points from lower product costs.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Resort Management and Other Services Revenues, Expenses and Margin</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2020 First Quarter</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0" w:type="dxa"/>
            <w:vAlign w:val="bottom"/>
            <w:gridSpan w:val="5"/>
          </w:tcPr>
          <w:p>
            <w:pPr>
              <w:ind w:left="640"/>
              <w:spacing w:after="0"/>
              <w:rPr>
                <w:sz w:val="20"/>
                <w:szCs w:val="20"/>
                <w:color w:val="auto"/>
              </w:rPr>
            </w:pPr>
            <w:r>
              <w:rPr>
                <w:rFonts w:ascii="Arial" w:cs="Arial" w:eastAsia="Arial" w:hAnsi="Arial"/>
                <w:sz w:val="16"/>
                <w:szCs w:val="16"/>
                <w:b w:val="1"/>
                <w:bCs w:val="1"/>
                <w:color w:val="auto"/>
              </w:rPr>
              <w:t>Three Months Ended</w:t>
            </w: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33"/>
        </w:trPr>
        <w:tc>
          <w:tcPr>
            <w:tcW w:w="50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8"/>
        </w:trPr>
        <w:tc>
          <w:tcPr>
            <w:tcW w:w="50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14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112"/>
              <w:spacing w:after="0"/>
              <w:rPr>
                <w:sz w:val="20"/>
                <w:szCs w:val="20"/>
                <w:color w:val="auto"/>
              </w:rPr>
            </w:pPr>
            <w:r>
              <w:rPr>
                <w:rFonts w:ascii="Arial" w:cs="Arial" w:eastAsia="Arial" w:hAnsi="Arial"/>
                <w:sz w:val="16"/>
                <w:szCs w:val="16"/>
                <w:b w:val="1"/>
                <w:bCs w:val="1"/>
                <w:color w:val="auto"/>
                <w:w w:val="96"/>
              </w:rPr>
              <w:t>March 31, 2020</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91"/>
              <w:spacing w:after="0"/>
              <w:rPr>
                <w:sz w:val="20"/>
                <w:szCs w:val="20"/>
                <w:color w:val="auto"/>
              </w:rPr>
            </w:pPr>
            <w:r>
              <w:rPr>
                <w:rFonts w:ascii="Arial" w:cs="Arial" w:eastAsia="Arial" w:hAnsi="Arial"/>
                <w:sz w:val="16"/>
                <w:szCs w:val="16"/>
                <w:b w:val="1"/>
                <w:bCs w:val="1"/>
                <w:color w:val="auto"/>
                <w:w w:val="96"/>
              </w:rPr>
              <w:t>March 31, 2019</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371"/>
              <w:spacing w:after="0"/>
              <w:rPr>
                <w:sz w:val="20"/>
                <w:szCs w:val="20"/>
                <w:color w:val="auto"/>
              </w:rPr>
            </w:pPr>
            <w:r>
              <w:rPr>
                <w:rFonts w:ascii="Arial" w:cs="Arial" w:eastAsia="Arial" w:hAnsi="Arial"/>
                <w:sz w:val="16"/>
                <w:szCs w:val="16"/>
                <w:b w:val="1"/>
                <w:bCs w:val="1"/>
                <w:color w:val="auto"/>
              </w:rPr>
              <w:t>Change</w:t>
            </w:r>
          </w:p>
        </w:tc>
        <w:tc>
          <w:tcPr>
            <w:tcW w:w="100" w:type="dxa"/>
            <w:vAlign w:val="bottom"/>
            <w:tcBorders>
              <w:bottom w:val="single" w:sz="8" w:color="CCEEFF"/>
            </w:tcBorders>
          </w:tcPr>
          <w:p>
            <w:pPr>
              <w:spacing w:after="0"/>
              <w:rPr>
                <w:sz w:val="22"/>
                <w:szCs w:val="22"/>
                <w:color w:val="auto"/>
              </w:rPr>
            </w:pPr>
          </w:p>
        </w:tc>
        <w:tc>
          <w:tcPr>
            <w:tcW w:w="1460" w:type="dxa"/>
            <w:vAlign w:val="bottom"/>
            <w:tcBorders>
              <w:bottom w:val="single" w:sz="8" w:color="auto"/>
            </w:tcBorders>
          </w:tcPr>
          <w:p>
            <w:pPr>
              <w:ind w:left="360"/>
              <w:spacing w:after="0"/>
              <w:rPr>
                <w:sz w:val="20"/>
                <w:szCs w:val="20"/>
                <w:color w:val="auto"/>
              </w:rPr>
            </w:pPr>
            <w:r>
              <w:rPr>
                <w:rFonts w:ascii="Arial" w:cs="Arial" w:eastAsia="Arial" w:hAnsi="Arial"/>
                <w:sz w:val="16"/>
                <w:szCs w:val="16"/>
                <w:b w:val="1"/>
                <w:bCs w:val="1"/>
                <w:color w:val="auto"/>
              </w:rPr>
              <w:t>% Change</w:t>
            </w: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Management fee revenues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w:t>
            </w:r>
          </w:p>
        </w:tc>
        <w:tc>
          <w:tcPr>
            <w:tcW w:w="156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2"/>
              </w:rPr>
              <w:t>5%</w:t>
            </w: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Ancillary revenues</w:t>
            </w:r>
          </w:p>
        </w:tc>
        <w:tc>
          <w:tcPr>
            <w:tcW w:w="140" w:type="dxa"/>
            <w:vAlign w:val="bottom"/>
          </w:tcPr>
          <w:p>
            <w:pPr>
              <w:spacing w:after="0"/>
              <w:rPr>
                <w:sz w:val="21"/>
                <w:szCs w:val="21"/>
                <w:color w:val="auto"/>
              </w:rPr>
            </w:pP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w:t>
            </w:r>
          </w:p>
        </w:tc>
        <w:tc>
          <w:tcPr>
            <w:tcW w:w="1560" w:type="dxa"/>
            <w:vAlign w:val="bottom"/>
            <w:gridSpan w:val="2"/>
          </w:tcPr>
          <w:p>
            <w:pPr>
              <w:jc w:val="center"/>
              <w:ind w:left="10"/>
              <w:spacing w:after="0"/>
              <w:rPr>
                <w:sz w:val="20"/>
                <w:szCs w:val="20"/>
                <w:color w:val="auto"/>
              </w:rPr>
            </w:pPr>
            <w:r>
              <w:rPr>
                <w:rFonts w:ascii="Arial" w:cs="Arial" w:eastAsia="Arial" w:hAnsi="Arial"/>
                <w:sz w:val="18"/>
                <w:szCs w:val="18"/>
                <w:color w:val="auto"/>
                <w:w w:val="95"/>
              </w:rPr>
              <w:t>(18%)</w:t>
            </w:r>
          </w:p>
        </w:tc>
      </w:tr>
      <w:tr>
        <w:trPr>
          <w:trHeight w:val="27"/>
        </w:trPr>
        <w:tc>
          <w:tcPr>
            <w:tcW w:w="5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management and exchange revenues</w:t>
            </w: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56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5"/>
              </w:rPr>
              <w:t>(14%)</w:t>
            </w:r>
          </w:p>
        </w:tc>
      </w:tr>
      <w:tr>
        <w:trPr>
          <w:trHeight w:val="237"/>
        </w:trPr>
        <w:tc>
          <w:tcPr>
            <w:tcW w:w="5080" w:type="dxa"/>
            <w:vAlign w:val="bottom"/>
          </w:tcPr>
          <w:p>
            <w:pPr>
              <w:ind w:left="40"/>
              <w:spacing w:after="0"/>
              <w:rPr>
                <w:sz w:val="20"/>
                <w:szCs w:val="20"/>
                <w:color w:val="auto"/>
              </w:rPr>
            </w:pPr>
            <w:r>
              <w:rPr>
                <w:rFonts w:ascii="Arial" w:cs="Arial" w:eastAsia="Arial" w:hAnsi="Arial"/>
                <w:sz w:val="18"/>
                <w:szCs w:val="18"/>
                <w:color w:val="auto"/>
              </w:rPr>
              <w:t>Resort management and other services revenues</w:t>
            </w:r>
          </w:p>
        </w:tc>
        <w:tc>
          <w:tcPr>
            <w:tcW w:w="14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125</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560" w:type="dxa"/>
            <w:vAlign w:val="bottom"/>
            <w:gridSpan w:val="2"/>
          </w:tcPr>
          <w:p>
            <w:pPr>
              <w:jc w:val="center"/>
              <w:ind w:left="10"/>
              <w:spacing w:after="0"/>
              <w:rPr>
                <w:sz w:val="20"/>
                <w:szCs w:val="20"/>
                <w:color w:val="auto"/>
              </w:rPr>
            </w:pPr>
            <w:r>
              <w:rPr>
                <w:rFonts w:ascii="Arial" w:cs="Arial" w:eastAsia="Arial" w:hAnsi="Arial"/>
                <w:sz w:val="18"/>
                <w:szCs w:val="18"/>
                <w:color w:val="auto"/>
                <w:w w:val="95"/>
              </w:rPr>
              <w:t>(11%)</w:t>
            </w:r>
          </w:p>
        </w:tc>
      </w:tr>
      <w:tr>
        <w:trPr>
          <w:trHeight w:val="27"/>
        </w:trPr>
        <w:tc>
          <w:tcPr>
            <w:tcW w:w="5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Resort management and other services expenses</w:t>
            </w: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w:t>
            </w:r>
          </w:p>
        </w:tc>
        <w:tc>
          <w:tcPr>
            <w:tcW w:w="156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4"/>
              </w:rPr>
              <w:t>12%</w:t>
            </w:r>
          </w:p>
        </w:tc>
      </w:tr>
      <w:tr>
        <w:trPr>
          <w:trHeight w:val="297"/>
        </w:trPr>
        <w:tc>
          <w:tcPr>
            <w:tcW w:w="50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Resort management and other services margin</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62</w:t>
            </w:r>
          </w:p>
        </w:tc>
        <w:tc>
          <w:tcPr>
            <w:tcW w:w="12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560" w:type="dxa"/>
            <w:vAlign w:val="bottom"/>
            <w:tcBorders>
              <w:bottom w:val="single" w:sz="8" w:color="CCEEFF"/>
            </w:tcBorders>
            <w:gridSpan w:val="2"/>
          </w:tcPr>
          <w:p>
            <w:pPr>
              <w:jc w:val="center"/>
              <w:ind w:left="30"/>
              <w:spacing w:after="0"/>
              <w:rPr>
                <w:sz w:val="20"/>
                <w:szCs w:val="20"/>
                <w:color w:val="auto"/>
              </w:rPr>
            </w:pPr>
            <w:r>
              <w:rPr>
                <w:rFonts w:ascii="Arial" w:cs="Arial" w:eastAsia="Arial" w:hAnsi="Arial"/>
                <w:sz w:val="18"/>
                <w:szCs w:val="18"/>
                <w:color w:val="auto"/>
                <w:w w:val="94"/>
              </w:rPr>
              <w:t>(9%)</w:t>
            </w:r>
          </w:p>
        </w:tc>
      </w:tr>
      <w:tr>
        <w:trPr>
          <w:trHeight w:val="230"/>
        </w:trPr>
        <w:tc>
          <w:tcPr>
            <w:tcW w:w="5080" w:type="dxa"/>
            <w:vAlign w:val="bottom"/>
            <w:shd w:val="clear" w:color="auto" w:fill="CCEEFF"/>
          </w:tcPr>
          <w:p>
            <w:pPr>
              <w:ind w:left="40"/>
              <w:spacing w:after="0" w:line="203" w:lineRule="exact"/>
              <w:rPr>
                <w:sz w:val="20"/>
                <w:szCs w:val="20"/>
                <w:color w:val="auto"/>
              </w:rPr>
            </w:pPr>
            <w:r>
              <w:rPr>
                <w:rFonts w:ascii="Arial" w:cs="Arial" w:eastAsia="Arial" w:hAnsi="Arial"/>
                <w:sz w:val="18"/>
                <w:szCs w:val="18"/>
                <w:color w:val="auto"/>
              </w:rPr>
              <w:t>Resort management and other services margin percentage</w:t>
            </w:r>
          </w:p>
        </w:tc>
        <w:tc>
          <w:tcPr>
            <w:tcW w:w="140" w:type="dxa"/>
            <w:vAlign w:val="bottom"/>
            <w:shd w:val="clear" w:color="auto" w:fill="CCEEFF"/>
          </w:tcPr>
          <w:p>
            <w:pPr>
              <w:spacing w:after="0"/>
              <w:rPr>
                <w:sz w:val="20"/>
                <w:szCs w:val="20"/>
                <w:color w:val="auto"/>
              </w:rPr>
            </w:pPr>
          </w:p>
        </w:tc>
        <w:tc>
          <w:tcPr>
            <w:tcW w:w="1320" w:type="dxa"/>
            <w:vAlign w:val="bottom"/>
            <w:shd w:val="clear" w:color="auto" w:fill="CCEEFF"/>
          </w:tcPr>
          <w:p>
            <w:pPr>
              <w:jc w:val="right"/>
              <w:ind w:right="412"/>
              <w:spacing w:after="0"/>
              <w:rPr>
                <w:sz w:val="20"/>
                <w:szCs w:val="20"/>
                <w:color w:val="auto"/>
              </w:rPr>
            </w:pPr>
            <w:r>
              <w:rPr>
                <w:rFonts w:ascii="Arial" w:cs="Arial" w:eastAsia="Arial" w:hAnsi="Arial"/>
                <w:sz w:val="18"/>
                <w:szCs w:val="18"/>
                <w:color w:val="auto"/>
              </w:rPr>
              <w:t>50.5%</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00" w:type="dxa"/>
            <w:vAlign w:val="bottom"/>
            <w:shd w:val="clear" w:color="auto" w:fill="CCEEFF"/>
          </w:tcPr>
          <w:p>
            <w:pPr>
              <w:jc w:val="right"/>
              <w:ind w:right="391"/>
              <w:spacing w:after="0"/>
              <w:rPr>
                <w:sz w:val="20"/>
                <w:szCs w:val="20"/>
                <w:color w:val="auto"/>
              </w:rPr>
            </w:pPr>
            <w:r>
              <w:rPr>
                <w:rFonts w:ascii="Arial" w:cs="Arial" w:eastAsia="Arial" w:hAnsi="Arial"/>
                <w:sz w:val="18"/>
                <w:szCs w:val="18"/>
                <w:color w:val="auto"/>
              </w:rPr>
              <w:t>49.6%</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80" w:type="dxa"/>
            <w:vAlign w:val="bottom"/>
            <w:shd w:val="clear" w:color="auto" w:fill="CCEEFF"/>
          </w:tcPr>
          <w:p>
            <w:pPr>
              <w:jc w:val="right"/>
              <w:ind w:right="411"/>
              <w:spacing w:after="0"/>
              <w:rPr>
                <w:sz w:val="20"/>
                <w:szCs w:val="20"/>
                <w:color w:val="auto"/>
              </w:rPr>
            </w:pPr>
            <w:r>
              <w:rPr>
                <w:rFonts w:ascii="Arial" w:cs="Arial" w:eastAsia="Arial" w:hAnsi="Arial"/>
                <w:sz w:val="18"/>
                <w:szCs w:val="18"/>
                <w:color w:val="auto"/>
              </w:rPr>
              <w:t>0.9 pts</w:t>
            </w:r>
          </w:p>
        </w:tc>
        <w:tc>
          <w:tcPr>
            <w:tcW w:w="10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r>
      <w:tr>
        <w:trPr>
          <w:trHeight w:val="27"/>
        </w:trPr>
        <w:tc>
          <w:tcPr>
            <w:tcW w:w="50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Resort management and other services revenues reflected lower ancillary revenues, including revenues from food and beverage and golf offerings, and lower other revenues earned in conjunction with our exchange programs, all as a result of the impact of the COVID-19 pandemic in the quarter. These declines were partially offset by higher management fees resulting from the cumulative increase in the number of vacation ownership products sold and higher operating costs across the system.</w:t>
      </w:r>
    </w:p>
    <w:p>
      <w:pPr>
        <w:spacing w:after="0" w:line="79"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The decrease in the resort management and other services margin reflected the decrease in revenues partially offset by lower ancillary expenses as a result of the lower ancillary revenues mentioned above.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240"/>
          </w:cols>
          <w:pgMar w:left="320" w:top="125" w:right="33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Rental Revenues, Expenses and Margin</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2020 First Quarter</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0" w:type="dxa"/>
            <w:vAlign w:val="bottom"/>
            <w:gridSpan w:val="5"/>
          </w:tcPr>
          <w:p>
            <w:pPr>
              <w:ind w:left="640"/>
              <w:spacing w:after="0"/>
              <w:rPr>
                <w:sz w:val="20"/>
                <w:szCs w:val="20"/>
                <w:color w:val="auto"/>
              </w:rPr>
            </w:pPr>
            <w:r>
              <w:rPr>
                <w:rFonts w:ascii="Arial" w:cs="Arial" w:eastAsia="Arial" w:hAnsi="Arial"/>
                <w:sz w:val="16"/>
                <w:szCs w:val="16"/>
                <w:b w:val="1"/>
                <w:bCs w:val="1"/>
                <w:color w:val="auto"/>
              </w:rPr>
              <w:t>Three Months Ended</w:t>
            </w: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0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0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14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center"/>
              <w:ind w:right="53"/>
              <w:spacing w:after="0"/>
              <w:rPr>
                <w:sz w:val="20"/>
                <w:szCs w:val="20"/>
                <w:color w:val="auto"/>
              </w:rPr>
            </w:pPr>
            <w:r>
              <w:rPr>
                <w:rFonts w:ascii="Arial" w:cs="Arial" w:eastAsia="Arial" w:hAnsi="Arial"/>
                <w:sz w:val="16"/>
                <w:szCs w:val="16"/>
                <w:b w:val="1"/>
                <w:bCs w:val="1"/>
                <w:color w:val="auto"/>
                <w:w w:val="93"/>
              </w:rPr>
              <w:t>March 31, 2020</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center"/>
              <w:ind w:right="52"/>
              <w:spacing w:after="0"/>
              <w:rPr>
                <w:sz w:val="20"/>
                <w:szCs w:val="20"/>
                <w:color w:val="auto"/>
              </w:rPr>
            </w:pPr>
            <w:r>
              <w:rPr>
                <w:rFonts w:ascii="Arial" w:cs="Arial" w:eastAsia="Arial" w:hAnsi="Arial"/>
                <w:sz w:val="16"/>
                <w:szCs w:val="16"/>
                <w:b w:val="1"/>
                <w:bCs w:val="1"/>
                <w:color w:val="auto"/>
                <w:w w:val="94"/>
              </w:rPr>
              <w:t>March 31, 2019</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center"/>
              <w:ind w:right="152"/>
              <w:spacing w:after="0"/>
              <w:rPr>
                <w:sz w:val="20"/>
                <w:szCs w:val="20"/>
                <w:color w:val="auto"/>
              </w:rPr>
            </w:pPr>
            <w:r>
              <w:rPr>
                <w:rFonts w:ascii="Arial" w:cs="Arial" w:eastAsia="Arial" w:hAnsi="Arial"/>
                <w:sz w:val="16"/>
                <w:szCs w:val="16"/>
                <w:b w:val="1"/>
                <w:bCs w:val="1"/>
                <w:color w:val="auto"/>
                <w:w w:val="91"/>
              </w:rPr>
              <w:t>Change</w:t>
            </w:r>
          </w:p>
        </w:tc>
        <w:tc>
          <w:tcPr>
            <w:tcW w:w="100" w:type="dxa"/>
            <w:vAlign w:val="bottom"/>
            <w:tcBorders>
              <w:bottom w:val="single" w:sz="8" w:color="CCEEFF"/>
            </w:tcBorders>
          </w:tcPr>
          <w:p>
            <w:pPr>
              <w:spacing w:after="0"/>
              <w:rPr>
                <w:sz w:val="22"/>
                <w:szCs w:val="22"/>
                <w:color w:val="auto"/>
              </w:rPr>
            </w:pPr>
          </w:p>
        </w:tc>
        <w:tc>
          <w:tcPr>
            <w:tcW w:w="1460" w:type="dxa"/>
            <w:vAlign w:val="bottom"/>
            <w:tcBorders>
              <w:bottom w:val="single" w:sz="8" w:color="auto"/>
            </w:tcBorders>
          </w:tcPr>
          <w:p>
            <w:pPr>
              <w:ind w:left="360"/>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Rental revenues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56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4"/>
              </w:rPr>
              <w:t>(6%)</w:t>
            </w:r>
          </w:p>
        </w:tc>
        <w:tc>
          <w:tcPr>
            <w:tcW w:w="0" w:type="dxa"/>
            <w:vAlign w:val="bottom"/>
          </w:tcPr>
          <w:p>
            <w:pPr>
              <w:spacing w:after="0"/>
              <w:rPr>
                <w:sz w:val="1"/>
                <w:szCs w:val="1"/>
                <w:color w:val="auto"/>
              </w:rPr>
            </w:pP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Rental expenses</w:t>
            </w:r>
          </w:p>
        </w:tc>
        <w:tc>
          <w:tcPr>
            <w:tcW w:w="1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(22)</w:t>
            </w:r>
          </w:p>
        </w:tc>
        <w:tc>
          <w:tcPr>
            <w:tcW w:w="1560" w:type="dxa"/>
            <w:vAlign w:val="bottom"/>
            <w:gridSpan w:val="2"/>
          </w:tcPr>
          <w:p>
            <w:pPr>
              <w:jc w:val="center"/>
              <w:ind w:left="10"/>
              <w:spacing w:after="0"/>
              <w:rPr>
                <w:sz w:val="20"/>
                <w:szCs w:val="20"/>
                <w:color w:val="auto"/>
              </w:rPr>
            </w:pPr>
            <w:r>
              <w:rPr>
                <w:rFonts w:ascii="Arial" w:cs="Arial" w:eastAsia="Arial" w:hAnsi="Arial"/>
                <w:sz w:val="18"/>
                <w:szCs w:val="18"/>
                <w:color w:val="auto"/>
                <w:w w:val="95"/>
              </w:rPr>
              <w:t>(25%)</w:t>
            </w:r>
          </w:p>
        </w:tc>
        <w:tc>
          <w:tcPr>
            <w:tcW w:w="0" w:type="dxa"/>
            <w:vAlign w:val="bottom"/>
          </w:tcPr>
          <w:p>
            <w:pPr>
              <w:spacing w:after="0"/>
              <w:rPr>
                <w:sz w:val="1"/>
                <w:szCs w:val="1"/>
                <w:color w:val="auto"/>
              </w:rPr>
            </w:pPr>
          </w:p>
        </w:tc>
      </w:tr>
      <w:tr>
        <w:trPr>
          <w:trHeight w:val="27"/>
        </w:trPr>
        <w:tc>
          <w:tcPr>
            <w:tcW w:w="50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Rental margin</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44</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56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5"/>
              </w:rPr>
              <w:t>(66%)</w:t>
            </w:r>
          </w:p>
        </w:tc>
        <w:tc>
          <w:tcPr>
            <w:tcW w:w="0" w:type="dxa"/>
            <w:vAlign w:val="bottom"/>
          </w:tcPr>
          <w:p>
            <w:pPr>
              <w:spacing w:after="0"/>
              <w:rPr>
                <w:sz w:val="1"/>
                <w:szCs w:val="1"/>
                <w:color w:val="auto"/>
              </w:rPr>
            </w:pPr>
          </w:p>
        </w:tc>
      </w:tr>
      <w:tr>
        <w:trPr>
          <w:trHeight w:val="20"/>
        </w:trPr>
        <w:tc>
          <w:tcPr>
            <w:tcW w:w="5080" w:type="dxa"/>
            <w:vAlign w:val="bottom"/>
            <w:vMerge w:val="restart"/>
          </w:tcPr>
          <w:p>
            <w:pPr>
              <w:ind w:left="40"/>
              <w:spacing w:after="0"/>
              <w:rPr>
                <w:sz w:val="20"/>
                <w:szCs w:val="20"/>
                <w:color w:val="auto"/>
              </w:rPr>
            </w:pPr>
            <w:r>
              <w:rPr>
                <w:rFonts w:ascii="Arial" w:cs="Arial" w:eastAsia="Arial" w:hAnsi="Arial"/>
                <w:sz w:val="18"/>
                <w:szCs w:val="18"/>
                <w:color w:val="auto"/>
              </w:rPr>
              <w:t>Rental margin percentage</w:t>
            </w: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08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center"/>
              <w:ind w:right="53"/>
              <w:spacing w:after="0"/>
              <w:rPr>
                <w:sz w:val="20"/>
                <w:szCs w:val="20"/>
                <w:color w:val="auto"/>
              </w:rPr>
            </w:pPr>
            <w:r>
              <w:rPr>
                <w:rFonts w:ascii="Arial" w:cs="Arial" w:eastAsia="Arial" w:hAnsi="Arial"/>
                <w:sz w:val="18"/>
                <w:szCs w:val="18"/>
                <w:color w:val="auto"/>
                <w:w w:val="90"/>
              </w:rPr>
              <w:t>12.4%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center"/>
              <w:ind w:right="52"/>
              <w:spacing w:after="0"/>
              <w:rPr>
                <w:sz w:val="20"/>
                <w:szCs w:val="20"/>
                <w:color w:val="auto"/>
              </w:rPr>
            </w:pPr>
            <w:r>
              <w:rPr>
                <w:rFonts w:ascii="Arial" w:cs="Arial" w:eastAsia="Arial" w:hAnsi="Arial"/>
                <w:sz w:val="18"/>
                <w:szCs w:val="18"/>
                <w:color w:val="auto"/>
                <w:w w:val="93"/>
              </w:rPr>
              <w:t>34.1%</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jc w:val="center"/>
              <w:ind w:right="172"/>
              <w:spacing w:after="0"/>
              <w:rPr>
                <w:sz w:val="20"/>
                <w:szCs w:val="20"/>
                <w:color w:val="auto"/>
              </w:rPr>
            </w:pPr>
            <w:r>
              <w:rPr>
                <w:rFonts w:ascii="Arial" w:cs="Arial" w:eastAsia="Arial" w:hAnsi="Arial"/>
                <w:sz w:val="18"/>
                <w:szCs w:val="18"/>
                <w:color w:val="auto"/>
                <w:w w:val="89"/>
              </w:rPr>
              <w:t>(21.7 pts)</w:t>
            </w: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9"/>
        </w:trPr>
        <w:tc>
          <w:tcPr>
            <w:tcW w:w="5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0" w:type="dxa"/>
            <w:vAlign w:val="bottom"/>
            <w:gridSpan w:val="5"/>
          </w:tcPr>
          <w:p>
            <w:pPr>
              <w:ind w:left="640"/>
              <w:spacing w:after="0"/>
              <w:rPr>
                <w:sz w:val="20"/>
                <w:szCs w:val="20"/>
                <w:color w:val="auto"/>
              </w:rPr>
            </w:pPr>
            <w:r>
              <w:rPr>
                <w:rFonts w:ascii="Arial" w:cs="Arial" w:eastAsia="Arial" w:hAnsi="Arial"/>
                <w:sz w:val="16"/>
                <w:szCs w:val="16"/>
                <w:b w:val="1"/>
                <w:bCs w:val="1"/>
                <w:color w:val="auto"/>
              </w:rPr>
              <w:t>Three Months Ended</w:t>
            </w: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50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5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March 31, 2020</w:t>
            </w:r>
          </w:p>
        </w:tc>
        <w:tc>
          <w:tcPr>
            <w:tcW w:w="160" w:type="dxa"/>
            <w:vAlign w:val="bottom"/>
          </w:tcPr>
          <w:p>
            <w:pPr>
              <w:spacing w:after="0"/>
              <w:rPr>
                <w:sz w:val="20"/>
                <w:szCs w:val="20"/>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4"/>
              </w:rPr>
              <w:t>March 31, 2019</w:t>
            </w:r>
          </w:p>
        </w:tc>
        <w:tc>
          <w:tcPr>
            <w:tcW w:w="240" w:type="dxa"/>
            <w:vAlign w:val="bottom"/>
          </w:tcPr>
          <w:p>
            <w:pPr>
              <w:spacing w:after="0"/>
              <w:rPr>
                <w:sz w:val="20"/>
                <w:szCs w:val="20"/>
                <w:color w:val="auto"/>
              </w:rPr>
            </w:pPr>
          </w:p>
        </w:tc>
        <w:tc>
          <w:tcPr>
            <w:tcW w:w="1220" w:type="dxa"/>
            <w:vAlign w:val="bottom"/>
          </w:tcPr>
          <w:p>
            <w:pPr>
              <w:jc w:val="center"/>
              <w:ind w:right="152"/>
              <w:spacing w:after="0"/>
              <w:rPr>
                <w:sz w:val="20"/>
                <w:szCs w:val="20"/>
                <w:color w:val="auto"/>
              </w:rPr>
            </w:pPr>
            <w:r>
              <w:rPr>
                <w:rFonts w:ascii="Arial" w:cs="Arial" w:eastAsia="Arial" w:hAnsi="Arial"/>
                <w:sz w:val="16"/>
                <w:szCs w:val="16"/>
                <w:b w:val="1"/>
                <w:bCs w:val="1"/>
                <w:color w:val="auto"/>
                <w:w w:val="91"/>
              </w:rPr>
              <w:t>Change</w:t>
            </w:r>
          </w:p>
        </w:tc>
        <w:tc>
          <w:tcPr>
            <w:tcW w:w="100" w:type="dxa"/>
            <w:vAlign w:val="bottom"/>
          </w:tcPr>
          <w:p>
            <w:pPr>
              <w:spacing w:after="0"/>
              <w:rPr>
                <w:sz w:val="20"/>
                <w:szCs w:val="20"/>
                <w:color w:val="auto"/>
              </w:rPr>
            </w:pPr>
          </w:p>
        </w:tc>
        <w:tc>
          <w:tcPr>
            <w:tcW w:w="1460" w:type="dxa"/>
            <w:vAlign w:val="bottom"/>
          </w:tcPr>
          <w:p>
            <w:pPr>
              <w:ind w:left="360"/>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33"/>
        </w:trPr>
        <w:tc>
          <w:tcPr>
            <w:tcW w:w="50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Transient keys rented</w:t>
            </w:r>
            <w:r>
              <w:rPr>
                <w:rFonts w:ascii="Arial" w:cs="Arial" w:eastAsia="Arial" w:hAnsi="Arial"/>
                <w:sz w:val="21"/>
                <w:szCs w:val="21"/>
                <w:color w:val="auto"/>
                <w:vertAlign w:val="superscript"/>
              </w:rPr>
              <w:t>(1)</w:t>
            </w:r>
          </w:p>
        </w:tc>
        <w:tc>
          <w:tcPr>
            <w:tcW w:w="140" w:type="dxa"/>
            <w:vAlign w:val="bottom"/>
            <w:shd w:val="clear" w:color="auto" w:fill="CCEEFF"/>
          </w:tcPr>
          <w:p>
            <w:pPr>
              <w:spacing w:after="0"/>
              <w:rPr>
                <w:sz w:val="22"/>
                <w:szCs w:val="22"/>
                <w:color w:val="auto"/>
              </w:rPr>
            </w:pPr>
          </w:p>
        </w:tc>
        <w:tc>
          <w:tcPr>
            <w:tcW w:w="13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533,583</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611,754</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(78,171)</w:t>
            </w:r>
          </w:p>
        </w:tc>
        <w:tc>
          <w:tcPr>
            <w:tcW w:w="156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5"/>
              </w:rPr>
              <w:t>(13%)</w:t>
            </w:r>
          </w:p>
        </w:tc>
        <w:tc>
          <w:tcPr>
            <w:tcW w:w="0" w:type="dxa"/>
            <w:vAlign w:val="bottom"/>
          </w:tcPr>
          <w:p>
            <w:pPr>
              <w:spacing w:after="0"/>
              <w:rPr>
                <w:sz w:val="1"/>
                <w:szCs w:val="1"/>
                <w:color w:val="auto"/>
              </w:rPr>
            </w:pP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Average transient key rate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244.20</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244.78</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(0.58)</w:t>
            </w:r>
          </w:p>
        </w:tc>
        <w:tc>
          <w:tcPr>
            <w:tcW w:w="100" w:type="dxa"/>
            <w:vAlign w:val="bottom"/>
          </w:tcPr>
          <w:p>
            <w:pPr>
              <w:spacing w:after="0"/>
              <w:rPr>
                <w:sz w:val="21"/>
                <w:szCs w:val="21"/>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Resort occupancy</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center"/>
              <w:ind w:right="53"/>
              <w:spacing w:after="0"/>
              <w:rPr>
                <w:sz w:val="20"/>
                <w:szCs w:val="20"/>
                <w:color w:val="auto"/>
              </w:rPr>
            </w:pPr>
            <w:r>
              <w:rPr>
                <w:rFonts w:ascii="Arial" w:cs="Arial" w:eastAsia="Arial" w:hAnsi="Arial"/>
                <w:sz w:val="18"/>
                <w:szCs w:val="18"/>
                <w:color w:val="auto"/>
                <w:w w:val="90"/>
              </w:rPr>
              <w:t>79.7%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center"/>
              <w:ind w:right="52"/>
              <w:spacing w:after="0"/>
              <w:rPr>
                <w:sz w:val="20"/>
                <w:szCs w:val="20"/>
                <w:color w:val="auto"/>
              </w:rPr>
            </w:pPr>
            <w:r>
              <w:rPr>
                <w:rFonts w:ascii="Arial" w:cs="Arial" w:eastAsia="Arial" w:hAnsi="Arial"/>
                <w:sz w:val="18"/>
                <w:szCs w:val="18"/>
                <w:color w:val="auto"/>
                <w:w w:val="93"/>
              </w:rPr>
              <w:t>88.6%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center"/>
              <w:ind w:right="172"/>
              <w:spacing w:after="0"/>
              <w:rPr>
                <w:sz w:val="20"/>
                <w:szCs w:val="20"/>
                <w:color w:val="auto"/>
              </w:rPr>
            </w:pPr>
            <w:r>
              <w:rPr>
                <w:rFonts w:ascii="Arial" w:cs="Arial" w:eastAsia="Arial" w:hAnsi="Arial"/>
                <w:sz w:val="18"/>
                <w:szCs w:val="18"/>
                <w:color w:val="auto"/>
                <w:w w:val="90"/>
              </w:rPr>
              <w:t>(8.9 pts)</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080" w:type="dxa"/>
            <w:vAlign w:val="bottom"/>
          </w:tcPr>
          <w:p>
            <w:pPr>
              <w:spacing w:after="0"/>
              <w:rPr>
                <w:sz w:val="20"/>
                <w:szCs w:val="20"/>
                <w:color w:val="auto"/>
              </w:rPr>
            </w:pPr>
            <w:r>
              <w:rPr>
                <w:rFonts w:ascii="Arial" w:cs="Arial" w:eastAsia="Arial" w:hAnsi="Arial"/>
                <w:sz w:val="18"/>
                <w:szCs w:val="18"/>
                <w:color w:val="auto"/>
              </w:rPr>
              <w:t>_________________________</w:t>
            </w: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660" w:hanging="652"/>
        <w:spacing w:after="0" w:line="213" w:lineRule="auto"/>
        <w:tabs>
          <w:tab w:leader="none" w:pos="660" w:val="left"/>
        </w:tabs>
        <w:numPr>
          <w:ilvl w:val="0"/>
          <w:numId w:val="26"/>
        </w:numPr>
        <w:rPr>
          <w:rFonts w:ascii="Arial" w:cs="Arial" w:eastAsia="Arial" w:hAnsi="Arial"/>
          <w:sz w:val="25"/>
          <w:szCs w:val="25"/>
          <w:color w:val="auto"/>
          <w:vertAlign w:val="superscript"/>
        </w:rPr>
      </w:pPr>
      <w:r>
        <w:rPr>
          <w:rFonts w:ascii="Arial" w:cs="Arial" w:eastAsia="Arial" w:hAnsi="Arial"/>
          <w:sz w:val="18"/>
          <w:szCs w:val="18"/>
          <w:color w:val="auto"/>
        </w:rPr>
        <w:t>Transient keys rented exclude those occupied through the use of plus points and preview stays.</w:t>
      </w:r>
    </w:p>
    <w:p>
      <w:pPr>
        <w:spacing w:after="0" w:line="99" w:lineRule="exact"/>
        <w:rPr>
          <w:sz w:val="20"/>
          <w:szCs w:val="20"/>
          <w:color w:val="auto"/>
        </w:rPr>
      </w:pPr>
    </w:p>
    <w:p>
      <w:pPr>
        <w:ind w:left="720"/>
        <w:spacing w:after="0"/>
        <w:rPr>
          <w:sz w:val="20"/>
          <w:szCs w:val="20"/>
          <w:color w:val="auto"/>
        </w:rPr>
      </w:pPr>
      <w:r>
        <w:rPr>
          <w:rFonts w:ascii="Arial" w:cs="Arial" w:eastAsia="Arial" w:hAnsi="Arial"/>
          <w:sz w:val="16"/>
          <w:szCs w:val="16"/>
          <w:color w:val="auto"/>
        </w:rPr>
        <w:t>The decline in rental margin resulted from a decline in keys rented and a decline in average transient rate resulting from the COVID-19 pandemic.</w:t>
      </w:r>
    </w:p>
    <w:p>
      <w:pPr>
        <w:spacing w:after="0" w:line="42" w:lineRule="exact"/>
        <w:rPr>
          <w:sz w:val="20"/>
          <w:szCs w:val="20"/>
          <w:color w:val="auto"/>
        </w:rPr>
      </w:pPr>
    </w:p>
    <w:p>
      <w:pPr>
        <w:ind w:left="60"/>
        <w:spacing w:after="0"/>
        <w:rPr>
          <w:sz w:val="20"/>
          <w:szCs w:val="20"/>
          <w:color w:val="auto"/>
        </w:rPr>
      </w:pPr>
      <w:r>
        <w:rPr>
          <w:rFonts w:ascii="Arial" w:cs="Arial" w:eastAsia="Arial" w:hAnsi="Arial"/>
          <w:sz w:val="18"/>
          <w:szCs w:val="18"/>
          <w:color w:val="auto"/>
        </w:rPr>
        <w:t>Rental margin as of the end of February 2020 was nearly $4 million higher than the comparable period of 2019.</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Revenues, Expenses and Margin</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2020 First Quarter</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0" w:type="dxa"/>
            <w:vAlign w:val="bottom"/>
            <w:gridSpan w:val="5"/>
          </w:tcPr>
          <w:p>
            <w:pPr>
              <w:ind w:left="640"/>
              <w:spacing w:after="0"/>
              <w:rPr>
                <w:sz w:val="20"/>
                <w:szCs w:val="20"/>
                <w:color w:val="auto"/>
              </w:rPr>
            </w:pPr>
            <w:r>
              <w:rPr>
                <w:rFonts w:ascii="Arial" w:cs="Arial" w:eastAsia="Arial" w:hAnsi="Arial"/>
                <w:sz w:val="16"/>
                <w:szCs w:val="16"/>
                <w:b w:val="1"/>
                <w:bCs w:val="1"/>
                <w:color w:val="auto"/>
              </w:rPr>
              <w:t>Three Months Ended</w:t>
            </w: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33"/>
        </w:trPr>
        <w:tc>
          <w:tcPr>
            <w:tcW w:w="50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8"/>
        </w:trPr>
        <w:tc>
          <w:tcPr>
            <w:tcW w:w="50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14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112"/>
              <w:spacing w:after="0"/>
              <w:rPr>
                <w:sz w:val="20"/>
                <w:szCs w:val="20"/>
                <w:color w:val="auto"/>
              </w:rPr>
            </w:pPr>
            <w:r>
              <w:rPr>
                <w:rFonts w:ascii="Arial" w:cs="Arial" w:eastAsia="Arial" w:hAnsi="Arial"/>
                <w:sz w:val="16"/>
                <w:szCs w:val="16"/>
                <w:b w:val="1"/>
                <w:bCs w:val="1"/>
                <w:color w:val="auto"/>
                <w:w w:val="96"/>
              </w:rPr>
              <w:t>March 31, 2020</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91"/>
              <w:spacing w:after="0"/>
              <w:rPr>
                <w:sz w:val="20"/>
                <w:szCs w:val="20"/>
                <w:color w:val="auto"/>
              </w:rPr>
            </w:pPr>
            <w:r>
              <w:rPr>
                <w:rFonts w:ascii="Arial" w:cs="Arial" w:eastAsia="Arial" w:hAnsi="Arial"/>
                <w:sz w:val="16"/>
                <w:szCs w:val="16"/>
                <w:b w:val="1"/>
                <w:bCs w:val="1"/>
                <w:color w:val="auto"/>
                <w:w w:val="96"/>
              </w:rPr>
              <w:t>March 31, 2019</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371"/>
              <w:spacing w:after="0"/>
              <w:rPr>
                <w:sz w:val="20"/>
                <w:szCs w:val="20"/>
                <w:color w:val="auto"/>
              </w:rPr>
            </w:pPr>
            <w:r>
              <w:rPr>
                <w:rFonts w:ascii="Arial" w:cs="Arial" w:eastAsia="Arial" w:hAnsi="Arial"/>
                <w:sz w:val="16"/>
                <w:szCs w:val="16"/>
                <w:b w:val="1"/>
                <w:bCs w:val="1"/>
                <w:color w:val="auto"/>
              </w:rPr>
              <w:t>Change</w:t>
            </w:r>
          </w:p>
        </w:tc>
        <w:tc>
          <w:tcPr>
            <w:tcW w:w="100" w:type="dxa"/>
            <w:vAlign w:val="bottom"/>
            <w:tcBorders>
              <w:bottom w:val="single" w:sz="8" w:color="CCEEFF"/>
            </w:tcBorders>
          </w:tcPr>
          <w:p>
            <w:pPr>
              <w:spacing w:after="0"/>
              <w:rPr>
                <w:sz w:val="22"/>
                <w:szCs w:val="22"/>
                <w:color w:val="auto"/>
              </w:rPr>
            </w:pPr>
          </w:p>
        </w:tc>
        <w:tc>
          <w:tcPr>
            <w:tcW w:w="1460" w:type="dxa"/>
            <w:vAlign w:val="bottom"/>
            <w:tcBorders>
              <w:bottom w:val="single" w:sz="8" w:color="auto"/>
            </w:tcBorders>
          </w:tcPr>
          <w:p>
            <w:pPr>
              <w:ind w:left="360"/>
              <w:spacing w:after="0"/>
              <w:rPr>
                <w:sz w:val="20"/>
                <w:szCs w:val="20"/>
                <w:color w:val="auto"/>
              </w:rPr>
            </w:pPr>
            <w:r>
              <w:rPr>
                <w:rFonts w:ascii="Arial" w:cs="Arial" w:eastAsia="Arial" w:hAnsi="Arial"/>
                <w:sz w:val="16"/>
                <w:szCs w:val="16"/>
                <w:b w:val="1"/>
                <w:bCs w:val="1"/>
                <w:color w:val="auto"/>
              </w:rPr>
              <w:t>% Change</w:t>
            </w: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w:t>
            </w:r>
          </w:p>
        </w:tc>
        <w:tc>
          <w:tcPr>
            <w:tcW w:w="156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2"/>
              </w:rPr>
              <w:t>6%</w:t>
            </w: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Other financing revenues</w:t>
            </w:r>
          </w:p>
        </w:tc>
        <w:tc>
          <w:tcPr>
            <w:tcW w:w="140" w:type="dxa"/>
            <w:vAlign w:val="bottom"/>
          </w:tcPr>
          <w:p>
            <w:pPr>
              <w:spacing w:after="0"/>
              <w:rPr>
                <w:sz w:val="21"/>
                <w:szCs w:val="21"/>
                <w:color w:val="auto"/>
              </w:rPr>
            </w:pP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center"/>
              <w:ind w:left="30"/>
              <w:spacing w:after="0"/>
              <w:rPr>
                <w:sz w:val="20"/>
                <w:szCs w:val="20"/>
                <w:color w:val="auto"/>
              </w:rPr>
            </w:pPr>
            <w:r>
              <w:rPr>
                <w:rFonts w:ascii="Arial" w:cs="Arial" w:eastAsia="Arial" w:hAnsi="Arial"/>
                <w:sz w:val="18"/>
                <w:szCs w:val="18"/>
                <w:color w:val="auto"/>
                <w:w w:val="92"/>
              </w:rPr>
              <w:t>8%</w:t>
            </w:r>
          </w:p>
        </w:tc>
      </w:tr>
      <w:tr>
        <w:trPr>
          <w:trHeight w:val="27"/>
        </w:trPr>
        <w:tc>
          <w:tcPr>
            <w:tcW w:w="50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r>
      <w:tr>
        <w:trPr>
          <w:trHeight w:val="243"/>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Financing revenues</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w:t>
            </w:r>
          </w:p>
        </w:tc>
        <w:tc>
          <w:tcPr>
            <w:tcW w:w="156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2"/>
              </w:rPr>
              <w:t>6%</w:t>
            </w: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Financing expenses</w:t>
            </w:r>
          </w:p>
        </w:tc>
        <w:tc>
          <w:tcPr>
            <w:tcW w:w="1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w:t>
            </w:r>
          </w:p>
        </w:tc>
        <w:tc>
          <w:tcPr>
            <w:tcW w:w="1560" w:type="dxa"/>
            <w:vAlign w:val="bottom"/>
            <w:gridSpan w:val="2"/>
          </w:tcPr>
          <w:p>
            <w:pPr>
              <w:jc w:val="center"/>
              <w:ind w:left="10"/>
              <w:spacing w:after="0"/>
              <w:rPr>
                <w:sz w:val="20"/>
                <w:szCs w:val="20"/>
                <w:color w:val="auto"/>
              </w:rPr>
            </w:pPr>
            <w:r>
              <w:rPr>
                <w:rFonts w:ascii="Arial" w:cs="Arial" w:eastAsia="Arial" w:hAnsi="Arial"/>
                <w:sz w:val="18"/>
                <w:szCs w:val="18"/>
                <w:color w:val="auto"/>
                <w:w w:val="92"/>
              </w:rPr>
              <w:t>(182%)</w:t>
            </w:r>
          </w:p>
        </w:tc>
      </w:tr>
      <w:tr>
        <w:trPr>
          <w:trHeight w:val="27"/>
        </w:trPr>
        <w:tc>
          <w:tcPr>
            <w:tcW w:w="5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Consumer financing interest expense</w:t>
            </w: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56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5"/>
              </w:rPr>
              <w:t>(10%)</w:t>
            </w:r>
          </w:p>
        </w:tc>
      </w:tr>
      <w:tr>
        <w:trPr>
          <w:trHeight w:val="297"/>
        </w:trPr>
        <w:tc>
          <w:tcPr>
            <w:tcW w:w="50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Financing margin</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45</w:t>
            </w:r>
          </w:p>
        </w:tc>
        <w:tc>
          <w:tcPr>
            <w:tcW w:w="12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560" w:type="dxa"/>
            <w:vAlign w:val="bottom"/>
            <w:tcBorders>
              <w:bottom w:val="single" w:sz="8" w:color="CCEEFF"/>
            </w:tcBorders>
            <w:gridSpan w:val="2"/>
          </w:tcPr>
          <w:p>
            <w:pPr>
              <w:jc w:val="center"/>
              <w:ind w:left="10"/>
              <w:spacing w:after="0"/>
              <w:rPr>
                <w:sz w:val="20"/>
                <w:szCs w:val="20"/>
                <w:color w:val="auto"/>
              </w:rPr>
            </w:pPr>
            <w:r>
              <w:rPr>
                <w:rFonts w:ascii="Arial" w:cs="Arial" w:eastAsia="Arial" w:hAnsi="Arial"/>
                <w:sz w:val="18"/>
                <w:szCs w:val="18"/>
                <w:color w:val="auto"/>
                <w:w w:val="95"/>
              </w:rPr>
              <w:t>(25%)</w:t>
            </w:r>
          </w:p>
        </w:tc>
      </w:tr>
      <w:tr>
        <w:trPr>
          <w:trHeight w:val="230"/>
        </w:trPr>
        <w:tc>
          <w:tcPr>
            <w:tcW w:w="5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Financing propensity</w:t>
            </w:r>
          </w:p>
        </w:tc>
        <w:tc>
          <w:tcPr>
            <w:tcW w:w="140" w:type="dxa"/>
            <w:vAlign w:val="bottom"/>
            <w:shd w:val="clear" w:color="auto" w:fill="CCEEFF"/>
          </w:tcPr>
          <w:p>
            <w:pPr>
              <w:spacing w:after="0"/>
              <w:rPr>
                <w:sz w:val="20"/>
                <w:szCs w:val="20"/>
                <w:color w:val="auto"/>
              </w:rPr>
            </w:pPr>
          </w:p>
        </w:tc>
        <w:tc>
          <w:tcPr>
            <w:tcW w:w="1320" w:type="dxa"/>
            <w:vAlign w:val="bottom"/>
            <w:shd w:val="clear" w:color="auto" w:fill="CCEEFF"/>
          </w:tcPr>
          <w:p>
            <w:pPr>
              <w:jc w:val="right"/>
              <w:ind w:right="412"/>
              <w:spacing w:after="0"/>
              <w:rPr>
                <w:sz w:val="20"/>
                <w:szCs w:val="20"/>
                <w:color w:val="auto"/>
              </w:rPr>
            </w:pPr>
            <w:r>
              <w:rPr>
                <w:rFonts w:ascii="Arial" w:cs="Arial" w:eastAsia="Arial" w:hAnsi="Arial"/>
                <w:sz w:val="18"/>
                <w:szCs w:val="18"/>
                <w:color w:val="auto"/>
              </w:rPr>
              <w:t>56.9%</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00" w:type="dxa"/>
            <w:vAlign w:val="bottom"/>
            <w:shd w:val="clear" w:color="auto" w:fill="CCEEFF"/>
          </w:tcPr>
          <w:p>
            <w:pPr>
              <w:jc w:val="right"/>
              <w:ind w:right="391"/>
              <w:spacing w:after="0"/>
              <w:rPr>
                <w:sz w:val="20"/>
                <w:szCs w:val="20"/>
                <w:color w:val="auto"/>
              </w:rPr>
            </w:pPr>
            <w:r>
              <w:rPr>
                <w:rFonts w:ascii="Arial" w:cs="Arial" w:eastAsia="Arial" w:hAnsi="Arial"/>
                <w:sz w:val="18"/>
                <w:szCs w:val="18"/>
                <w:color w:val="auto"/>
              </w:rPr>
              <w:t>62.1%</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r>
      <w:tr>
        <w:trPr>
          <w:trHeight w:val="27"/>
        </w:trPr>
        <w:tc>
          <w:tcPr>
            <w:tcW w:w="50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r>
    </w:tbl>
    <w:p>
      <w:pPr>
        <w:spacing w:after="0" w:line="121" w:lineRule="exact"/>
        <w:rPr>
          <w:sz w:val="20"/>
          <w:szCs w:val="20"/>
          <w:color w:val="auto"/>
        </w:rPr>
      </w:pPr>
    </w:p>
    <w:p>
      <w:pPr>
        <w:ind w:right="40" w:firstLine="648"/>
        <w:spacing w:after="0" w:line="298" w:lineRule="auto"/>
        <w:rPr>
          <w:sz w:val="20"/>
          <w:szCs w:val="20"/>
          <w:color w:val="auto"/>
        </w:rPr>
      </w:pPr>
      <w:r>
        <w:rPr>
          <w:rFonts w:ascii="Arial" w:cs="Arial" w:eastAsia="Arial" w:hAnsi="Arial"/>
          <w:sz w:val="18"/>
          <w:szCs w:val="18"/>
          <w:color w:val="auto"/>
        </w:rPr>
        <w:t>Financing margin increased due to higher financing revenues resulting from a $273 million increase in the average gross vacation ownership notes receivable balance, offset by slightly higher financing expenses (including $10 million related to the higher reserve on the acquired vacation ownership notes receivable related to the COVID-19 pandemic as well as timing of technology related spending) and slightly higher consumer financing interest expense resulting from higher overall securitized debt balances</w:t>
      </w:r>
      <w:r>
        <w:rPr>
          <w:rFonts w:ascii="Arial" w:cs="Arial" w:eastAsia="Arial" w:hAnsi="Arial"/>
          <w:sz w:val="21"/>
          <w:szCs w:val="21"/>
          <w:color w:val="auto"/>
        </w:rPr>
        <w:t>.</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 Charges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2020 First Quarter</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0" w:type="dxa"/>
            <w:vAlign w:val="bottom"/>
            <w:gridSpan w:val="5"/>
          </w:tcPr>
          <w:p>
            <w:pPr>
              <w:ind w:left="640"/>
              <w:spacing w:after="0"/>
              <w:rPr>
                <w:sz w:val="20"/>
                <w:szCs w:val="20"/>
                <w:color w:val="auto"/>
              </w:rPr>
            </w:pPr>
            <w:r>
              <w:rPr>
                <w:rFonts w:ascii="Arial" w:cs="Arial" w:eastAsia="Arial" w:hAnsi="Arial"/>
                <w:sz w:val="16"/>
                <w:szCs w:val="16"/>
                <w:b w:val="1"/>
                <w:bCs w:val="1"/>
                <w:color w:val="auto"/>
              </w:rPr>
              <w:t>Three Months Ended</w:t>
            </w: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33"/>
        </w:trPr>
        <w:tc>
          <w:tcPr>
            <w:tcW w:w="50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1460" w:type="dxa"/>
            <w:vAlign w:val="bottom"/>
          </w:tcPr>
          <w:p>
            <w:pPr>
              <w:spacing w:after="0"/>
              <w:rPr>
                <w:sz w:val="2"/>
                <w:szCs w:val="2"/>
                <w:color w:val="auto"/>
              </w:rPr>
            </w:pPr>
          </w:p>
        </w:tc>
      </w:tr>
      <w:tr>
        <w:trPr>
          <w:trHeight w:val="258"/>
        </w:trPr>
        <w:tc>
          <w:tcPr>
            <w:tcW w:w="508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140" w:type="dxa"/>
            <w:vAlign w:val="bottom"/>
          </w:tcPr>
          <w:p>
            <w:pPr>
              <w:spacing w:after="0"/>
              <w:rPr>
                <w:sz w:val="22"/>
                <w:szCs w:val="22"/>
                <w:color w:val="auto"/>
              </w:rPr>
            </w:pPr>
          </w:p>
        </w:tc>
        <w:tc>
          <w:tcPr>
            <w:tcW w:w="1420" w:type="dxa"/>
            <w:vAlign w:val="bottom"/>
            <w:gridSpan w:val="2"/>
          </w:tcPr>
          <w:p>
            <w:pPr>
              <w:ind w:left="60"/>
              <w:spacing w:after="0"/>
              <w:rPr>
                <w:sz w:val="20"/>
                <w:szCs w:val="20"/>
                <w:color w:val="auto"/>
              </w:rPr>
            </w:pPr>
            <w:r>
              <w:rPr>
                <w:rFonts w:ascii="Arial" w:cs="Arial" w:eastAsia="Arial" w:hAnsi="Arial"/>
                <w:sz w:val="16"/>
                <w:szCs w:val="16"/>
                <w:b w:val="1"/>
                <w:bCs w:val="1"/>
                <w:color w:val="auto"/>
              </w:rPr>
              <w:t>March 31, 2020</w:t>
            </w:r>
          </w:p>
        </w:tc>
        <w:tc>
          <w:tcPr>
            <w:tcW w:w="160" w:type="dxa"/>
            <w:vAlign w:val="bottom"/>
          </w:tcPr>
          <w:p>
            <w:pPr>
              <w:spacing w:after="0"/>
              <w:rPr>
                <w:sz w:val="22"/>
                <w:szCs w:val="22"/>
                <w:color w:val="auto"/>
              </w:rPr>
            </w:pPr>
          </w:p>
        </w:tc>
        <w:tc>
          <w:tcPr>
            <w:tcW w:w="1420" w:type="dxa"/>
            <w:vAlign w:val="bottom"/>
            <w:gridSpan w:val="2"/>
          </w:tcPr>
          <w:p>
            <w:pPr>
              <w:ind w:left="40"/>
              <w:spacing w:after="0"/>
              <w:rPr>
                <w:sz w:val="20"/>
                <w:szCs w:val="20"/>
                <w:color w:val="auto"/>
              </w:rPr>
            </w:pPr>
            <w:r>
              <w:rPr>
                <w:rFonts w:ascii="Arial" w:cs="Arial" w:eastAsia="Arial" w:hAnsi="Arial"/>
                <w:sz w:val="16"/>
                <w:szCs w:val="16"/>
                <w:b w:val="1"/>
                <w:bCs w:val="1"/>
                <w:color w:val="auto"/>
              </w:rPr>
              <w:t>March 31, 2019</w:t>
            </w:r>
          </w:p>
        </w:tc>
        <w:tc>
          <w:tcPr>
            <w:tcW w:w="280" w:type="dxa"/>
            <w:vAlign w:val="bottom"/>
          </w:tcPr>
          <w:p>
            <w:pPr>
              <w:spacing w:after="0"/>
              <w:rPr>
                <w:sz w:val="22"/>
                <w:szCs w:val="22"/>
                <w:color w:val="auto"/>
              </w:rPr>
            </w:pPr>
          </w:p>
        </w:tc>
        <w:tc>
          <w:tcPr>
            <w:tcW w:w="1280" w:type="dxa"/>
            <w:vAlign w:val="bottom"/>
            <w:gridSpan w:val="2"/>
          </w:tcPr>
          <w:p>
            <w:pPr>
              <w:ind w:left="180"/>
              <w:spacing w:after="0"/>
              <w:rPr>
                <w:sz w:val="20"/>
                <w:szCs w:val="20"/>
                <w:color w:val="auto"/>
              </w:rPr>
            </w:pPr>
            <w:r>
              <w:rPr>
                <w:rFonts w:ascii="Arial" w:cs="Arial" w:eastAsia="Arial" w:hAnsi="Arial"/>
                <w:sz w:val="16"/>
                <w:szCs w:val="16"/>
                <w:b w:val="1"/>
                <w:bCs w:val="1"/>
                <w:color w:val="auto"/>
              </w:rPr>
              <w:t>Change</w:t>
            </w:r>
          </w:p>
        </w:tc>
        <w:tc>
          <w:tcPr>
            <w:tcW w:w="1460" w:type="dxa"/>
            <w:vAlign w:val="bottom"/>
          </w:tcPr>
          <w:p>
            <w:pPr>
              <w:jc w:val="center"/>
              <w:spacing w:after="0"/>
              <w:rPr>
                <w:sz w:val="20"/>
                <w:szCs w:val="20"/>
                <w:color w:val="auto"/>
              </w:rPr>
            </w:pPr>
            <w:r>
              <w:rPr>
                <w:rFonts w:ascii="Arial" w:cs="Arial" w:eastAsia="Arial" w:hAnsi="Arial"/>
                <w:sz w:val="16"/>
                <w:szCs w:val="16"/>
                <w:b w:val="1"/>
                <w:bCs w:val="1"/>
                <w:color w:val="auto"/>
                <w:w w:val="95"/>
              </w:rPr>
              <w:t>% Change</w:t>
            </w:r>
          </w:p>
        </w:tc>
      </w:tr>
      <w:tr>
        <w:trPr>
          <w:trHeight w:val="249"/>
        </w:trPr>
        <w:tc>
          <w:tcPr>
            <w:tcW w:w="50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Litigation charges</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60" w:type="dxa"/>
            <w:vAlign w:val="bottom"/>
            <w:tcBorders>
              <w:top w:val="single" w:sz="8" w:color="auto"/>
              <w:bottom w:val="single" w:sz="8" w:color="CCEEFF"/>
            </w:tcBorders>
            <w:shd w:val="clear" w:color="auto" w:fill="CCEEFF"/>
          </w:tcPr>
          <w:p>
            <w:pPr>
              <w:jc w:val="right"/>
              <w:ind w:right="475"/>
              <w:spacing w:after="0"/>
              <w:rPr>
                <w:sz w:val="20"/>
                <w:szCs w:val="20"/>
                <w:color w:val="auto"/>
              </w:rPr>
            </w:pPr>
            <w:r>
              <w:rPr>
                <w:rFonts w:ascii="Arial" w:cs="Arial" w:eastAsia="Arial" w:hAnsi="Arial"/>
                <w:sz w:val="18"/>
                <w:szCs w:val="18"/>
                <w:color w:val="auto"/>
              </w:rPr>
              <w:t>47%</w:t>
            </w:r>
          </w:p>
        </w:tc>
      </w:tr>
      <w:tr>
        <w:trPr>
          <w:trHeight w:val="432"/>
        </w:trPr>
        <w:tc>
          <w:tcPr>
            <w:tcW w:w="5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jc w:val="right"/>
              <w:ind w:right="735"/>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r>
    </w:tbl>
    <w:p>
      <w:pPr>
        <w:sectPr>
          <w:pgSz w:w="11900" w:h="16838" w:orient="portrait"/>
          <w:cols w:equalWidth="0" w:num="1">
            <w:col w:w="11240"/>
          </w:cols>
          <w:pgMar w:left="320" w:top="125" w:right="33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Royalty Fee</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2020 First Quarter</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0" w:type="dxa"/>
            <w:vAlign w:val="bottom"/>
            <w:gridSpan w:val="5"/>
          </w:tcPr>
          <w:p>
            <w:pPr>
              <w:ind w:left="640"/>
              <w:spacing w:after="0"/>
              <w:rPr>
                <w:sz w:val="20"/>
                <w:szCs w:val="20"/>
                <w:color w:val="auto"/>
              </w:rPr>
            </w:pPr>
            <w:r>
              <w:rPr>
                <w:rFonts w:ascii="Arial" w:cs="Arial" w:eastAsia="Arial" w:hAnsi="Arial"/>
                <w:sz w:val="16"/>
                <w:szCs w:val="16"/>
                <w:b w:val="1"/>
                <w:bCs w:val="1"/>
                <w:color w:val="auto"/>
              </w:rPr>
              <w:t>Three Months Ended</w:t>
            </w:r>
          </w:p>
        </w:tc>
        <w:tc>
          <w:tcPr>
            <w:tcW w:w="10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33"/>
        </w:trPr>
        <w:tc>
          <w:tcPr>
            <w:tcW w:w="50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8"/>
        </w:trPr>
        <w:tc>
          <w:tcPr>
            <w:tcW w:w="50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14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116"/>
              <w:spacing w:after="0"/>
              <w:rPr>
                <w:sz w:val="20"/>
                <w:szCs w:val="20"/>
                <w:color w:val="auto"/>
              </w:rPr>
            </w:pPr>
            <w:r>
              <w:rPr>
                <w:rFonts w:ascii="Arial" w:cs="Arial" w:eastAsia="Arial" w:hAnsi="Arial"/>
                <w:sz w:val="16"/>
                <w:szCs w:val="16"/>
                <w:b w:val="1"/>
                <w:bCs w:val="1"/>
                <w:color w:val="auto"/>
                <w:w w:val="96"/>
              </w:rPr>
              <w:t>March 31, 2020</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95"/>
              <w:spacing w:after="0"/>
              <w:rPr>
                <w:sz w:val="20"/>
                <w:szCs w:val="20"/>
                <w:color w:val="auto"/>
              </w:rPr>
            </w:pPr>
            <w:r>
              <w:rPr>
                <w:rFonts w:ascii="Arial" w:cs="Arial" w:eastAsia="Arial" w:hAnsi="Arial"/>
                <w:sz w:val="16"/>
                <w:szCs w:val="16"/>
                <w:b w:val="1"/>
                <w:bCs w:val="1"/>
                <w:color w:val="auto"/>
                <w:w w:val="96"/>
              </w:rPr>
              <w:t>March 31, 2019</w:t>
            </w:r>
          </w:p>
        </w:tc>
        <w:tc>
          <w:tcPr>
            <w:tcW w:w="120" w:type="dxa"/>
            <w:vAlign w:val="bottom"/>
            <w:tcBorders>
              <w:bottom w:val="single" w:sz="8" w:color="CCEEFF"/>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Change</w:t>
            </w:r>
          </w:p>
        </w:tc>
        <w:tc>
          <w:tcPr>
            <w:tcW w:w="3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5"/>
              </w:rPr>
              <w:t>% Change</w:t>
            </w:r>
          </w:p>
        </w:tc>
      </w:tr>
      <w:tr>
        <w:trPr>
          <w:trHeight w:val="243"/>
        </w:trPr>
        <w:tc>
          <w:tcPr>
            <w:tcW w:w="5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Royalty fee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26</w:t>
            </w:r>
          </w:p>
        </w:tc>
        <w:tc>
          <w:tcPr>
            <w:tcW w:w="12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875"/>
              <w:spacing w:after="0"/>
              <w:rPr>
                <w:sz w:val="20"/>
                <w:szCs w:val="20"/>
                <w:color w:val="auto"/>
              </w:rPr>
            </w:pPr>
            <w:r>
              <w:rPr>
                <w:rFonts w:ascii="Arial" w:cs="Arial" w:eastAsia="Arial" w:hAnsi="Arial"/>
                <w:sz w:val="18"/>
                <w:szCs w:val="18"/>
                <w:color w:val="auto"/>
                <w:w w:val="99"/>
              </w:rPr>
              <w:t>$</w:t>
            </w:r>
          </w:p>
        </w:tc>
        <w:tc>
          <w:tcPr>
            <w:tcW w:w="4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515"/>
              <w:spacing w:after="0"/>
              <w:rPr>
                <w:sz w:val="20"/>
                <w:szCs w:val="20"/>
                <w:color w:val="auto"/>
              </w:rPr>
            </w:pPr>
            <w:r>
              <w:rPr>
                <w:rFonts w:ascii="Arial" w:cs="Arial" w:eastAsia="Arial" w:hAnsi="Arial"/>
                <w:sz w:val="18"/>
                <w:szCs w:val="18"/>
                <w:color w:val="auto"/>
              </w:rPr>
              <w:t>1%</w:t>
            </w:r>
          </w:p>
        </w:tc>
      </w:tr>
      <w:tr>
        <w:trPr>
          <w:trHeight w:val="27"/>
        </w:trPr>
        <w:tc>
          <w:tcPr>
            <w:tcW w:w="50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Royalty fee expense remained flat in the first quarter of 2020 as the amount of closings, in dollars, was similar to the prior year quarter.</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Depreciation and Amortization</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2020 First Quarter</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0" w:type="dxa"/>
            <w:vAlign w:val="bottom"/>
            <w:gridSpan w:val="5"/>
          </w:tcPr>
          <w:p>
            <w:pPr>
              <w:ind w:left="640"/>
              <w:spacing w:after="0"/>
              <w:rPr>
                <w:sz w:val="20"/>
                <w:szCs w:val="20"/>
                <w:color w:val="auto"/>
              </w:rPr>
            </w:pPr>
            <w:r>
              <w:rPr>
                <w:rFonts w:ascii="Arial" w:cs="Arial" w:eastAsia="Arial" w:hAnsi="Arial"/>
                <w:sz w:val="16"/>
                <w:szCs w:val="16"/>
                <w:b w:val="1"/>
                <w:bCs w:val="1"/>
                <w:color w:val="auto"/>
              </w:rPr>
              <w:t>Three Months Ended</w:t>
            </w: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33"/>
        </w:trPr>
        <w:tc>
          <w:tcPr>
            <w:tcW w:w="50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1460" w:type="dxa"/>
            <w:vAlign w:val="bottom"/>
          </w:tcPr>
          <w:p>
            <w:pPr>
              <w:spacing w:after="0"/>
              <w:rPr>
                <w:sz w:val="2"/>
                <w:szCs w:val="2"/>
                <w:color w:val="auto"/>
              </w:rPr>
            </w:pPr>
          </w:p>
        </w:tc>
      </w:tr>
      <w:tr>
        <w:trPr>
          <w:trHeight w:val="258"/>
        </w:trPr>
        <w:tc>
          <w:tcPr>
            <w:tcW w:w="508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140" w:type="dxa"/>
            <w:vAlign w:val="bottom"/>
          </w:tcPr>
          <w:p>
            <w:pPr>
              <w:spacing w:after="0"/>
              <w:rPr>
                <w:sz w:val="22"/>
                <w:szCs w:val="22"/>
                <w:color w:val="auto"/>
              </w:rPr>
            </w:pPr>
          </w:p>
        </w:tc>
        <w:tc>
          <w:tcPr>
            <w:tcW w:w="1420" w:type="dxa"/>
            <w:vAlign w:val="bottom"/>
            <w:gridSpan w:val="2"/>
          </w:tcPr>
          <w:p>
            <w:pPr>
              <w:ind w:left="60"/>
              <w:spacing w:after="0"/>
              <w:rPr>
                <w:sz w:val="20"/>
                <w:szCs w:val="20"/>
                <w:color w:val="auto"/>
              </w:rPr>
            </w:pPr>
            <w:r>
              <w:rPr>
                <w:rFonts w:ascii="Arial" w:cs="Arial" w:eastAsia="Arial" w:hAnsi="Arial"/>
                <w:sz w:val="16"/>
                <w:szCs w:val="16"/>
                <w:b w:val="1"/>
                <w:bCs w:val="1"/>
                <w:color w:val="auto"/>
              </w:rPr>
              <w:t>March 31, 2020</w:t>
            </w:r>
          </w:p>
        </w:tc>
        <w:tc>
          <w:tcPr>
            <w:tcW w:w="160" w:type="dxa"/>
            <w:vAlign w:val="bottom"/>
          </w:tcPr>
          <w:p>
            <w:pPr>
              <w:spacing w:after="0"/>
              <w:rPr>
                <w:sz w:val="22"/>
                <w:szCs w:val="22"/>
                <w:color w:val="auto"/>
              </w:rPr>
            </w:pPr>
          </w:p>
        </w:tc>
        <w:tc>
          <w:tcPr>
            <w:tcW w:w="1420" w:type="dxa"/>
            <w:vAlign w:val="bottom"/>
            <w:gridSpan w:val="2"/>
          </w:tcPr>
          <w:p>
            <w:pPr>
              <w:ind w:left="40"/>
              <w:spacing w:after="0"/>
              <w:rPr>
                <w:sz w:val="20"/>
                <w:szCs w:val="20"/>
                <w:color w:val="auto"/>
              </w:rPr>
            </w:pPr>
            <w:r>
              <w:rPr>
                <w:rFonts w:ascii="Arial" w:cs="Arial" w:eastAsia="Arial" w:hAnsi="Arial"/>
                <w:sz w:val="16"/>
                <w:szCs w:val="16"/>
                <w:b w:val="1"/>
                <w:bCs w:val="1"/>
                <w:color w:val="auto"/>
              </w:rPr>
              <w:t>March 31, 2019</w:t>
            </w:r>
          </w:p>
        </w:tc>
        <w:tc>
          <w:tcPr>
            <w:tcW w:w="280" w:type="dxa"/>
            <w:vAlign w:val="bottom"/>
          </w:tcPr>
          <w:p>
            <w:pPr>
              <w:spacing w:after="0"/>
              <w:rPr>
                <w:sz w:val="22"/>
                <w:szCs w:val="22"/>
                <w:color w:val="auto"/>
              </w:rPr>
            </w:pPr>
          </w:p>
        </w:tc>
        <w:tc>
          <w:tcPr>
            <w:tcW w:w="1280" w:type="dxa"/>
            <w:vAlign w:val="bottom"/>
            <w:gridSpan w:val="2"/>
          </w:tcPr>
          <w:p>
            <w:pPr>
              <w:ind w:left="180"/>
              <w:spacing w:after="0"/>
              <w:rPr>
                <w:sz w:val="20"/>
                <w:szCs w:val="20"/>
                <w:color w:val="auto"/>
              </w:rPr>
            </w:pPr>
            <w:r>
              <w:rPr>
                <w:rFonts w:ascii="Arial" w:cs="Arial" w:eastAsia="Arial" w:hAnsi="Arial"/>
                <w:sz w:val="16"/>
                <w:szCs w:val="16"/>
                <w:b w:val="1"/>
                <w:bCs w:val="1"/>
                <w:color w:val="auto"/>
              </w:rPr>
              <w:t>Change</w:t>
            </w:r>
          </w:p>
        </w:tc>
        <w:tc>
          <w:tcPr>
            <w:tcW w:w="1460" w:type="dxa"/>
            <w:vAlign w:val="bottom"/>
          </w:tcPr>
          <w:p>
            <w:pPr>
              <w:jc w:val="right"/>
              <w:ind w:right="275"/>
              <w:spacing w:after="0"/>
              <w:rPr>
                <w:sz w:val="20"/>
                <w:szCs w:val="20"/>
                <w:color w:val="auto"/>
              </w:rPr>
            </w:pPr>
            <w:r>
              <w:rPr>
                <w:rFonts w:ascii="Arial" w:cs="Arial" w:eastAsia="Arial" w:hAnsi="Arial"/>
                <w:sz w:val="16"/>
                <w:szCs w:val="16"/>
                <w:b w:val="1"/>
                <w:bCs w:val="1"/>
                <w:color w:val="auto"/>
              </w:rPr>
              <w:t>% Change</w:t>
            </w:r>
          </w:p>
        </w:tc>
      </w:tr>
      <w:tr>
        <w:trPr>
          <w:trHeight w:val="250"/>
        </w:trPr>
        <w:tc>
          <w:tcPr>
            <w:tcW w:w="50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60" w:type="dxa"/>
            <w:vAlign w:val="bottom"/>
            <w:tcBorders>
              <w:top w:val="single" w:sz="8" w:color="auto"/>
              <w:bottom w:val="single" w:sz="8" w:color="CCEEFF"/>
            </w:tcBorders>
            <w:shd w:val="clear" w:color="auto" w:fill="CCEEFF"/>
          </w:tcPr>
          <w:p>
            <w:pPr>
              <w:jc w:val="right"/>
              <w:ind w:right="475"/>
              <w:spacing w:after="0"/>
              <w:rPr>
                <w:sz w:val="20"/>
                <w:szCs w:val="20"/>
                <w:color w:val="auto"/>
              </w:rPr>
            </w:pPr>
            <w:r>
              <w:rPr>
                <w:rFonts w:ascii="Arial" w:cs="Arial" w:eastAsia="Arial" w:hAnsi="Arial"/>
                <w:sz w:val="18"/>
                <w:szCs w:val="18"/>
                <w:color w:val="auto"/>
              </w:rPr>
              <w:t>10%</w:t>
            </w:r>
          </w:p>
        </w:tc>
      </w:tr>
      <w:tr>
        <w:trPr>
          <w:trHeight w:val="432"/>
        </w:trPr>
        <w:tc>
          <w:tcPr>
            <w:tcW w:w="5080" w:type="dxa"/>
            <w:vAlign w:val="bottom"/>
          </w:tcPr>
          <w:p>
            <w:pPr>
              <w:spacing w:after="0"/>
              <w:rPr>
                <w:sz w:val="20"/>
                <w:szCs w:val="20"/>
                <w:color w:val="auto"/>
              </w:rPr>
            </w:pPr>
            <w:r>
              <w:rPr>
                <w:rFonts w:ascii="Arial" w:cs="Arial" w:eastAsia="Arial" w:hAnsi="Arial"/>
                <w:sz w:val="18"/>
                <w:szCs w:val="18"/>
                <w:b w:val="1"/>
                <w:bCs w:val="1"/>
                <w:color w:val="auto"/>
              </w:rPr>
              <w:t>Impairment</w:t>
            </w: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324"/>
        </w:trPr>
        <w:tc>
          <w:tcPr>
            <w:tcW w:w="5080" w:type="dxa"/>
            <w:vAlign w:val="bottom"/>
          </w:tcPr>
          <w:p>
            <w:pPr>
              <w:ind w:left="660"/>
              <w:spacing w:after="0"/>
              <w:rPr>
                <w:sz w:val="20"/>
                <w:szCs w:val="20"/>
                <w:color w:val="auto"/>
              </w:rPr>
            </w:pPr>
            <w:r>
              <w:rPr>
                <w:rFonts w:ascii="Arial" w:cs="Arial" w:eastAsia="Arial" w:hAnsi="Arial"/>
                <w:sz w:val="18"/>
                <w:szCs w:val="18"/>
                <w:i w:val="1"/>
                <w:iCs w:val="1"/>
                <w:color w:val="auto"/>
              </w:rPr>
              <w:t>2020 First Quarter</w:t>
            </w: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480"/>
        </w:trPr>
        <w:tc>
          <w:tcPr>
            <w:tcW w:w="5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0" w:type="dxa"/>
            <w:vAlign w:val="bottom"/>
            <w:gridSpan w:val="5"/>
          </w:tcPr>
          <w:p>
            <w:pPr>
              <w:ind w:left="640"/>
              <w:spacing w:after="0"/>
              <w:rPr>
                <w:sz w:val="20"/>
                <w:szCs w:val="20"/>
                <w:color w:val="auto"/>
              </w:rPr>
            </w:pPr>
            <w:r>
              <w:rPr>
                <w:rFonts w:ascii="Arial" w:cs="Arial" w:eastAsia="Arial" w:hAnsi="Arial"/>
                <w:sz w:val="16"/>
                <w:szCs w:val="16"/>
                <w:b w:val="1"/>
                <w:bCs w:val="1"/>
                <w:color w:val="auto"/>
              </w:rPr>
              <w:t>Three Months Ended</w:t>
            </w: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33"/>
        </w:trPr>
        <w:tc>
          <w:tcPr>
            <w:tcW w:w="50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1460" w:type="dxa"/>
            <w:vAlign w:val="bottom"/>
          </w:tcPr>
          <w:p>
            <w:pPr>
              <w:spacing w:after="0"/>
              <w:rPr>
                <w:sz w:val="2"/>
                <w:szCs w:val="2"/>
                <w:color w:val="auto"/>
              </w:rPr>
            </w:pPr>
          </w:p>
        </w:tc>
      </w:tr>
      <w:tr>
        <w:trPr>
          <w:trHeight w:val="258"/>
        </w:trPr>
        <w:tc>
          <w:tcPr>
            <w:tcW w:w="508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140" w:type="dxa"/>
            <w:vAlign w:val="bottom"/>
          </w:tcPr>
          <w:p>
            <w:pPr>
              <w:spacing w:after="0"/>
              <w:rPr>
                <w:sz w:val="22"/>
                <w:szCs w:val="22"/>
                <w:color w:val="auto"/>
              </w:rPr>
            </w:pPr>
          </w:p>
        </w:tc>
        <w:tc>
          <w:tcPr>
            <w:tcW w:w="1420" w:type="dxa"/>
            <w:vAlign w:val="bottom"/>
            <w:gridSpan w:val="2"/>
          </w:tcPr>
          <w:p>
            <w:pPr>
              <w:ind w:left="60"/>
              <w:spacing w:after="0"/>
              <w:rPr>
                <w:sz w:val="20"/>
                <w:szCs w:val="20"/>
                <w:color w:val="auto"/>
              </w:rPr>
            </w:pPr>
            <w:r>
              <w:rPr>
                <w:rFonts w:ascii="Arial" w:cs="Arial" w:eastAsia="Arial" w:hAnsi="Arial"/>
                <w:sz w:val="16"/>
                <w:szCs w:val="16"/>
                <w:b w:val="1"/>
                <w:bCs w:val="1"/>
                <w:color w:val="auto"/>
              </w:rPr>
              <w:t>March 31, 2020</w:t>
            </w:r>
          </w:p>
        </w:tc>
        <w:tc>
          <w:tcPr>
            <w:tcW w:w="160" w:type="dxa"/>
            <w:vAlign w:val="bottom"/>
          </w:tcPr>
          <w:p>
            <w:pPr>
              <w:spacing w:after="0"/>
              <w:rPr>
                <w:sz w:val="22"/>
                <w:szCs w:val="22"/>
                <w:color w:val="auto"/>
              </w:rPr>
            </w:pPr>
          </w:p>
        </w:tc>
        <w:tc>
          <w:tcPr>
            <w:tcW w:w="1420" w:type="dxa"/>
            <w:vAlign w:val="bottom"/>
            <w:gridSpan w:val="2"/>
          </w:tcPr>
          <w:p>
            <w:pPr>
              <w:ind w:left="40"/>
              <w:spacing w:after="0"/>
              <w:rPr>
                <w:sz w:val="20"/>
                <w:szCs w:val="20"/>
                <w:color w:val="auto"/>
              </w:rPr>
            </w:pPr>
            <w:r>
              <w:rPr>
                <w:rFonts w:ascii="Arial" w:cs="Arial" w:eastAsia="Arial" w:hAnsi="Arial"/>
                <w:sz w:val="16"/>
                <w:szCs w:val="16"/>
                <w:b w:val="1"/>
                <w:bCs w:val="1"/>
                <w:color w:val="auto"/>
              </w:rPr>
              <w:t>March 31, 2019</w:t>
            </w:r>
          </w:p>
        </w:tc>
        <w:tc>
          <w:tcPr>
            <w:tcW w:w="280" w:type="dxa"/>
            <w:vAlign w:val="bottom"/>
          </w:tcPr>
          <w:p>
            <w:pPr>
              <w:spacing w:after="0"/>
              <w:rPr>
                <w:sz w:val="22"/>
                <w:szCs w:val="22"/>
                <w:color w:val="auto"/>
              </w:rPr>
            </w:pPr>
          </w:p>
        </w:tc>
        <w:tc>
          <w:tcPr>
            <w:tcW w:w="1280" w:type="dxa"/>
            <w:vAlign w:val="bottom"/>
            <w:gridSpan w:val="2"/>
          </w:tcPr>
          <w:p>
            <w:pPr>
              <w:ind w:left="180"/>
              <w:spacing w:after="0"/>
              <w:rPr>
                <w:sz w:val="20"/>
                <w:szCs w:val="20"/>
                <w:color w:val="auto"/>
              </w:rPr>
            </w:pPr>
            <w:r>
              <w:rPr>
                <w:rFonts w:ascii="Arial" w:cs="Arial" w:eastAsia="Arial" w:hAnsi="Arial"/>
                <w:sz w:val="16"/>
                <w:szCs w:val="16"/>
                <w:b w:val="1"/>
                <w:bCs w:val="1"/>
                <w:color w:val="auto"/>
              </w:rPr>
              <w:t>Change</w:t>
            </w:r>
          </w:p>
        </w:tc>
        <w:tc>
          <w:tcPr>
            <w:tcW w:w="1460" w:type="dxa"/>
            <w:vAlign w:val="bottom"/>
          </w:tcPr>
          <w:p>
            <w:pPr>
              <w:jc w:val="right"/>
              <w:ind w:right="275"/>
              <w:spacing w:after="0"/>
              <w:rPr>
                <w:sz w:val="20"/>
                <w:szCs w:val="20"/>
                <w:color w:val="auto"/>
              </w:rPr>
            </w:pPr>
            <w:r>
              <w:rPr>
                <w:rFonts w:ascii="Arial" w:cs="Arial" w:eastAsia="Arial" w:hAnsi="Arial"/>
                <w:sz w:val="16"/>
                <w:szCs w:val="16"/>
                <w:b w:val="1"/>
                <w:bCs w:val="1"/>
                <w:color w:val="auto"/>
              </w:rPr>
              <w:t>% Change</w:t>
            </w:r>
          </w:p>
        </w:tc>
      </w:tr>
      <w:tr>
        <w:trPr>
          <w:trHeight w:val="243"/>
        </w:trPr>
        <w:tc>
          <w:tcPr>
            <w:tcW w:w="50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Impairment</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4</w:t>
            </w:r>
          </w:p>
        </w:tc>
        <w:tc>
          <w:tcPr>
            <w:tcW w:w="10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26</w:t>
            </w:r>
          </w:p>
        </w:tc>
        <w:tc>
          <w:tcPr>
            <w:tcW w:w="12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top w:val="single" w:sz="8" w:color="CCEEFF"/>
            </w:tcBorders>
            <w:shd w:val="clear" w:color="auto" w:fill="CCEEFF"/>
          </w:tcPr>
          <w:p>
            <w:pPr>
              <w:spacing w:after="0"/>
              <w:rPr>
                <w:sz w:val="21"/>
                <w:szCs w:val="21"/>
                <w:color w:val="auto"/>
              </w:rPr>
            </w:pPr>
          </w:p>
        </w:tc>
        <w:tc>
          <w:tcPr>
            <w:tcW w:w="1460" w:type="dxa"/>
            <w:vAlign w:val="bottom"/>
            <w:tcBorders>
              <w:top w:val="single" w:sz="8" w:color="auto"/>
            </w:tcBorders>
            <w:shd w:val="clear" w:color="auto" w:fill="CCEEFF"/>
          </w:tcPr>
          <w:p>
            <w:pPr>
              <w:jc w:val="right"/>
              <w:ind w:right="415"/>
              <w:spacing w:after="0"/>
              <w:rPr>
                <w:sz w:val="20"/>
                <w:szCs w:val="20"/>
                <w:color w:val="auto"/>
              </w:rPr>
            </w:pPr>
            <w:r>
              <w:rPr>
                <w:rFonts w:ascii="Arial" w:cs="Arial" w:eastAsia="Arial" w:hAnsi="Arial"/>
                <w:sz w:val="18"/>
                <w:szCs w:val="18"/>
                <w:color w:val="auto"/>
              </w:rPr>
              <w:t>(86%)</w:t>
            </w:r>
          </w:p>
        </w:tc>
      </w:tr>
      <w:tr>
        <w:trPr>
          <w:trHeight w:val="27"/>
        </w:trPr>
        <w:tc>
          <w:tcPr>
            <w:tcW w:w="50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During the first quarter of 2020, we recorded a non-cash impairment of $4 million related to our Asia Pacific inventory product resulting from the impact of the COVID-19 pandemic.</w:t>
      </w:r>
    </w:p>
    <w:p>
      <w:pPr>
        <w:spacing w:after="0" w:line="62" w:lineRule="exact"/>
        <w:rPr>
          <w:sz w:val="20"/>
          <w:szCs w:val="20"/>
          <w:color w:val="auto"/>
        </w:rPr>
      </w:pPr>
    </w:p>
    <w:p>
      <w:pPr>
        <w:ind w:right="220" w:firstLine="648"/>
        <w:spacing w:after="0" w:line="301" w:lineRule="auto"/>
        <w:rPr>
          <w:sz w:val="20"/>
          <w:szCs w:val="20"/>
          <w:color w:val="auto"/>
        </w:rPr>
      </w:pPr>
      <w:r>
        <w:rPr>
          <w:rFonts w:ascii="Arial" w:cs="Arial" w:eastAsia="Arial" w:hAnsi="Arial"/>
          <w:sz w:val="16"/>
          <w:szCs w:val="16"/>
          <w:color w:val="auto"/>
        </w:rPr>
        <w:t>During the first quarter of 2019, we recorded a non-cash impairment of $26 million as a result of entering into a contract to sell land and land improvements associated with a future phase of an existing resort located in Orlando, Florida, which was for $10 million, and was less than the carrying value of the land and land improvements. The impairment was primarily attributable to the fact that the book value of the assets to be sold exceeded the sales price because the book value included allocations of common costs incurred when we built the infrastructure for the resort, including future phases.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Reimbursements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2020 First Quarter</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0" w:type="dxa"/>
            <w:vAlign w:val="bottom"/>
            <w:gridSpan w:val="5"/>
          </w:tcPr>
          <w:p>
            <w:pPr>
              <w:ind w:left="640"/>
              <w:spacing w:after="0"/>
              <w:rPr>
                <w:sz w:val="20"/>
                <w:szCs w:val="20"/>
                <w:color w:val="auto"/>
              </w:rPr>
            </w:pPr>
            <w:r>
              <w:rPr>
                <w:rFonts w:ascii="Arial" w:cs="Arial" w:eastAsia="Arial" w:hAnsi="Arial"/>
                <w:sz w:val="16"/>
                <w:szCs w:val="16"/>
                <w:b w:val="1"/>
                <w:bCs w:val="1"/>
                <w:color w:val="auto"/>
              </w:rPr>
              <w:t>Three Months Ended</w:t>
            </w: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33"/>
        </w:trPr>
        <w:tc>
          <w:tcPr>
            <w:tcW w:w="50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1460" w:type="dxa"/>
            <w:vAlign w:val="bottom"/>
          </w:tcPr>
          <w:p>
            <w:pPr>
              <w:spacing w:after="0"/>
              <w:rPr>
                <w:sz w:val="2"/>
                <w:szCs w:val="2"/>
                <w:color w:val="auto"/>
              </w:rPr>
            </w:pPr>
          </w:p>
        </w:tc>
      </w:tr>
      <w:tr>
        <w:trPr>
          <w:trHeight w:val="258"/>
        </w:trPr>
        <w:tc>
          <w:tcPr>
            <w:tcW w:w="508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140" w:type="dxa"/>
            <w:vAlign w:val="bottom"/>
          </w:tcPr>
          <w:p>
            <w:pPr>
              <w:spacing w:after="0"/>
              <w:rPr>
                <w:sz w:val="22"/>
                <w:szCs w:val="22"/>
                <w:color w:val="auto"/>
              </w:rPr>
            </w:pPr>
          </w:p>
        </w:tc>
        <w:tc>
          <w:tcPr>
            <w:tcW w:w="1420" w:type="dxa"/>
            <w:vAlign w:val="bottom"/>
            <w:gridSpan w:val="2"/>
          </w:tcPr>
          <w:p>
            <w:pPr>
              <w:ind w:left="60"/>
              <w:spacing w:after="0"/>
              <w:rPr>
                <w:sz w:val="20"/>
                <w:szCs w:val="20"/>
                <w:color w:val="auto"/>
              </w:rPr>
            </w:pPr>
            <w:r>
              <w:rPr>
                <w:rFonts w:ascii="Arial" w:cs="Arial" w:eastAsia="Arial" w:hAnsi="Arial"/>
                <w:sz w:val="16"/>
                <w:szCs w:val="16"/>
                <w:b w:val="1"/>
                <w:bCs w:val="1"/>
                <w:color w:val="auto"/>
              </w:rPr>
              <w:t>March 31, 2020</w:t>
            </w:r>
          </w:p>
        </w:tc>
        <w:tc>
          <w:tcPr>
            <w:tcW w:w="160" w:type="dxa"/>
            <w:vAlign w:val="bottom"/>
          </w:tcPr>
          <w:p>
            <w:pPr>
              <w:spacing w:after="0"/>
              <w:rPr>
                <w:sz w:val="22"/>
                <w:szCs w:val="22"/>
                <w:color w:val="auto"/>
              </w:rPr>
            </w:pPr>
          </w:p>
        </w:tc>
        <w:tc>
          <w:tcPr>
            <w:tcW w:w="1420" w:type="dxa"/>
            <w:vAlign w:val="bottom"/>
            <w:gridSpan w:val="2"/>
          </w:tcPr>
          <w:p>
            <w:pPr>
              <w:ind w:left="40"/>
              <w:spacing w:after="0"/>
              <w:rPr>
                <w:sz w:val="20"/>
                <w:szCs w:val="20"/>
                <w:color w:val="auto"/>
              </w:rPr>
            </w:pPr>
            <w:r>
              <w:rPr>
                <w:rFonts w:ascii="Arial" w:cs="Arial" w:eastAsia="Arial" w:hAnsi="Arial"/>
                <w:sz w:val="16"/>
                <w:szCs w:val="16"/>
                <w:b w:val="1"/>
                <w:bCs w:val="1"/>
                <w:color w:val="auto"/>
              </w:rPr>
              <w:t>March 31, 2019</w:t>
            </w:r>
          </w:p>
        </w:tc>
        <w:tc>
          <w:tcPr>
            <w:tcW w:w="280" w:type="dxa"/>
            <w:vAlign w:val="bottom"/>
          </w:tcPr>
          <w:p>
            <w:pPr>
              <w:spacing w:after="0"/>
              <w:rPr>
                <w:sz w:val="22"/>
                <w:szCs w:val="22"/>
                <w:color w:val="auto"/>
              </w:rPr>
            </w:pPr>
          </w:p>
        </w:tc>
        <w:tc>
          <w:tcPr>
            <w:tcW w:w="1280" w:type="dxa"/>
            <w:vAlign w:val="bottom"/>
            <w:gridSpan w:val="2"/>
          </w:tcPr>
          <w:p>
            <w:pPr>
              <w:ind w:left="180"/>
              <w:spacing w:after="0"/>
              <w:rPr>
                <w:sz w:val="20"/>
                <w:szCs w:val="20"/>
                <w:color w:val="auto"/>
              </w:rPr>
            </w:pPr>
            <w:r>
              <w:rPr>
                <w:rFonts w:ascii="Arial" w:cs="Arial" w:eastAsia="Arial" w:hAnsi="Arial"/>
                <w:sz w:val="16"/>
                <w:szCs w:val="16"/>
                <w:b w:val="1"/>
                <w:bCs w:val="1"/>
                <w:color w:val="auto"/>
              </w:rPr>
              <w:t>Change</w:t>
            </w:r>
          </w:p>
        </w:tc>
        <w:tc>
          <w:tcPr>
            <w:tcW w:w="1460" w:type="dxa"/>
            <w:vAlign w:val="bottom"/>
          </w:tcPr>
          <w:p>
            <w:pPr>
              <w:jc w:val="center"/>
              <w:spacing w:after="0"/>
              <w:rPr>
                <w:sz w:val="20"/>
                <w:szCs w:val="20"/>
                <w:color w:val="auto"/>
              </w:rPr>
            </w:pPr>
            <w:r>
              <w:rPr>
                <w:rFonts w:ascii="Arial" w:cs="Arial" w:eastAsia="Arial" w:hAnsi="Arial"/>
                <w:sz w:val="16"/>
                <w:szCs w:val="16"/>
                <w:b w:val="1"/>
                <w:bCs w:val="1"/>
                <w:color w:val="auto"/>
                <w:w w:val="95"/>
              </w:rPr>
              <w:t>% Change</w:t>
            </w:r>
          </w:p>
        </w:tc>
      </w:tr>
      <w:tr>
        <w:trPr>
          <w:trHeight w:val="249"/>
        </w:trPr>
        <w:tc>
          <w:tcPr>
            <w:tcW w:w="50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reimbursements</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345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291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6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18%</w:t>
            </w:r>
          </w:p>
        </w:tc>
      </w:tr>
      <w:tr>
        <w:trPr>
          <w:trHeight w:val="432"/>
        </w:trPr>
        <w:tc>
          <w:tcPr>
            <w:tcW w:w="5080" w:type="dxa"/>
            <w:vAlign w:val="bottom"/>
          </w:tcPr>
          <w:p>
            <w:pPr>
              <w:spacing w:after="0"/>
              <w:rPr>
                <w:sz w:val="20"/>
                <w:szCs w:val="20"/>
                <w:color w:val="auto"/>
              </w:rPr>
            </w:pPr>
            <w:r>
              <w:rPr>
                <w:rFonts w:ascii="Arial" w:cs="Arial" w:eastAsia="Arial" w:hAnsi="Arial"/>
                <w:sz w:val="18"/>
                <w:szCs w:val="18"/>
                <w:b w:val="1"/>
                <w:bCs w:val="1"/>
                <w:color w:val="auto"/>
              </w:rPr>
              <w:t>Other</w:t>
            </w: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324"/>
        </w:trPr>
        <w:tc>
          <w:tcPr>
            <w:tcW w:w="5080" w:type="dxa"/>
            <w:vAlign w:val="bottom"/>
          </w:tcPr>
          <w:p>
            <w:pPr>
              <w:ind w:left="660"/>
              <w:spacing w:after="0"/>
              <w:rPr>
                <w:sz w:val="20"/>
                <w:szCs w:val="20"/>
                <w:color w:val="auto"/>
              </w:rPr>
            </w:pPr>
            <w:r>
              <w:rPr>
                <w:rFonts w:ascii="Arial" w:cs="Arial" w:eastAsia="Arial" w:hAnsi="Arial"/>
                <w:sz w:val="18"/>
                <w:szCs w:val="18"/>
                <w:i w:val="1"/>
                <w:iCs w:val="1"/>
                <w:color w:val="auto"/>
              </w:rPr>
              <w:t>2020 First Quarter</w:t>
            </w: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372"/>
        </w:trPr>
        <w:tc>
          <w:tcPr>
            <w:tcW w:w="5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0" w:type="dxa"/>
            <w:vAlign w:val="bottom"/>
            <w:gridSpan w:val="5"/>
          </w:tcPr>
          <w:p>
            <w:pPr>
              <w:ind w:left="640"/>
              <w:spacing w:after="0"/>
              <w:rPr>
                <w:sz w:val="20"/>
                <w:szCs w:val="20"/>
                <w:color w:val="auto"/>
              </w:rPr>
            </w:pPr>
            <w:r>
              <w:rPr>
                <w:rFonts w:ascii="Arial" w:cs="Arial" w:eastAsia="Arial" w:hAnsi="Arial"/>
                <w:sz w:val="16"/>
                <w:szCs w:val="16"/>
                <w:b w:val="1"/>
                <w:bCs w:val="1"/>
                <w:color w:val="auto"/>
              </w:rPr>
              <w:t>Three Months Ended</w:t>
            </w: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33"/>
        </w:trPr>
        <w:tc>
          <w:tcPr>
            <w:tcW w:w="50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1460" w:type="dxa"/>
            <w:vAlign w:val="bottom"/>
          </w:tcPr>
          <w:p>
            <w:pPr>
              <w:spacing w:after="0"/>
              <w:rPr>
                <w:sz w:val="2"/>
                <w:szCs w:val="2"/>
                <w:color w:val="auto"/>
              </w:rPr>
            </w:pPr>
          </w:p>
        </w:tc>
      </w:tr>
      <w:tr>
        <w:trPr>
          <w:trHeight w:val="258"/>
        </w:trPr>
        <w:tc>
          <w:tcPr>
            <w:tcW w:w="50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14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March 31, 2020</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March 31, 2019</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ind w:left="180"/>
              <w:spacing w:after="0"/>
              <w:rPr>
                <w:sz w:val="20"/>
                <w:szCs w:val="20"/>
                <w:color w:val="auto"/>
              </w:rPr>
            </w:pPr>
            <w:r>
              <w:rPr>
                <w:rFonts w:ascii="Arial" w:cs="Arial" w:eastAsia="Arial" w:hAnsi="Arial"/>
                <w:sz w:val="16"/>
                <w:szCs w:val="16"/>
                <w:b w:val="1"/>
                <w:bCs w:val="1"/>
                <w:color w:val="auto"/>
              </w:rPr>
              <w:t>Change</w:t>
            </w:r>
          </w:p>
        </w:tc>
        <w:tc>
          <w:tcPr>
            <w:tcW w:w="100" w:type="dxa"/>
            <w:vAlign w:val="bottom"/>
            <w:tcBorders>
              <w:bottom w:val="single" w:sz="8" w:color="CCEEFF"/>
            </w:tcBorders>
          </w:tcPr>
          <w:p>
            <w:pPr>
              <w:spacing w:after="0"/>
              <w:rPr>
                <w:sz w:val="22"/>
                <w:szCs w:val="22"/>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5"/>
              </w:rPr>
              <w:t>% Change</w:t>
            </w:r>
          </w:p>
        </w:tc>
      </w:tr>
      <w:tr>
        <w:trPr>
          <w:trHeight w:val="243"/>
        </w:trPr>
        <w:tc>
          <w:tcPr>
            <w:tcW w:w="5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21"/>
                <w:szCs w:val="21"/>
                <w:color w:val="auto"/>
              </w:rPr>
            </w:pP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NM</w:t>
            </w:r>
          </w:p>
        </w:tc>
      </w:tr>
      <w:tr>
        <w:trPr>
          <w:trHeight w:val="27"/>
        </w:trPr>
        <w:tc>
          <w:tcPr>
            <w:tcW w:w="50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the first quarter of 2020, we incurred $3 million of other expenses associated with our capital efficient inventory arrangements.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240"/>
          </w:cols>
          <w:pgMar w:left="320" w:top="125" w:right="33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Gains / Losses and Other Income / Expense</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2020 First Quarter</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080" w:type="dxa"/>
            <w:vAlign w:val="bottom"/>
          </w:tcPr>
          <w:p>
            <w:pPr>
              <w:spacing w:after="0"/>
              <w:rPr>
                <w:sz w:val="18"/>
                <w:szCs w:val="18"/>
                <w:color w:val="auto"/>
              </w:rPr>
            </w:pPr>
          </w:p>
        </w:tc>
        <w:tc>
          <w:tcPr>
            <w:tcW w:w="3140" w:type="dxa"/>
            <w:vAlign w:val="bottom"/>
            <w:gridSpan w:val="6"/>
          </w:tcPr>
          <w:p>
            <w:pPr>
              <w:ind w:left="780"/>
              <w:spacing w:after="0"/>
              <w:rPr>
                <w:sz w:val="20"/>
                <w:szCs w:val="20"/>
                <w:color w:val="auto"/>
              </w:rPr>
            </w:pPr>
            <w:r>
              <w:rPr>
                <w:rFonts w:ascii="Arial" w:cs="Arial" w:eastAsia="Arial" w:hAnsi="Arial"/>
                <w:sz w:val="16"/>
                <w:szCs w:val="16"/>
                <w:b w:val="1"/>
                <w:bCs w:val="1"/>
                <w:color w:val="auto"/>
              </w:rPr>
              <w:t>Three Months Ended</w:t>
            </w:r>
          </w:p>
        </w:tc>
        <w:tc>
          <w:tcPr>
            <w:tcW w:w="1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33"/>
        </w:trPr>
        <w:tc>
          <w:tcPr>
            <w:tcW w:w="508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7"/>
        </w:trPr>
        <w:tc>
          <w:tcPr>
            <w:tcW w:w="508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1260" w:type="dxa"/>
            <w:vAlign w:val="bottom"/>
          </w:tcPr>
          <w:p>
            <w:pPr>
              <w:jc w:val="right"/>
              <w:spacing w:after="0"/>
              <w:rPr>
                <w:sz w:val="20"/>
                <w:szCs w:val="20"/>
                <w:color w:val="auto"/>
              </w:rPr>
            </w:pPr>
            <w:r>
              <w:rPr>
                <w:rFonts w:ascii="Arial" w:cs="Arial" w:eastAsia="Arial" w:hAnsi="Arial"/>
                <w:sz w:val="16"/>
                <w:szCs w:val="16"/>
                <w:b w:val="1"/>
                <w:bCs w:val="1"/>
                <w:color w:val="auto"/>
              </w:rPr>
              <w:t>March 31, 2020</w:t>
            </w: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20" w:type="dxa"/>
            <w:vAlign w:val="bottom"/>
            <w:gridSpan w:val="2"/>
          </w:tcPr>
          <w:p>
            <w:pPr>
              <w:ind w:left="40"/>
              <w:spacing w:after="0"/>
              <w:rPr>
                <w:sz w:val="20"/>
                <w:szCs w:val="20"/>
                <w:color w:val="auto"/>
              </w:rPr>
            </w:pPr>
            <w:r>
              <w:rPr>
                <w:rFonts w:ascii="Arial" w:cs="Arial" w:eastAsia="Arial" w:hAnsi="Arial"/>
                <w:sz w:val="16"/>
                <w:szCs w:val="16"/>
                <w:b w:val="1"/>
                <w:bCs w:val="1"/>
                <w:color w:val="auto"/>
              </w:rPr>
              <w:t>March 31, 2019</w:t>
            </w:r>
          </w:p>
        </w:tc>
        <w:tc>
          <w:tcPr>
            <w:tcW w:w="1100" w:type="dxa"/>
            <w:vAlign w:val="bottom"/>
          </w:tcPr>
          <w:p>
            <w:pPr>
              <w:jc w:val="right"/>
              <w:ind w:right="15"/>
              <w:spacing w:after="0"/>
              <w:rPr>
                <w:sz w:val="20"/>
                <w:szCs w:val="20"/>
                <w:color w:val="auto"/>
              </w:rPr>
            </w:pPr>
            <w:r>
              <w:rPr>
                <w:rFonts w:ascii="Arial" w:cs="Arial" w:eastAsia="Arial" w:hAnsi="Arial"/>
                <w:sz w:val="16"/>
                <w:szCs w:val="16"/>
                <w:b w:val="1"/>
                <w:bCs w:val="1"/>
                <w:color w:val="auto"/>
              </w:rPr>
              <w:t>Change</w:t>
            </w: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60" w:type="dxa"/>
            <w:vAlign w:val="bottom"/>
          </w:tcPr>
          <w:p>
            <w:pPr>
              <w:jc w:val="center"/>
              <w:spacing w:after="0"/>
              <w:rPr>
                <w:sz w:val="20"/>
                <w:szCs w:val="20"/>
                <w:color w:val="auto"/>
              </w:rPr>
            </w:pPr>
            <w:r>
              <w:rPr>
                <w:rFonts w:ascii="Arial" w:cs="Arial" w:eastAsia="Arial" w:hAnsi="Arial"/>
                <w:sz w:val="16"/>
                <w:szCs w:val="16"/>
                <w:b w:val="1"/>
                <w:bCs w:val="1"/>
                <w:color w:val="auto"/>
                <w:w w:val="95"/>
              </w:rPr>
              <w:t>% Change</w:t>
            </w:r>
          </w:p>
        </w:tc>
      </w:tr>
      <w:tr>
        <w:trPr>
          <w:trHeight w:val="243"/>
        </w:trPr>
        <w:tc>
          <w:tcPr>
            <w:tcW w:w="50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Gains and other income, net</w:t>
            </w:r>
          </w:p>
        </w:tc>
        <w:tc>
          <w:tcPr>
            <w:tcW w:w="1260" w:type="dxa"/>
            <w:vAlign w:val="bottom"/>
            <w:tcBorders>
              <w:top w:val="single" w:sz="8" w:color="auto"/>
            </w:tcBorders>
            <w:shd w:val="clear" w:color="auto" w:fill="CCEEFF"/>
          </w:tcPr>
          <w:p>
            <w:pPr>
              <w:jc w:val="right"/>
              <w:ind w:right="1076"/>
              <w:spacing w:after="0"/>
              <w:rPr>
                <w:sz w:val="20"/>
                <w:szCs w:val="20"/>
                <w:color w:val="auto"/>
              </w:rPr>
            </w:pPr>
            <w:r>
              <w:rPr>
                <w:rFonts w:ascii="Arial" w:cs="Arial" w:eastAsia="Arial" w:hAnsi="Arial"/>
                <w:sz w:val="18"/>
                <w:szCs w:val="18"/>
                <w:color w:val="auto"/>
                <w:w w:val="79"/>
              </w:rPr>
              <w:t>$</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1</w:t>
            </w:r>
          </w:p>
        </w:tc>
        <w:tc>
          <w:tcPr>
            <w:tcW w:w="10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9</w:t>
            </w:r>
          </w:p>
        </w:tc>
        <w:tc>
          <w:tcPr>
            <w:tcW w:w="120" w:type="dxa"/>
            <w:vAlign w:val="bottom"/>
            <w:tcBorders>
              <w:top w:val="single" w:sz="8" w:color="CCEEFF"/>
            </w:tcBorders>
            <w:shd w:val="clear" w:color="auto" w:fill="CCEEFF"/>
          </w:tcPr>
          <w:p>
            <w:pPr>
              <w:spacing w:after="0"/>
              <w:rPr>
                <w:sz w:val="21"/>
                <w:szCs w:val="21"/>
                <w:color w:val="auto"/>
              </w:rPr>
            </w:pPr>
          </w:p>
        </w:tc>
        <w:tc>
          <w:tcPr>
            <w:tcW w:w="1100" w:type="dxa"/>
            <w:vAlign w:val="bottom"/>
            <w:tcBorders>
              <w:top w:val="single" w:sz="8" w:color="auto"/>
            </w:tcBorders>
            <w:shd w:val="clear" w:color="auto" w:fill="CCEEFF"/>
          </w:tcPr>
          <w:p>
            <w:pPr>
              <w:jc w:val="right"/>
              <w:ind w:right="895"/>
              <w:spacing w:after="0"/>
              <w:rPr>
                <w:sz w:val="20"/>
                <w:szCs w:val="20"/>
                <w:color w:val="auto"/>
              </w:rPr>
            </w:pPr>
            <w:r>
              <w:rPr>
                <w:rFonts w:ascii="Arial" w:cs="Arial" w:eastAsia="Arial" w:hAnsi="Arial"/>
                <w:sz w:val="18"/>
                <w:szCs w:val="18"/>
                <w:color w:val="auto"/>
                <w:w w:val="99"/>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top w:val="single" w:sz="8" w:color="CCEEFF"/>
            </w:tcBorders>
            <w:shd w:val="clear" w:color="auto" w:fill="CCEEFF"/>
          </w:tcPr>
          <w:p>
            <w:pPr>
              <w:spacing w:after="0"/>
              <w:rPr>
                <w:sz w:val="21"/>
                <w:szCs w:val="21"/>
                <w:color w:val="auto"/>
              </w:rPr>
            </w:pPr>
          </w:p>
        </w:tc>
        <w:tc>
          <w:tcPr>
            <w:tcW w:w="1460" w:type="dxa"/>
            <w:vAlign w:val="bottom"/>
            <w:tcBorders>
              <w:top w:val="single" w:sz="8" w:color="auto"/>
            </w:tcBorders>
            <w:shd w:val="clear" w:color="auto" w:fill="CCEEFF"/>
          </w:tcPr>
          <w:p>
            <w:pPr>
              <w:jc w:val="right"/>
              <w:ind w:right="415"/>
              <w:spacing w:after="0"/>
              <w:rPr>
                <w:sz w:val="20"/>
                <w:szCs w:val="20"/>
                <w:color w:val="auto"/>
              </w:rPr>
            </w:pPr>
            <w:r>
              <w:rPr>
                <w:rFonts w:ascii="Arial" w:cs="Arial" w:eastAsia="Arial" w:hAnsi="Arial"/>
                <w:sz w:val="18"/>
                <w:szCs w:val="18"/>
                <w:color w:val="auto"/>
              </w:rPr>
              <w:t>(89%)</w:t>
            </w:r>
          </w:p>
        </w:tc>
      </w:tr>
      <w:tr>
        <w:trPr>
          <w:trHeight w:val="27"/>
        </w:trPr>
        <w:tc>
          <w:tcPr>
            <w:tcW w:w="508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In the first quarter of 2019, we recorded $9 million of gains and other income related to net insurance proceeds related to the settlement of Legacy-MVW business interruption insurance claims arising from prior year hurricanes.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Noncontrolling Interest</w:t>
      </w:r>
    </w:p>
    <w:p>
      <w:pPr>
        <w:spacing w:after="0" w:line="10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2020 First Quarter</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80" w:type="dxa"/>
            <w:vAlign w:val="bottom"/>
            <w:gridSpan w:val="4"/>
          </w:tcPr>
          <w:p>
            <w:pPr>
              <w:jc w:val="right"/>
              <w:ind w:right="279"/>
              <w:spacing w:after="0"/>
              <w:rPr>
                <w:sz w:val="20"/>
                <w:szCs w:val="20"/>
                <w:color w:val="auto"/>
              </w:rPr>
            </w:pPr>
            <w:r>
              <w:rPr>
                <w:rFonts w:ascii="Arial" w:cs="Arial" w:eastAsia="Arial" w:hAnsi="Arial"/>
                <w:sz w:val="16"/>
                <w:szCs w:val="16"/>
                <w:b w:val="1"/>
                <w:bCs w:val="1"/>
                <w:color w:val="auto"/>
              </w:rPr>
              <w:t>Three Months Ended</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gridSpan w:val="3"/>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7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240" w:type="dxa"/>
            <w:vAlign w:val="bottom"/>
            <w:tcBorders>
              <w:bottom w:val="single" w:sz="8" w:color="CCEEFF"/>
            </w:tcBorders>
          </w:tcPr>
          <w:p>
            <w:pPr>
              <w:spacing w:after="0"/>
              <w:rPr>
                <w:sz w:val="22"/>
                <w:szCs w:val="22"/>
                <w:color w:val="auto"/>
              </w:rPr>
            </w:pPr>
          </w:p>
        </w:tc>
        <w:tc>
          <w:tcPr>
            <w:tcW w:w="12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w w:val="98"/>
              </w:rPr>
              <w:t>March 31, 2020</w:t>
            </w: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w w:val="96"/>
              </w:rPr>
              <w:t>March 31, 2019</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gridSpan w:val="3"/>
          </w:tcPr>
          <w:p>
            <w:pPr>
              <w:jc w:val="right"/>
              <w:ind w:right="296"/>
              <w:spacing w:after="0"/>
              <w:rPr>
                <w:sz w:val="20"/>
                <w:szCs w:val="20"/>
                <w:color w:val="auto"/>
              </w:rPr>
            </w:pPr>
            <w:r>
              <w:rPr>
                <w:rFonts w:ascii="Arial" w:cs="Arial" w:eastAsia="Arial" w:hAnsi="Arial"/>
                <w:sz w:val="16"/>
                <w:szCs w:val="16"/>
                <w:b w:val="1"/>
                <w:bCs w:val="1"/>
                <w:color w:val="auto"/>
              </w:rPr>
              <w:t>Change</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gridSpan w:val="5"/>
          </w:tcPr>
          <w:p>
            <w:pPr>
              <w:jc w:val="right"/>
              <w:spacing w:after="0"/>
              <w:rPr>
                <w:sz w:val="20"/>
                <w:szCs w:val="20"/>
                <w:color w:val="auto"/>
              </w:rPr>
            </w:pPr>
            <w:r>
              <w:rPr>
                <w:rFonts w:ascii="Arial" w:cs="Arial" w:eastAsia="Arial" w:hAnsi="Arial"/>
                <w:sz w:val="16"/>
                <w:szCs w:val="16"/>
                <w:b w:val="1"/>
                <w:bCs w:val="1"/>
                <w:color w:val="auto"/>
              </w:rPr>
              <w:t>% Change</w:t>
            </w:r>
          </w:p>
        </w:tc>
        <w:tc>
          <w:tcPr>
            <w:tcW w:w="260" w:type="dxa"/>
            <w:vAlign w:val="bottom"/>
            <w:tcBorders>
              <w:bottom w:val="single" w:sz="8" w:color="auto"/>
            </w:tcBorders>
          </w:tcPr>
          <w:p>
            <w:pPr>
              <w:spacing w:after="0"/>
              <w:rPr>
                <w:sz w:val="22"/>
                <w:szCs w:val="22"/>
                <w:color w:val="auto"/>
              </w:rPr>
            </w:pPr>
          </w:p>
        </w:tc>
        <w:tc>
          <w:tcPr>
            <w:tcW w:w="10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Net loss attributable to noncontrolling interests</w:t>
            </w:r>
          </w:p>
        </w:tc>
        <w:tc>
          <w:tcPr>
            <w:tcW w:w="4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gridSpan w:val="2"/>
            <w:shd w:val="clear" w:color="auto" w:fill="CCEEFF"/>
          </w:tcPr>
          <w:p>
            <w:pPr>
              <w:jc w:val="right"/>
              <w:ind w:right="859"/>
              <w:spacing w:after="0"/>
              <w:rPr>
                <w:sz w:val="20"/>
                <w:szCs w:val="20"/>
                <w:color w:val="auto"/>
              </w:rPr>
            </w:pPr>
            <w:r>
              <w:rPr>
                <w:rFonts w:ascii="Arial" w:cs="Arial" w:eastAsia="Arial" w:hAnsi="Arial"/>
                <w:sz w:val="18"/>
                <w:szCs w:val="18"/>
                <w:color w:val="auto"/>
                <w:w w:val="79"/>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1</w:t>
            </w: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5"/>
            <w:shd w:val="clear" w:color="auto" w:fill="CCEEFF"/>
          </w:tcPr>
          <w:p>
            <w:pPr>
              <w:jc w:val="right"/>
              <w:ind w:right="10"/>
              <w:spacing w:after="0"/>
              <w:rPr>
                <w:sz w:val="20"/>
                <w:szCs w:val="20"/>
                <w:color w:val="auto"/>
              </w:rPr>
            </w:pPr>
            <w:r>
              <w:rPr>
                <w:rFonts w:ascii="Arial" w:cs="Arial" w:eastAsia="Arial" w:hAnsi="Arial"/>
                <w:sz w:val="18"/>
                <w:szCs w:val="18"/>
                <w:color w:val="auto"/>
              </w:rPr>
              <w:t>(100%)</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4740" w:type="dxa"/>
            <w:vAlign w:val="bottom"/>
            <w:gridSpan w:val="3"/>
          </w:tcPr>
          <w:p>
            <w:pPr>
              <w:spacing w:after="0"/>
              <w:rPr>
                <w:sz w:val="20"/>
                <w:szCs w:val="20"/>
                <w:color w:val="auto"/>
              </w:rPr>
            </w:pPr>
            <w:r>
              <w:rPr>
                <w:rFonts w:ascii="Arial" w:cs="Arial" w:eastAsia="Arial" w:hAnsi="Arial"/>
                <w:sz w:val="18"/>
                <w:szCs w:val="18"/>
                <w:b w:val="1"/>
                <w:bCs w:val="1"/>
                <w:color w:val="auto"/>
              </w:rPr>
              <w:t>Exchange &amp; Third-Party Management</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60" w:type="dxa"/>
            <w:vAlign w:val="bottom"/>
            <w:gridSpan w:val="9"/>
          </w:tcPr>
          <w:p>
            <w:pPr>
              <w:ind w:left="20"/>
              <w:spacing w:after="0"/>
              <w:rPr>
                <w:sz w:val="20"/>
                <w:szCs w:val="20"/>
                <w:color w:val="auto"/>
              </w:rPr>
            </w:pPr>
            <w:r>
              <w:rPr>
                <w:rFonts w:ascii="Arial" w:cs="Arial" w:eastAsia="Arial" w:hAnsi="Arial"/>
                <w:sz w:val="16"/>
                <w:szCs w:val="16"/>
                <w:b w:val="1"/>
                <w:bCs w:val="1"/>
                <w:color w:val="auto"/>
              </w:rPr>
              <w:t>Three Months Ended</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470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Borders>
              <w:bottom w:val="single" w:sz="8" w:color="auto"/>
            </w:tcBorders>
            <w:gridSpan w:val="4"/>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40" w:type="dxa"/>
            <w:vAlign w:val="bottom"/>
          </w:tcPr>
          <w:p>
            <w:pPr>
              <w:spacing w:after="0"/>
              <w:rPr>
                <w:sz w:val="22"/>
                <w:szCs w:val="22"/>
                <w:color w:val="auto"/>
              </w:rPr>
            </w:pPr>
          </w:p>
        </w:tc>
        <w:tc>
          <w:tcPr>
            <w:tcW w:w="470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2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560" w:type="dxa"/>
            <w:vAlign w:val="bottom"/>
            <w:gridSpan w:val="7"/>
          </w:tcPr>
          <w:p>
            <w:pPr>
              <w:ind w:left="180"/>
              <w:spacing w:after="0"/>
              <w:rPr>
                <w:sz w:val="20"/>
                <w:szCs w:val="20"/>
                <w:color w:val="auto"/>
              </w:rPr>
            </w:pPr>
            <w:r>
              <w:rPr>
                <w:rFonts w:ascii="Arial" w:cs="Arial" w:eastAsia="Arial" w:hAnsi="Arial"/>
                <w:sz w:val="16"/>
                <w:szCs w:val="16"/>
                <w:b w:val="1"/>
                <w:bCs w:val="1"/>
                <w:color w:val="auto"/>
              </w:rPr>
              <w:t>March 31, 2020</w:t>
            </w:r>
          </w:p>
        </w:tc>
        <w:tc>
          <w:tcPr>
            <w:tcW w:w="180" w:type="dxa"/>
            <w:vAlign w:val="bottom"/>
          </w:tcPr>
          <w:p>
            <w:pPr>
              <w:spacing w:after="0"/>
              <w:rPr>
                <w:sz w:val="22"/>
                <w:szCs w:val="22"/>
                <w:color w:val="auto"/>
              </w:rPr>
            </w:pPr>
          </w:p>
        </w:tc>
        <w:tc>
          <w:tcPr>
            <w:tcW w:w="1280" w:type="dxa"/>
            <w:vAlign w:val="bottom"/>
            <w:gridSpan w:val="3"/>
          </w:tcPr>
          <w:p>
            <w:pPr>
              <w:ind w:left="20"/>
              <w:spacing w:after="0"/>
              <w:rPr>
                <w:sz w:val="20"/>
                <w:szCs w:val="20"/>
                <w:color w:val="auto"/>
              </w:rPr>
            </w:pPr>
            <w:r>
              <w:rPr>
                <w:rFonts w:ascii="Arial" w:cs="Arial" w:eastAsia="Arial" w:hAnsi="Arial"/>
                <w:sz w:val="16"/>
                <w:szCs w:val="16"/>
                <w:b w:val="1"/>
                <w:bCs w:val="1"/>
                <w:color w:val="auto"/>
              </w:rPr>
              <w:t>March 31, 2019</w:t>
            </w:r>
          </w:p>
        </w:tc>
        <w:tc>
          <w:tcPr>
            <w:tcW w:w="0" w:type="dxa"/>
            <w:vAlign w:val="bottom"/>
          </w:tcPr>
          <w:p>
            <w:pPr>
              <w:spacing w:after="0"/>
              <w:rPr>
                <w:sz w:val="1"/>
                <w:szCs w:val="1"/>
                <w:color w:val="auto"/>
              </w:rPr>
            </w:pPr>
          </w:p>
        </w:tc>
      </w:tr>
      <w:tr>
        <w:trPr>
          <w:trHeight w:val="249"/>
        </w:trPr>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47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CCEEFF"/>
              <w:bottom w:val="single" w:sz="8" w:color="CCEEFF"/>
            </w:tcBorders>
            <w:shd w:val="clear" w:color="auto" w:fill="CCEEFF"/>
          </w:tcPr>
          <w:p>
            <w:pPr>
              <w:spacing w:after="0"/>
              <w:rPr>
                <w:sz w:val="21"/>
                <w:szCs w:val="21"/>
                <w:color w:val="auto"/>
              </w:rPr>
            </w:pPr>
          </w:p>
        </w:tc>
        <w:tc>
          <w:tcPr>
            <w:tcW w:w="104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0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6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700" w:type="dxa"/>
            <w:vAlign w:val="bottom"/>
            <w:gridSpan w:val="2"/>
          </w:tcPr>
          <w:p>
            <w:pPr>
              <w:ind w:left="240"/>
              <w:spacing w:after="0"/>
              <w:rPr>
                <w:sz w:val="20"/>
                <w:szCs w:val="20"/>
                <w:color w:val="auto"/>
              </w:rPr>
            </w:pPr>
            <w:r>
              <w:rPr>
                <w:rFonts w:ascii="Arial" w:cs="Arial" w:eastAsia="Arial" w:hAnsi="Arial"/>
                <w:sz w:val="18"/>
                <w:szCs w:val="18"/>
                <w:color w:val="auto"/>
              </w:rPr>
              <w:t>Management and exchange</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gridSpan w:val="3"/>
          </w:tcPr>
          <w:p>
            <w:pPr>
              <w:jc w:val="right"/>
              <w:ind w:right="456"/>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72</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82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70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70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Rental</w:t>
            </w:r>
          </w:p>
        </w:tc>
        <w:tc>
          <w:tcPr>
            <w:tcW w:w="2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700" w:type="dxa"/>
            <w:vAlign w:val="bottom"/>
            <w:gridSpan w:val="2"/>
          </w:tcPr>
          <w:p>
            <w:pPr>
              <w:ind w:left="240"/>
              <w:spacing w:after="0"/>
              <w:rPr>
                <w:sz w:val="20"/>
                <w:szCs w:val="20"/>
                <w:color w:val="auto"/>
              </w:rPr>
            </w:pPr>
            <w:r>
              <w:rPr>
                <w:rFonts w:ascii="Arial" w:cs="Arial" w:eastAsia="Arial" w:hAnsi="Arial"/>
                <w:sz w:val="18"/>
                <w:szCs w:val="18"/>
                <w:color w:val="auto"/>
              </w:rPr>
              <w:t>Financing</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70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470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Cost reimbursements</w:t>
            </w:r>
          </w:p>
        </w:tc>
        <w:tc>
          <w:tcPr>
            <w:tcW w:w="24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4700" w:type="dxa"/>
            <w:vAlign w:val="bottom"/>
            <w:gridSpan w:val="2"/>
          </w:tcPr>
          <w:p>
            <w:pPr>
              <w:ind w:left="460"/>
              <w:spacing w:after="0"/>
              <w:rPr>
                <w:sz w:val="20"/>
                <w:szCs w:val="20"/>
                <w:color w:val="auto"/>
              </w:rPr>
            </w:pPr>
            <w:r>
              <w:rPr>
                <w:rFonts w:ascii="Arial" w:cs="Arial" w:eastAsia="Arial" w:hAnsi="Arial"/>
                <w:sz w:val="18"/>
                <w:szCs w:val="18"/>
                <w:b w:val="1"/>
                <w:bCs w:val="1"/>
                <w:color w:val="auto"/>
              </w:rPr>
              <w:t>TOTAL REVENUES</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107</w:t>
            </w: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124</w:t>
            </w:r>
          </w:p>
        </w:tc>
        <w:tc>
          <w:tcPr>
            <w:tcW w:w="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4700" w:type="dxa"/>
            <w:vAlign w:val="bottom"/>
            <w:tcBorders>
              <w:bottom w:val="single" w:sz="8" w:color="CCEEFF"/>
            </w:tcBorders>
            <w:gridSpan w:val="2"/>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0" w:type="dxa"/>
            <w:vAlign w:val="bottom"/>
            <w:tcBorders>
              <w:bottom w:val="single" w:sz="8" w:color="CCEEFF"/>
            </w:tcBorders>
            <w:shd w:val="clear" w:color="auto" w:fill="CCEEFF"/>
          </w:tcPr>
          <w:p>
            <w:pPr>
              <w:spacing w:after="0"/>
              <w:rPr>
                <w:sz w:val="21"/>
                <w:szCs w:val="21"/>
                <w:color w:val="auto"/>
              </w:rPr>
            </w:pPr>
          </w:p>
        </w:tc>
        <w:tc>
          <w:tcPr>
            <w:tcW w:w="47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EXPENSES</w:t>
            </w:r>
          </w:p>
        </w:tc>
        <w:tc>
          <w:tcPr>
            <w:tcW w:w="2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700" w:type="dxa"/>
            <w:vAlign w:val="bottom"/>
            <w:gridSpan w:val="2"/>
          </w:tcPr>
          <w:p>
            <w:pPr>
              <w:ind w:left="240"/>
              <w:spacing w:after="0"/>
              <w:rPr>
                <w:sz w:val="20"/>
                <w:szCs w:val="20"/>
                <w:color w:val="auto"/>
              </w:rPr>
            </w:pPr>
            <w:r>
              <w:rPr>
                <w:rFonts w:ascii="Arial" w:cs="Arial" w:eastAsia="Arial" w:hAnsi="Arial"/>
                <w:sz w:val="18"/>
                <w:szCs w:val="18"/>
                <w:color w:val="auto"/>
              </w:rPr>
              <w:t>Marketing and sales</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70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70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Management and exchange</w:t>
            </w:r>
          </w:p>
        </w:tc>
        <w:tc>
          <w:tcPr>
            <w:tcW w:w="2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700" w:type="dxa"/>
            <w:vAlign w:val="bottom"/>
            <w:gridSpan w:val="2"/>
          </w:tcPr>
          <w:p>
            <w:pPr>
              <w:ind w:left="240"/>
              <w:spacing w:after="0"/>
              <w:rPr>
                <w:sz w:val="20"/>
                <w:szCs w:val="20"/>
                <w:color w:val="auto"/>
              </w:rPr>
            </w:pPr>
            <w:r>
              <w:rPr>
                <w:rFonts w:ascii="Arial" w:cs="Arial" w:eastAsia="Arial" w:hAnsi="Arial"/>
                <w:sz w:val="18"/>
                <w:szCs w:val="18"/>
                <w:color w:val="auto"/>
              </w:rPr>
              <w:t>Rental</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70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70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Financing</w:t>
            </w:r>
          </w:p>
        </w:tc>
        <w:tc>
          <w:tcPr>
            <w:tcW w:w="2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700" w:type="dxa"/>
            <w:vAlign w:val="bottom"/>
            <w:gridSpan w:val="2"/>
          </w:tcPr>
          <w:p>
            <w:pPr>
              <w:ind w:left="240"/>
              <w:spacing w:after="0"/>
              <w:rPr>
                <w:sz w:val="20"/>
                <w:szCs w:val="20"/>
                <w:color w:val="auto"/>
              </w:rPr>
            </w:pPr>
            <w:r>
              <w:rPr>
                <w:rFonts w:ascii="Arial" w:cs="Arial" w:eastAsia="Arial" w:hAnsi="Arial"/>
                <w:sz w:val="18"/>
                <w:szCs w:val="18"/>
                <w:color w:val="auto"/>
              </w:rPr>
              <w:t>Depreciation and amortization</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70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70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Impairment</w:t>
            </w:r>
          </w:p>
        </w:tc>
        <w:tc>
          <w:tcPr>
            <w:tcW w:w="2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700" w:type="dxa"/>
            <w:vAlign w:val="bottom"/>
            <w:gridSpan w:val="2"/>
          </w:tcPr>
          <w:p>
            <w:pPr>
              <w:ind w:left="240"/>
              <w:spacing w:after="0"/>
              <w:rPr>
                <w:sz w:val="20"/>
                <w:szCs w:val="20"/>
                <w:color w:val="auto"/>
              </w:rPr>
            </w:pPr>
            <w:r>
              <w:rPr>
                <w:rFonts w:ascii="Arial" w:cs="Arial" w:eastAsia="Arial" w:hAnsi="Arial"/>
                <w:sz w:val="18"/>
                <w:szCs w:val="18"/>
                <w:color w:val="auto"/>
              </w:rPr>
              <w:t>Cost reimbursements</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4700" w:type="dxa"/>
            <w:vAlign w:val="bottom"/>
            <w:tcBorders>
              <w:bottom w:val="single" w:sz="8" w:color="CCEEFF"/>
            </w:tcBorders>
            <w:gridSpan w:val="2"/>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40" w:type="dxa"/>
            <w:vAlign w:val="bottom"/>
            <w:tcBorders>
              <w:bottom w:val="single" w:sz="8" w:color="CCEEFF"/>
            </w:tcBorders>
            <w:shd w:val="clear" w:color="auto" w:fill="CCEEFF"/>
          </w:tcPr>
          <w:p>
            <w:pPr>
              <w:spacing w:after="0"/>
              <w:rPr>
                <w:sz w:val="22"/>
                <w:szCs w:val="22"/>
                <w:color w:val="auto"/>
              </w:rPr>
            </w:pPr>
          </w:p>
        </w:tc>
        <w:tc>
          <w:tcPr>
            <w:tcW w:w="470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8"/>
                <w:szCs w:val="18"/>
                <w:b w:val="1"/>
                <w:bCs w:val="1"/>
                <w:color w:val="auto"/>
              </w:rPr>
              <w:t>TOTAL EXPENSES</w:t>
            </w:r>
          </w:p>
        </w:tc>
        <w:tc>
          <w:tcPr>
            <w:tcW w:w="2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163</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4700" w:type="dxa"/>
            <w:vAlign w:val="bottom"/>
            <w:gridSpan w:val="2"/>
          </w:tcPr>
          <w:p>
            <w:pPr>
              <w:ind w:left="240"/>
              <w:spacing w:after="0"/>
              <w:rPr>
                <w:sz w:val="20"/>
                <w:szCs w:val="20"/>
                <w:color w:val="auto"/>
              </w:rPr>
            </w:pPr>
            <w:r>
              <w:rPr>
                <w:rFonts w:ascii="Arial" w:cs="Arial" w:eastAsia="Arial" w:hAnsi="Arial"/>
                <w:sz w:val="18"/>
                <w:szCs w:val="18"/>
                <w:color w:val="auto"/>
              </w:rPr>
              <w:t>Gains and other income, net</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1</w:t>
            </w: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6160" w:type="dxa"/>
            <w:vAlign w:val="bottom"/>
            <w:tcBorders>
              <w:bottom w:val="single" w:sz="8" w:color="CCEEFF"/>
            </w:tcBorders>
            <w:gridSpan w:val="5"/>
          </w:tcPr>
          <w:p>
            <w:pPr>
              <w:spacing w:after="0"/>
              <w:rPr>
                <w:sz w:val="2"/>
                <w:szCs w:val="2"/>
                <w:color w:val="auto"/>
              </w:rPr>
            </w:pPr>
          </w:p>
        </w:tc>
        <w:tc>
          <w:tcPr>
            <w:tcW w:w="120" w:type="dxa"/>
            <w:vAlign w:val="bottom"/>
            <w:tcBorders>
              <w:bottom w:val="single" w:sz="8" w:color="CCEEFF"/>
            </w:tcBorders>
            <w:gridSpan w:val="2"/>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shd w:val="clear" w:color="auto" w:fill="CCEEFF"/>
          </w:tcPr>
          <w:p>
            <w:pPr>
              <w:spacing w:after="0"/>
              <w:rPr>
                <w:sz w:val="22"/>
                <w:szCs w:val="22"/>
                <w:color w:val="auto"/>
              </w:rPr>
            </w:pPr>
          </w:p>
        </w:tc>
        <w:tc>
          <w:tcPr>
            <w:tcW w:w="7300" w:type="dxa"/>
            <w:vAlign w:val="bottom"/>
            <w:gridSpan w:val="8"/>
            <w:shd w:val="clear" w:color="auto" w:fill="CCEEFF"/>
          </w:tcPr>
          <w:p>
            <w:pPr>
              <w:spacing w:after="0"/>
              <w:rPr>
                <w:sz w:val="20"/>
                <w:szCs w:val="20"/>
                <w:color w:val="auto"/>
              </w:rPr>
            </w:pPr>
            <w:r>
              <w:rPr>
                <w:rFonts w:ascii="Arial" w:cs="Arial" w:eastAsia="Arial" w:hAnsi="Arial"/>
                <w:sz w:val="18"/>
                <w:szCs w:val="18"/>
                <w:b w:val="1"/>
                <w:bCs w:val="1"/>
                <w:color w:val="auto"/>
              </w:rPr>
              <w:t>SEGMENT FINANCIAL RESULTS ATTRIBUTABLE TO COMMON SHAREHOLDERS</w:t>
            </w:r>
          </w:p>
        </w:tc>
        <w:tc>
          <w:tcPr>
            <w:tcW w:w="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00" w:type="dxa"/>
            <w:vAlign w:val="bottom"/>
            <w:gridSpan w:val="3"/>
            <w:shd w:val="clear" w:color="auto" w:fill="CCEEFF"/>
          </w:tcPr>
          <w:p>
            <w:pPr>
              <w:jc w:val="right"/>
              <w:ind w:right="456"/>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bottom w:val="single" w:sz="8" w:color="CCEEFF"/>
            </w:tcBorders>
            <w:gridSpan w:val="3"/>
            <w:vMerge w:val="restart"/>
          </w:tcPr>
          <w:p>
            <w:pPr>
              <w:spacing w:after="0"/>
              <w:rPr>
                <w:sz w:val="20"/>
                <w:szCs w:val="20"/>
                <w:color w:val="auto"/>
              </w:rPr>
            </w:pPr>
            <w:r>
              <w:rPr>
                <w:rFonts w:ascii="Arial" w:cs="Arial" w:eastAsia="Arial" w:hAnsi="Arial"/>
                <w:sz w:val="18"/>
                <w:szCs w:val="18"/>
                <w:b w:val="1"/>
                <w:bCs w:val="1"/>
                <w:color w:val="auto"/>
              </w:rPr>
              <w:t>Management and Exchange Margin</w:t>
            </w:r>
          </w:p>
        </w:tc>
        <w:tc>
          <w:tcPr>
            <w:tcW w:w="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4740" w:type="dxa"/>
            <w:vAlign w:val="bottom"/>
            <w:gridSpan w:val="3"/>
            <w:vMerge w:val="continue"/>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0" w:type="dxa"/>
            <w:vAlign w:val="bottom"/>
          </w:tcPr>
          <w:p>
            <w:pPr>
              <w:spacing w:after="0"/>
              <w:rPr>
                <w:sz w:val="24"/>
                <w:szCs w:val="24"/>
                <w:color w:val="auto"/>
              </w:rPr>
            </w:pPr>
          </w:p>
        </w:tc>
        <w:tc>
          <w:tcPr>
            <w:tcW w:w="4700" w:type="dxa"/>
            <w:vAlign w:val="bottom"/>
            <w:gridSpan w:val="2"/>
          </w:tcPr>
          <w:p>
            <w:pPr>
              <w:ind w:left="620"/>
              <w:spacing w:after="0"/>
              <w:rPr>
                <w:sz w:val="20"/>
                <w:szCs w:val="20"/>
                <w:color w:val="auto"/>
              </w:rPr>
            </w:pPr>
            <w:r>
              <w:rPr>
                <w:rFonts w:ascii="Arial" w:cs="Arial" w:eastAsia="Arial" w:hAnsi="Arial"/>
                <w:sz w:val="18"/>
                <w:szCs w:val="18"/>
                <w:i w:val="1"/>
                <w:iCs w:val="1"/>
                <w:color w:val="auto"/>
              </w:rPr>
              <w:t>2020 First Quarter</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180" w:type="dxa"/>
            <w:vAlign w:val="bottom"/>
            <w:gridSpan w:val="4"/>
          </w:tcPr>
          <w:p>
            <w:pPr>
              <w:jc w:val="right"/>
              <w:ind w:right="199"/>
              <w:spacing w:after="0"/>
              <w:rPr>
                <w:sz w:val="20"/>
                <w:szCs w:val="20"/>
                <w:color w:val="auto"/>
              </w:rPr>
            </w:pPr>
            <w:r>
              <w:rPr>
                <w:rFonts w:ascii="Arial" w:cs="Arial" w:eastAsia="Arial" w:hAnsi="Arial"/>
                <w:sz w:val="16"/>
                <w:szCs w:val="16"/>
                <w:b w:val="1"/>
                <w:bCs w:val="1"/>
                <w:color w:val="auto"/>
              </w:rPr>
              <w:t>Three Months Ended</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4700" w:type="dxa"/>
            <w:vAlign w:val="bottom"/>
            <w:gridSpan w:val="2"/>
          </w:tcPr>
          <w:p>
            <w:pPr>
              <w:spacing w:after="0"/>
              <w:rPr>
                <w:sz w:val="2"/>
                <w:szCs w:val="2"/>
                <w:color w:val="auto"/>
              </w:rPr>
            </w:pPr>
          </w:p>
        </w:tc>
        <w:tc>
          <w:tcPr>
            <w:tcW w:w="1560" w:type="dxa"/>
            <w:vAlign w:val="bottom"/>
            <w:tcBorders>
              <w:bottom w:val="single" w:sz="8" w:color="auto"/>
            </w:tcBorders>
            <w:gridSpan w:val="4"/>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4"/>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gridSpan w:val="3"/>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gridSpan w:val="3"/>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40" w:type="dxa"/>
            <w:vAlign w:val="bottom"/>
          </w:tcPr>
          <w:p>
            <w:pPr>
              <w:spacing w:after="0"/>
              <w:rPr>
                <w:sz w:val="22"/>
                <w:szCs w:val="22"/>
                <w:color w:val="auto"/>
              </w:rPr>
            </w:pPr>
          </w:p>
        </w:tc>
        <w:tc>
          <w:tcPr>
            <w:tcW w:w="470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460" w:type="dxa"/>
            <w:vAlign w:val="bottom"/>
            <w:tcBorders>
              <w:bottom w:val="single" w:sz="8" w:color="auto"/>
            </w:tcBorders>
            <w:gridSpan w:val="3"/>
          </w:tcPr>
          <w:p>
            <w:pPr>
              <w:jc w:val="right"/>
              <w:ind w:right="113"/>
              <w:spacing w:after="0"/>
              <w:rPr>
                <w:sz w:val="20"/>
                <w:szCs w:val="20"/>
                <w:color w:val="auto"/>
              </w:rPr>
            </w:pPr>
            <w:r>
              <w:rPr>
                <w:rFonts w:ascii="Arial" w:cs="Arial" w:eastAsia="Arial" w:hAnsi="Arial"/>
                <w:sz w:val="16"/>
                <w:szCs w:val="16"/>
                <w:b w:val="1"/>
                <w:bCs w:val="1"/>
                <w:color w:val="auto"/>
              </w:rPr>
              <w:t>March 31, 2020</w:t>
            </w: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560" w:type="dxa"/>
            <w:vAlign w:val="bottom"/>
            <w:tcBorders>
              <w:bottom w:val="single" w:sz="8" w:color="auto"/>
            </w:tcBorders>
            <w:gridSpan w:val="4"/>
          </w:tcPr>
          <w:p>
            <w:pPr>
              <w:jc w:val="right"/>
              <w:ind w:right="240"/>
              <w:spacing w:after="0"/>
              <w:rPr>
                <w:sz w:val="20"/>
                <w:szCs w:val="20"/>
                <w:color w:val="auto"/>
              </w:rPr>
            </w:pPr>
            <w:r>
              <w:rPr>
                <w:rFonts w:ascii="Arial" w:cs="Arial" w:eastAsia="Arial" w:hAnsi="Arial"/>
                <w:sz w:val="16"/>
                <w:szCs w:val="16"/>
                <w:b w:val="1"/>
                <w:bCs w:val="1"/>
                <w:color w:val="auto"/>
              </w:rPr>
              <w:t>March 31, 2019</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gridSpan w:val="3"/>
          </w:tcPr>
          <w:p>
            <w:pPr>
              <w:jc w:val="center"/>
              <w:ind w:left="96"/>
              <w:spacing w:after="0"/>
              <w:rPr>
                <w:sz w:val="20"/>
                <w:szCs w:val="20"/>
                <w:color w:val="auto"/>
              </w:rPr>
            </w:pPr>
            <w:r>
              <w:rPr>
                <w:rFonts w:ascii="Arial" w:cs="Arial" w:eastAsia="Arial" w:hAnsi="Arial"/>
                <w:sz w:val="16"/>
                <w:szCs w:val="16"/>
                <w:b w:val="1"/>
                <w:bCs w:val="1"/>
                <w:color w:val="auto"/>
                <w:w w:val="91"/>
              </w:rPr>
              <w:t>Change</w:t>
            </w:r>
          </w:p>
        </w:tc>
        <w:tc>
          <w:tcPr>
            <w:tcW w:w="4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gridSpan w:val="2"/>
          </w:tcPr>
          <w:p>
            <w:pPr>
              <w:jc w:val="right"/>
              <w:ind w:right="330"/>
              <w:spacing w:after="0"/>
              <w:rPr>
                <w:sz w:val="20"/>
                <w:szCs w:val="20"/>
                <w:color w:val="auto"/>
              </w:rPr>
            </w:pPr>
            <w:r>
              <w:rPr>
                <w:rFonts w:ascii="Arial" w:cs="Arial" w:eastAsia="Arial" w:hAnsi="Arial"/>
                <w:sz w:val="16"/>
                <w:szCs w:val="16"/>
                <w:b w:val="1"/>
                <w:bCs w:val="1"/>
                <w:color w:val="auto"/>
              </w:rPr>
              <w:t>% Change</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9"/>
        </w:trPr>
        <w:tc>
          <w:tcPr>
            <w:tcW w:w="40" w:type="dxa"/>
            <w:vAlign w:val="bottom"/>
          </w:tcPr>
          <w:p>
            <w:pPr>
              <w:spacing w:after="0"/>
              <w:rPr>
                <w:sz w:val="21"/>
                <w:szCs w:val="21"/>
                <w:color w:val="auto"/>
              </w:rPr>
            </w:pPr>
          </w:p>
        </w:tc>
        <w:tc>
          <w:tcPr>
            <w:tcW w:w="47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Management and exchange revenue</w:t>
            </w:r>
          </w:p>
        </w:tc>
        <w:tc>
          <w:tcPr>
            <w:tcW w:w="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72</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839"/>
              <w:spacing w:after="0"/>
              <w:rPr>
                <w:sz w:val="20"/>
                <w:szCs w:val="20"/>
                <w:color w:val="auto"/>
              </w:rPr>
            </w:pPr>
            <w:r>
              <w:rPr>
                <w:rFonts w:ascii="Arial" w:cs="Arial" w:eastAsia="Arial" w:hAnsi="Arial"/>
                <w:sz w:val="18"/>
                <w:szCs w:val="18"/>
                <w:color w:val="auto"/>
                <w:w w:val="99"/>
              </w:rPr>
              <w:t>$</w:t>
            </w:r>
          </w:p>
        </w:tc>
        <w:tc>
          <w:tcPr>
            <w:tcW w:w="1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center"/>
              <w:ind w:right="210"/>
              <w:spacing w:after="0"/>
              <w:rPr>
                <w:sz w:val="20"/>
                <w:szCs w:val="20"/>
                <w:color w:val="auto"/>
              </w:rPr>
            </w:pPr>
            <w:r>
              <w:rPr>
                <w:rFonts w:ascii="Arial" w:cs="Arial" w:eastAsia="Arial" w:hAnsi="Arial"/>
                <w:sz w:val="18"/>
                <w:szCs w:val="18"/>
                <w:color w:val="auto"/>
                <w:w w:val="91"/>
              </w:rPr>
              <w:t>(13%)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700" w:type="dxa"/>
            <w:vAlign w:val="bottom"/>
            <w:gridSpan w:val="2"/>
          </w:tcPr>
          <w:p>
            <w:pPr>
              <w:ind w:left="20"/>
              <w:spacing w:after="0"/>
              <w:rPr>
                <w:sz w:val="20"/>
                <w:szCs w:val="20"/>
                <w:color w:val="auto"/>
              </w:rPr>
            </w:pPr>
            <w:r>
              <w:rPr>
                <w:rFonts w:ascii="Arial" w:cs="Arial" w:eastAsia="Arial" w:hAnsi="Arial"/>
                <w:sz w:val="18"/>
                <w:szCs w:val="18"/>
                <w:color w:val="auto"/>
              </w:rPr>
              <w:t>Management and exchange expense</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w w:val="93"/>
              </w:rPr>
              <w:t>(26)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gridSpan w:val="2"/>
          </w:tcPr>
          <w:p>
            <w:pPr>
              <w:jc w:val="center"/>
              <w:ind w:right="210"/>
              <w:spacing w:after="0"/>
              <w:rPr>
                <w:sz w:val="20"/>
                <w:szCs w:val="20"/>
                <w:color w:val="auto"/>
              </w:rPr>
            </w:pPr>
            <w:r>
              <w:rPr>
                <w:rFonts w:ascii="Arial" w:cs="Arial" w:eastAsia="Arial" w:hAnsi="Arial"/>
                <w:sz w:val="18"/>
                <w:szCs w:val="18"/>
                <w:color w:val="auto"/>
                <w:w w:val="94"/>
              </w:rPr>
              <w:t>(4%)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700" w:type="dxa"/>
            <w:vAlign w:val="bottom"/>
            <w:tcBorders>
              <w:bottom w:val="single" w:sz="8" w:color="CCEEFF"/>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gridSpan w:val="2"/>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4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Management and exchange margin</w:t>
            </w:r>
          </w:p>
        </w:tc>
        <w:tc>
          <w:tcPr>
            <w:tcW w:w="2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18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839"/>
              <w:spacing w:after="0"/>
              <w:rPr>
                <w:sz w:val="20"/>
                <w:szCs w:val="20"/>
                <w:color w:val="auto"/>
              </w:rPr>
            </w:pPr>
            <w:r>
              <w:rPr>
                <w:rFonts w:ascii="Arial" w:cs="Arial" w:eastAsia="Arial" w:hAnsi="Arial"/>
                <w:sz w:val="18"/>
                <w:szCs w:val="18"/>
                <w:color w:val="auto"/>
                <w:w w:val="99"/>
              </w:rPr>
              <w:t>$</w:t>
            </w:r>
          </w:p>
        </w:tc>
        <w:tc>
          <w:tcPr>
            <w:tcW w:w="180" w:type="dxa"/>
            <w:vAlign w:val="bottom"/>
            <w:shd w:val="clear" w:color="auto" w:fill="CCEEFF"/>
          </w:tcPr>
          <w:p>
            <w:pPr>
              <w:spacing w:after="0"/>
              <w:rPr>
                <w:sz w:val="22"/>
                <w:szCs w:val="22"/>
                <w:color w:val="auto"/>
              </w:rPr>
            </w:pP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center"/>
              <w:ind w:right="210"/>
              <w:spacing w:after="0"/>
              <w:rPr>
                <w:sz w:val="20"/>
                <w:szCs w:val="20"/>
                <w:color w:val="auto"/>
              </w:rPr>
            </w:pPr>
            <w:r>
              <w:rPr>
                <w:rFonts w:ascii="Arial" w:cs="Arial" w:eastAsia="Arial" w:hAnsi="Arial"/>
                <w:sz w:val="18"/>
                <w:szCs w:val="18"/>
                <w:color w:val="auto"/>
                <w:w w:val="91"/>
              </w:rPr>
              <w:t>(21%)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70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8"/>
                <w:szCs w:val="18"/>
                <w:color w:val="auto"/>
              </w:rPr>
              <w:t>Management and exchange margin percentage</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gridSpan w:val="3"/>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0" w:type="dxa"/>
            <w:vAlign w:val="bottom"/>
          </w:tcPr>
          <w:p>
            <w:pPr>
              <w:spacing w:after="0"/>
              <w:rPr>
                <w:sz w:val="20"/>
                <w:szCs w:val="20"/>
                <w:color w:val="auto"/>
              </w:rPr>
            </w:pPr>
          </w:p>
        </w:tc>
        <w:tc>
          <w:tcPr>
            <w:tcW w:w="4700" w:type="dxa"/>
            <w:vAlign w:val="bottom"/>
            <w:gridSpan w:val="2"/>
            <w:vMerge w:val="continue"/>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jc w:val="right"/>
              <w:ind w:right="413"/>
              <w:spacing w:after="0"/>
              <w:rPr>
                <w:sz w:val="20"/>
                <w:szCs w:val="20"/>
                <w:color w:val="auto"/>
              </w:rPr>
            </w:pPr>
            <w:r>
              <w:rPr>
                <w:rFonts w:ascii="Arial" w:cs="Arial" w:eastAsia="Arial" w:hAnsi="Arial"/>
                <w:sz w:val="18"/>
                <w:szCs w:val="18"/>
                <w:color w:val="auto"/>
              </w:rPr>
              <w:t>62.6%</w:t>
            </w:r>
          </w:p>
        </w:tc>
        <w:tc>
          <w:tcPr>
            <w:tcW w:w="10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68.7%</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gridSpan w:val="3"/>
          </w:tcPr>
          <w:p>
            <w:pPr>
              <w:jc w:val="center"/>
              <w:ind w:left="76"/>
              <w:spacing w:after="0"/>
              <w:rPr>
                <w:sz w:val="20"/>
                <w:szCs w:val="20"/>
                <w:color w:val="auto"/>
              </w:rPr>
            </w:pPr>
            <w:r>
              <w:rPr>
                <w:rFonts w:ascii="Arial" w:cs="Arial" w:eastAsia="Arial" w:hAnsi="Arial"/>
                <w:sz w:val="18"/>
                <w:szCs w:val="18"/>
                <w:color w:val="auto"/>
                <w:w w:val="90"/>
              </w:rPr>
              <w:t>(6.1 pts)</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The decline in management and exchange margin reflects lower exchange activity and lower average exchange transaction fees primarily driven by the impact of the COVID-19 pandemic.</w:t>
      </w:r>
    </w:p>
    <w:p>
      <w:pPr>
        <w:sectPr>
          <w:pgSz w:w="11900" w:h="16838" w:orient="portrait"/>
          <w:cols w:equalWidth="0" w:num="1">
            <w:col w:w="11240"/>
          </w:cols>
          <w:pgMar w:left="320" w:top="125" w:right="339" w:bottom="1440" w:gutter="0" w:footer="0" w:header="0"/>
        </w:sectPr>
      </w:pP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49</w:t>
      </w:r>
    </w:p>
    <w:p>
      <w:pPr>
        <w:sectPr>
          <w:pgSz w:w="11900" w:h="16838" w:orient="portrait"/>
          <w:cols w:equalWidth="0" w:num="1">
            <w:col w:w="11240"/>
          </w:cols>
          <w:pgMar w:left="320" w:top="125" w:right="339" w:bottom="1440" w:gutter="0" w:footer="0" w:header="0"/>
          <w:type w:val="continuous"/>
        </w:sectPr>
      </w:pPr>
    </w:p>
    <w:bookmarkStart w:id="52" w:name="page53"/>
    <w:bookmarkEnd w:id="5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Rental Revenues, Expenses and Margin</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2020 First Quarter</w:t>
      </w:r>
    </w:p>
    <w:p>
      <w:pPr>
        <w:spacing w:after="0" w:line="185"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4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80" w:type="dxa"/>
            <w:vAlign w:val="bottom"/>
            <w:gridSpan w:val="5"/>
          </w:tcPr>
          <w:p>
            <w:pPr>
              <w:ind w:left="680"/>
              <w:spacing w:after="0"/>
              <w:rPr>
                <w:sz w:val="20"/>
                <w:szCs w:val="20"/>
                <w:color w:val="auto"/>
              </w:rPr>
            </w:pPr>
            <w:r>
              <w:rPr>
                <w:rFonts w:ascii="Arial" w:cs="Arial" w:eastAsia="Arial" w:hAnsi="Arial"/>
                <w:sz w:val="16"/>
                <w:szCs w:val="16"/>
                <w:b w:val="1"/>
                <w:bCs w:val="1"/>
                <w:color w:val="auto"/>
              </w:rPr>
              <w:t>Three Months Ended</w:t>
            </w: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47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13"/>
              <w:spacing w:after="0"/>
              <w:rPr>
                <w:sz w:val="20"/>
                <w:szCs w:val="20"/>
                <w:color w:val="auto"/>
              </w:rPr>
            </w:pPr>
            <w:r>
              <w:rPr>
                <w:rFonts w:ascii="Arial" w:cs="Arial" w:eastAsia="Arial" w:hAnsi="Arial"/>
                <w:sz w:val="16"/>
                <w:szCs w:val="16"/>
                <w:b w:val="1"/>
                <w:bCs w:val="1"/>
                <w:color w:val="auto"/>
                <w:w w:val="94"/>
              </w:rPr>
              <w:t>March 31, 2020</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152"/>
              <w:spacing w:after="0"/>
              <w:rPr>
                <w:sz w:val="20"/>
                <w:szCs w:val="20"/>
                <w:color w:val="auto"/>
              </w:rPr>
            </w:pPr>
            <w:r>
              <w:rPr>
                <w:rFonts w:ascii="Arial" w:cs="Arial" w:eastAsia="Arial" w:hAnsi="Arial"/>
                <w:sz w:val="16"/>
                <w:szCs w:val="16"/>
                <w:b w:val="1"/>
                <w:bCs w:val="1"/>
                <w:color w:val="auto"/>
                <w:w w:val="98"/>
              </w:rPr>
              <w:t>March 31, 2019</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432"/>
              <w:spacing w:after="0"/>
              <w:rPr>
                <w:sz w:val="20"/>
                <w:szCs w:val="20"/>
                <w:color w:val="auto"/>
              </w:rPr>
            </w:pPr>
            <w:r>
              <w:rPr>
                <w:rFonts w:ascii="Arial" w:cs="Arial" w:eastAsia="Arial" w:hAnsi="Arial"/>
                <w:sz w:val="16"/>
                <w:szCs w:val="16"/>
                <w:b w:val="1"/>
                <w:bCs w:val="1"/>
                <w:color w:val="auto"/>
              </w:rPr>
              <w:t>Change</w:t>
            </w:r>
          </w:p>
        </w:tc>
        <w:tc>
          <w:tcPr>
            <w:tcW w:w="100" w:type="dxa"/>
            <w:vAlign w:val="bottom"/>
            <w:tcBorders>
              <w:bottom w:val="single" w:sz="8" w:color="CCEEFF"/>
            </w:tcBorders>
          </w:tcPr>
          <w:p>
            <w:pPr>
              <w:spacing w:after="0"/>
              <w:rPr>
                <w:sz w:val="22"/>
                <w:szCs w:val="22"/>
                <w:color w:val="auto"/>
              </w:rPr>
            </w:pPr>
          </w:p>
        </w:tc>
        <w:tc>
          <w:tcPr>
            <w:tcW w:w="1560" w:type="dxa"/>
            <w:vAlign w:val="bottom"/>
            <w:tcBorders>
              <w:bottom w:val="single" w:sz="8" w:color="auto"/>
            </w:tcBorders>
          </w:tcPr>
          <w:p>
            <w:pPr>
              <w:ind w:left="420"/>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49"/>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Rental revenues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66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1"/>
              </w:rPr>
              <w:t>(26%)</w:t>
            </w:r>
          </w:p>
        </w:tc>
        <w:tc>
          <w:tcPr>
            <w:tcW w:w="0" w:type="dxa"/>
            <w:vAlign w:val="bottom"/>
          </w:tcPr>
          <w:p>
            <w:pPr>
              <w:spacing w:after="0"/>
              <w:rPr>
                <w:sz w:val="1"/>
                <w:szCs w:val="1"/>
                <w:color w:val="auto"/>
              </w:rPr>
            </w:pPr>
          </w:p>
        </w:tc>
      </w:tr>
      <w:tr>
        <w:trPr>
          <w:trHeight w:val="243"/>
        </w:trPr>
        <w:tc>
          <w:tcPr>
            <w:tcW w:w="4700" w:type="dxa"/>
            <w:vAlign w:val="bottom"/>
          </w:tcPr>
          <w:p>
            <w:pPr>
              <w:ind w:left="20"/>
              <w:spacing w:after="0"/>
              <w:rPr>
                <w:sz w:val="20"/>
                <w:szCs w:val="20"/>
                <w:color w:val="auto"/>
              </w:rPr>
            </w:pPr>
            <w:r>
              <w:rPr>
                <w:rFonts w:ascii="Arial" w:cs="Arial" w:eastAsia="Arial" w:hAnsi="Arial"/>
                <w:sz w:val="18"/>
                <w:szCs w:val="18"/>
                <w:color w:val="auto"/>
              </w:rPr>
              <w:t>Rental expenses</w:t>
            </w: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3</w:t>
            </w:r>
          </w:p>
        </w:tc>
        <w:tc>
          <w:tcPr>
            <w:tcW w:w="1660" w:type="dxa"/>
            <w:vAlign w:val="bottom"/>
            <w:gridSpan w:val="2"/>
          </w:tcPr>
          <w:p>
            <w:pPr>
              <w:jc w:val="center"/>
              <w:ind w:left="10"/>
              <w:spacing w:after="0"/>
              <w:rPr>
                <w:sz w:val="20"/>
                <w:szCs w:val="20"/>
                <w:color w:val="auto"/>
              </w:rPr>
            </w:pPr>
            <w:r>
              <w:rPr>
                <w:rFonts w:ascii="Arial" w:cs="Arial" w:eastAsia="Arial" w:hAnsi="Arial"/>
                <w:sz w:val="18"/>
                <w:szCs w:val="18"/>
                <w:color w:val="auto"/>
                <w:w w:val="88"/>
              </w:rPr>
              <w:t>49%</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Rental margin</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66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4"/>
              </w:rPr>
              <w:t>(4%)</w:t>
            </w:r>
          </w:p>
        </w:tc>
        <w:tc>
          <w:tcPr>
            <w:tcW w:w="0" w:type="dxa"/>
            <w:vAlign w:val="bottom"/>
          </w:tcPr>
          <w:p>
            <w:pPr>
              <w:spacing w:after="0"/>
              <w:rPr>
                <w:sz w:val="1"/>
                <w:szCs w:val="1"/>
                <w:color w:val="auto"/>
              </w:rPr>
            </w:pPr>
          </w:p>
        </w:tc>
      </w:tr>
      <w:tr>
        <w:trPr>
          <w:trHeight w:val="20"/>
        </w:trPr>
        <w:tc>
          <w:tcPr>
            <w:tcW w:w="4700" w:type="dxa"/>
            <w:vAlign w:val="bottom"/>
            <w:vMerge w:val="restart"/>
          </w:tcPr>
          <w:p>
            <w:pPr>
              <w:ind w:left="20"/>
              <w:spacing w:after="0"/>
              <w:rPr>
                <w:sz w:val="20"/>
                <w:szCs w:val="20"/>
                <w:color w:val="auto"/>
              </w:rPr>
            </w:pPr>
            <w:r>
              <w:rPr>
                <w:rFonts w:ascii="Arial" w:cs="Arial" w:eastAsia="Arial" w:hAnsi="Arial"/>
                <w:sz w:val="18"/>
                <w:szCs w:val="18"/>
                <w:color w:val="auto"/>
              </w:rPr>
              <w:t>Rental margin percentage</w:t>
            </w: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70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413"/>
              <w:spacing w:after="0"/>
              <w:rPr>
                <w:sz w:val="20"/>
                <w:szCs w:val="20"/>
                <w:color w:val="auto"/>
              </w:rPr>
            </w:pPr>
            <w:r>
              <w:rPr>
                <w:rFonts w:ascii="Arial" w:cs="Arial" w:eastAsia="Arial" w:hAnsi="Arial"/>
                <w:sz w:val="18"/>
                <w:szCs w:val="18"/>
                <w:color w:val="auto"/>
              </w:rPr>
              <w:t>65.8%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jc w:val="right"/>
              <w:ind w:right="472"/>
              <w:spacing w:after="0"/>
              <w:rPr>
                <w:sz w:val="20"/>
                <w:szCs w:val="20"/>
                <w:color w:val="auto"/>
              </w:rPr>
            </w:pPr>
            <w:r>
              <w:rPr>
                <w:rFonts w:ascii="Arial" w:cs="Arial" w:eastAsia="Arial" w:hAnsi="Arial"/>
                <w:sz w:val="18"/>
                <w:szCs w:val="18"/>
                <w:color w:val="auto"/>
              </w:rPr>
              <w:t>50.6%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jc w:val="right"/>
              <w:ind w:right="412"/>
              <w:spacing w:after="0"/>
              <w:rPr>
                <w:sz w:val="20"/>
                <w:szCs w:val="20"/>
                <w:color w:val="auto"/>
              </w:rPr>
            </w:pPr>
            <w:r>
              <w:rPr>
                <w:rFonts w:ascii="Arial" w:cs="Arial" w:eastAsia="Arial" w:hAnsi="Arial"/>
                <w:sz w:val="18"/>
                <w:szCs w:val="18"/>
                <w:color w:val="auto"/>
              </w:rPr>
              <w:t>15.2 pts</w:t>
            </w: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ind w:right="80" w:firstLine="648"/>
        <w:spacing w:after="0" w:line="308" w:lineRule="auto"/>
        <w:rPr>
          <w:sz w:val="20"/>
          <w:szCs w:val="20"/>
          <w:color w:val="auto"/>
        </w:rPr>
      </w:pPr>
      <w:r>
        <w:rPr>
          <w:rFonts w:ascii="Arial" w:cs="Arial" w:eastAsia="Arial" w:hAnsi="Arial"/>
          <w:sz w:val="17"/>
          <w:szCs w:val="17"/>
          <w:color w:val="auto"/>
        </w:rPr>
        <w:t>The decline in rental revenue reflects lower Getaway program transactions and lower average Getaway program transaction fees driven by supply challenges in certain markets and fewer bookings into purchased inventory as well as the impact of the COVID-19 pandemic.</w:t>
      </w:r>
    </w:p>
    <w:p>
      <w:pPr>
        <w:spacing w:after="0" w:line="38" w:lineRule="exact"/>
        <w:rPr>
          <w:sz w:val="20"/>
          <w:szCs w:val="20"/>
          <w:color w:val="auto"/>
        </w:rPr>
      </w:pPr>
    </w:p>
    <w:p>
      <w:pPr>
        <w:ind w:right="520" w:firstLine="648"/>
        <w:spacing w:after="0" w:line="308" w:lineRule="auto"/>
        <w:rPr>
          <w:sz w:val="20"/>
          <w:szCs w:val="20"/>
          <w:color w:val="auto"/>
        </w:rPr>
      </w:pPr>
      <w:r>
        <w:rPr>
          <w:rFonts w:ascii="Arial" w:cs="Arial" w:eastAsia="Arial" w:hAnsi="Arial"/>
          <w:sz w:val="17"/>
          <w:szCs w:val="17"/>
          <w:color w:val="auto"/>
        </w:rPr>
        <w:t>The decline in rental margin reflects the declines in rental revenue offset by a reduction in space procurement costs resulting from the fewer bookings into purchased inventory and adjustments for cancellations and from resorts unavailable due to the COVID-19 pandemic.</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2020 First Quarter</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0" w:type="dxa"/>
            <w:vAlign w:val="bottom"/>
            <w:gridSpan w:val="5"/>
          </w:tcPr>
          <w:p>
            <w:pPr>
              <w:ind w:left="640"/>
              <w:spacing w:after="0"/>
              <w:rPr>
                <w:sz w:val="20"/>
                <w:szCs w:val="20"/>
                <w:color w:val="auto"/>
              </w:rPr>
            </w:pPr>
            <w:r>
              <w:rPr>
                <w:rFonts w:ascii="Arial" w:cs="Arial" w:eastAsia="Arial" w:hAnsi="Arial"/>
                <w:sz w:val="16"/>
                <w:szCs w:val="16"/>
                <w:b w:val="1"/>
                <w:bCs w:val="1"/>
                <w:color w:val="auto"/>
              </w:rPr>
              <w:t>Three Months Ended</w:t>
            </w:r>
          </w:p>
        </w:tc>
        <w:tc>
          <w:tcPr>
            <w:tcW w:w="10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33"/>
        </w:trPr>
        <w:tc>
          <w:tcPr>
            <w:tcW w:w="50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8"/>
        </w:trPr>
        <w:tc>
          <w:tcPr>
            <w:tcW w:w="50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14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116"/>
              <w:spacing w:after="0"/>
              <w:rPr>
                <w:sz w:val="20"/>
                <w:szCs w:val="20"/>
                <w:color w:val="auto"/>
              </w:rPr>
            </w:pPr>
            <w:r>
              <w:rPr>
                <w:rFonts w:ascii="Arial" w:cs="Arial" w:eastAsia="Arial" w:hAnsi="Arial"/>
                <w:sz w:val="16"/>
                <w:szCs w:val="16"/>
                <w:b w:val="1"/>
                <w:bCs w:val="1"/>
                <w:color w:val="auto"/>
                <w:w w:val="96"/>
              </w:rPr>
              <w:t>March 31, 2020</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March 31, 2019</w:t>
            </w:r>
          </w:p>
        </w:tc>
        <w:tc>
          <w:tcPr>
            <w:tcW w:w="120" w:type="dxa"/>
            <w:vAlign w:val="bottom"/>
            <w:tcBorders>
              <w:bottom w:val="single" w:sz="8" w:color="CCEEFF"/>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Change</w:t>
            </w:r>
          </w:p>
        </w:tc>
        <w:tc>
          <w:tcPr>
            <w:tcW w:w="3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5"/>
              </w:rPr>
              <w:t>% Change</w:t>
            </w:r>
          </w:p>
        </w:tc>
      </w:tr>
      <w:tr>
        <w:trPr>
          <w:trHeight w:val="243"/>
        </w:trPr>
        <w:tc>
          <w:tcPr>
            <w:tcW w:w="5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Impairment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91</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875"/>
              <w:spacing w:after="0"/>
              <w:rPr>
                <w:sz w:val="20"/>
                <w:szCs w:val="20"/>
                <w:color w:val="auto"/>
              </w:rPr>
            </w:pPr>
            <w:r>
              <w:rPr>
                <w:rFonts w:ascii="Arial" w:cs="Arial" w:eastAsia="Arial" w:hAnsi="Arial"/>
                <w:sz w:val="18"/>
                <w:szCs w:val="18"/>
                <w:color w:val="auto"/>
                <w:w w:val="99"/>
              </w:rPr>
              <w:t>$</w:t>
            </w:r>
          </w:p>
        </w:tc>
        <w:tc>
          <w:tcPr>
            <w:tcW w:w="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91</w:t>
            </w:r>
          </w:p>
        </w:tc>
        <w:tc>
          <w:tcPr>
            <w:tcW w:w="100" w:type="dxa"/>
            <w:vAlign w:val="bottom"/>
            <w:shd w:val="clear" w:color="auto" w:fill="CCEEFF"/>
          </w:tcPr>
          <w:p>
            <w:pPr>
              <w:spacing w:after="0"/>
              <w:rPr>
                <w:sz w:val="21"/>
                <w:szCs w:val="21"/>
                <w:color w:val="auto"/>
              </w:rPr>
            </w:pP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NM</w:t>
            </w:r>
          </w:p>
        </w:tc>
      </w:tr>
      <w:tr>
        <w:trPr>
          <w:trHeight w:val="27"/>
        </w:trPr>
        <w:tc>
          <w:tcPr>
            <w:tcW w:w="50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right="260" w:firstLine="648"/>
        <w:spacing w:after="0" w:line="342" w:lineRule="auto"/>
        <w:rPr>
          <w:sz w:val="20"/>
          <w:szCs w:val="20"/>
          <w:color w:val="auto"/>
        </w:rPr>
      </w:pPr>
      <w:r>
        <w:rPr>
          <w:rFonts w:ascii="Arial" w:cs="Arial" w:eastAsia="Arial" w:hAnsi="Arial"/>
          <w:sz w:val="16"/>
          <w:szCs w:val="16"/>
          <w:color w:val="auto"/>
        </w:rPr>
        <w:t>During the first quarter of 2020, we recorded a non-cash impairment charge of $91 million related to Goodwill and certain trademarks resulting from the impact of the COVID-19 pandemic. See Footnote 10 “Goodwill and Intangibles” to our Financial Statements for additional information.</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240"/>
          </w:cols>
          <w:pgMar w:left="320" w:top="125" w:right="33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and Other</w:t>
      </w:r>
    </w:p>
    <w:p>
      <w:pPr>
        <w:spacing w:after="0" w:line="121"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Corporate and Other consists of results that are not allocable to our segments, including company-wide general and administrative costs, corporate interest expense, ILG acquisition-related costs and provision for income taxes. In addition, Corporate and Other includes the revenues and expenses from the Consolidated Property Owners’ Associations.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60" w:type="dxa"/>
            <w:vAlign w:val="bottom"/>
            <w:gridSpan w:val="4"/>
          </w:tcPr>
          <w:p>
            <w:pPr>
              <w:jc w:val="right"/>
              <w:ind w:right="670"/>
              <w:spacing w:after="0"/>
              <w:rPr>
                <w:sz w:val="20"/>
                <w:szCs w:val="20"/>
                <w:color w:val="auto"/>
              </w:rPr>
            </w:pPr>
            <w:r>
              <w:rPr>
                <w:rFonts w:ascii="Arial" w:cs="Arial" w:eastAsia="Arial" w:hAnsi="Arial"/>
                <w:sz w:val="16"/>
                <w:szCs w:val="16"/>
                <w:b w:val="1"/>
                <w:bCs w:val="1"/>
                <w:color w:val="auto"/>
              </w:rPr>
              <w:t>Three Months Ended</w:t>
            </w:r>
          </w:p>
        </w:tc>
        <w:tc>
          <w:tcPr>
            <w:tcW w:w="0" w:type="dxa"/>
            <w:vAlign w:val="bottom"/>
          </w:tcPr>
          <w:p>
            <w:pPr>
              <w:spacing w:after="0"/>
              <w:rPr>
                <w:sz w:val="1"/>
                <w:szCs w:val="1"/>
                <w:color w:val="auto"/>
              </w:rPr>
            </w:pPr>
          </w:p>
        </w:tc>
      </w:tr>
      <w:tr>
        <w:trPr>
          <w:trHeight w:val="33"/>
        </w:trPr>
        <w:tc>
          <w:tcPr>
            <w:tcW w:w="82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822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160" w:type="dxa"/>
            <w:vAlign w:val="bottom"/>
          </w:tcPr>
          <w:p>
            <w:pPr>
              <w:spacing w:after="0"/>
              <w:rPr>
                <w:sz w:val="22"/>
                <w:szCs w:val="22"/>
                <w:color w:val="auto"/>
              </w:rPr>
            </w:pPr>
          </w:p>
        </w:tc>
        <w:tc>
          <w:tcPr>
            <w:tcW w:w="1400" w:type="dxa"/>
            <w:vAlign w:val="bottom"/>
            <w:gridSpan w:val="2"/>
          </w:tcPr>
          <w:p>
            <w:pPr>
              <w:ind w:left="20"/>
              <w:spacing w:after="0"/>
              <w:rPr>
                <w:sz w:val="20"/>
                <w:szCs w:val="20"/>
                <w:color w:val="auto"/>
              </w:rPr>
            </w:pPr>
            <w:r>
              <w:rPr>
                <w:rFonts w:ascii="Arial" w:cs="Arial" w:eastAsia="Arial" w:hAnsi="Arial"/>
                <w:sz w:val="16"/>
                <w:szCs w:val="16"/>
                <w:b w:val="1"/>
                <w:bCs w:val="1"/>
                <w:color w:val="auto"/>
              </w:rPr>
              <w:t>March 31, 2020</w:t>
            </w:r>
          </w:p>
        </w:tc>
        <w:tc>
          <w:tcPr>
            <w:tcW w:w="160" w:type="dxa"/>
            <w:vAlign w:val="bottom"/>
          </w:tcPr>
          <w:p>
            <w:pPr>
              <w:spacing w:after="0"/>
              <w:rPr>
                <w:sz w:val="22"/>
                <w:szCs w:val="22"/>
                <w:color w:val="auto"/>
              </w:rPr>
            </w:pPr>
          </w:p>
        </w:tc>
        <w:tc>
          <w:tcPr>
            <w:tcW w:w="1300" w:type="dxa"/>
            <w:vAlign w:val="bottom"/>
          </w:tcPr>
          <w:p>
            <w:pPr>
              <w:jc w:val="right"/>
              <w:ind w:right="110"/>
              <w:spacing w:after="0"/>
              <w:rPr>
                <w:sz w:val="20"/>
                <w:szCs w:val="20"/>
                <w:color w:val="auto"/>
              </w:rPr>
            </w:pPr>
            <w:r>
              <w:rPr>
                <w:rFonts w:ascii="Arial" w:cs="Arial" w:eastAsia="Arial" w:hAnsi="Arial"/>
                <w:sz w:val="16"/>
                <w:szCs w:val="16"/>
                <w:b w:val="1"/>
                <w:bCs w:val="1"/>
                <w:color w:val="auto"/>
                <w:w w:val="94"/>
              </w:rPr>
              <w:t>March 31, 2019</w:t>
            </w:r>
          </w:p>
        </w:tc>
        <w:tc>
          <w:tcPr>
            <w:tcW w:w="0" w:type="dxa"/>
            <w:vAlign w:val="bottom"/>
          </w:tcPr>
          <w:p>
            <w:pPr>
              <w:spacing w:after="0"/>
              <w:rPr>
                <w:sz w:val="1"/>
                <w:szCs w:val="1"/>
                <w:color w:val="auto"/>
              </w:rPr>
            </w:pPr>
          </w:p>
        </w:tc>
      </w:tr>
      <w:tr>
        <w:trPr>
          <w:trHeight w:val="249"/>
        </w:trPr>
        <w:tc>
          <w:tcPr>
            <w:tcW w:w="82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REVENUES</w:t>
            </w: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220" w:type="dxa"/>
            <w:vAlign w:val="bottom"/>
          </w:tcPr>
          <w:p>
            <w:pPr>
              <w:ind w:left="280"/>
              <w:spacing w:after="0"/>
              <w:rPr>
                <w:sz w:val="20"/>
                <w:szCs w:val="20"/>
                <w:color w:val="auto"/>
              </w:rPr>
            </w:pPr>
            <w:r>
              <w:rPr>
                <w:rFonts w:ascii="Arial" w:cs="Arial" w:eastAsia="Arial" w:hAnsi="Arial"/>
                <w:sz w:val="18"/>
                <w:szCs w:val="18"/>
                <w:color w:val="auto"/>
              </w:rPr>
              <w:t>Resort management and other services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7"/>
        </w:trPr>
        <w:tc>
          <w:tcPr>
            <w:tcW w:w="8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Rental</w:t>
            </w: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8220" w:type="dxa"/>
            <w:vAlign w:val="bottom"/>
          </w:tcPr>
          <w:p>
            <w:pPr>
              <w:ind w:left="280"/>
              <w:spacing w:after="0"/>
              <w:rPr>
                <w:sz w:val="20"/>
                <w:szCs w:val="20"/>
                <w:color w:val="auto"/>
              </w:rPr>
            </w:pPr>
            <w:r>
              <w:rPr>
                <w:rFonts w:ascii="Arial" w:cs="Arial" w:eastAsia="Arial" w:hAnsi="Arial"/>
                <w:sz w:val="18"/>
                <w:szCs w:val="18"/>
                <w:color w:val="auto"/>
              </w:rPr>
              <w:t>Cost reimbursements</w:t>
            </w: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7"/>
        </w:trPr>
        <w:tc>
          <w:tcPr>
            <w:tcW w:w="8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82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b w:val="1"/>
                <w:bCs w:val="1"/>
                <w:color w:val="auto"/>
              </w:rPr>
              <w:t>TOTAL REVENUES</w:t>
            </w:r>
          </w:p>
        </w:tc>
        <w:tc>
          <w:tcPr>
            <w:tcW w:w="16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7"/>
        </w:trPr>
        <w:tc>
          <w:tcPr>
            <w:tcW w:w="8220" w:type="dxa"/>
            <w:vAlign w:val="bottom"/>
          </w:tcPr>
          <w:p>
            <w:pPr>
              <w:ind w:left="40"/>
              <w:spacing w:after="0"/>
              <w:rPr>
                <w:sz w:val="20"/>
                <w:szCs w:val="20"/>
                <w:color w:val="auto"/>
              </w:rPr>
            </w:pPr>
            <w:r>
              <w:rPr>
                <w:rFonts w:ascii="Arial" w:cs="Arial" w:eastAsia="Arial" w:hAnsi="Arial"/>
                <w:sz w:val="18"/>
                <w:szCs w:val="18"/>
                <w:b w:val="1"/>
                <w:bCs w:val="1"/>
                <w:color w:val="auto"/>
              </w:rPr>
              <w:t>EXPENSES</w:t>
            </w:r>
          </w:p>
        </w:tc>
        <w:tc>
          <w:tcPr>
            <w:tcW w:w="16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Resort management and other services</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43"/>
        </w:trPr>
        <w:tc>
          <w:tcPr>
            <w:tcW w:w="8220" w:type="dxa"/>
            <w:vAlign w:val="bottom"/>
          </w:tcPr>
          <w:p>
            <w:pPr>
              <w:ind w:left="280"/>
              <w:spacing w:after="0"/>
              <w:rPr>
                <w:sz w:val="20"/>
                <w:szCs w:val="20"/>
                <w:color w:val="auto"/>
              </w:rPr>
            </w:pPr>
            <w:r>
              <w:rPr>
                <w:rFonts w:ascii="Arial" w:cs="Arial" w:eastAsia="Arial" w:hAnsi="Arial"/>
                <w:sz w:val="18"/>
                <w:szCs w:val="18"/>
                <w:color w:val="auto"/>
              </w:rPr>
              <w:t>Rental</w:t>
            </w: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8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General and administrative</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43"/>
        </w:trPr>
        <w:tc>
          <w:tcPr>
            <w:tcW w:w="8220" w:type="dxa"/>
            <w:vAlign w:val="bottom"/>
          </w:tcPr>
          <w:p>
            <w:pPr>
              <w:ind w:left="280"/>
              <w:spacing w:after="0"/>
              <w:rPr>
                <w:sz w:val="20"/>
                <w:szCs w:val="20"/>
                <w:color w:val="auto"/>
              </w:rPr>
            </w:pPr>
            <w:r>
              <w:rPr>
                <w:rFonts w:ascii="Arial" w:cs="Arial" w:eastAsia="Arial" w:hAnsi="Arial"/>
                <w:sz w:val="18"/>
                <w:szCs w:val="18"/>
                <w:color w:val="auto"/>
              </w:rPr>
              <w:t>Depreciation and amortization</w:t>
            </w:r>
          </w:p>
        </w:tc>
        <w:tc>
          <w:tcPr>
            <w:tcW w:w="16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8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2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Cost reimbursements</w:t>
            </w: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37"/>
        </w:trPr>
        <w:tc>
          <w:tcPr>
            <w:tcW w:w="8220" w:type="dxa"/>
            <w:vAlign w:val="bottom"/>
          </w:tcPr>
          <w:p>
            <w:pPr>
              <w:ind w:left="500"/>
              <w:spacing w:after="0"/>
              <w:rPr>
                <w:sz w:val="20"/>
                <w:szCs w:val="20"/>
                <w:color w:val="auto"/>
              </w:rPr>
            </w:pPr>
            <w:r>
              <w:rPr>
                <w:rFonts w:ascii="Arial" w:cs="Arial" w:eastAsia="Arial" w:hAnsi="Arial"/>
                <w:sz w:val="18"/>
                <w:szCs w:val="18"/>
                <w:b w:val="1"/>
                <w:bCs w:val="1"/>
                <w:color w:val="auto"/>
              </w:rPr>
              <w:t>TOTAL EXPENSES</w:t>
            </w:r>
          </w:p>
        </w:tc>
        <w:tc>
          <w:tcPr>
            <w:tcW w:w="16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7"/>
        </w:trPr>
        <w:tc>
          <w:tcPr>
            <w:tcW w:w="8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2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Losses and other expense, net</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8220" w:type="dxa"/>
            <w:vAlign w:val="bottom"/>
          </w:tcPr>
          <w:p>
            <w:pPr>
              <w:ind w:left="280"/>
              <w:spacing w:after="0"/>
              <w:rPr>
                <w:sz w:val="20"/>
                <w:szCs w:val="20"/>
                <w:color w:val="auto"/>
              </w:rPr>
            </w:pPr>
            <w:r>
              <w:rPr>
                <w:rFonts w:ascii="Arial" w:cs="Arial" w:eastAsia="Arial" w:hAnsi="Arial"/>
                <w:sz w:val="18"/>
                <w:szCs w:val="18"/>
                <w:color w:val="auto"/>
              </w:rPr>
              <w:t>Interest expense</w:t>
            </w: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7"/>
        </w:trPr>
        <w:tc>
          <w:tcPr>
            <w:tcW w:w="8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2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ILG acquisition-related costs</w:t>
            </w: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37"/>
        </w:trPr>
        <w:tc>
          <w:tcPr>
            <w:tcW w:w="8220" w:type="dxa"/>
            <w:vAlign w:val="bottom"/>
          </w:tcPr>
          <w:p>
            <w:pPr>
              <w:ind w:left="40"/>
              <w:spacing w:after="0"/>
              <w:rPr>
                <w:sz w:val="20"/>
                <w:szCs w:val="20"/>
                <w:color w:val="auto"/>
              </w:rPr>
            </w:pPr>
            <w:r>
              <w:rPr>
                <w:rFonts w:ascii="Arial" w:cs="Arial" w:eastAsia="Arial" w:hAnsi="Arial"/>
                <w:sz w:val="18"/>
                <w:szCs w:val="18"/>
                <w:b w:val="1"/>
                <w:bCs w:val="1"/>
                <w:color w:val="auto"/>
              </w:rPr>
              <w:t>FINANCIAL RESULTS BEFORE INCOME TAXES AND NONCONTROLLING INTERESTS</w:t>
            </w:r>
          </w:p>
        </w:tc>
        <w:tc>
          <w:tcPr>
            <w:tcW w:w="16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(189)</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7"/>
        </w:trPr>
        <w:tc>
          <w:tcPr>
            <w:tcW w:w="8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Benefit (provision) for income taxes</w:t>
            </w: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37"/>
        </w:trPr>
        <w:tc>
          <w:tcPr>
            <w:tcW w:w="8220" w:type="dxa"/>
            <w:vAlign w:val="bottom"/>
          </w:tcPr>
          <w:p>
            <w:pPr>
              <w:ind w:left="40"/>
              <w:spacing w:after="0"/>
              <w:rPr>
                <w:sz w:val="20"/>
                <w:szCs w:val="20"/>
                <w:color w:val="auto"/>
              </w:rPr>
            </w:pPr>
            <w:r>
              <w:rPr>
                <w:rFonts w:ascii="Arial" w:cs="Arial" w:eastAsia="Arial" w:hAnsi="Arial"/>
                <w:sz w:val="18"/>
                <w:szCs w:val="18"/>
                <w:b w:val="1"/>
                <w:bCs w:val="1"/>
                <w:color w:val="auto"/>
              </w:rPr>
              <w:t>FINANCIAL RESULTS BEFORE NONCONTROLLING INTERESTS</w:t>
            </w:r>
          </w:p>
        </w:tc>
        <w:tc>
          <w:tcPr>
            <w:tcW w:w="16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(131)</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7"/>
        </w:trPr>
        <w:tc>
          <w:tcPr>
            <w:tcW w:w="8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noncontrolling interests</w:t>
            </w: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57"/>
        </w:trPr>
        <w:tc>
          <w:tcPr>
            <w:tcW w:w="8220" w:type="dxa"/>
            <w:vAlign w:val="bottom"/>
          </w:tcPr>
          <w:p>
            <w:pPr>
              <w:ind w:left="40"/>
              <w:spacing w:after="0"/>
              <w:rPr>
                <w:sz w:val="20"/>
                <w:szCs w:val="20"/>
                <w:color w:val="auto"/>
              </w:rPr>
            </w:pPr>
            <w:r>
              <w:rPr>
                <w:rFonts w:ascii="Arial" w:cs="Arial" w:eastAsia="Arial" w:hAnsi="Arial"/>
                <w:sz w:val="18"/>
                <w:szCs w:val="18"/>
                <w:b w:val="1"/>
                <w:bCs w:val="1"/>
                <w:color w:val="auto"/>
              </w:rPr>
              <w:t>FINANCIAL RESULTS ATTRIBUTABLE TO COMMON SHAREHOLDERS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0"/>
        </w:trPr>
        <w:tc>
          <w:tcPr>
            <w:tcW w:w="8220" w:type="dxa"/>
            <w:vAlign w:val="bottom"/>
            <w:vMerge w:val="restart"/>
          </w:tcPr>
          <w:p>
            <w:pPr>
              <w:ind w:left="5540"/>
              <w:spacing w:after="0"/>
              <w:rPr>
                <w:sz w:val="20"/>
                <w:szCs w:val="20"/>
                <w:color w:val="auto"/>
              </w:rPr>
            </w:pPr>
            <w:r>
              <w:rPr>
                <w:rFonts w:ascii="Arial" w:cs="Arial" w:eastAsia="Arial" w:hAnsi="Arial"/>
                <w:sz w:val="18"/>
                <w:szCs w:val="18"/>
                <w:color w:val="auto"/>
              </w:rPr>
              <w:t>51</w:t>
            </w: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822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Property Owners’ Associations</w:t>
      </w:r>
    </w:p>
    <w:p>
      <w:pPr>
        <w:spacing w:after="0" w:line="121" w:lineRule="exact"/>
        <w:rPr>
          <w:sz w:val="20"/>
          <w:szCs w:val="20"/>
          <w:color w:val="auto"/>
        </w:rPr>
      </w:pPr>
    </w:p>
    <w:p>
      <w:pPr>
        <w:ind w:right="360" w:firstLine="648"/>
        <w:spacing w:after="0" w:line="308" w:lineRule="auto"/>
        <w:rPr>
          <w:sz w:val="20"/>
          <w:szCs w:val="20"/>
          <w:color w:val="auto"/>
        </w:rPr>
      </w:pPr>
      <w:r>
        <w:rPr>
          <w:rFonts w:ascii="Arial" w:cs="Arial" w:eastAsia="Arial" w:hAnsi="Arial"/>
          <w:sz w:val="17"/>
          <w:szCs w:val="17"/>
          <w:color w:val="auto"/>
        </w:rPr>
        <w:t>The following table illustrates the impact of the Consolidated Property Owners’ Associations of the acquired Legacy-ILG vacation ownership properties under the voting interest model, which represents the portion related to individual or third-party VOI owners.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60" w:type="dxa"/>
            <w:vAlign w:val="bottom"/>
            <w:gridSpan w:val="4"/>
          </w:tcPr>
          <w:p>
            <w:pPr>
              <w:jc w:val="right"/>
              <w:ind w:right="671"/>
              <w:spacing w:after="0"/>
              <w:rPr>
                <w:sz w:val="20"/>
                <w:szCs w:val="20"/>
                <w:color w:val="auto"/>
              </w:rPr>
            </w:pPr>
            <w:r>
              <w:rPr>
                <w:rFonts w:ascii="Arial" w:cs="Arial" w:eastAsia="Arial" w:hAnsi="Arial"/>
                <w:sz w:val="16"/>
                <w:szCs w:val="16"/>
                <w:b w:val="1"/>
                <w:bCs w:val="1"/>
                <w:color w:val="auto"/>
              </w:rPr>
              <w:t>Three Months Ended</w:t>
            </w:r>
          </w:p>
        </w:tc>
        <w:tc>
          <w:tcPr>
            <w:tcW w:w="0" w:type="dxa"/>
            <w:vAlign w:val="bottom"/>
          </w:tcPr>
          <w:p>
            <w:pPr>
              <w:spacing w:after="0"/>
              <w:rPr>
                <w:sz w:val="1"/>
                <w:szCs w:val="1"/>
                <w:color w:val="auto"/>
              </w:rPr>
            </w:pPr>
          </w:p>
        </w:tc>
      </w:tr>
      <w:tr>
        <w:trPr>
          <w:trHeight w:val="33"/>
        </w:trPr>
        <w:tc>
          <w:tcPr>
            <w:tcW w:w="5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508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14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4"/>
              </w:rPr>
              <w:t>March 31, 2020</w:t>
            </w:r>
          </w:p>
        </w:tc>
        <w:tc>
          <w:tcPr>
            <w:tcW w:w="160" w:type="dxa"/>
            <w:vAlign w:val="bottom"/>
          </w:tcPr>
          <w:p>
            <w:pPr>
              <w:spacing w:after="0"/>
              <w:rPr>
                <w:sz w:val="22"/>
                <w:szCs w:val="22"/>
                <w:color w:val="auto"/>
              </w:rPr>
            </w:pPr>
          </w:p>
        </w:tc>
        <w:tc>
          <w:tcPr>
            <w:tcW w:w="1300" w:type="dxa"/>
            <w:vAlign w:val="bottom"/>
          </w:tcPr>
          <w:p>
            <w:pPr>
              <w:jc w:val="center"/>
              <w:ind w:right="71"/>
              <w:spacing w:after="0"/>
              <w:rPr>
                <w:sz w:val="20"/>
                <w:szCs w:val="20"/>
                <w:color w:val="auto"/>
              </w:rPr>
            </w:pPr>
            <w:r>
              <w:rPr>
                <w:rFonts w:ascii="Arial" w:cs="Arial" w:eastAsia="Arial" w:hAnsi="Arial"/>
                <w:sz w:val="16"/>
                <w:szCs w:val="16"/>
                <w:b w:val="1"/>
                <w:bCs w:val="1"/>
                <w:color w:val="auto"/>
                <w:w w:val="93"/>
              </w:rPr>
              <w:t>March 31, 2019</w:t>
            </w:r>
          </w:p>
        </w:tc>
        <w:tc>
          <w:tcPr>
            <w:tcW w:w="0" w:type="dxa"/>
            <w:vAlign w:val="bottom"/>
          </w:tcPr>
          <w:p>
            <w:pPr>
              <w:spacing w:after="0"/>
              <w:rPr>
                <w:sz w:val="1"/>
                <w:szCs w:val="1"/>
                <w:color w:val="auto"/>
              </w:rPr>
            </w:pPr>
          </w:p>
        </w:tc>
      </w:tr>
      <w:tr>
        <w:trPr>
          <w:trHeight w:val="250"/>
        </w:trPr>
        <w:tc>
          <w:tcPr>
            <w:tcW w:w="50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REVENUES</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3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CCEEFF"/>
              <w:bottom w:val="single" w:sz="8" w:color="CCEEFF"/>
            </w:tcBorders>
            <w:shd w:val="clear" w:color="auto" w:fill="CCEEFF"/>
          </w:tcPr>
          <w:p>
            <w:pPr>
              <w:spacing w:after="0"/>
              <w:rPr>
                <w:sz w:val="21"/>
                <w:szCs w:val="21"/>
                <w:color w:val="auto"/>
              </w:rPr>
            </w:pPr>
          </w:p>
        </w:tc>
        <w:tc>
          <w:tcPr>
            <w:tcW w:w="13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80" w:type="dxa"/>
            <w:vAlign w:val="bottom"/>
          </w:tcPr>
          <w:p>
            <w:pPr>
              <w:ind w:left="280"/>
              <w:spacing w:after="0"/>
              <w:rPr>
                <w:sz w:val="20"/>
                <w:szCs w:val="20"/>
                <w:color w:val="auto"/>
              </w:rPr>
            </w:pPr>
            <w:r>
              <w:rPr>
                <w:rFonts w:ascii="Arial" w:cs="Arial" w:eastAsia="Arial" w:hAnsi="Arial"/>
                <w:sz w:val="18"/>
                <w:szCs w:val="18"/>
                <w:color w:val="auto"/>
              </w:rPr>
              <w:t>Resort management and other services</w:t>
            </w:r>
          </w:p>
        </w:tc>
        <w:tc>
          <w:tcPr>
            <w:tcW w:w="1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Rental</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5080" w:type="dxa"/>
            <w:vAlign w:val="bottom"/>
          </w:tcPr>
          <w:p>
            <w:pPr>
              <w:ind w:left="280"/>
              <w:spacing w:after="0"/>
              <w:rPr>
                <w:sz w:val="20"/>
                <w:szCs w:val="20"/>
                <w:color w:val="auto"/>
              </w:rPr>
            </w:pPr>
            <w:r>
              <w:rPr>
                <w:rFonts w:ascii="Arial" w:cs="Arial" w:eastAsia="Arial" w:hAnsi="Arial"/>
                <w:sz w:val="18"/>
                <w:szCs w:val="18"/>
                <w:color w:val="auto"/>
              </w:rPr>
              <w:t>Cost reimbursements</w:t>
            </w:r>
          </w:p>
        </w:tc>
        <w:tc>
          <w:tcPr>
            <w:tcW w:w="1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7"/>
        </w:trPr>
        <w:tc>
          <w:tcPr>
            <w:tcW w:w="50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0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b w:val="1"/>
                <w:bCs w:val="1"/>
                <w:color w:val="auto"/>
              </w:rPr>
              <w:t>TOTAL REVENUES</w:t>
            </w:r>
          </w:p>
        </w:tc>
        <w:tc>
          <w:tcPr>
            <w:tcW w:w="14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7"/>
        </w:trPr>
        <w:tc>
          <w:tcPr>
            <w:tcW w:w="5080" w:type="dxa"/>
            <w:vAlign w:val="bottom"/>
          </w:tcPr>
          <w:p>
            <w:pPr>
              <w:ind w:left="40"/>
              <w:spacing w:after="0"/>
              <w:rPr>
                <w:sz w:val="20"/>
                <w:szCs w:val="20"/>
                <w:color w:val="auto"/>
              </w:rPr>
            </w:pPr>
            <w:r>
              <w:rPr>
                <w:rFonts w:ascii="Arial" w:cs="Arial" w:eastAsia="Arial" w:hAnsi="Arial"/>
                <w:sz w:val="18"/>
                <w:szCs w:val="18"/>
                <w:b w:val="1"/>
                <w:bCs w:val="1"/>
                <w:color w:val="auto"/>
              </w:rPr>
              <w:t>EXPENSES</w:t>
            </w: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Resort management and other services</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43"/>
        </w:trPr>
        <w:tc>
          <w:tcPr>
            <w:tcW w:w="5080" w:type="dxa"/>
            <w:vAlign w:val="bottom"/>
          </w:tcPr>
          <w:p>
            <w:pPr>
              <w:ind w:left="280"/>
              <w:spacing w:after="0"/>
              <w:rPr>
                <w:sz w:val="20"/>
                <w:szCs w:val="20"/>
                <w:color w:val="auto"/>
              </w:rPr>
            </w:pPr>
            <w:r>
              <w:rPr>
                <w:rFonts w:ascii="Arial" w:cs="Arial" w:eastAsia="Arial" w:hAnsi="Arial"/>
                <w:sz w:val="18"/>
                <w:szCs w:val="18"/>
                <w:color w:val="auto"/>
              </w:rPr>
              <w:t>Rental</w:t>
            </w:r>
          </w:p>
        </w:tc>
        <w:tc>
          <w:tcPr>
            <w:tcW w:w="1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Cost reimbursements</w:t>
            </w: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37"/>
        </w:trPr>
        <w:tc>
          <w:tcPr>
            <w:tcW w:w="5080" w:type="dxa"/>
            <w:vAlign w:val="bottom"/>
          </w:tcPr>
          <w:p>
            <w:pPr>
              <w:ind w:left="500"/>
              <w:spacing w:after="0"/>
              <w:rPr>
                <w:sz w:val="20"/>
                <w:szCs w:val="20"/>
                <w:color w:val="auto"/>
              </w:rPr>
            </w:pPr>
            <w:r>
              <w:rPr>
                <w:rFonts w:ascii="Arial" w:cs="Arial" w:eastAsia="Arial" w:hAnsi="Arial"/>
                <w:sz w:val="18"/>
                <w:szCs w:val="18"/>
                <w:b w:val="1"/>
                <w:bCs w:val="1"/>
                <w:color w:val="auto"/>
              </w:rPr>
              <w:t>TOTAL EXPENSES</w:t>
            </w: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6540" w:type="dxa"/>
            <w:vAlign w:val="bottom"/>
            <w:tcBorders>
              <w:bottom w:val="single" w:sz="8" w:color="CCEEFF"/>
            </w:tcBorders>
            <w:gridSpan w:val="3"/>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66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b w:val="1"/>
                <w:bCs w:val="1"/>
                <w:color w:val="auto"/>
              </w:rPr>
              <w:t>FINANCIAL RESULTS BEFORE NONCONTROLLING INTERESTS</w:t>
            </w:r>
          </w:p>
        </w:tc>
        <w:tc>
          <w:tcPr>
            <w:tcW w:w="16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7"/>
        </w:trPr>
        <w:tc>
          <w:tcPr>
            <w:tcW w:w="5080" w:type="dxa"/>
            <w:vAlign w:val="bottom"/>
          </w:tcPr>
          <w:p>
            <w:pPr>
              <w:ind w:left="40"/>
              <w:spacing w:after="0"/>
              <w:rPr>
                <w:sz w:val="20"/>
                <w:szCs w:val="20"/>
                <w:color w:val="auto"/>
              </w:rPr>
            </w:pPr>
            <w:r>
              <w:rPr>
                <w:rFonts w:ascii="Arial" w:cs="Arial" w:eastAsia="Arial" w:hAnsi="Arial"/>
                <w:sz w:val="18"/>
                <w:szCs w:val="18"/>
                <w:color w:val="auto"/>
              </w:rPr>
              <w:t>Net income attributable to noncontrolling interests</w:t>
            </w: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6540" w:type="dxa"/>
            <w:vAlign w:val="bottom"/>
            <w:tcBorders>
              <w:bottom w:val="single" w:sz="8" w:color="CCEEFF"/>
            </w:tcBorders>
            <w:gridSpan w:val="3"/>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6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b w:val="1"/>
                <w:bCs w:val="1"/>
                <w:color w:val="auto"/>
              </w:rPr>
              <w:t>FINANCIAL RESULTS ATTRIBUTABLE TO COMMON SHAREHOLDERS</w:t>
            </w:r>
          </w:p>
        </w:tc>
        <w:tc>
          <w:tcPr>
            <w:tcW w:w="16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5080" w:type="dxa"/>
            <w:vAlign w:val="bottom"/>
            <w:vMerge w:val="restart"/>
          </w:tcPr>
          <w:p>
            <w:pPr>
              <w:spacing w:after="0"/>
              <w:rPr>
                <w:sz w:val="20"/>
                <w:szCs w:val="20"/>
                <w:color w:val="auto"/>
              </w:rPr>
            </w:pPr>
            <w:r>
              <w:rPr>
                <w:rFonts w:ascii="Arial" w:cs="Arial" w:eastAsia="Arial" w:hAnsi="Arial"/>
                <w:sz w:val="18"/>
                <w:szCs w:val="18"/>
                <w:b w:val="1"/>
                <w:bCs w:val="1"/>
                <w:color w:val="auto"/>
              </w:rPr>
              <w:t>General and Administrative</w:t>
            </w:r>
          </w:p>
        </w:tc>
        <w:tc>
          <w:tcPr>
            <w:tcW w:w="1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508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080" w:type="dxa"/>
            <w:vAlign w:val="bottom"/>
          </w:tcPr>
          <w:p>
            <w:pPr>
              <w:ind w:left="660"/>
              <w:spacing w:after="0"/>
              <w:rPr>
                <w:sz w:val="20"/>
                <w:szCs w:val="20"/>
                <w:color w:val="auto"/>
              </w:rPr>
            </w:pPr>
            <w:r>
              <w:rPr>
                <w:rFonts w:ascii="Arial" w:cs="Arial" w:eastAsia="Arial" w:hAnsi="Arial"/>
                <w:sz w:val="18"/>
                <w:szCs w:val="18"/>
                <w:i w:val="1"/>
                <w:iCs w:val="1"/>
                <w:color w:val="auto"/>
              </w:rPr>
              <w:t>2020 First Quarter</w:t>
            </w: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5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0" w:type="dxa"/>
            <w:vAlign w:val="bottom"/>
            <w:gridSpan w:val="5"/>
          </w:tcPr>
          <w:p>
            <w:pPr>
              <w:ind w:left="640"/>
              <w:spacing w:after="0"/>
              <w:rPr>
                <w:sz w:val="20"/>
                <w:szCs w:val="20"/>
                <w:color w:val="auto"/>
              </w:rPr>
            </w:pPr>
            <w:r>
              <w:rPr>
                <w:rFonts w:ascii="Arial" w:cs="Arial" w:eastAsia="Arial" w:hAnsi="Arial"/>
                <w:sz w:val="16"/>
                <w:szCs w:val="16"/>
                <w:b w:val="1"/>
                <w:bCs w:val="1"/>
                <w:color w:val="auto"/>
              </w:rPr>
              <w:t>Three Months Ended</w:t>
            </w: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50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508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140" w:type="dxa"/>
            <w:vAlign w:val="bottom"/>
          </w:tcPr>
          <w:p>
            <w:pPr>
              <w:spacing w:after="0"/>
              <w:rPr>
                <w:sz w:val="22"/>
                <w:szCs w:val="22"/>
                <w:color w:val="auto"/>
              </w:rPr>
            </w:pPr>
          </w:p>
        </w:tc>
        <w:tc>
          <w:tcPr>
            <w:tcW w:w="1420" w:type="dxa"/>
            <w:vAlign w:val="bottom"/>
            <w:gridSpan w:val="2"/>
          </w:tcPr>
          <w:p>
            <w:pPr>
              <w:ind w:left="60"/>
              <w:spacing w:after="0"/>
              <w:rPr>
                <w:sz w:val="20"/>
                <w:szCs w:val="20"/>
                <w:color w:val="auto"/>
              </w:rPr>
            </w:pPr>
            <w:r>
              <w:rPr>
                <w:rFonts w:ascii="Arial" w:cs="Arial" w:eastAsia="Arial" w:hAnsi="Arial"/>
                <w:sz w:val="16"/>
                <w:szCs w:val="16"/>
                <w:b w:val="1"/>
                <w:bCs w:val="1"/>
                <w:color w:val="auto"/>
              </w:rPr>
              <w:t>March 31, 2020</w:t>
            </w:r>
          </w:p>
        </w:tc>
        <w:tc>
          <w:tcPr>
            <w:tcW w:w="160" w:type="dxa"/>
            <w:vAlign w:val="bottom"/>
          </w:tcPr>
          <w:p>
            <w:pPr>
              <w:spacing w:after="0"/>
              <w:rPr>
                <w:sz w:val="22"/>
                <w:szCs w:val="22"/>
                <w:color w:val="auto"/>
              </w:rPr>
            </w:pPr>
          </w:p>
        </w:tc>
        <w:tc>
          <w:tcPr>
            <w:tcW w:w="1420" w:type="dxa"/>
            <w:vAlign w:val="bottom"/>
            <w:gridSpan w:val="2"/>
          </w:tcPr>
          <w:p>
            <w:pPr>
              <w:ind w:left="40"/>
              <w:spacing w:after="0"/>
              <w:rPr>
                <w:sz w:val="20"/>
                <w:szCs w:val="20"/>
                <w:color w:val="auto"/>
              </w:rPr>
            </w:pPr>
            <w:r>
              <w:rPr>
                <w:rFonts w:ascii="Arial" w:cs="Arial" w:eastAsia="Arial" w:hAnsi="Arial"/>
                <w:sz w:val="16"/>
                <w:szCs w:val="16"/>
                <w:b w:val="1"/>
                <w:bCs w:val="1"/>
                <w:color w:val="auto"/>
              </w:rPr>
              <w:t>March 31, 2019</w:t>
            </w:r>
          </w:p>
        </w:tc>
        <w:tc>
          <w:tcPr>
            <w:tcW w:w="160" w:type="dxa"/>
            <w:vAlign w:val="bottom"/>
          </w:tcPr>
          <w:p>
            <w:pPr>
              <w:spacing w:after="0"/>
              <w:rPr>
                <w:sz w:val="22"/>
                <w:szCs w:val="22"/>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Change</w:t>
            </w:r>
          </w:p>
        </w:tc>
        <w:tc>
          <w:tcPr>
            <w:tcW w:w="160" w:type="dxa"/>
            <w:vAlign w:val="bottom"/>
          </w:tcPr>
          <w:p>
            <w:pPr>
              <w:spacing w:after="0"/>
              <w:rPr>
                <w:sz w:val="22"/>
                <w:szCs w:val="22"/>
                <w:color w:val="auto"/>
              </w:rPr>
            </w:pPr>
          </w:p>
        </w:tc>
        <w:tc>
          <w:tcPr>
            <w:tcW w:w="1300" w:type="dxa"/>
            <w:vAlign w:val="bottom"/>
          </w:tcPr>
          <w:p>
            <w:pPr>
              <w:jc w:val="center"/>
              <w:ind w:right="71"/>
              <w:spacing w:after="0"/>
              <w:rPr>
                <w:sz w:val="20"/>
                <w:szCs w:val="20"/>
                <w:color w:val="auto"/>
              </w:rPr>
            </w:pPr>
            <w:r>
              <w:rPr>
                <w:rFonts w:ascii="Arial" w:cs="Arial" w:eastAsia="Arial" w:hAnsi="Arial"/>
                <w:sz w:val="16"/>
                <w:szCs w:val="16"/>
                <w:b w:val="1"/>
                <w:bCs w:val="1"/>
                <w:color w:val="auto"/>
                <w:w w:val="95"/>
              </w:rPr>
              <w:t>% Change</w:t>
            </w:r>
          </w:p>
        </w:tc>
        <w:tc>
          <w:tcPr>
            <w:tcW w:w="0" w:type="dxa"/>
            <w:vAlign w:val="bottom"/>
          </w:tcPr>
          <w:p>
            <w:pPr>
              <w:spacing w:after="0"/>
              <w:rPr>
                <w:sz w:val="1"/>
                <w:szCs w:val="1"/>
                <w:color w:val="auto"/>
              </w:rPr>
            </w:pPr>
          </w:p>
        </w:tc>
      </w:tr>
      <w:tr>
        <w:trPr>
          <w:trHeight w:val="243"/>
        </w:trPr>
        <w:tc>
          <w:tcPr>
            <w:tcW w:w="50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General and administrative</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70</w:t>
            </w:r>
          </w:p>
        </w:tc>
        <w:tc>
          <w:tcPr>
            <w:tcW w:w="10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67</w:t>
            </w:r>
          </w:p>
        </w:tc>
        <w:tc>
          <w:tcPr>
            <w:tcW w:w="12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3</w:t>
            </w:r>
          </w:p>
        </w:tc>
        <w:tc>
          <w:tcPr>
            <w:tcW w:w="10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spacing w:after="0"/>
              <w:rPr>
                <w:sz w:val="21"/>
                <w:szCs w:val="21"/>
                <w:color w:val="auto"/>
              </w:rPr>
            </w:pPr>
          </w:p>
        </w:tc>
        <w:tc>
          <w:tcPr>
            <w:tcW w:w="1300" w:type="dxa"/>
            <w:vAlign w:val="bottom"/>
            <w:tcBorders>
              <w:top w:val="single" w:sz="8" w:color="auto"/>
            </w:tcBorders>
            <w:shd w:val="clear" w:color="auto" w:fill="CCEEFF"/>
          </w:tcPr>
          <w:p>
            <w:pPr>
              <w:jc w:val="center"/>
              <w:ind w:right="51"/>
              <w:spacing w:after="0"/>
              <w:rPr>
                <w:sz w:val="20"/>
                <w:szCs w:val="20"/>
                <w:color w:val="auto"/>
              </w:rPr>
            </w:pPr>
            <w:r>
              <w:rPr>
                <w:rFonts w:ascii="Arial" w:cs="Arial" w:eastAsia="Arial" w:hAnsi="Arial"/>
                <w:sz w:val="18"/>
                <w:szCs w:val="18"/>
                <w:color w:val="auto"/>
                <w:w w:val="92"/>
              </w:rPr>
              <w:t>5%</w:t>
            </w:r>
          </w:p>
        </w:tc>
        <w:tc>
          <w:tcPr>
            <w:tcW w:w="0" w:type="dxa"/>
            <w:vAlign w:val="bottom"/>
          </w:tcPr>
          <w:p>
            <w:pPr>
              <w:spacing w:after="0"/>
              <w:rPr>
                <w:sz w:val="1"/>
                <w:szCs w:val="1"/>
                <w:color w:val="auto"/>
              </w:rPr>
            </w:pPr>
          </w:p>
        </w:tc>
      </w:tr>
      <w:tr>
        <w:trPr>
          <w:trHeight w:val="27"/>
        </w:trPr>
        <w:tc>
          <w:tcPr>
            <w:tcW w:w="50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220" w:firstLine="648"/>
        <w:spacing w:after="0" w:line="342" w:lineRule="auto"/>
        <w:rPr>
          <w:sz w:val="20"/>
          <w:szCs w:val="20"/>
          <w:color w:val="auto"/>
        </w:rPr>
      </w:pPr>
      <w:r>
        <w:rPr>
          <w:rFonts w:ascii="Arial" w:cs="Arial" w:eastAsia="Arial" w:hAnsi="Arial"/>
          <w:sz w:val="16"/>
          <w:szCs w:val="16"/>
          <w:color w:val="auto"/>
        </w:rPr>
        <w:t>General and administrative expenses increased $3 million due to an accrual for health and welfare costs for furloughed employees ($11 million) and higher VAT charges ($6 million which is expected to be indemnified by Marriott International), offset partially by synergy and other cost savings.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Depreciation and Amortization</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2020 First Quarter</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0" w:type="dxa"/>
            <w:vAlign w:val="bottom"/>
            <w:gridSpan w:val="5"/>
          </w:tcPr>
          <w:p>
            <w:pPr>
              <w:ind w:left="640"/>
              <w:spacing w:after="0"/>
              <w:rPr>
                <w:sz w:val="20"/>
                <w:szCs w:val="20"/>
                <w:color w:val="auto"/>
              </w:rPr>
            </w:pPr>
            <w:r>
              <w:rPr>
                <w:rFonts w:ascii="Arial" w:cs="Arial" w:eastAsia="Arial" w:hAnsi="Arial"/>
                <w:sz w:val="16"/>
                <w:szCs w:val="16"/>
                <w:b w:val="1"/>
                <w:bCs w:val="1"/>
                <w:color w:val="auto"/>
              </w:rPr>
              <w:t>Three Months Ended</w:t>
            </w: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33"/>
        </w:trPr>
        <w:tc>
          <w:tcPr>
            <w:tcW w:w="50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1460" w:type="dxa"/>
            <w:vAlign w:val="bottom"/>
          </w:tcPr>
          <w:p>
            <w:pPr>
              <w:spacing w:after="0"/>
              <w:rPr>
                <w:sz w:val="2"/>
                <w:szCs w:val="2"/>
                <w:color w:val="auto"/>
              </w:rPr>
            </w:pPr>
          </w:p>
        </w:tc>
      </w:tr>
      <w:tr>
        <w:trPr>
          <w:trHeight w:val="258"/>
        </w:trPr>
        <w:tc>
          <w:tcPr>
            <w:tcW w:w="508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140" w:type="dxa"/>
            <w:vAlign w:val="bottom"/>
          </w:tcPr>
          <w:p>
            <w:pPr>
              <w:spacing w:after="0"/>
              <w:rPr>
                <w:sz w:val="22"/>
                <w:szCs w:val="22"/>
                <w:color w:val="auto"/>
              </w:rPr>
            </w:pPr>
          </w:p>
        </w:tc>
        <w:tc>
          <w:tcPr>
            <w:tcW w:w="1420" w:type="dxa"/>
            <w:vAlign w:val="bottom"/>
            <w:gridSpan w:val="2"/>
          </w:tcPr>
          <w:p>
            <w:pPr>
              <w:ind w:left="60"/>
              <w:spacing w:after="0"/>
              <w:rPr>
                <w:sz w:val="20"/>
                <w:szCs w:val="20"/>
                <w:color w:val="auto"/>
              </w:rPr>
            </w:pPr>
            <w:r>
              <w:rPr>
                <w:rFonts w:ascii="Arial" w:cs="Arial" w:eastAsia="Arial" w:hAnsi="Arial"/>
                <w:sz w:val="16"/>
                <w:szCs w:val="16"/>
                <w:b w:val="1"/>
                <w:bCs w:val="1"/>
                <w:color w:val="auto"/>
              </w:rPr>
              <w:t>March 31, 2020</w:t>
            </w:r>
          </w:p>
        </w:tc>
        <w:tc>
          <w:tcPr>
            <w:tcW w:w="160" w:type="dxa"/>
            <w:vAlign w:val="bottom"/>
          </w:tcPr>
          <w:p>
            <w:pPr>
              <w:spacing w:after="0"/>
              <w:rPr>
                <w:sz w:val="22"/>
                <w:szCs w:val="22"/>
                <w:color w:val="auto"/>
              </w:rPr>
            </w:pPr>
          </w:p>
        </w:tc>
        <w:tc>
          <w:tcPr>
            <w:tcW w:w="1420" w:type="dxa"/>
            <w:vAlign w:val="bottom"/>
            <w:gridSpan w:val="2"/>
          </w:tcPr>
          <w:p>
            <w:pPr>
              <w:ind w:left="40"/>
              <w:spacing w:after="0"/>
              <w:rPr>
                <w:sz w:val="20"/>
                <w:szCs w:val="20"/>
                <w:color w:val="auto"/>
              </w:rPr>
            </w:pPr>
            <w:r>
              <w:rPr>
                <w:rFonts w:ascii="Arial" w:cs="Arial" w:eastAsia="Arial" w:hAnsi="Arial"/>
                <w:sz w:val="16"/>
                <w:szCs w:val="16"/>
                <w:b w:val="1"/>
                <w:bCs w:val="1"/>
                <w:color w:val="auto"/>
              </w:rPr>
              <w:t>March 31, 2019</w:t>
            </w:r>
          </w:p>
        </w:tc>
        <w:tc>
          <w:tcPr>
            <w:tcW w:w="280" w:type="dxa"/>
            <w:vAlign w:val="bottom"/>
          </w:tcPr>
          <w:p>
            <w:pPr>
              <w:spacing w:after="0"/>
              <w:rPr>
                <w:sz w:val="22"/>
                <w:szCs w:val="22"/>
                <w:color w:val="auto"/>
              </w:rPr>
            </w:pPr>
          </w:p>
        </w:tc>
        <w:tc>
          <w:tcPr>
            <w:tcW w:w="1280" w:type="dxa"/>
            <w:vAlign w:val="bottom"/>
            <w:gridSpan w:val="2"/>
          </w:tcPr>
          <w:p>
            <w:pPr>
              <w:ind w:left="180"/>
              <w:spacing w:after="0"/>
              <w:rPr>
                <w:sz w:val="20"/>
                <w:szCs w:val="20"/>
                <w:color w:val="auto"/>
              </w:rPr>
            </w:pPr>
            <w:r>
              <w:rPr>
                <w:rFonts w:ascii="Arial" w:cs="Arial" w:eastAsia="Arial" w:hAnsi="Arial"/>
                <w:sz w:val="16"/>
                <w:szCs w:val="16"/>
                <w:b w:val="1"/>
                <w:bCs w:val="1"/>
                <w:color w:val="auto"/>
              </w:rPr>
              <w:t>Change</w:t>
            </w:r>
          </w:p>
        </w:tc>
        <w:tc>
          <w:tcPr>
            <w:tcW w:w="1460" w:type="dxa"/>
            <w:vAlign w:val="bottom"/>
          </w:tcPr>
          <w:p>
            <w:pPr>
              <w:jc w:val="center"/>
              <w:spacing w:after="0"/>
              <w:rPr>
                <w:sz w:val="20"/>
                <w:szCs w:val="20"/>
                <w:color w:val="auto"/>
              </w:rPr>
            </w:pPr>
            <w:r>
              <w:rPr>
                <w:rFonts w:ascii="Arial" w:cs="Arial" w:eastAsia="Arial" w:hAnsi="Arial"/>
                <w:sz w:val="16"/>
                <w:szCs w:val="16"/>
                <w:b w:val="1"/>
                <w:bCs w:val="1"/>
                <w:color w:val="auto"/>
                <w:w w:val="95"/>
              </w:rPr>
              <w:t>% Change</w:t>
            </w:r>
          </w:p>
        </w:tc>
      </w:tr>
      <w:tr>
        <w:trPr>
          <w:trHeight w:val="249"/>
        </w:trPr>
        <w:tc>
          <w:tcPr>
            <w:tcW w:w="50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6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15%</w:t>
            </w:r>
          </w:p>
        </w:tc>
      </w:tr>
      <w:tr>
        <w:trPr>
          <w:trHeight w:val="432"/>
        </w:trPr>
        <w:tc>
          <w:tcPr>
            <w:tcW w:w="5080" w:type="dxa"/>
            <w:vAlign w:val="bottom"/>
          </w:tcPr>
          <w:p>
            <w:pPr>
              <w:spacing w:after="0"/>
              <w:rPr>
                <w:sz w:val="20"/>
                <w:szCs w:val="20"/>
                <w:color w:val="auto"/>
              </w:rPr>
            </w:pPr>
            <w:r>
              <w:rPr>
                <w:rFonts w:ascii="Arial" w:cs="Arial" w:eastAsia="Arial" w:hAnsi="Arial"/>
                <w:sz w:val="18"/>
                <w:szCs w:val="18"/>
                <w:b w:val="1"/>
                <w:bCs w:val="1"/>
                <w:color w:val="auto"/>
              </w:rPr>
              <w:t>Gains / Losses and Other Income / Expense</w:t>
            </w: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324"/>
        </w:trPr>
        <w:tc>
          <w:tcPr>
            <w:tcW w:w="5080" w:type="dxa"/>
            <w:vAlign w:val="bottom"/>
          </w:tcPr>
          <w:p>
            <w:pPr>
              <w:ind w:left="660"/>
              <w:spacing w:after="0"/>
              <w:rPr>
                <w:sz w:val="20"/>
                <w:szCs w:val="20"/>
                <w:color w:val="auto"/>
              </w:rPr>
            </w:pPr>
            <w:r>
              <w:rPr>
                <w:rFonts w:ascii="Arial" w:cs="Arial" w:eastAsia="Arial" w:hAnsi="Arial"/>
                <w:sz w:val="18"/>
                <w:szCs w:val="18"/>
                <w:i w:val="1"/>
                <w:iCs w:val="1"/>
                <w:color w:val="auto"/>
              </w:rPr>
              <w:t>2020 First Quarter</w:t>
            </w: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372"/>
        </w:trPr>
        <w:tc>
          <w:tcPr>
            <w:tcW w:w="5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0" w:type="dxa"/>
            <w:vAlign w:val="bottom"/>
            <w:gridSpan w:val="5"/>
          </w:tcPr>
          <w:p>
            <w:pPr>
              <w:ind w:left="640"/>
              <w:spacing w:after="0"/>
              <w:rPr>
                <w:sz w:val="20"/>
                <w:szCs w:val="20"/>
                <w:color w:val="auto"/>
              </w:rPr>
            </w:pPr>
            <w:r>
              <w:rPr>
                <w:rFonts w:ascii="Arial" w:cs="Arial" w:eastAsia="Arial" w:hAnsi="Arial"/>
                <w:sz w:val="16"/>
                <w:szCs w:val="16"/>
                <w:b w:val="1"/>
                <w:bCs w:val="1"/>
                <w:color w:val="auto"/>
              </w:rPr>
              <w:t>Three Months Ended</w:t>
            </w: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33"/>
        </w:trPr>
        <w:tc>
          <w:tcPr>
            <w:tcW w:w="50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1460" w:type="dxa"/>
            <w:vAlign w:val="bottom"/>
          </w:tcPr>
          <w:p>
            <w:pPr>
              <w:spacing w:after="0"/>
              <w:rPr>
                <w:sz w:val="2"/>
                <w:szCs w:val="2"/>
                <w:color w:val="auto"/>
              </w:rPr>
            </w:pPr>
          </w:p>
        </w:tc>
      </w:tr>
      <w:tr>
        <w:trPr>
          <w:trHeight w:val="258"/>
        </w:trPr>
        <w:tc>
          <w:tcPr>
            <w:tcW w:w="508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140" w:type="dxa"/>
            <w:vAlign w:val="bottom"/>
          </w:tcPr>
          <w:p>
            <w:pPr>
              <w:spacing w:after="0"/>
              <w:rPr>
                <w:sz w:val="22"/>
                <w:szCs w:val="22"/>
                <w:color w:val="auto"/>
              </w:rPr>
            </w:pPr>
          </w:p>
        </w:tc>
        <w:tc>
          <w:tcPr>
            <w:tcW w:w="1420" w:type="dxa"/>
            <w:vAlign w:val="bottom"/>
            <w:gridSpan w:val="2"/>
          </w:tcPr>
          <w:p>
            <w:pPr>
              <w:ind w:left="60"/>
              <w:spacing w:after="0"/>
              <w:rPr>
                <w:sz w:val="20"/>
                <w:szCs w:val="20"/>
                <w:color w:val="auto"/>
              </w:rPr>
            </w:pPr>
            <w:r>
              <w:rPr>
                <w:rFonts w:ascii="Arial" w:cs="Arial" w:eastAsia="Arial" w:hAnsi="Arial"/>
                <w:sz w:val="16"/>
                <w:szCs w:val="16"/>
                <w:b w:val="1"/>
                <w:bCs w:val="1"/>
                <w:color w:val="auto"/>
              </w:rPr>
              <w:t>March 31, 2020</w:t>
            </w:r>
          </w:p>
        </w:tc>
        <w:tc>
          <w:tcPr>
            <w:tcW w:w="160" w:type="dxa"/>
            <w:vAlign w:val="bottom"/>
          </w:tcPr>
          <w:p>
            <w:pPr>
              <w:spacing w:after="0"/>
              <w:rPr>
                <w:sz w:val="22"/>
                <w:szCs w:val="22"/>
                <w:color w:val="auto"/>
              </w:rPr>
            </w:pPr>
          </w:p>
        </w:tc>
        <w:tc>
          <w:tcPr>
            <w:tcW w:w="1420" w:type="dxa"/>
            <w:vAlign w:val="bottom"/>
            <w:gridSpan w:val="2"/>
          </w:tcPr>
          <w:p>
            <w:pPr>
              <w:ind w:left="40"/>
              <w:spacing w:after="0"/>
              <w:rPr>
                <w:sz w:val="20"/>
                <w:szCs w:val="20"/>
                <w:color w:val="auto"/>
              </w:rPr>
            </w:pPr>
            <w:r>
              <w:rPr>
                <w:rFonts w:ascii="Arial" w:cs="Arial" w:eastAsia="Arial" w:hAnsi="Arial"/>
                <w:sz w:val="16"/>
                <w:szCs w:val="16"/>
                <w:b w:val="1"/>
                <w:bCs w:val="1"/>
                <w:color w:val="auto"/>
              </w:rPr>
              <w:t>March 31, 2019</w:t>
            </w:r>
          </w:p>
        </w:tc>
        <w:tc>
          <w:tcPr>
            <w:tcW w:w="280" w:type="dxa"/>
            <w:vAlign w:val="bottom"/>
          </w:tcPr>
          <w:p>
            <w:pPr>
              <w:spacing w:after="0"/>
              <w:rPr>
                <w:sz w:val="22"/>
                <w:szCs w:val="22"/>
                <w:color w:val="auto"/>
              </w:rPr>
            </w:pPr>
          </w:p>
        </w:tc>
        <w:tc>
          <w:tcPr>
            <w:tcW w:w="1280" w:type="dxa"/>
            <w:vAlign w:val="bottom"/>
            <w:gridSpan w:val="2"/>
          </w:tcPr>
          <w:p>
            <w:pPr>
              <w:ind w:left="180"/>
              <w:spacing w:after="0"/>
              <w:rPr>
                <w:sz w:val="20"/>
                <w:szCs w:val="20"/>
                <w:color w:val="auto"/>
              </w:rPr>
            </w:pPr>
            <w:r>
              <w:rPr>
                <w:rFonts w:ascii="Arial" w:cs="Arial" w:eastAsia="Arial" w:hAnsi="Arial"/>
                <w:sz w:val="16"/>
                <w:szCs w:val="16"/>
                <w:b w:val="1"/>
                <w:bCs w:val="1"/>
                <w:color w:val="auto"/>
              </w:rPr>
              <w:t>Change</w:t>
            </w:r>
          </w:p>
        </w:tc>
        <w:tc>
          <w:tcPr>
            <w:tcW w:w="1460" w:type="dxa"/>
            <w:vAlign w:val="bottom"/>
          </w:tcPr>
          <w:p>
            <w:pPr>
              <w:jc w:val="center"/>
              <w:spacing w:after="0"/>
              <w:rPr>
                <w:sz w:val="20"/>
                <w:szCs w:val="20"/>
                <w:color w:val="auto"/>
              </w:rPr>
            </w:pPr>
            <w:r>
              <w:rPr>
                <w:rFonts w:ascii="Arial" w:cs="Arial" w:eastAsia="Arial" w:hAnsi="Arial"/>
                <w:sz w:val="16"/>
                <w:szCs w:val="16"/>
                <w:b w:val="1"/>
                <w:bCs w:val="1"/>
                <w:color w:val="auto"/>
                <w:w w:val="95"/>
              </w:rPr>
              <w:t>% Change</w:t>
            </w:r>
          </w:p>
        </w:tc>
      </w:tr>
      <w:tr>
        <w:trPr>
          <w:trHeight w:val="243"/>
        </w:trPr>
        <w:tc>
          <w:tcPr>
            <w:tcW w:w="50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Losses and other expense, net</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0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00" w:type="dxa"/>
            <w:vAlign w:val="bottom"/>
            <w:tcBorders>
              <w:top w:val="single" w:sz="8" w:color="CCEEFF"/>
            </w:tcBorders>
            <w:shd w:val="clear" w:color="auto" w:fill="CCEEFF"/>
          </w:tcPr>
          <w:p>
            <w:pPr>
              <w:spacing w:after="0"/>
              <w:rPr>
                <w:sz w:val="21"/>
                <w:szCs w:val="21"/>
                <w:color w:val="auto"/>
              </w:rPr>
            </w:pPr>
          </w:p>
        </w:tc>
        <w:tc>
          <w:tcPr>
            <w:tcW w:w="14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NM</w:t>
            </w:r>
          </w:p>
        </w:tc>
      </w:tr>
      <w:tr>
        <w:trPr>
          <w:trHeight w:val="27"/>
        </w:trPr>
        <w:tc>
          <w:tcPr>
            <w:tcW w:w="50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In the first quarter of 2020, we recorded $31 million related to foreign currency translation and $33 million related to a true-up to an indemnification receivable from Marriott International, Inc. related to settlement with a taxing authority (true-up to the offsetting accrual is included in the Benefit (provision) for income taxes line), offset partially by a $6 million payment related to an indemnification from Marriott International, Inc. for VAT penalties and interest.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240"/>
          </w:cols>
          <w:pgMar w:left="320" w:top="125" w:right="33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2020 First Quarter</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0" w:type="dxa"/>
            <w:vAlign w:val="bottom"/>
            <w:gridSpan w:val="5"/>
          </w:tcPr>
          <w:p>
            <w:pPr>
              <w:ind w:left="640"/>
              <w:spacing w:after="0"/>
              <w:rPr>
                <w:sz w:val="20"/>
                <w:szCs w:val="20"/>
                <w:color w:val="auto"/>
              </w:rPr>
            </w:pPr>
            <w:r>
              <w:rPr>
                <w:rFonts w:ascii="Arial" w:cs="Arial" w:eastAsia="Arial" w:hAnsi="Arial"/>
                <w:sz w:val="16"/>
                <w:szCs w:val="16"/>
                <w:b w:val="1"/>
                <w:bCs w:val="1"/>
                <w:color w:val="auto"/>
              </w:rPr>
              <w:t>Three Months Ended</w:t>
            </w: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33"/>
        </w:trPr>
        <w:tc>
          <w:tcPr>
            <w:tcW w:w="50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8"/>
        </w:trPr>
        <w:tc>
          <w:tcPr>
            <w:tcW w:w="508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140" w:type="dxa"/>
            <w:vAlign w:val="bottom"/>
          </w:tcPr>
          <w:p>
            <w:pPr>
              <w:spacing w:after="0"/>
              <w:rPr>
                <w:sz w:val="22"/>
                <w:szCs w:val="22"/>
                <w:color w:val="auto"/>
              </w:rPr>
            </w:pPr>
          </w:p>
        </w:tc>
        <w:tc>
          <w:tcPr>
            <w:tcW w:w="1420" w:type="dxa"/>
            <w:vAlign w:val="bottom"/>
            <w:gridSpan w:val="2"/>
          </w:tcPr>
          <w:p>
            <w:pPr>
              <w:ind w:left="60"/>
              <w:spacing w:after="0"/>
              <w:rPr>
                <w:sz w:val="20"/>
                <w:szCs w:val="20"/>
                <w:color w:val="auto"/>
              </w:rPr>
            </w:pPr>
            <w:r>
              <w:rPr>
                <w:rFonts w:ascii="Arial" w:cs="Arial" w:eastAsia="Arial" w:hAnsi="Arial"/>
                <w:sz w:val="16"/>
                <w:szCs w:val="16"/>
                <w:b w:val="1"/>
                <w:bCs w:val="1"/>
                <w:color w:val="auto"/>
              </w:rPr>
              <w:t>March 31, 2020</w:t>
            </w:r>
          </w:p>
        </w:tc>
        <w:tc>
          <w:tcPr>
            <w:tcW w:w="160" w:type="dxa"/>
            <w:vAlign w:val="bottom"/>
          </w:tcPr>
          <w:p>
            <w:pPr>
              <w:spacing w:after="0"/>
              <w:rPr>
                <w:sz w:val="22"/>
                <w:szCs w:val="22"/>
                <w:color w:val="auto"/>
              </w:rPr>
            </w:pPr>
          </w:p>
        </w:tc>
        <w:tc>
          <w:tcPr>
            <w:tcW w:w="1420" w:type="dxa"/>
            <w:vAlign w:val="bottom"/>
            <w:gridSpan w:val="2"/>
          </w:tcPr>
          <w:p>
            <w:pPr>
              <w:ind w:left="40"/>
              <w:spacing w:after="0"/>
              <w:rPr>
                <w:sz w:val="20"/>
                <w:szCs w:val="20"/>
                <w:color w:val="auto"/>
              </w:rPr>
            </w:pPr>
            <w:r>
              <w:rPr>
                <w:rFonts w:ascii="Arial" w:cs="Arial" w:eastAsia="Arial" w:hAnsi="Arial"/>
                <w:sz w:val="16"/>
                <w:szCs w:val="16"/>
                <w:b w:val="1"/>
                <w:bCs w:val="1"/>
                <w:color w:val="auto"/>
              </w:rPr>
              <w:t>March 31, 2019</w:t>
            </w:r>
          </w:p>
        </w:tc>
        <w:tc>
          <w:tcPr>
            <w:tcW w:w="1120" w:type="dxa"/>
            <w:vAlign w:val="bottom"/>
          </w:tcPr>
          <w:p>
            <w:pPr>
              <w:jc w:val="right"/>
              <w:ind w:right="35"/>
              <w:spacing w:after="0"/>
              <w:rPr>
                <w:sz w:val="20"/>
                <w:szCs w:val="20"/>
                <w:color w:val="auto"/>
              </w:rPr>
            </w:pPr>
            <w:r>
              <w:rPr>
                <w:rFonts w:ascii="Arial" w:cs="Arial" w:eastAsia="Arial" w:hAnsi="Arial"/>
                <w:sz w:val="16"/>
                <w:szCs w:val="16"/>
                <w:b w:val="1"/>
                <w:bCs w:val="1"/>
                <w:color w:val="auto"/>
              </w:rPr>
              <w:t>Change</w:t>
            </w:r>
          </w:p>
        </w:tc>
        <w:tc>
          <w:tcPr>
            <w:tcW w:w="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60" w:type="dxa"/>
            <w:vAlign w:val="bottom"/>
          </w:tcPr>
          <w:p>
            <w:pPr>
              <w:ind w:left="360"/>
              <w:spacing w:after="0"/>
              <w:rPr>
                <w:sz w:val="20"/>
                <w:szCs w:val="20"/>
                <w:color w:val="auto"/>
              </w:rPr>
            </w:pPr>
            <w:r>
              <w:rPr>
                <w:rFonts w:ascii="Arial" w:cs="Arial" w:eastAsia="Arial" w:hAnsi="Arial"/>
                <w:sz w:val="16"/>
                <w:szCs w:val="16"/>
                <w:b w:val="1"/>
                <w:bCs w:val="1"/>
                <w:color w:val="auto"/>
              </w:rPr>
              <w:t>% Change</w:t>
            </w:r>
          </w:p>
        </w:tc>
      </w:tr>
      <w:tr>
        <w:trPr>
          <w:trHeight w:val="249"/>
        </w:trPr>
        <w:tc>
          <w:tcPr>
            <w:tcW w:w="50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jc w:val="right"/>
              <w:ind w:right="915"/>
              <w:spacing w:after="0"/>
              <w:rPr>
                <w:sz w:val="20"/>
                <w:szCs w:val="20"/>
                <w:color w:val="auto"/>
              </w:rPr>
            </w:pPr>
            <w:r>
              <w:rPr>
                <w:rFonts w:ascii="Arial" w:cs="Arial" w:eastAsia="Arial" w:hAnsi="Arial"/>
                <w:sz w:val="18"/>
                <w:szCs w:val="18"/>
                <w:color w:val="auto"/>
                <w:w w:val="99"/>
              </w:rPr>
              <w:t>$</w:t>
            </w:r>
          </w:p>
        </w:tc>
        <w:tc>
          <w:tcPr>
            <w:tcW w:w="3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60" w:type="dxa"/>
            <w:vAlign w:val="bottom"/>
            <w:tcBorders>
              <w:top w:val="single" w:sz="8" w:color="auto"/>
              <w:bottom w:val="single" w:sz="8" w:color="CCEEFF"/>
            </w:tcBorders>
            <w:shd w:val="clear" w:color="auto" w:fill="CCEEFF"/>
          </w:tcPr>
          <w:p>
            <w:pPr>
              <w:jc w:val="right"/>
              <w:ind w:right="515"/>
              <w:spacing w:after="0"/>
              <w:rPr>
                <w:sz w:val="20"/>
                <w:szCs w:val="20"/>
                <w:color w:val="auto"/>
              </w:rPr>
            </w:pPr>
            <w:r>
              <w:rPr>
                <w:rFonts w:ascii="Arial" w:cs="Arial" w:eastAsia="Arial" w:hAnsi="Arial"/>
                <w:sz w:val="18"/>
                <w:szCs w:val="18"/>
                <w:color w:val="auto"/>
              </w:rPr>
              <w:t>3%</w:t>
            </w:r>
          </w:p>
        </w:tc>
      </w:tr>
      <w:tr>
        <w:trPr>
          <w:trHeight w:val="432"/>
        </w:trPr>
        <w:tc>
          <w:tcPr>
            <w:tcW w:w="5080" w:type="dxa"/>
            <w:vAlign w:val="bottom"/>
          </w:tcPr>
          <w:p>
            <w:pPr>
              <w:spacing w:after="0"/>
              <w:rPr>
                <w:sz w:val="20"/>
                <w:szCs w:val="20"/>
                <w:color w:val="auto"/>
              </w:rPr>
            </w:pPr>
            <w:r>
              <w:rPr>
                <w:rFonts w:ascii="Arial" w:cs="Arial" w:eastAsia="Arial" w:hAnsi="Arial"/>
                <w:sz w:val="18"/>
                <w:szCs w:val="18"/>
                <w:b w:val="1"/>
                <w:bCs w:val="1"/>
                <w:color w:val="auto"/>
              </w:rPr>
              <w:t>ILG Acquisition-Related Costs</w:t>
            </w: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324"/>
        </w:trPr>
        <w:tc>
          <w:tcPr>
            <w:tcW w:w="5080" w:type="dxa"/>
            <w:vAlign w:val="bottom"/>
          </w:tcPr>
          <w:p>
            <w:pPr>
              <w:ind w:left="660"/>
              <w:spacing w:after="0"/>
              <w:rPr>
                <w:sz w:val="20"/>
                <w:szCs w:val="20"/>
                <w:color w:val="auto"/>
              </w:rPr>
            </w:pPr>
            <w:r>
              <w:rPr>
                <w:rFonts w:ascii="Arial" w:cs="Arial" w:eastAsia="Arial" w:hAnsi="Arial"/>
                <w:sz w:val="18"/>
                <w:szCs w:val="18"/>
                <w:i w:val="1"/>
                <w:iCs w:val="1"/>
                <w:color w:val="auto"/>
              </w:rPr>
              <w:t>2020 First Quarter</w:t>
            </w: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372"/>
        </w:trPr>
        <w:tc>
          <w:tcPr>
            <w:tcW w:w="5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0" w:type="dxa"/>
            <w:vAlign w:val="bottom"/>
            <w:gridSpan w:val="5"/>
          </w:tcPr>
          <w:p>
            <w:pPr>
              <w:ind w:left="640"/>
              <w:spacing w:after="0"/>
              <w:rPr>
                <w:sz w:val="20"/>
                <w:szCs w:val="20"/>
                <w:color w:val="auto"/>
              </w:rPr>
            </w:pPr>
            <w:r>
              <w:rPr>
                <w:rFonts w:ascii="Arial" w:cs="Arial" w:eastAsia="Arial" w:hAnsi="Arial"/>
                <w:sz w:val="16"/>
                <w:szCs w:val="16"/>
                <w:b w:val="1"/>
                <w:bCs w:val="1"/>
                <w:color w:val="auto"/>
              </w:rPr>
              <w:t>Three Months Ended</w:t>
            </w:r>
          </w:p>
        </w:tc>
        <w:tc>
          <w:tcPr>
            <w:tcW w:w="1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33"/>
        </w:trPr>
        <w:tc>
          <w:tcPr>
            <w:tcW w:w="50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7"/>
        </w:trPr>
        <w:tc>
          <w:tcPr>
            <w:tcW w:w="508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140" w:type="dxa"/>
            <w:vAlign w:val="bottom"/>
          </w:tcPr>
          <w:p>
            <w:pPr>
              <w:spacing w:after="0"/>
              <w:rPr>
                <w:sz w:val="22"/>
                <w:szCs w:val="22"/>
                <w:color w:val="auto"/>
              </w:rPr>
            </w:pPr>
          </w:p>
        </w:tc>
        <w:tc>
          <w:tcPr>
            <w:tcW w:w="1420" w:type="dxa"/>
            <w:vAlign w:val="bottom"/>
            <w:gridSpan w:val="2"/>
          </w:tcPr>
          <w:p>
            <w:pPr>
              <w:ind w:left="60"/>
              <w:spacing w:after="0"/>
              <w:rPr>
                <w:sz w:val="20"/>
                <w:szCs w:val="20"/>
                <w:color w:val="auto"/>
              </w:rPr>
            </w:pPr>
            <w:r>
              <w:rPr>
                <w:rFonts w:ascii="Arial" w:cs="Arial" w:eastAsia="Arial" w:hAnsi="Arial"/>
                <w:sz w:val="16"/>
                <w:szCs w:val="16"/>
                <w:b w:val="1"/>
                <w:bCs w:val="1"/>
                <w:color w:val="auto"/>
              </w:rPr>
              <w:t>March 31, 2020</w:t>
            </w:r>
          </w:p>
        </w:tc>
        <w:tc>
          <w:tcPr>
            <w:tcW w:w="160" w:type="dxa"/>
            <w:vAlign w:val="bottom"/>
          </w:tcPr>
          <w:p>
            <w:pPr>
              <w:spacing w:after="0"/>
              <w:rPr>
                <w:sz w:val="22"/>
                <w:szCs w:val="22"/>
                <w:color w:val="auto"/>
              </w:rPr>
            </w:pPr>
          </w:p>
        </w:tc>
        <w:tc>
          <w:tcPr>
            <w:tcW w:w="1420" w:type="dxa"/>
            <w:vAlign w:val="bottom"/>
            <w:gridSpan w:val="2"/>
          </w:tcPr>
          <w:p>
            <w:pPr>
              <w:ind w:left="40"/>
              <w:spacing w:after="0"/>
              <w:rPr>
                <w:sz w:val="20"/>
                <w:szCs w:val="20"/>
                <w:color w:val="auto"/>
              </w:rPr>
            </w:pPr>
            <w:r>
              <w:rPr>
                <w:rFonts w:ascii="Arial" w:cs="Arial" w:eastAsia="Arial" w:hAnsi="Arial"/>
                <w:sz w:val="16"/>
                <w:szCs w:val="16"/>
                <w:b w:val="1"/>
                <w:bCs w:val="1"/>
                <w:color w:val="auto"/>
              </w:rPr>
              <w:t>March 31, 2019</w:t>
            </w:r>
          </w:p>
        </w:tc>
        <w:tc>
          <w:tcPr>
            <w:tcW w:w="1120" w:type="dxa"/>
            <w:vAlign w:val="bottom"/>
          </w:tcPr>
          <w:p>
            <w:pPr>
              <w:jc w:val="right"/>
              <w:ind w:right="35"/>
              <w:spacing w:after="0"/>
              <w:rPr>
                <w:sz w:val="20"/>
                <w:szCs w:val="20"/>
                <w:color w:val="auto"/>
              </w:rPr>
            </w:pPr>
            <w:r>
              <w:rPr>
                <w:rFonts w:ascii="Arial" w:cs="Arial" w:eastAsia="Arial" w:hAnsi="Arial"/>
                <w:sz w:val="16"/>
                <w:szCs w:val="16"/>
                <w:b w:val="1"/>
                <w:bCs w:val="1"/>
                <w:color w:val="auto"/>
              </w:rPr>
              <w:t>Change</w:t>
            </w:r>
          </w:p>
        </w:tc>
        <w:tc>
          <w:tcPr>
            <w:tcW w:w="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60" w:type="dxa"/>
            <w:vAlign w:val="bottom"/>
          </w:tcPr>
          <w:p>
            <w:pPr>
              <w:ind w:left="360"/>
              <w:spacing w:after="0"/>
              <w:rPr>
                <w:sz w:val="20"/>
                <w:szCs w:val="20"/>
                <w:color w:val="auto"/>
              </w:rPr>
            </w:pPr>
            <w:r>
              <w:rPr>
                <w:rFonts w:ascii="Arial" w:cs="Arial" w:eastAsia="Arial" w:hAnsi="Arial"/>
                <w:sz w:val="16"/>
                <w:szCs w:val="16"/>
                <w:b w:val="1"/>
                <w:bCs w:val="1"/>
                <w:color w:val="auto"/>
              </w:rPr>
              <w:t>% Change</w:t>
            </w:r>
          </w:p>
        </w:tc>
      </w:tr>
      <w:tr>
        <w:trPr>
          <w:trHeight w:val="243"/>
        </w:trPr>
        <w:tc>
          <w:tcPr>
            <w:tcW w:w="50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ILG acquisition-related costs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20" w:type="dxa"/>
            <w:vAlign w:val="bottom"/>
            <w:tcBorders>
              <w:top w:val="single" w:sz="8" w:color="CCEEFF"/>
            </w:tcBorders>
            <w:shd w:val="clear" w:color="auto" w:fill="CCEEFF"/>
          </w:tcPr>
          <w:p>
            <w:pPr>
              <w:spacing w:after="0"/>
              <w:rPr>
                <w:sz w:val="21"/>
                <w:szCs w:val="21"/>
                <w:color w:val="auto"/>
              </w:rPr>
            </w:pPr>
          </w:p>
        </w:tc>
        <w:tc>
          <w:tcPr>
            <w:tcW w:w="1120" w:type="dxa"/>
            <w:vAlign w:val="bottom"/>
            <w:tcBorders>
              <w:top w:val="single" w:sz="8" w:color="auto"/>
            </w:tcBorders>
            <w:shd w:val="clear" w:color="auto" w:fill="CCEEFF"/>
          </w:tcPr>
          <w:p>
            <w:pPr>
              <w:jc w:val="right"/>
              <w:ind w:right="915"/>
              <w:spacing w:after="0"/>
              <w:rPr>
                <w:sz w:val="20"/>
                <w:szCs w:val="20"/>
                <w:color w:val="auto"/>
              </w:rPr>
            </w:pPr>
            <w:r>
              <w:rPr>
                <w:rFonts w:ascii="Arial" w:cs="Arial" w:eastAsia="Arial" w:hAnsi="Arial"/>
                <w:sz w:val="18"/>
                <w:szCs w:val="18"/>
                <w:color w:val="auto"/>
                <w:w w:val="99"/>
              </w:rPr>
              <w:t>$</w:t>
            </w:r>
          </w:p>
        </w:tc>
        <w:tc>
          <w:tcPr>
            <w:tcW w:w="3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w:t>
            </w:r>
          </w:p>
        </w:tc>
        <w:tc>
          <w:tcPr>
            <w:tcW w:w="100" w:type="dxa"/>
            <w:vAlign w:val="bottom"/>
            <w:tcBorders>
              <w:top w:val="single" w:sz="8" w:color="CCEEFF"/>
            </w:tcBorders>
            <w:shd w:val="clear" w:color="auto" w:fill="CCEEFF"/>
          </w:tcPr>
          <w:p>
            <w:pPr>
              <w:spacing w:after="0"/>
              <w:rPr>
                <w:sz w:val="21"/>
                <w:szCs w:val="21"/>
                <w:color w:val="auto"/>
              </w:rPr>
            </w:pPr>
          </w:p>
        </w:tc>
        <w:tc>
          <w:tcPr>
            <w:tcW w:w="1460" w:type="dxa"/>
            <w:vAlign w:val="bottom"/>
            <w:tcBorders>
              <w:top w:val="single" w:sz="8" w:color="auto"/>
            </w:tcBorders>
            <w:shd w:val="clear" w:color="auto" w:fill="CCEEFF"/>
          </w:tcPr>
          <w:p>
            <w:pPr>
              <w:jc w:val="right"/>
              <w:ind w:right="475"/>
              <w:spacing w:after="0"/>
              <w:rPr>
                <w:sz w:val="20"/>
                <w:szCs w:val="20"/>
                <w:color w:val="auto"/>
              </w:rPr>
            </w:pPr>
            <w:r>
              <w:rPr>
                <w:rFonts w:ascii="Arial" w:cs="Arial" w:eastAsia="Arial" w:hAnsi="Arial"/>
                <w:sz w:val="18"/>
                <w:szCs w:val="18"/>
                <w:color w:val="auto"/>
              </w:rPr>
              <w:t>14%</w:t>
            </w:r>
          </w:p>
        </w:tc>
      </w:tr>
      <w:tr>
        <w:trPr>
          <w:trHeight w:val="27"/>
        </w:trPr>
        <w:tc>
          <w:tcPr>
            <w:tcW w:w="50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ILG acquisition-related costs include transaction costs, employee termination costs and integration costs. Transaction costs represent costs related to the planning and execution of the ILG Acquisition, primarily for financial advisory, legal, and other professional service fees, as well as certain tax related accruals. Employee termination costs represent charges for employee severance, retention and other termination related benefits. Acquisition and integration costs primarily represent integration employee salaries and share-based compensation, fees paid to change management consultants and technology-related costs.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2020 First Quarter</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0" w:type="dxa"/>
            <w:vAlign w:val="bottom"/>
            <w:gridSpan w:val="5"/>
          </w:tcPr>
          <w:p>
            <w:pPr>
              <w:ind w:left="640"/>
              <w:spacing w:after="0"/>
              <w:rPr>
                <w:sz w:val="20"/>
                <w:szCs w:val="20"/>
                <w:color w:val="auto"/>
              </w:rPr>
            </w:pPr>
            <w:r>
              <w:rPr>
                <w:rFonts w:ascii="Arial" w:cs="Arial" w:eastAsia="Arial" w:hAnsi="Arial"/>
                <w:sz w:val="16"/>
                <w:szCs w:val="16"/>
                <w:b w:val="1"/>
                <w:bCs w:val="1"/>
                <w:color w:val="auto"/>
              </w:rPr>
              <w:t>Three Months Ended</w:t>
            </w:r>
          </w:p>
        </w:tc>
        <w:tc>
          <w:tcPr>
            <w:tcW w:w="10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33"/>
        </w:trPr>
        <w:tc>
          <w:tcPr>
            <w:tcW w:w="50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7"/>
        </w:trPr>
        <w:tc>
          <w:tcPr>
            <w:tcW w:w="508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140" w:type="dxa"/>
            <w:vAlign w:val="bottom"/>
          </w:tcPr>
          <w:p>
            <w:pPr>
              <w:spacing w:after="0"/>
              <w:rPr>
                <w:sz w:val="22"/>
                <w:szCs w:val="22"/>
                <w:color w:val="auto"/>
              </w:rPr>
            </w:pPr>
          </w:p>
        </w:tc>
        <w:tc>
          <w:tcPr>
            <w:tcW w:w="1420" w:type="dxa"/>
            <w:vAlign w:val="bottom"/>
            <w:gridSpan w:val="2"/>
          </w:tcPr>
          <w:p>
            <w:pPr>
              <w:ind w:left="60"/>
              <w:spacing w:after="0"/>
              <w:rPr>
                <w:sz w:val="20"/>
                <w:szCs w:val="20"/>
                <w:color w:val="auto"/>
              </w:rPr>
            </w:pPr>
            <w:r>
              <w:rPr>
                <w:rFonts w:ascii="Arial" w:cs="Arial" w:eastAsia="Arial" w:hAnsi="Arial"/>
                <w:sz w:val="16"/>
                <w:szCs w:val="16"/>
                <w:b w:val="1"/>
                <w:bCs w:val="1"/>
                <w:color w:val="auto"/>
              </w:rPr>
              <w:t>March 31, 2020</w:t>
            </w:r>
          </w:p>
        </w:tc>
        <w:tc>
          <w:tcPr>
            <w:tcW w:w="160" w:type="dxa"/>
            <w:vAlign w:val="bottom"/>
          </w:tcPr>
          <w:p>
            <w:pPr>
              <w:spacing w:after="0"/>
              <w:rPr>
                <w:sz w:val="22"/>
                <w:szCs w:val="22"/>
                <w:color w:val="auto"/>
              </w:rPr>
            </w:pPr>
          </w:p>
        </w:tc>
        <w:tc>
          <w:tcPr>
            <w:tcW w:w="1420" w:type="dxa"/>
            <w:vAlign w:val="bottom"/>
            <w:gridSpan w:val="2"/>
          </w:tcPr>
          <w:p>
            <w:pPr>
              <w:ind w:left="40"/>
              <w:spacing w:after="0"/>
              <w:rPr>
                <w:sz w:val="20"/>
                <w:szCs w:val="20"/>
                <w:color w:val="auto"/>
              </w:rPr>
            </w:pPr>
            <w:r>
              <w:rPr>
                <w:rFonts w:ascii="Arial" w:cs="Arial" w:eastAsia="Arial" w:hAnsi="Arial"/>
                <w:sz w:val="16"/>
                <w:szCs w:val="16"/>
                <w:b w:val="1"/>
                <w:bCs w:val="1"/>
                <w:color w:val="auto"/>
              </w:rPr>
              <w:t>March 31, 2019</w:t>
            </w: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Change</w:t>
            </w: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60" w:type="dxa"/>
            <w:vAlign w:val="bottom"/>
          </w:tcPr>
          <w:p>
            <w:pPr>
              <w:jc w:val="center"/>
              <w:spacing w:after="0"/>
              <w:rPr>
                <w:sz w:val="20"/>
                <w:szCs w:val="20"/>
                <w:color w:val="auto"/>
              </w:rPr>
            </w:pPr>
            <w:r>
              <w:rPr>
                <w:rFonts w:ascii="Arial" w:cs="Arial" w:eastAsia="Arial" w:hAnsi="Arial"/>
                <w:sz w:val="16"/>
                <w:szCs w:val="16"/>
                <w:b w:val="1"/>
                <w:bCs w:val="1"/>
                <w:color w:val="auto"/>
                <w:w w:val="95"/>
              </w:rPr>
              <w:t>% Change</w:t>
            </w:r>
          </w:p>
        </w:tc>
      </w:tr>
      <w:tr>
        <w:trPr>
          <w:trHeight w:val="243"/>
        </w:trPr>
        <w:tc>
          <w:tcPr>
            <w:tcW w:w="50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Benefit (provision) for income taxes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58</w:t>
            </w:r>
          </w:p>
        </w:tc>
        <w:tc>
          <w:tcPr>
            <w:tcW w:w="10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tcBorders>
              <w:top w:val="single" w:sz="8" w:color="CCEEFF"/>
            </w:tcBorders>
            <w:shd w:val="clear" w:color="auto" w:fill="CCEEFF"/>
          </w:tcPr>
          <w:p>
            <w:pPr>
              <w:spacing w:after="0"/>
              <w:rPr>
                <w:sz w:val="21"/>
                <w:szCs w:val="21"/>
                <w:color w:val="auto"/>
              </w:rPr>
            </w:pPr>
          </w:p>
        </w:tc>
        <w:tc>
          <w:tcPr>
            <w:tcW w:w="1080" w:type="dxa"/>
            <w:vAlign w:val="bottom"/>
            <w:tcBorders>
              <w:top w:val="single" w:sz="8" w:color="auto"/>
            </w:tcBorders>
            <w:shd w:val="clear" w:color="auto" w:fill="CCEEFF"/>
          </w:tcPr>
          <w:p>
            <w:pPr>
              <w:jc w:val="right"/>
              <w:ind w:right="875"/>
              <w:spacing w:after="0"/>
              <w:rPr>
                <w:sz w:val="20"/>
                <w:szCs w:val="20"/>
                <w:color w:val="auto"/>
              </w:rPr>
            </w:pPr>
            <w:r>
              <w:rPr>
                <w:rFonts w:ascii="Arial" w:cs="Arial" w:eastAsia="Arial" w:hAnsi="Arial"/>
                <w:sz w:val="18"/>
                <w:szCs w:val="18"/>
                <w:color w:val="auto"/>
                <w:w w:val="99"/>
              </w:rPr>
              <w:t>$</w:t>
            </w:r>
          </w:p>
        </w:tc>
        <w:tc>
          <w:tcPr>
            <w:tcW w:w="38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73</w:t>
            </w:r>
          </w:p>
        </w:tc>
        <w:tc>
          <w:tcPr>
            <w:tcW w:w="100" w:type="dxa"/>
            <w:vAlign w:val="bottom"/>
            <w:tcBorders>
              <w:top w:val="single" w:sz="8" w:color="CCEEFF"/>
            </w:tcBorders>
            <w:shd w:val="clear" w:color="auto" w:fill="CCEEFF"/>
          </w:tcPr>
          <w:p>
            <w:pPr>
              <w:spacing w:after="0"/>
              <w:rPr>
                <w:sz w:val="21"/>
                <w:szCs w:val="21"/>
                <w:color w:val="auto"/>
              </w:rPr>
            </w:pPr>
          </w:p>
        </w:tc>
        <w:tc>
          <w:tcPr>
            <w:tcW w:w="14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NM</w:t>
            </w:r>
          </w:p>
        </w:tc>
      </w:tr>
      <w:tr>
        <w:trPr>
          <w:trHeight w:val="27"/>
        </w:trPr>
        <w:tc>
          <w:tcPr>
            <w:tcW w:w="50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The increase in the benefit for income taxes is predominately attributable to a pre-tax loss, a reduction in uncertain tax benefits predominately related to a settlement with a taxing authority (for which an offset of $32 million relating to an indemnification asset from Marriott International, Inc. is recorded in (Losses) gains and other (expense) income, net), and a change in our projected mix of earnings in international jurisdictions with differing tax rates and jurisdictions where valuation allowances are recorded.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Noncontrolling Interest</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2020 First Quarter</w:t>
      </w:r>
    </w:p>
    <w:p>
      <w:pPr>
        <w:spacing w:after="0" w:line="185" w:lineRule="exact"/>
        <w:rPr>
          <w:sz w:val="20"/>
          <w:szCs w:val="20"/>
          <w:color w:val="auto"/>
        </w:rPr>
      </w:pPr>
    </w:p>
    <w:tbl>
      <w:tblPr>
        <w:tblLayout w:type="fixed"/>
        <w:tblInd w:w="1040" w:type="dxa"/>
        <w:tblCellMar>
          <w:top w:w="0" w:type="dxa"/>
          <w:left w:w="0" w:type="dxa"/>
          <w:bottom w:w="0" w:type="dxa"/>
          <w:right w:w="0" w:type="dxa"/>
        </w:tblCellMar>
      </w:tblPr>
      <w:tr>
        <w:trPr>
          <w:trHeight w:val="210"/>
        </w:trPr>
        <w:tc>
          <w:tcPr>
            <w:tcW w:w="3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60" w:type="dxa"/>
            <w:vAlign w:val="bottom"/>
            <w:gridSpan w:val="3"/>
          </w:tcPr>
          <w:p>
            <w:pPr>
              <w:jc w:val="right"/>
              <w:ind w:right="75"/>
              <w:spacing w:after="0"/>
              <w:rPr>
                <w:sz w:val="20"/>
                <w:szCs w:val="20"/>
                <w:color w:val="auto"/>
              </w:rPr>
            </w:pPr>
            <w:r>
              <w:rPr>
                <w:rFonts w:ascii="Arial" w:cs="Arial" w:eastAsia="Arial" w:hAnsi="Arial"/>
                <w:sz w:val="16"/>
                <w:szCs w:val="16"/>
                <w:b w:val="1"/>
                <w:bCs w:val="1"/>
                <w:color w:val="auto"/>
              </w:rPr>
              <w:t>Three Months Ended</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33"/>
        </w:trPr>
        <w:tc>
          <w:tcPr>
            <w:tcW w:w="3920" w:type="dxa"/>
            <w:vAlign w:val="bottom"/>
          </w:tcPr>
          <w:p>
            <w:pPr>
              <w:spacing w:after="0"/>
              <w:rPr>
                <w:sz w:val="2"/>
                <w:szCs w:val="2"/>
                <w:color w:val="auto"/>
              </w:rPr>
            </w:pPr>
          </w:p>
        </w:tc>
        <w:tc>
          <w:tcPr>
            <w:tcW w:w="1360" w:type="dxa"/>
            <w:vAlign w:val="bottom"/>
            <w:tcBorders>
              <w:bottom w:val="single" w:sz="8" w:color="auto"/>
            </w:tcBorders>
            <w:gridSpan w:val="3"/>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7"/>
        </w:trPr>
        <w:tc>
          <w:tcPr>
            <w:tcW w:w="39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2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March 31, 2020</w:t>
            </w:r>
          </w:p>
        </w:tc>
        <w:tc>
          <w:tcPr>
            <w:tcW w:w="12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6"/>
                <w:szCs w:val="16"/>
                <w:b w:val="1"/>
                <w:bCs w:val="1"/>
                <w:color w:val="auto"/>
                <w:w w:val="98"/>
              </w:rPr>
              <w:t>March 31, 2019</w:t>
            </w:r>
          </w:p>
        </w:tc>
        <w:tc>
          <w:tcPr>
            <w:tcW w:w="10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Change</w:t>
            </w:r>
          </w:p>
        </w:tc>
        <w:tc>
          <w:tcPr>
            <w:tcW w:w="3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5"/>
              </w:rPr>
              <w:t>% Change</w:t>
            </w:r>
          </w:p>
        </w:tc>
      </w:tr>
      <w:tr>
        <w:trPr>
          <w:trHeight w:val="243"/>
        </w:trPr>
        <w:tc>
          <w:tcPr>
            <w:tcW w:w="39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8"/>
              </w:rPr>
              <w:t>Net income attributable to noncontrolling interests</w:t>
            </w:r>
          </w:p>
        </w:tc>
        <w:tc>
          <w:tcPr>
            <w:tcW w:w="34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1"/>
                <w:szCs w:val="21"/>
                <w:color w:val="auto"/>
              </w:rPr>
            </w:pPr>
          </w:p>
        </w:tc>
        <w:tc>
          <w:tcPr>
            <w:tcW w:w="840" w:type="dxa"/>
            <w:vAlign w:val="bottom"/>
            <w:shd w:val="clear" w:color="auto" w:fill="CCEEFF"/>
          </w:tcPr>
          <w:p>
            <w:pPr>
              <w:jc w:val="right"/>
              <w:ind w:right="655"/>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715"/>
              <w:spacing w:after="0"/>
              <w:rPr>
                <w:sz w:val="20"/>
                <w:szCs w:val="20"/>
                <w:color w:val="auto"/>
              </w:rPr>
            </w:pPr>
            <w:r>
              <w:rPr>
                <w:rFonts w:ascii="Arial" w:cs="Arial" w:eastAsia="Arial" w:hAnsi="Arial"/>
                <w:sz w:val="18"/>
                <w:szCs w:val="18"/>
                <w:color w:val="auto"/>
                <w:w w:val="99"/>
              </w:rPr>
              <w:t>$</w:t>
            </w:r>
          </w:p>
        </w:tc>
        <w:tc>
          <w:tcPr>
            <w:tcW w:w="4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r>
        <w:trPr>
          <w:trHeight w:val="27"/>
        </w:trPr>
        <w:tc>
          <w:tcPr>
            <w:tcW w:w="39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See Footnote 2 “Significant Accounting Policies and Recent Accounting Standards” to our Financial Statements for a discussion of recently issued accounting pronouncements, including information on new accounting standards and the future adoption of such standards.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240"/>
          </w:cols>
          <w:pgMar w:left="320" w:top="125" w:right="33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jc w:val="both"/>
        <w:ind w:right="160" w:firstLine="648"/>
        <w:spacing w:after="0" w:line="263" w:lineRule="auto"/>
        <w:rPr>
          <w:sz w:val="20"/>
          <w:szCs w:val="20"/>
          <w:color w:val="auto"/>
        </w:rPr>
      </w:pPr>
      <w:r>
        <w:rPr>
          <w:rFonts w:ascii="Arial" w:cs="Arial" w:eastAsia="Arial" w:hAnsi="Arial"/>
          <w:sz w:val="18"/>
          <w:szCs w:val="18"/>
          <w:color w:val="auto"/>
        </w:rPr>
        <w:t>Typically, our capital needs are supported by cash on hand ($651 million at the end of the first quarter of 2020), cash generated from operations, our ability to raise capital through securitizations in the ABS market and, to the extent necessary, funds available under the Warehouse Credit Facility and the Revolving Corporate Credit Facility.</w:t>
      </w:r>
    </w:p>
    <w:p>
      <w:pPr>
        <w:spacing w:after="0" w:line="76" w:lineRule="exact"/>
        <w:rPr>
          <w:sz w:val="20"/>
          <w:szCs w:val="20"/>
          <w:color w:val="auto"/>
        </w:rPr>
      </w:pPr>
    </w:p>
    <w:p>
      <w:pPr>
        <w:jc w:val="both"/>
        <w:ind w:right="280" w:firstLine="648"/>
        <w:spacing w:after="0" w:line="263" w:lineRule="auto"/>
        <w:rPr>
          <w:sz w:val="20"/>
          <w:szCs w:val="20"/>
          <w:color w:val="auto"/>
        </w:rPr>
      </w:pPr>
      <w:r>
        <w:rPr>
          <w:rFonts w:ascii="Arial" w:cs="Arial" w:eastAsia="Arial" w:hAnsi="Arial"/>
          <w:sz w:val="18"/>
          <w:szCs w:val="18"/>
          <w:color w:val="auto"/>
        </w:rPr>
        <w:t>As a precautionary measure to ensure adequate liquidity for a sustained period, we borrowed the remaining $386 million under our Revolving Corporate Credit Facility in March 2020 to increase our cash position and preserve financial flexibility in light of the impact on global markets resulting from the COVID-19 pandemic. Further, we significantly reduced cash spending by:</w:t>
      </w:r>
    </w:p>
    <w:p>
      <w:pPr>
        <w:spacing w:after="0" w:line="76" w:lineRule="exact"/>
        <w:rPr>
          <w:sz w:val="20"/>
          <w:szCs w:val="20"/>
          <w:color w:val="auto"/>
        </w:rPr>
      </w:pPr>
    </w:p>
    <w:p>
      <w:pPr>
        <w:ind w:left="1360" w:hanging="704"/>
        <w:spacing w:after="0"/>
        <w:tabs>
          <w:tab w:leader="none" w:pos="13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Reducing executive leadership team salaries by 50%;</w:t>
      </w:r>
    </w:p>
    <w:p>
      <w:pPr>
        <w:spacing w:after="0" w:line="117" w:lineRule="exact"/>
        <w:rPr>
          <w:rFonts w:ascii="Arial" w:cs="Arial" w:eastAsia="Arial" w:hAnsi="Arial"/>
          <w:sz w:val="18"/>
          <w:szCs w:val="18"/>
          <w:color w:val="auto"/>
        </w:rPr>
      </w:pPr>
    </w:p>
    <w:p>
      <w:pPr>
        <w:ind w:left="1360" w:hanging="704"/>
        <w:spacing w:after="0"/>
        <w:tabs>
          <w:tab w:leader="none" w:pos="13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Furloughing approximately 65% of our associates and reducing work weeks by roughly 25%, on average, for our remaining associates;</w:t>
      </w:r>
    </w:p>
    <w:p>
      <w:pPr>
        <w:spacing w:after="0" w:line="140" w:lineRule="exact"/>
        <w:rPr>
          <w:rFonts w:ascii="Arial" w:cs="Arial" w:eastAsia="Arial" w:hAnsi="Arial"/>
          <w:sz w:val="16"/>
          <w:szCs w:val="16"/>
          <w:color w:val="auto"/>
        </w:rPr>
      </w:pPr>
    </w:p>
    <w:p>
      <w:pPr>
        <w:ind w:left="1360" w:hanging="704"/>
        <w:spacing w:after="0"/>
        <w:tabs>
          <w:tab w:leader="none" w:pos="13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Deferring merit increases and 401(k) match contributions;</w:t>
      </w:r>
    </w:p>
    <w:p>
      <w:pPr>
        <w:spacing w:after="0" w:line="117" w:lineRule="exact"/>
        <w:rPr>
          <w:rFonts w:ascii="Arial" w:cs="Arial" w:eastAsia="Arial" w:hAnsi="Arial"/>
          <w:sz w:val="18"/>
          <w:szCs w:val="18"/>
          <w:color w:val="auto"/>
        </w:rPr>
      </w:pPr>
    </w:p>
    <w:p>
      <w:pPr>
        <w:ind w:left="1360" w:hanging="704"/>
        <w:spacing w:after="0"/>
        <w:tabs>
          <w:tab w:leader="none" w:pos="13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Deferring inventory and other investments by up to $240 million and substantially reducing other operating costs; and</w:t>
      </w:r>
    </w:p>
    <w:p>
      <w:pPr>
        <w:spacing w:after="0" w:line="117" w:lineRule="exact"/>
        <w:rPr>
          <w:rFonts w:ascii="Arial" w:cs="Arial" w:eastAsia="Arial" w:hAnsi="Arial"/>
          <w:sz w:val="18"/>
          <w:szCs w:val="18"/>
          <w:color w:val="auto"/>
        </w:rPr>
      </w:pPr>
    </w:p>
    <w:p>
      <w:pPr>
        <w:ind w:left="1360" w:hanging="704"/>
        <w:spacing w:after="0"/>
        <w:tabs>
          <w:tab w:leader="none" w:pos="13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Temporarily suspending share repurchases and dividends.</w:t>
      </w:r>
    </w:p>
    <w:p>
      <w:pPr>
        <w:spacing w:after="0" w:line="117" w:lineRule="exact"/>
        <w:rPr>
          <w:sz w:val="20"/>
          <w:szCs w:val="20"/>
          <w:color w:val="auto"/>
        </w:rPr>
      </w:pPr>
    </w:p>
    <w:p>
      <w:pPr>
        <w:ind w:right="200" w:firstLine="648"/>
        <w:spacing w:after="0" w:line="263" w:lineRule="auto"/>
        <w:rPr>
          <w:sz w:val="20"/>
          <w:szCs w:val="20"/>
          <w:color w:val="auto"/>
        </w:rPr>
      </w:pPr>
      <w:r>
        <w:rPr>
          <w:rFonts w:ascii="Arial" w:cs="Arial" w:eastAsia="Arial" w:hAnsi="Arial"/>
          <w:sz w:val="18"/>
          <w:szCs w:val="18"/>
          <w:color w:val="auto"/>
        </w:rPr>
        <w:t>We anticipate that, even if sales center closures and limited transient rentals were to persist, our cash position will provide us with adequate liquidity to fund our operations and debt service payments through 2021. We have no corporate debt maturities until September 2022 and are currently in compliance with all debt covenants.</w:t>
      </w:r>
    </w:p>
    <w:p>
      <w:pPr>
        <w:spacing w:after="0" w:line="76"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At March 31, 2020, we had $4.7 billion of total gross debt outstanding, which included $1.9 billion of non-recourse debt associated with vacation ownership notes receivable securitizations, $1.1 billion of senior unsecured notes, $1.5 billion on our Corporate Credit Facility, $230 million of Convertible Notes and $9 million related to financed lease obligations.</w:t>
      </w:r>
    </w:p>
    <w:p>
      <w:pPr>
        <w:spacing w:after="0" w:line="76" w:lineRule="exact"/>
        <w:rPr>
          <w:sz w:val="20"/>
          <w:szCs w:val="20"/>
          <w:color w:val="auto"/>
        </w:rPr>
      </w:pPr>
    </w:p>
    <w:p>
      <w:pPr>
        <w:jc w:val="both"/>
        <w:ind w:right="80" w:firstLine="648"/>
        <w:spacing w:after="0" w:line="286" w:lineRule="auto"/>
        <w:rPr>
          <w:sz w:val="20"/>
          <w:szCs w:val="20"/>
          <w:color w:val="auto"/>
        </w:rPr>
      </w:pPr>
      <w:r>
        <w:rPr>
          <w:rFonts w:ascii="Arial" w:cs="Arial" w:eastAsia="Arial" w:hAnsi="Arial"/>
          <w:sz w:val="17"/>
          <w:szCs w:val="17"/>
          <w:color w:val="auto"/>
        </w:rPr>
        <w:t>At the end of the first quarter of 2020, we had $762 million of real estate inventory on hand, comprised of $741 million of finished goods and $21 million of work in progress. In addition, we had $147 million of completed vacation ownership units that have been classified as a component of Property and equipment until the time at which they are legally registered and held for sale as vacation ownership products.</w:t>
      </w:r>
    </w:p>
    <w:p>
      <w:pPr>
        <w:spacing w:after="0" w:line="57"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Subsequent to the first quarter of 2020, we issued $500 million aggregate principal amount of senior secured notes and we amended our warehouse credit facility to increase the borrowing capacity by approximately $181 million, bringing the total capacity to approximately $531 million. We also entered into a waiver (the “Waiver”) to suspend the requirement to comply with the leverage covenant in the Revolving Corporate Credit Facility for up to four quarters, commencing with the fiscal quarter ending June 30, 2020. In addition, in May 2020, we repaid $596 million, the entire amount outstanding at March 31, 2020, on the Revolving Corporate Credit Facility.</w:t>
      </w:r>
    </w:p>
    <w:p>
      <w:pPr>
        <w:spacing w:after="0" w:line="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changes in cash, cash equivalents and restricted cash:</w:t>
      </w:r>
    </w:p>
    <w:p>
      <w:pPr>
        <w:spacing w:after="0" w:line="185" w:lineRule="exact"/>
        <w:rPr>
          <w:sz w:val="20"/>
          <w:szCs w:val="20"/>
          <w:color w:val="auto"/>
        </w:rPr>
      </w:pPr>
    </w:p>
    <w:p>
      <w:pPr>
        <w:ind w:left="8660"/>
        <w:spacing w:after="0"/>
        <w:rPr>
          <w:sz w:val="20"/>
          <w:szCs w:val="20"/>
          <w:color w:val="auto"/>
        </w:rPr>
      </w:pPr>
      <w:r>
        <w:rPr>
          <w:rFonts w:ascii="Arial" w:cs="Arial" w:eastAsia="Arial" w:hAnsi="Arial"/>
          <w:sz w:val="16"/>
          <w:szCs w:val="16"/>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4788535</wp:posOffset>
            </wp:positionH>
            <wp:positionV relativeFrom="paragraph">
              <wp:posOffset>37465</wp:posOffset>
            </wp:positionV>
            <wp:extent cx="234886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348865" cy="8890"/>
                    </a:xfrm>
                    <a:prstGeom prst="rect">
                      <a:avLst/>
                    </a:prstGeom>
                    <a:noFill/>
                  </pic:spPr>
                </pic:pic>
              </a:graphicData>
            </a:graphic>
          </wp:anchor>
        </w:drawing>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54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240" w:type="dxa"/>
            <w:vAlign w:val="bottom"/>
          </w:tcPr>
          <w:p>
            <w:pPr>
              <w:spacing w:after="0"/>
              <w:rPr>
                <w:sz w:val="20"/>
                <w:szCs w:val="20"/>
                <w:color w:val="auto"/>
              </w:rPr>
            </w:pPr>
          </w:p>
        </w:tc>
        <w:tc>
          <w:tcPr>
            <w:tcW w:w="1660" w:type="dxa"/>
            <w:vAlign w:val="bottom"/>
            <w:gridSpan w:val="2"/>
          </w:tcPr>
          <w:p>
            <w:pPr>
              <w:ind w:left="120"/>
              <w:spacing w:after="0"/>
              <w:rPr>
                <w:sz w:val="20"/>
                <w:szCs w:val="20"/>
                <w:color w:val="auto"/>
              </w:rPr>
            </w:pPr>
            <w:r>
              <w:rPr>
                <w:rFonts w:ascii="Arial" w:cs="Arial" w:eastAsia="Arial" w:hAnsi="Arial"/>
                <w:sz w:val="16"/>
                <w:szCs w:val="16"/>
                <w:b w:val="1"/>
                <w:bCs w:val="1"/>
                <w:color w:val="auto"/>
              </w:rPr>
              <w:t>March 31, 2020</w:t>
            </w:r>
          </w:p>
        </w:tc>
        <w:tc>
          <w:tcPr>
            <w:tcW w:w="240" w:type="dxa"/>
            <w:vAlign w:val="bottom"/>
          </w:tcPr>
          <w:p>
            <w:pPr>
              <w:spacing w:after="0"/>
              <w:rPr>
                <w:sz w:val="20"/>
                <w:szCs w:val="20"/>
                <w:color w:val="auto"/>
              </w:rPr>
            </w:pPr>
          </w:p>
        </w:tc>
        <w:tc>
          <w:tcPr>
            <w:tcW w:w="1560" w:type="dxa"/>
            <w:vAlign w:val="bottom"/>
          </w:tcPr>
          <w:p>
            <w:pPr>
              <w:jc w:val="right"/>
              <w:ind w:right="272"/>
              <w:spacing w:after="0"/>
              <w:rPr>
                <w:sz w:val="20"/>
                <w:szCs w:val="20"/>
                <w:color w:val="auto"/>
              </w:rPr>
            </w:pPr>
            <w:r>
              <w:rPr>
                <w:rFonts w:ascii="Arial" w:cs="Arial" w:eastAsia="Arial" w:hAnsi="Arial"/>
                <w:sz w:val="16"/>
                <w:szCs w:val="16"/>
                <w:b w:val="1"/>
                <w:bCs w:val="1"/>
                <w:color w:val="auto"/>
              </w:rPr>
              <w:t>March 31, 2019</w:t>
            </w:r>
          </w:p>
        </w:tc>
      </w:tr>
      <w:tr>
        <w:trPr>
          <w:trHeight w:val="250"/>
        </w:trPr>
        <w:tc>
          <w:tcPr>
            <w:tcW w:w="75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cash equivalents and restricted cash provided by (used in):</w:t>
            </w: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5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56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7540" w:type="dxa"/>
            <w:vAlign w:val="bottom"/>
          </w:tcPr>
          <w:p>
            <w:pPr>
              <w:ind w:left="280"/>
              <w:spacing w:after="0"/>
              <w:rPr>
                <w:sz w:val="20"/>
                <w:szCs w:val="20"/>
                <w:color w:val="auto"/>
              </w:rPr>
            </w:pPr>
            <w:r>
              <w:rPr>
                <w:rFonts w:ascii="Arial" w:cs="Arial" w:eastAsia="Arial" w:hAnsi="Arial"/>
                <w:sz w:val="18"/>
                <w:szCs w:val="18"/>
                <w:color w:val="auto"/>
              </w:rPr>
              <w:t>Operating activities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(122)</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ind w:right="12"/>
              <w:spacing w:after="0"/>
              <w:rPr>
                <w:sz w:val="20"/>
                <w:szCs w:val="20"/>
                <w:color w:val="auto"/>
              </w:rPr>
            </w:pPr>
            <w:r>
              <w:rPr>
                <w:rFonts w:ascii="Arial" w:cs="Arial" w:eastAsia="Arial" w:hAnsi="Arial"/>
                <w:sz w:val="18"/>
                <w:szCs w:val="18"/>
                <w:color w:val="auto"/>
              </w:rPr>
              <w:t>28</w:t>
            </w:r>
          </w:p>
        </w:tc>
      </w:tr>
      <w:tr>
        <w:trPr>
          <w:trHeight w:val="27"/>
        </w:trPr>
        <w:tc>
          <w:tcPr>
            <w:tcW w:w="7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Investing activities</w:t>
            </w:r>
          </w:p>
        </w:tc>
        <w:tc>
          <w:tcPr>
            <w:tcW w:w="2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w:t>
            </w:r>
          </w:p>
        </w:tc>
      </w:tr>
      <w:tr>
        <w:trPr>
          <w:trHeight w:val="243"/>
        </w:trPr>
        <w:tc>
          <w:tcPr>
            <w:tcW w:w="7540" w:type="dxa"/>
            <w:vAlign w:val="bottom"/>
          </w:tcPr>
          <w:p>
            <w:pPr>
              <w:ind w:left="280"/>
              <w:spacing w:after="0"/>
              <w:rPr>
                <w:sz w:val="20"/>
                <w:szCs w:val="20"/>
                <w:color w:val="auto"/>
              </w:rPr>
            </w:pPr>
            <w:r>
              <w:rPr>
                <w:rFonts w:ascii="Arial" w:cs="Arial" w:eastAsia="Arial" w:hAnsi="Arial"/>
                <w:sz w:val="18"/>
                <w:szCs w:val="18"/>
                <w:color w:val="auto"/>
              </w:rPr>
              <w:t>Financing activities</w:t>
            </w:r>
          </w:p>
        </w:tc>
        <w:tc>
          <w:tcPr>
            <w:tcW w:w="240" w:type="dxa"/>
            <w:vAlign w:val="bottom"/>
          </w:tcPr>
          <w:p>
            <w:pPr>
              <w:spacing w:after="0"/>
              <w:rPr>
                <w:sz w:val="21"/>
                <w:szCs w:val="21"/>
                <w:color w:val="auto"/>
              </w:rPr>
            </w:pPr>
          </w:p>
        </w:tc>
        <w:tc>
          <w:tcPr>
            <w:tcW w:w="1560" w:type="dxa"/>
            <w:vAlign w:val="bottom"/>
          </w:tcPr>
          <w:p>
            <w:pPr>
              <w:jc w:val="right"/>
              <w:ind w:right="32"/>
              <w:spacing w:after="0"/>
              <w:rPr>
                <w:sz w:val="20"/>
                <w:szCs w:val="20"/>
                <w:color w:val="auto"/>
              </w:rPr>
            </w:pPr>
            <w:r>
              <w:rPr>
                <w:rFonts w:ascii="Arial" w:cs="Arial" w:eastAsia="Arial" w:hAnsi="Arial"/>
                <w:sz w:val="18"/>
                <w:szCs w:val="18"/>
                <w:color w:val="auto"/>
              </w:rPr>
              <w:t>468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27"/>
        </w:trPr>
        <w:tc>
          <w:tcPr>
            <w:tcW w:w="7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0"/>
        </w:trPr>
        <w:tc>
          <w:tcPr>
            <w:tcW w:w="7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Effect of change in exchange rates on cash, cash equivalents and restricted cash</w:t>
            </w:r>
          </w:p>
        </w:tc>
        <w:tc>
          <w:tcPr>
            <w:tcW w:w="24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w:t>
            </w:r>
          </w:p>
        </w:tc>
      </w:tr>
      <w:tr>
        <w:trPr>
          <w:trHeight w:val="237"/>
        </w:trPr>
        <w:tc>
          <w:tcPr>
            <w:tcW w:w="7540" w:type="dxa"/>
            <w:vAlign w:val="bottom"/>
          </w:tcPr>
          <w:p>
            <w:pPr>
              <w:ind w:left="500"/>
              <w:spacing w:after="0"/>
              <w:rPr>
                <w:sz w:val="20"/>
                <w:szCs w:val="20"/>
                <w:color w:val="auto"/>
              </w:rPr>
            </w:pPr>
            <w:r>
              <w:rPr>
                <w:rFonts w:ascii="Arial" w:cs="Arial" w:eastAsia="Arial" w:hAnsi="Arial"/>
                <w:sz w:val="18"/>
                <w:szCs w:val="18"/>
                <w:color w:val="auto"/>
              </w:rPr>
              <w:t>Net change in cash, cash equivalents and restricted cash</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319</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w:t>
            </w:r>
          </w:p>
        </w:tc>
      </w:tr>
      <w:tr>
        <w:trPr>
          <w:trHeight w:val="27"/>
        </w:trPr>
        <w:tc>
          <w:tcPr>
            <w:tcW w:w="75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0"/>
        </w:trPr>
        <w:tc>
          <w:tcPr>
            <w:tcW w:w="75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from Operating Activities</w:t>
      </w:r>
    </w:p>
    <w:p>
      <w:pPr>
        <w:spacing w:after="0" w:line="117"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Our primary sources of funds from operations are (1) cash sales and down payments on financed sales, (2) cash from our financing operations, including principal and interest payments received on outstanding vacation ownership notes receivable, (3) cash from fee-based membership, exchange and rental transactions and (4) net cash generated from our rental and resort management and other services operations. Outflows include spending for the development of new phases of existing resorts, the acquisition of additional inventory, enhancement of our inventory exchange network of resorts and related technology infrastructure and funding our working capital needs.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240"/>
          </w:cols>
          <w:pgMar w:left="320" w:top="125" w:right="33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We minimize our working capital needs through cash management, strict credit-granting policies and disciplined collection efforts. Our working capital needs fluctuate throughout the year given the timing of annual maintenance fees on unsold inventory we pay to property owners’ associations and certain annual compensation-related outflows. In addition, our cash from operations varies due to the timing of our owners’ repayment of vacation ownership notes receivable, the closing or recording of sales contracts for vacation ownership products, financing propensity and cash outlays for inventory acquisition and development.</w:t>
      </w:r>
    </w:p>
    <w:p>
      <w:pPr>
        <w:spacing w:after="0" w:line="80" w:lineRule="exact"/>
        <w:rPr>
          <w:sz w:val="20"/>
          <w:szCs w:val="20"/>
          <w:color w:val="auto"/>
        </w:rPr>
      </w:pPr>
    </w:p>
    <w:p>
      <w:pPr>
        <w:ind w:right="140" w:firstLine="648"/>
        <w:spacing w:after="0" w:line="279" w:lineRule="auto"/>
        <w:rPr>
          <w:sz w:val="20"/>
          <w:szCs w:val="20"/>
          <w:color w:val="auto"/>
        </w:rPr>
      </w:pPr>
      <w:r>
        <w:rPr>
          <w:rFonts w:ascii="Arial" w:cs="Arial" w:eastAsia="Arial" w:hAnsi="Arial"/>
          <w:sz w:val="17"/>
          <w:szCs w:val="17"/>
          <w:color w:val="auto"/>
        </w:rPr>
        <w:t>In the first quarter of 2020, we had $122 million of cash outflows for operating activities, while we generated $28 million in the first quarter of 2019. Excluding the impact of changes in net income (loss) and adjustments for non-cash items, the change in cash flows from operations reflected higher inventory spending and timing of maintenance fee payments on unsold inventory, partially offset by higher collections due to an increasing portfolio of outstanding vacation ownership notes receivable and lower payments on employee benefit programs.</w:t>
      </w:r>
    </w:p>
    <w:p>
      <w:pPr>
        <w:spacing w:after="0" w:line="63" w:lineRule="exact"/>
        <w:rPr>
          <w:sz w:val="20"/>
          <w:szCs w:val="20"/>
          <w:color w:val="auto"/>
        </w:rPr>
      </w:pPr>
    </w:p>
    <w:p>
      <w:pPr>
        <w:ind w:right="540" w:firstLine="648"/>
        <w:spacing w:after="0" w:line="277" w:lineRule="auto"/>
        <w:rPr>
          <w:sz w:val="20"/>
          <w:szCs w:val="20"/>
          <w:color w:val="auto"/>
        </w:rPr>
      </w:pPr>
      <w:r>
        <w:rPr>
          <w:rFonts w:ascii="Arial" w:cs="Arial" w:eastAsia="Arial" w:hAnsi="Arial"/>
          <w:sz w:val="18"/>
          <w:szCs w:val="18"/>
          <w:color w:val="auto"/>
        </w:rPr>
        <w:t>In addition to net income (loss) and adjustments for non-cash items, the following operating activities are key drivers of our cash flow from operating activities:</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Inventory Spending (In Excess of ) Less Than Cost of Sales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60" w:type="dxa"/>
            <w:vAlign w:val="bottom"/>
            <w:gridSpan w:val="4"/>
          </w:tcPr>
          <w:p>
            <w:pPr>
              <w:jc w:val="right"/>
              <w:ind w:right="1012"/>
              <w:spacing w:after="0"/>
              <w:rPr>
                <w:sz w:val="20"/>
                <w:szCs w:val="20"/>
                <w:color w:val="auto"/>
              </w:rPr>
            </w:pPr>
            <w:r>
              <w:rPr>
                <w:rFonts w:ascii="Arial" w:cs="Arial" w:eastAsia="Arial" w:hAnsi="Arial"/>
                <w:sz w:val="16"/>
                <w:szCs w:val="16"/>
                <w:b w:val="1"/>
                <w:bCs w:val="1"/>
                <w:color w:val="auto"/>
              </w:rPr>
              <w:t>Three Months Ended</w:t>
            </w:r>
          </w:p>
        </w:tc>
      </w:tr>
      <w:tr>
        <w:trPr>
          <w:trHeight w:val="33"/>
        </w:trPr>
        <w:tc>
          <w:tcPr>
            <w:tcW w:w="75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58"/>
        </w:trPr>
        <w:tc>
          <w:tcPr>
            <w:tcW w:w="754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240" w:type="dxa"/>
            <w:vAlign w:val="bottom"/>
          </w:tcPr>
          <w:p>
            <w:pPr>
              <w:spacing w:after="0"/>
              <w:rPr>
                <w:sz w:val="22"/>
                <w:szCs w:val="22"/>
                <w:color w:val="auto"/>
              </w:rPr>
            </w:pPr>
          </w:p>
        </w:tc>
        <w:tc>
          <w:tcPr>
            <w:tcW w:w="1660" w:type="dxa"/>
            <w:vAlign w:val="bottom"/>
            <w:gridSpan w:val="2"/>
          </w:tcPr>
          <w:p>
            <w:pPr>
              <w:ind w:left="120"/>
              <w:spacing w:after="0"/>
              <w:rPr>
                <w:sz w:val="20"/>
                <w:szCs w:val="20"/>
                <w:color w:val="auto"/>
              </w:rPr>
            </w:pPr>
            <w:r>
              <w:rPr>
                <w:rFonts w:ascii="Arial" w:cs="Arial" w:eastAsia="Arial" w:hAnsi="Arial"/>
                <w:sz w:val="16"/>
                <w:szCs w:val="16"/>
                <w:b w:val="1"/>
                <w:bCs w:val="1"/>
                <w:color w:val="auto"/>
              </w:rPr>
              <w:t>March 31, 2020</w:t>
            </w:r>
          </w:p>
        </w:tc>
        <w:tc>
          <w:tcPr>
            <w:tcW w:w="240" w:type="dxa"/>
            <w:vAlign w:val="bottom"/>
          </w:tcPr>
          <w:p>
            <w:pPr>
              <w:spacing w:after="0"/>
              <w:rPr>
                <w:sz w:val="22"/>
                <w:szCs w:val="22"/>
                <w:color w:val="auto"/>
              </w:rPr>
            </w:pPr>
          </w:p>
        </w:tc>
        <w:tc>
          <w:tcPr>
            <w:tcW w:w="1560" w:type="dxa"/>
            <w:vAlign w:val="bottom"/>
          </w:tcPr>
          <w:p>
            <w:pPr>
              <w:jc w:val="right"/>
              <w:ind w:right="272"/>
              <w:spacing w:after="0"/>
              <w:rPr>
                <w:sz w:val="20"/>
                <w:szCs w:val="20"/>
                <w:color w:val="auto"/>
              </w:rPr>
            </w:pPr>
            <w:r>
              <w:rPr>
                <w:rFonts w:ascii="Arial" w:cs="Arial" w:eastAsia="Arial" w:hAnsi="Arial"/>
                <w:sz w:val="16"/>
                <w:szCs w:val="16"/>
                <w:b w:val="1"/>
                <w:bCs w:val="1"/>
                <w:color w:val="auto"/>
              </w:rPr>
              <w:t>March 31, 2019</w:t>
            </w:r>
          </w:p>
        </w:tc>
      </w:tr>
      <w:tr>
        <w:trPr>
          <w:trHeight w:val="249"/>
        </w:trPr>
        <w:tc>
          <w:tcPr>
            <w:tcW w:w="75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Inventory spending</w:t>
            </w: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Purchase of vacation ownership units for future transfer to inventory</w:t>
            </w:r>
          </w:p>
        </w:tc>
        <w:tc>
          <w:tcPr>
            <w:tcW w:w="24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6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7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Inventory costs</w:t>
            </w:r>
          </w:p>
        </w:tc>
        <w:tc>
          <w:tcPr>
            <w:tcW w:w="24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62</w:t>
            </w:r>
          </w:p>
        </w:tc>
      </w:tr>
      <w:tr>
        <w:trPr>
          <w:trHeight w:val="237"/>
        </w:trPr>
        <w:tc>
          <w:tcPr>
            <w:tcW w:w="7540" w:type="dxa"/>
            <w:vAlign w:val="bottom"/>
          </w:tcPr>
          <w:p>
            <w:pPr>
              <w:ind w:left="280"/>
              <w:spacing w:after="0"/>
              <w:rPr>
                <w:sz w:val="20"/>
                <w:szCs w:val="20"/>
                <w:color w:val="auto"/>
              </w:rPr>
            </w:pPr>
            <w:r>
              <w:rPr>
                <w:rFonts w:ascii="Arial" w:cs="Arial" w:eastAsia="Arial" w:hAnsi="Arial"/>
                <w:sz w:val="18"/>
                <w:szCs w:val="18"/>
                <w:color w:val="auto"/>
              </w:rPr>
              <w:t>Inventory spending (in excess of) less than cost of sales</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39</w:t>
            </w:r>
          </w:p>
        </w:tc>
      </w:tr>
      <w:tr>
        <w:trPr>
          <w:trHeight w:val="27"/>
        </w:trPr>
        <w:tc>
          <w:tcPr>
            <w:tcW w:w="75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0"/>
        </w:trPr>
        <w:tc>
          <w:tcPr>
            <w:tcW w:w="75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200" w:firstLine="648"/>
        <w:spacing w:after="0" w:line="273" w:lineRule="auto"/>
        <w:rPr>
          <w:sz w:val="20"/>
          <w:szCs w:val="20"/>
          <w:color w:val="auto"/>
        </w:rPr>
      </w:pPr>
      <w:r>
        <w:rPr>
          <w:rFonts w:ascii="Arial" w:cs="Arial" w:eastAsia="Arial" w:hAnsi="Arial"/>
          <w:sz w:val="17"/>
          <w:szCs w:val="17"/>
          <w:color w:val="auto"/>
        </w:rPr>
        <w:t>Our Vacation Ownership segment product offerings allow us to utilize our inventory efficiently. The majority of our sales are of points-based products, which permits us to sell vacation ownership products at most of our sales locations, including those where little or no weeks-based inventory remains available for sale. Because we do not need specific resort-based inventory at each sales location, we need to have only a few resorts under construction at any given time and can leverage successful sales locations at completed resorts. This allows us to maintain long-term sales locations and reduces the need to develop and staff on-site sales locations at smaller projects in the future. We believe our points-based programs enable us to align our inventory acquisitions with the pace of sales of vacation ownership products.</w:t>
      </w:r>
    </w:p>
    <w:p>
      <w:pPr>
        <w:spacing w:after="0" w:line="70"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We selectively pursue growth opportunities in our Vacation Ownership segment by targeting high-quality inventory that allows us to add desirable new destinations to our systems with new on-site sales locations through transactions that limit our up-front capital investment and allow us to purchase finished inventory closer to the time it is needed for sale. These capital efficient deal structures may consist of the development of new inventory, or the conversion of previously built units by third parties, just prior to sale.</w:t>
      </w:r>
    </w:p>
    <w:p>
      <w:pPr>
        <w:spacing w:after="0" w:line="79" w:lineRule="exact"/>
        <w:rPr>
          <w:sz w:val="20"/>
          <w:szCs w:val="20"/>
          <w:color w:val="auto"/>
        </w:rPr>
      </w:pPr>
    </w:p>
    <w:p>
      <w:pPr>
        <w:jc w:val="both"/>
        <w:ind w:right="480" w:firstLine="648"/>
        <w:spacing w:after="0" w:line="342" w:lineRule="auto"/>
        <w:rPr>
          <w:sz w:val="20"/>
          <w:szCs w:val="20"/>
          <w:color w:val="auto"/>
        </w:rPr>
      </w:pPr>
      <w:r>
        <w:rPr>
          <w:rFonts w:ascii="Arial" w:cs="Arial" w:eastAsia="Arial" w:hAnsi="Arial"/>
          <w:sz w:val="16"/>
          <w:szCs w:val="16"/>
          <w:color w:val="auto"/>
        </w:rPr>
        <w:t>We measure our real estate inventory capital efficiency by comparing the cash outflow for real estate inventory spending (a cash item) to the amount of real estate inventory costs charged to expense on our Income Statements related to sale of vacation ownership products (a non-cash item).</w:t>
      </w:r>
    </w:p>
    <w:p>
      <w:pPr>
        <w:spacing w:after="0" w:line="16" w:lineRule="exact"/>
        <w:rPr>
          <w:sz w:val="20"/>
          <w:szCs w:val="20"/>
          <w:color w:val="auto"/>
        </w:rPr>
      </w:pPr>
    </w:p>
    <w:p>
      <w:pPr>
        <w:ind w:right="140" w:firstLine="661"/>
        <w:spacing w:after="0" w:line="275" w:lineRule="auto"/>
        <w:rPr>
          <w:sz w:val="20"/>
          <w:szCs w:val="20"/>
          <w:color w:val="auto"/>
        </w:rPr>
      </w:pPr>
      <w:r>
        <w:rPr>
          <w:rFonts w:ascii="Arial" w:cs="Arial" w:eastAsia="Arial" w:hAnsi="Arial"/>
          <w:sz w:val="17"/>
          <w:szCs w:val="17"/>
          <w:color w:val="auto"/>
        </w:rPr>
        <w:t>Our spending for real estate inventory in the first quarter of 2020 was higher than the amount of real estate inventory costs given the timing of payments to satisfy our remaining commitments to purchase vacation ownership units. We entered into these commitments in prior periods as part of our capital efficiency strategy to limit our up-front capital investment and purchase finished inventory closer to the time it is needed for sale. See Footnote 11 “Contingencies and Commitments” to our Financial Statements for additional information regarding our remaining commitments. Given the impact of the COVID-19 pandemic, we expect to significantly reduce our planned inventory spending for the remainder of 2020.</w:t>
      </w:r>
    </w:p>
    <w:p>
      <w:pPr>
        <w:spacing w:after="0" w:line="68"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Through our existing vacation ownership interest repurchase program, we proactively buy back previously sold vacation ownership interests at lower costs than would be required to develop new inventory. By repurchasing inventory in desirable locations, we expect to be able to stabilize the future cost of vacation ownership products. However, given the impact of the COVID-19 pandemic, we have temporarily discontinued the majority of this repurchase activity.</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240"/>
          </w:cols>
          <w:pgMar w:left="320" w:top="125" w:right="33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Vacation Ownership Notes Receivable Collections Less Than Originations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60" w:type="dxa"/>
            <w:vAlign w:val="bottom"/>
            <w:gridSpan w:val="4"/>
          </w:tcPr>
          <w:p>
            <w:pPr>
              <w:jc w:val="right"/>
              <w:ind w:right="1012"/>
              <w:spacing w:after="0"/>
              <w:rPr>
                <w:sz w:val="20"/>
                <w:szCs w:val="20"/>
                <w:color w:val="auto"/>
              </w:rPr>
            </w:pPr>
            <w:r>
              <w:rPr>
                <w:rFonts w:ascii="Arial" w:cs="Arial" w:eastAsia="Arial" w:hAnsi="Arial"/>
                <w:sz w:val="16"/>
                <w:szCs w:val="16"/>
                <w:b w:val="1"/>
                <w:bCs w:val="1"/>
                <w:color w:val="auto"/>
              </w:rPr>
              <w:t>Three Months Ended</w:t>
            </w:r>
          </w:p>
        </w:tc>
      </w:tr>
      <w:tr>
        <w:trPr>
          <w:trHeight w:val="33"/>
        </w:trPr>
        <w:tc>
          <w:tcPr>
            <w:tcW w:w="75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58"/>
        </w:trPr>
        <w:tc>
          <w:tcPr>
            <w:tcW w:w="754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240" w:type="dxa"/>
            <w:vAlign w:val="bottom"/>
          </w:tcPr>
          <w:p>
            <w:pPr>
              <w:spacing w:after="0"/>
              <w:rPr>
                <w:sz w:val="22"/>
                <w:szCs w:val="22"/>
                <w:color w:val="auto"/>
              </w:rPr>
            </w:pPr>
          </w:p>
        </w:tc>
        <w:tc>
          <w:tcPr>
            <w:tcW w:w="1660" w:type="dxa"/>
            <w:vAlign w:val="bottom"/>
            <w:gridSpan w:val="2"/>
          </w:tcPr>
          <w:p>
            <w:pPr>
              <w:ind w:left="120"/>
              <w:spacing w:after="0"/>
              <w:rPr>
                <w:sz w:val="20"/>
                <w:szCs w:val="20"/>
                <w:color w:val="auto"/>
              </w:rPr>
            </w:pPr>
            <w:r>
              <w:rPr>
                <w:rFonts w:ascii="Arial" w:cs="Arial" w:eastAsia="Arial" w:hAnsi="Arial"/>
                <w:sz w:val="16"/>
                <w:szCs w:val="16"/>
                <w:b w:val="1"/>
                <w:bCs w:val="1"/>
                <w:color w:val="auto"/>
              </w:rPr>
              <w:t>March 31, 2020</w:t>
            </w:r>
          </w:p>
        </w:tc>
        <w:tc>
          <w:tcPr>
            <w:tcW w:w="240" w:type="dxa"/>
            <w:vAlign w:val="bottom"/>
          </w:tcPr>
          <w:p>
            <w:pPr>
              <w:spacing w:after="0"/>
              <w:rPr>
                <w:sz w:val="22"/>
                <w:szCs w:val="22"/>
                <w:color w:val="auto"/>
              </w:rPr>
            </w:pPr>
          </w:p>
        </w:tc>
        <w:tc>
          <w:tcPr>
            <w:tcW w:w="1560" w:type="dxa"/>
            <w:vAlign w:val="bottom"/>
          </w:tcPr>
          <w:p>
            <w:pPr>
              <w:jc w:val="right"/>
              <w:ind w:right="272"/>
              <w:spacing w:after="0"/>
              <w:rPr>
                <w:sz w:val="20"/>
                <w:szCs w:val="20"/>
                <w:color w:val="auto"/>
              </w:rPr>
            </w:pPr>
            <w:r>
              <w:rPr>
                <w:rFonts w:ascii="Arial" w:cs="Arial" w:eastAsia="Arial" w:hAnsi="Arial"/>
                <w:sz w:val="16"/>
                <w:szCs w:val="16"/>
                <w:b w:val="1"/>
                <w:bCs w:val="1"/>
                <w:color w:val="auto"/>
              </w:rPr>
              <w:t>March 31, 2019</w:t>
            </w:r>
          </w:p>
        </w:tc>
      </w:tr>
      <w:tr>
        <w:trPr>
          <w:trHeight w:val="249"/>
        </w:trPr>
        <w:tc>
          <w:tcPr>
            <w:tcW w:w="75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Vacation ownership notes receivable collections — non-securitized</w:t>
            </w: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45</w:t>
            </w: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Vacation ownership notes receivable collections — securitized</w:t>
            </w:r>
          </w:p>
        </w:tc>
        <w:tc>
          <w:tcPr>
            <w:tcW w:w="240" w:type="dxa"/>
            <w:vAlign w:val="bottom"/>
          </w:tcPr>
          <w:p>
            <w:pPr>
              <w:spacing w:after="0"/>
              <w:rPr>
                <w:sz w:val="21"/>
                <w:szCs w:val="21"/>
                <w:color w:val="auto"/>
              </w:rPr>
            </w:pPr>
          </w:p>
        </w:tc>
        <w:tc>
          <w:tcPr>
            <w:tcW w:w="1560" w:type="dxa"/>
            <w:vAlign w:val="bottom"/>
          </w:tcPr>
          <w:p>
            <w:pPr>
              <w:jc w:val="right"/>
              <w:ind w:right="33"/>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60" w:type="dxa"/>
            <w:vAlign w:val="bottom"/>
          </w:tcPr>
          <w:p>
            <w:pPr>
              <w:jc w:val="right"/>
              <w:ind w:right="12"/>
              <w:spacing w:after="0"/>
              <w:rPr>
                <w:sz w:val="20"/>
                <w:szCs w:val="20"/>
                <w:color w:val="auto"/>
              </w:rPr>
            </w:pPr>
            <w:r>
              <w:rPr>
                <w:rFonts w:ascii="Arial" w:cs="Arial" w:eastAsia="Arial" w:hAnsi="Arial"/>
                <w:sz w:val="18"/>
                <w:szCs w:val="18"/>
                <w:color w:val="auto"/>
              </w:rPr>
              <w:t>109</w:t>
            </w:r>
          </w:p>
        </w:tc>
      </w:tr>
      <w:tr>
        <w:trPr>
          <w:trHeight w:val="27"/>
        </w:trPr>
        <w:tc>
          <w:tcPr>
            <w:tcW w:w="7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Vacation ownership notes receivable originations</w:t>
            </w:r>
          </w:p>
        </w:tc>
        <w:tc>
          <w:tcPr>
            <w:tcW w:w="24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(194)</w:t>
            </w:r>
          </w:p>
        </w:tc>
      </w:tr>
      <w:tr>
        <w:trPr>
          <w:trHeight w:val="237"/>
        </w:trPr>
        <w:tc>
          <w:tcPr>
            <w:tcW w:w="7540" w:type="dxa"/>
            <w:vAlign w:val="bottom"/>
          </w:tcPr>
          <w:p>
            <w:pPr>
              <w:ind w:left="280"/>
              <w:spacing w:after="0"/>
              <w:rPr>
                <w:sz w:val="20"/>
                <w:szCs w:val="20"/>
                <w:color w:val="auto"/>
              </w:rPr>
            </w:pPr>
            <w:r>
              <w:rPr>
                <w:rFonts w:ascii="Arial" w:cs="Arial" w:eastAsia="Arial" w:hAnsi="Arial"/>
                <w:sz w:val="18"/>
                <w:szCs w:val="18"/>
                <w:color w:val="auto"/>
              </w:rPr>
              <w:t>Vacation ownership notes receivable collections less than originations</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w:t>
            </w:r>
          </w:p>
        </w:tc>
      </w:tr>
      <w:tr>
        <w:trPr>
          <w:trHeight w:val="27"/>
        </w:trPr>
        <w:tc>
          <w:tcPr>
            <w:tcW w:w="75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0"/>
        </w:trPr>
        <w:tc>
          <w:tcPr>
            <w:tcW w:w="75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20" w:firstLine="648"/>
        <w:spacing w:after="0" w:line="275" w:lineRule="auto"/>
        <w:rPr>
          <w:sz w:val="20"/>
          <w:szCs w:val="20"/>
          <w:color w:val="auto"/>
        </w:rPr>
      </w:pPr>
      <w:r>
        <w:rPr>
          <w:rFonts w:ascii="Arial" w:cs="Arial" w:eastAsia="Arial" w:hAnsi="Arial"/>
          <w:sz w:val="17"/>
          <w:szCs w:val="17"/>
          <w:color w:val="auto"/>
        </w:rPr>
        <w:t>Vacation ownership notes receivable collections include principal from non-securitized and securitized vacation ownership notes receivable. Vacation ownership notes receivable collections increased during the first quarter of 2020, as compared to the first quarter of 2019, due to an increase in the portfolio of outstanding vacation ownership notes receivable. Vacation ownership notes receivable originations in the first quarter of 2020 decreased due to lower sales in the latter half of March 2020 due to the COVID-19 pandemic combined with a lower financing propensity. Financing propensity also declined to 57 percent for the first quarter of 2020 compared to 62 percent for the first quarter of 2019.</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from Investing Activities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60" w:type="dxa"/>
            <w:vAlign w:val="bottom"/>
            <w:gridSpan w:val="4"/>
          </w:tcPr>
          <w:p>
            <w:pPr>
              <w:jc w:val="right"/>
              <w:ind w:right="1012"/>
              <w:spacing w:after="0"/>
              <w:rPr>
                <w:sz w:val="20"/>
                <w:szCs w:val="20"/>
                <w:color w:val="auto"/>
              </w:rPr>
            </w:pPr>
            <w:r>
              <w:rPr>
                <w:rFonts w:ascii="Arial" w:cs="Arial" w:eastAsia="Arial" w:hAnsi="Arial"/>
                <w:sz w:val="16"/>
                <w:szCs w:val="16"/>
                <w:b w:val="1"/>
                <w:bCs w:val="1"/>
                <w:color w:val="auto"/>
              </w:rPr>
              <w:t>Three Months Ended</w:t>
            </w:r>
          </w:p>
        </w:tc>
      </w:tr>
      <w:tr>
        <w:trPr>
          <w:trHeight w:val="33"/>
        </w:trPr>
        <w:tc>
          <w:tcPr>
            <w:tcW w:w="75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58"/>
        </w:trPr>
        <w:tc>
          <w:tcPr>
            <w:tcW w:w="754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240" w:type="dxa"/>
            <w:vAlign w:val="bottom"/>
          </w:tcPr>
          <w:p>
            <w:pPr>
              <w:spacing w:after="0"/>
              <w:rPr>
                <w:sz w:val="22"/>
                <w:szCs w:val="22"/>
                <w:color w:val="auto"/>
              </w:rPr>
            </w:pPr>
          </w:p>
        </w:tc>
        <w:tc>
          <w:tcPr>
            <w:tcW w:w="1660" w:type="dxa"/>
            <w:vAlign w:val="bottom"/>
            <w:gridSpan w:val="2"/>
          </w:tcPr>
          <w:p>
            <w:pPr>
              <w:ind w:left="120"/>
              <w:spacing w:after="0"/>
              <w:rPr>
                <w:sz w:val="20"/>
                <w:szCs w:val="20"/>
                <w:color w:val="auto"/>
              </w:rPr>
            </w:pPr>
            <w:r>
              <w:rPr>
                <w:rFonts w:ascii="Arial" w:cs="Arial" w:eastAsia="Arial" w:hAnsi="Arial"/>
                <w:sz w:val="16"/>
                <w:szCs w:val="16"/>
                <w:b w:val="1"/>
                <w:bCs w:val="1"/>
                <w:color w:val="auto"/>
              </w:rPr>
              <w:t>March 31, 2020</w:t>
            </w:r>
          </w:p>
        </w:tc>
        <w:tc>
          <w:tcPr>
            <w:tcW w:w="240" w:type="dxa"/>
            <w:vAlign w:val="bottom"/>
          </w:tcPr>
          <w:p>
            <w:pPr>
              <w:spacing w:after="0"/>
              <w:rPr>
                <w:sz w:val="22"/>
                <w:szCs w:val="22"/>
                <w:color w:val="auto"/>
              </w:rPr>
            </w:pPr>
          </w:p>
        </w:tc>
        <w:tc>
          <w:tcPr>
            <w:tcW w:w="1560" w:type="dxa"/>
            <w:vAlign w:val="bottom"/>
          </w:tcPr>
          <w:p>
            <w:pPr>
              <w:jc w:val="right"/>
              <w:ind w:right="272"/>
              <w:spacing w:after="0"/>
              <w:rPr>
                <w:sz w:val="20"/>
                <w:szCs w:val="20"/>
                <w:color w:val="auto"/>
              </w:rPr>
            </w:pPr>
            <w:r>
              <w:rPr>
                <w:rFonts w:ascii="Arial" w:cs="Arial" w:eastAsia="Arial" w:hAnsi="Arial"/>
                <w:sz w:val="16"/>
                <w:szCs w:val="16"/>
                <w:b w:val="1"/>
                <w:bCs w:val="1"/>
                <w:color w:val="auto"/>
              </w:rPr>
              <w:t>March 31, 2019</w:t>
            </w:r>
          </w:p>
        </w:tc>
      </w:tr>
      <w:tr>
        <w:trPr>
          <w:trHeight w:val="250"/>
        </w:trPr>
        <w:tc>
          <w:tcPr>
            <w:tcW w:w="75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Capital expenditures for property and equipment (excluding inventory)</w:t>
            </w: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Proceeds from collection of notes receivable</w:t>
            </w:r>
          </w:p>
        </w:tc>
        <w:tc>
          <w:tcPr>
            <w:tcW w:w="240" w:type="dxa"/>
            <w:vAlign w:val="bottom"/>
          </w:tcPr>
          <w:p>
            <w:pPr>
              <w:spacing w:after="0"/>
              <w:rPr>
                <w:sz w:val="21"/>
                <w:szCs w:val="21"/>
                <w:color w:val="auto"/>
              </w:rPr>
            </w:pP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560" w:type="dxa"/>
            <w:vAlign w:val="bottom"/>
          </w:tcPr>
          <w:p>
            <w:pPr>
              <w:jc w:val="right"/>
              <w:ind w:right="12"/>
              <w:spacing w:after="0"/>
              <w:rPr>
                <w:sz w:val="20"/>
                <w:szCs w:val="20"/>
                <w:color w:val="auto"/>
              </w:rPr>
            </w:pPr>
            <w:r>
              <w:rPr>
                <w:rFonts w:ascii="Arial" w:cs="Arial" w:eastAsia="Arial" w:hAnsi="Arial"/>
                <w:sz w:val="18"/>
                <w:szCs w:val="18"/>
                <w:color w:val="auto"/>
              </w:rPr>
              <w:t>38</w:t>
            </w:r>
          </w:p>
        </w:tc>
      </w:tr>
      <w:tr>
        <w:trPr>
          <w:trHeight w:val="27"/>
        </w:trPr>
        <w:tc>
          <w:tcPr>
            <w:tcW w:w="7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Purchase of company owned life insurance</w:t>
            </w:r>
          </w:p>
        </w:tc>
        <w:tc>
          <w:tcPr>
            <w:tcW w:w="24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57"/>
        </w:trPr>
        <w:tc>
          <w:tcPr>
            <w:tcW w:w="7540" w:type="dxa"/>
            <w:vAlign w:val="bottom"/>
          </w:tcPr>
          <w:p>
            <w:pPr>
              <w:ind w:left="280"/>
              <w:spacing w:after="0"/>
              <w:rPr>
                <w:sz w:val="20"/>
                <w:szCs w:val="20"/>
                <w:color w:val="auto"/>
              </w:rPr>
            </w:pPr>
            <w:r>
              <w:rPr>
                <w:rFonts w:ascii="Arial" w:cs="Arial" w:eastAsia="Arial" w:hAnsi="Arial"/>
                <w:sz w:val="18"/>
                <w:szCs w:val="18"/>
                <w:color w:val="auto"/>
              </w:rPr>
              <w:t>Net cash, cash equivalents and restricted cash (used in) provided by investing activities</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27</w:t>
            </w:r>
          </w:p>
        </w:tc>
      </w:tr>
      <w:tr>
        <w:trPr>
          <w:trHeight w:val="20"/>
        </w:trPr>
        <w:tc>
          <w:tcPr>
            <w:tcW w:w="75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Capital Expenditures for Property and Equipment</w:t>
      </w:r>
    </w:p>
    <w:p>
      <w:pPr>
        <w:spacing w:after="0" w:line="117" w:lineRule="exact"/>
        <w:rPr>
          <w:sz w:val="20"/>
          <w:szCs w:val="20"/>
          <w:color w:val="auto"/>
        </w:rPr>
      </w:pPr>
    </w:p>
    <w:p>
      <w:pPr>
        <w:ind w:right="180" w:firstLine="648"/>
        <w:spacing w:after="0" w:line="263" w:lineRule="auto"/>
        <w:rPr>
          <w:sz w:val="20"/>
          <w:szCs w:val="20"/>
          <w:color w:val="auto"/>
        </w:rPr>
      </w:pPr>
      <w:r>
        <w:rPr>
          <w:rFonts w:ascii="Arial" w:cs="Arial" w:eastAsia="Arial" w:hAnsi="Arial"/>
          <w:sz w:val="18"/>
          <w:szCs w:val="18"/>
          <w:color w:val="auto"/>
        </w:rPr>
        <w:t>Capital expenditures for property and equipment relate to spending for technology development, buildings and equipment used at sales locations and ancillary offerings, such as food and beverage offerings, at locations where such offerings are provided. Additionally, it includes spending related to maintenance of buildings and equipment used in common areas at some of our resorts.</w:t>
      </w:r>
    </w:p>
    <w:p>
      <w:pPr>
        <w:spacing w:after="0" w:line="76" w:lineRule="exact"/>
        <w:rPr>
          <w:sz w:val="20"/>
          <w:szCs w:val="20"/>
          <w:color w:val="auto"/>
        </w:rPr>
      </w:pPr>
    </w:p>
    <w:p>
      <w:pPr>
        <w:ind w:right="80" w:firstLine="648"/>
        <w:spacing w:after="0" w:line="311" w:lineRule="auto"/>
        <w:rPr>
          <w:sz w:val="20"/>
          <w:szCs w:val="20"/>
          <w:color w:val="auto"/>
        </w:rPr>
      </w:pPr>
      <w:r>
        <w:rPr>
          <w:rFonts w:ascii="Arial" w:cs="Arial" w:eastAsia="Arial" w:hAnsi="Arial"/>
          <w:sz w:val="16"/>
          <w:szCs w:val="16"/>
          <w:color w:val="auto"/>
        </w:rPr>
        <w:t>In the first quarter of 2020, capital expenditures for property and equipment of $17 million included $14 million to support business operations (including $9 million for ancillary and other operations assets and $5 million for sales locations) and $3 million for technology spending. Given the impact of the COVID-19 pandemic, we expect to significantly reduce our planned spending for property and equipment for the remainder of 2020.</w:t>
      </w:r>
    </w:p>
    <w:p>
      <w:pPr>
        <w:spacing w:after="0" w:line="41" w:lineRule="exact"/>
        <w:rPr>
          <w:sz w:val="20"/>
          <w:szCs w:val="20"/>
          <w:color w:val="auto"/>
        </w:rPr>
      </w:pPr>
    </w:p>
    <w:p>
      <w:pPr>
        <w:ind w:right="380" w:firstLine="648"/>
        <w:spacing w:after="0" w:line="342" w:lineRule="auto"/>
        <w:rPr>
          <w:sz w:val="20"/>
          <w:szCs w:val="20"/>
          <w:color w:val="auto"/>
        </w:rPr>
      </w:pPr>
      <w:r>
        <w:rPr>
          <w:rFonts w:ascii="Arial" w:cs="Arial" w:eastAsia="Arial" w:hAnsi="Arial"/>
          <w:sz w:val="16"/>
          <w:szCs w:val="16"/>
          <w:color w:val="auto"/>
        </w:rPr>
        <w:t>In the first quarter of 2019, capital expenditures for property and equipment of $10 million included $4 million to support business operations (including $1 million for ancillary and other operations assets and $3 million for sales locations) and $6 million for technology spending.</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Proceeds from Collection of Notes Receivable</w:t>
      </w:r>
    </w:p>
    <w:p>
      <w:pPr>
        <w:spacing w:after="0" w:line="117"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During the first quarter of 2019, we collected $23 million of notes receivable related to the disposition of our interest in VRI Europe in the fourth quarter of 2018. In addition, we collected a $15 million note receivable acquired in the ILG Acquisition.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Purchase of Company Owned Life Insurance</w:t>
      </w:r>
    </w:p>
    <w:p>
      <w:pPr>
        <w:spacing w:after="0" w:line="117"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To support our ability to meet a portion of our obligations under the Marriott Vacations Worldwide Corporation Deferred Compensation Plan (the “Deferred Compensation Plan”), we acquired company owned insurance policies on the lives of certain participants in the Deferred Compensation Plan, the proceeds of which are intended to be aligned with the investment alternatives elected by plan participants. During the first quarter of 2020, we paid $4 million to acquire these policies as compared to $1 million during the first quarter of 2019.</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240"/>
          </w:cols>
          <w:pgMar w:left="320" w:top="125" w:right="33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from Financing Activities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60" w:type="dxa"/>
            <w:vAlign w:val="bottom"/>
            <w:gridSpan w:val="4"/>
          </w:tcPr>
          <w:p>
            <w:pPr>
              <w:jc w:val="right"/>
              <w:ind w:right="1011"/>
              <w:spacing w:after="0"/>
              <w:rPr>
                <w:sz w:val="20"/>
                <w:szCs w:val="20"/>
                <w:color w:val="auto"/>
              </w:rPr>
            </w:pPr>
            <w:r>
              <w:rPr>
                <w:rFonts w:ascii="Arial" w:cs="Arial" w:eastAsia="Arial" w:hAnsi="Arial"/>
                <w:sz w:val="16"/>
                <w:szCs w:val="16"/>
                <w:b w:val="1"/>
                <w:bCs w:val="1"/>
                <w:color w:val="auto"/>
              </w:rPr>
              <w:t>Three Months Ended</w:t>
            </w:r>
          </w:p>
        </w:tc>
      </w:tr>
      <w:tr>
        <w:trPr>
          <w:trHeight w:val="33"/>
        </w:trPr>
        <w:tc>
          <w:tcPr>
            <w:tcW w:w="75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58"/>
        </w:trPr>
        <w:tc>
          <w:tcPr>
            <w:tcW w:w="754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240" w:type="dxa"/>
            <w:vAlign w:val="bottom"/>
          </w:tcPr>
          <w:p>
            <w:pPr>
              <w:spacing w:after="0"/>
              <w:rPr>
                <w:sz w:val="22"/>
                <w:szCs w:val="22"/>
                <w:color w:val="auto"/>
              </w:rPr>
            </w:pPr>
          </w:p>
        </w:tc>
        <w:tc>
          <w:tcPr>
            <w:tcW w:w="1660" w:type="dxa"/>
            <w:vAlign w:val="bottom"/>
            <w:gridSpan w:val="2"/>
          </w:tcPr>
          <w:p>
            <w:pPr>
              <w:ind w:left="120"/>
              <w:spacing w:after="0"/>
              <w:rPr>
                <w:sz w:val="20"/>
                <w:szCs w:val="20"/>
                <w:color w:val="auto"/>
              </w:rPr>
            </w:pPr>
            <w:r>
              <w:rPr>
                <w:rFonts w:ascii="Arial" w:cs="Arial" w:eastAsia="Arial" w:hAnsi="Arial"/>
                <w:sz w:val="16"/>
                <w:szCs w:val="16"/>
                <w:b w:val="1"/>
                <w:bCs w:val="1"/>
                <w:color w:val="auto"/>
              </w:rPr>
              <w:t>March 31, 2020</w:t>
            </w:r>
          </w:p>
        </w:tc>
        <w:tc>
          <w:tcPr>
            <w:tcW w:w="240" w:type="dxa"/>
            <w:vAlign w:val="bottom"/>
          </w:tcPr>
          <w:p>
            <w:pPr>
              <w:spacing w:after="0"/>
              <w:rPr>
                <w:sz w:val="22"/>
                <w:szCs w:val="22"/>
                <w:color w:val="auto"/>
              </w:rPr>
            </w:pPr>
          </w:p>
        </w:tc>
        <w:tc>
          <w:tcPr>
            <w:tcW w:w="1560" w:type="dxa"/>
            <w:vAlign w:val="bottom"/>
          </w:tcPr>
          <w:p>
            <w:pPr>
              <w:jc w:val="right"/>
              <w:ind w:right="271"/>
              <w:spacing w:after="0"/>
              <w:rPr>
                <w:sz w:val="20"/>
                <w:szCs w:val="20"/>
                <w:color w:val="auto"/>
              </w:rPr>
            </w:pPr>
            <w:r>
              <w:rPr>
                <w:rFonts w:ascii="Arial" w:cs="Arial" w:eastAsia="Arial" w:hAnsi="Arial"/>
                <w:sz w:val="16"/>
                <w:szCs w:val="16"/>
                <w:b w:val="1"/>
                <w:bCs w:val="1"/>
                <w:color w:val="auto"/>
              </w:rPr>
              <w:t>March 31, 2019</w:t>
            </w:r>
          </w:p>
        </w:tc>
      </w:tr>
      <w:tr>
        <w:trPr>
          <w:trHeight w:val="250"/>
        </w:trPr>
        <w:tc>
          <w:tcPr>
            <w:tcW w:w="75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Borrowings from securitization transactions</w:t>
            </w: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124</w:t>
            </w: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Repayment of debt related to securitization transactions</w:t>
            </w:r>
          </w:p>
        </w:tc>
        <w:tc>
          <w:tcPr>
            <w:tcW w:w="24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(148)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(133)</w:t>
            </w:r>
          </w:p>
        </w:tc>
      </w:tr>
      <w:tr>
        <w:trPr>
          <w:trHeight w:val="27"/>
        </w:trPr>
        <w:tc>
          <w:tcPr>
            <w:tcW w:w="7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debt</w:t>
            </w:r>
          </w:p>
        </w:tc>
        <w:tc>
          <w:tcPr>
            <w:tcW w:w="2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666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125</w:t>
            </w: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Repayments of debt</w:t>
            </w:r>
          </w:p>
        </w:tc>
        <w:tc>
          <w:tcPr>
            <w:tcW w:w="24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7"/>
        </w:trPr>
        <w:tc>
          <w:tcPr>
            <w:tcW w:w="7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Finance lease payment</w:t>
            </w:r>
          </w:p>
        </w:tc>
        <w:tc>
          <w:tcPr>
            <w:tcW w:w="2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Repurchase of common stock</w:t>
            </w:r>
          </w:p>
        </w:tc>
        <w:tc>
          <w:tcPr>
            <w:tcW w:w="24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(106)</w:t>
            </w:r>
          </w:p>
        </w:tc>
      </w:tr>
      <w:tr>
        <w:trPr>
          <w:trHeight w:val="27"/>
        </w:trPr>
        <w:tc>
          <w:tcPr>
            <w:tcW w:w="7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Payment of dividends</w:t>
            </w:r>
          </w:p>
        </w:tc>
        <w:tc>
          <w:tcPr>
            <w:tcW w:w="2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Payment of withholding taxes on vesting of restricted stock units</w:t>
            </w:r>
          </w:p>
        </w:tc>
        <w:tc>
          <w:tcPr>
            <w:tcW w:w="24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7"/>
        </w:trPr>
        <w:tc>
          <w:tcPr>
            <w:tcW w:w="75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57"/>
        </w:trPr>
        <w:tc>
          <w:tcPr>
            <w:tcW w:w="7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cash, cash equivalents and restricted cash provided by (used in) financing activities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468</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w:t>
            </w:r>
          </w:p>
        </w:tc>
      </w:tr>
      <w:tr>
        <w:trPr>
          <w:trHeight w:val="20"/>
        </w:trPr>
        <w:tc>
          <w:tcPr>
            <w:tcW w:w="75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Borrowings from / Repayment of Debt Related to Securitization Transactions</w:t>
      </w:r>
    </w:p>
    <w:p>
      <w:pPr>
        <w:spacing w:after="0" w:line="117"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We reflect proceeds from securitizations of vacation ownership notes receivable, including draw downs on the Warehouse Credit Facility, as “Borrowings from securitization transactions.” We reflect repayments of bonds associated with vacation ownership notes receivable securitizations and repayments on the Warehouse Credit Facility (including vacation ownership notes receivable repurchases) as “Repayment of debt related to securitization transactions.”</w:t>
      </w:r>
    </w:p>
    <w:p>
      <w:pPr>
        <w:spacing w:after="0" w:line="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March 31, 2020, $98 million of gross vacation ownership notes receivable were eligible for securitization.</w:t>
      </w:r>
    </w:p>
    <w:p>
      <w:pPr>
        <w:spacing w:after="0" w:line="117" w:lineRule="exact"/>
        <w:rPr>
          <w:sz w:val="20"/>
          <w:szCs w:val="20"/>
          <w:color w:val="auto"/>
        </w:rPr>
      </w:pPr>
    </w:p>
    <w:p>
      <w:pPr>
        <w:jc w:val="both"/>
        <w:ind w:right="80" w:firstLine="648"/>
        <w:spacing w:after="0" w:line="263" w:lineRule="auto"/>
        <w:rPr>
          <w:sz w:val="20"/>
          <w:szCs w:val="20"/>
          <w:color w:val="auto"/>
        </w:rPr>
      </w:pPr>
      <w:r>
        <w:rPr>
          <w:rFonts w:ascii="Arial" w:cs="Arial" w:eastAsia="Arial" w:hAnsi="Arial"/>
          <w:sz w:val="18"/>
          <w:szCs w:val="18"/>
          <w:color w:val="auto"/>
        </w:rPr>
        <w:t>During the first quarter of 2020, we securitized vacation ownership notes receivable under our Warehouse Credit Facility. The carrying amount of the vacation ownership notes receivable securitized was $240 million. The average advance rate was 84 percent, which resulted in gross proceeds of $202 million. Net proceeds were $201 million due to the funding of reserve accounts of $1 million.</w:t>
      </w:r>
    </w:p>
    <w:p>
      <w:pPr>
        <w:spacing w:after="0" w:line="76" w:lineRule="exact"/>
        <w:rPr>
          <w:sz w:val="20"/>
          <w:szCs w:val="20"/>
          <w:color w:val="auto"/>
        </w:rPr>
      </w:pPr>
    </w:p>
    <w:p>
      <w:pPr>
        <w:jc w:val="both"/>
        <w:ind w:right="80" w:firstLine="648"/>
        <w:spacing w:after="0" w:line="263" w:lineRule="auto"/>
        <w:rPr>
          <w:sz w:val="20"/>
          <w:szCs w:val="20"/>
          <w:color w:val="auto"/>
        </w:rPr>
      </w:pPr>
      <w:r>
        <w:rPr>
          <w:rFonts w:ascii="Arial" w:cs="Arial" w:eastAsia="Arial" w:hAnsi="Arial"/>
          <w:sz w:val="18"/>
          <w:szCs w:val="18"/>
          <w:color w:val="auto"/>
        </w:rPr>
        <w:t>During the first quarter of 2019, we securitized vacation ownership notes receivable under our Warehouse Credit Facility. The carrying amount of the vacation ownership notes receivable securitized was $146 million. The advance rate was 85 percent, which resulted in gross proceeds of $124 million. Net proceeds were $123 million due to the funding of reserve accounts of $1 million.</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Proceeds from / Repayments of Debt</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Borrowings from / Repayment of Corporate Credit Facility</w:t>
      </w:r>
    </w:p>
    <w:p>
      <w:pPr>
        <w:spacing w:after="0" w:line="117" w:lineRule="exact"/>
        <w:rPr>
          <w:sz w:val="20"/>
          <w:szCs w:val="20"/>
          <w:color w:val="auto"/>
        </w:rPr>
      </w:pPr>
    </w:p>
    <w:p>
      <w:pPr>
        <w:ind w:right="260" w:firstLine="648"/>
        <w:spacing w:after="0" w:line="259" w:lineRule="auto"/>
        <w:rPr>
          <w:sz w:val="20"/>
          <w:szCs w:val="20"/>
          <w:color w:val="auto"/>
        </w:rPr>
      </w:pPr>
      <w:r>
        <w:rPr>
          <w:rFonts w:ascii="Arial" w:cs="Arial" w:eastAsia="Arial" w:hAnsi="Arial"/>
          <w:sz w:val="18"/>
          <w:szCs w:val="18"/>
          <w:color w:val="auto"/>
        </w:rPr>
        <w:t>During the first quarter of 2020, we borrowed $666 million under our Revolving Corporate Credit Facility to facilitate the funding of our short-term working capital needs and to increase our cash position and preserve financial flexibility in light of the impact on global markets resulting from the COVID-19 pandemic. We repaid $100 million during the quarter and had $596 million outstanding as of March 31, 2020, which we repaid in full subsequent to the first quarter of 2020.</w:t>
      </w:r>
    </w:p>
    <w:p>
      <w:pPr>
        <w:spacing w:after="0" w:line="79" w:lineRule="exact"/>
        <w:rPr>
          <w:sz w:val="20"/>
          <w:szCs w:val="20"/>
          <w:color w:val="auto"/>
        </w:rPr>
      </w:pPr>
    </w:p>
    <w:p>
      <w:pPr>
        <w:ind w:right="260" w:firstLine="648"/>
        <w:spacing w:after="0" w:line="286" w:lineRule="auto"/>
        <w:rPr>
          <w:sz w:val="20"/>
          <w:szCs w:val="20"/>
          <w:color w:val="auto"/>
        </w:rPr>
      </w:pPr>
      <w:r>
        <w:rPr>
          <w:rFonts w:ascii="Arial" w:cs="Arial" w:eastAsia="Arial" w:hAnsi="Arial"/>
          <w:sz w:val="17"/>
          <w:szCs w:val="17"/>
          <w:color w:val="auto"/>
        </w:rPr>
        <w:t>During the first quarter of 2019, we borrowed $125 million under our Revolving Corporate Credit Facility to facilitate the funding of our short-term working capital needs, $50 million of which was repaid during the quarter, leaving $75 million outstanding as of March 31, 2019. During the first quarter of 2019, we also repaid $2 million of the amount outstanding under the Term Loan, which is part of our Corporate Credit Facility.</w:t>
      </w:r>
    </w:p>
    <w:p>
      <w:pPr>
        <w:spacing w:after="0" w:line="57"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See Footnote 13 “Debt” to our Financial Statements for additional information regarding our Corporate Credit Facility that includes our Revolving Corporate Credit Facility and the Term Loan.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Finance Lease Payment</w:t>
      </w:r>
    </w:p>
    <w:p>
      <w:pPr>
        <w:spacing w:after="0" w:line="117" w:lineRule="exact"/>
        <w:rPr>
          <w:sz w:val="20"/>
          <w:szCs w:val="20"/>
          <w:color w:val="auto"/>
        </w:rPr>
      </w:pPr>
    </w:p>
    <w:p>
      <w:pPr>
        <w:ind w:right="240" w:firstLine="648"/>
        <w:spacing w:after="0" w:line="342" w:lineRule="auto"/>
        <w:rPr>
          <w:sz w:val="20"/>
          <w:szCs w:val="20"/>
          <w:color w:val="auto"/>
        </w:rPr>
      </w:pPr>
      <w:r>
        <w:rPr>
          <w:rFonts w:ascii="Arial" w:cs="Arial" w:eastAsia="Arial" w:hAnsi="Arial"/>
          <w:sz w:val="16"/>
          <w:szCs w:val="16"/>
          <w:color w:val="auto"/>
        </w:rPr>
        <w:t>During the first quarter of 2020, in conjunction with the acquisition of the 57 completed vacation ownership units at our Marriott Vacation Club Pulse, New York City property, we made finance lease payments of $7 million related to the purchase of the accompanying ancillary and office space.</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240"/>
          </w:cols>
          <w:pgMar w:left="320" w:top="125" w:right="33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Share Repurchase Program</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share repurchase activity under our current share repurchase program:</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300" w:type="dxa"/>
            <w:vAlign w:val="bottom"/>
          </w:tcPr>
          <w:p>
            <w:pPr>
              <w:spacing w:after="0"/>
              <w:rPr>
                <w:sz w:val="17"/>
                <w:szCs w:val="17"/>
                <w:color w:val="auto"/>
              </w:rPr>
            </w:pPr>
          </w:p>
        </w:tc>
        <w:tc>
          <w:tcPr>
            <w:tcW w:w="17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Number of Shares</w:t>
            </w:r>
          </w:p>
        </w:tc>
        <w:tc>
          <w:tcPr>
            <w:tcW w:w="200" w:type="dxa"/>
            <w:vAlign w:val="bottom"/>
          </w:tcPr>
          <w:p>
            <w:pPr>
              <w:spacing w:after="0"/>
              <w:rPr>
                <w:sz w:val="17"/>
                <w:szCs w:val="17"/>
                <w:color w:val="auto"/>
              </w:rPr>
            </w:pPr>
          </w:p>
        </w:tc>
        <w:tc>
          <w:tcPr>
            <w:tcW w:w="14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8"/>
              </w:rPr>
              <w:t>Cost of Shares</w:t>
            </w:r>
          </w:p>
        </w:tc>
        <w:tc>
          <w:tcPr>
            <w:tcW w:w="120" w:type="dxa"/>
            <w:vAlign w:val="bottom"/>
          </w:tcPr>
          <w:p>
            <w:pPr>
              <w:spacing w:after="0"/>
              <w:rPr>
                <w:sz w:val="17"/>
                <w:szCs w:val="17"/>
                <w:color w:val="auto"/>
              </w:rPr>
            </w:pPr>
          </w:p>
        </w:tc>
        <w:tc>
          <w:tcPr>
            <w:tcW w:w="1440" w:type="dxa"/>
            <w:vAlign w:val="bottom"/>
          </w:tcPr>
          <w:p>
            <w:pPr>
              <w:jc w:val="right"/>
              <w:ind w:right="34"/>
              <w:spacing w:after="0"/>
              <w:rPr>
                <w:sz w:val="20"/>
                <w:szCs w:val="20"/>
                <w:color w:val="auto"/>
              </w:rPr>
            </w:pPr>
            <w:r>
              <w:rPr>
                <w:rFonts w:ascii="Arial" w:cs="Arial" w:eastAsia="Arial" w:hAnsi="Arial"/>
                <w:sz w:val="16"/>
                <w:szCs w:val="16"/>
                <w:b w:val="1"/>
                <w:bCs w:val="1"/>
                <w:color w:val="auto"/>
                <w:w w:val="89"/>
              </w:rPr>
              <w:t>Average Price Paid</w:t>
            </w:r>
          </w:p>
        </w:tc>
      </w:tr>
      <w:tr>
        <w:trPr>
          <w:trHeight w:val="237"/>
        </w:trPr>
        <w:tc>
          <w:tcPr>
            <w:tcW w:w="630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millions, except per share amounts)</w:t>
            </w:r>
          </w:p>
        </w:tc>
        <w:tc>
          <w:tcPr>
            <w:tcW w:w="17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8"/>
              </w:rPr>
              <w:t>Repurchased</w:t>
            </w:r>
          </w:p>
        </w:tc>
        <w:tc>
          <w:tcPr>
            <w:tcW w:w="200" w:type="dxa"/>
            <w:vAlign w:val="bottom"/>
          </w:tcPr>
          <w:p>
            <w:pPr>
              <w:spacing w:after="0"/>
              <w:rPr>
                <w:sz w:val="20"/>
                <w:szCs w:val="20"/>
                <w:color w:val="auto"/>
              </w:rPr>
            </w:pPr>
          </w:p>
        </w:tc>
        <w:tc>
          <w:tcPr>
            <w:tcW w:w="14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8"/>
              </w:rPr>
              <w:t>Repurchased</w:t>
            </w:r>
          </w:p>
        </w:tc>
        <w:tc>
          <w:tcPr>
            <w:tcW w:w="120" w:type="dxa"/>
            <w:vAlign w:val="bottom"/>
          </w:tcPr>
          <w:p>
            <w:pPr>
              <w:spacing w:after="0"/>
              <w:rPr>
                <w:sz w:val="20"/>
                <w:szCs w:val="20"/>
                <w:color w:val="auto"/>
              </w:rPr>
            </w:pPr>
          </w:p>
        </w:tc>
        <w:tc>
          <w:tcPr>
            <w:tcW w:w="1440" w:type="dxa"/>
            <w:vAlign w:val="bottom"/>
          </w:tcPr>
          <w:p>
            <w:pPr>
              <w:jc w:val="right"/>
              <w:ind w:right="354"/>
              <w:spacing w:after="0"/>
              <w:rPr>
                <w:sz w:val="20"/>
                <w:szCs w:val="20"/>
                <w:color w:val="auto"/>
              </w:rPr>
            </w:pPr>
            <w:r>
              <w:rPr>
                <w:rFonts w:ascii="Arial" w:cs="Arial" w:eastAsia="Arial" w:hAnsi="Arial"/>
                <w:sz w:val="16"/>
                <w:szCs w:val="16"/>
                <w:b w:val="1"/>
                <w:bCs w:val="1"/>
                <w:color w:val="auto"/>
              </w:rPr>
              <w:t>per Share</w:t>
            </w:r>
          </w:p>
        </w:tc>
      </w:tr>
      <w:tr>
        <w:trPr>
          <w:trHeight w:val="249"/>
        </w:trPr>
        <w:tc>
          <w:tcPr>
            <w:tcW w:w="63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 of December 31, 2019</w:t>
            </w:r>
          </w:p>
        </w:tc>
        <w:tc>
          <w:tcPr>
            <w:tcW w:w="160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16,418,950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1,258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76.60</w:t>
            </w:r>
          </w:p>
        </w:tc>
      </w:tr>
      <w:tr>
        <w:trPr>
          <w:trHeight w:val="243"/>
        </w:trPr>
        <w:tc>
          <w:tcPr>
            <w:tcW w:w="6300" w:type="dxa"/>
            <w:vAlign w:val="bottom"/>
          </w:tcPr>
          <w:p>
            <w:pPr>
              <w:ind w:left="280"/>
              <w:spacing w:after="0"/>
              <w:rPr>
                <w:sz w:val="20"/>
                <w:szCs w:val="20"/>
                <w:color w:val="auto"/>
              </w:rPr>
            </w:pPr>
            <w:r>
              <w:rPr>
                <w:rFonts w:ascii="Arial" w:cs="Arial" w:eastAsia="Arial" w:hAnsi="Arial"/>
                <w:sz w:val="18"/>
                <w:szCs w:val="18"/>
                <w:color w:val="auto"/>
              </w:rPr>
              <w:t>For the first quarter of 2020</w:t>
            </w:r>
          </w:p>
        </w:tc>
        <w:tc>
          <w:tcPr>
            <w:tcW w:w="1600" w:type="dxa"/>
            <w:vAlign w:val="bottom"/>
          </w:tcPr>
          <w:p>
            <w:pPr>
              <w:jc w:val="right"/>
              <w:ind w:right="34"/>
              <w:spacing w:after="0"/>
              <w:rPr>
                <w:sz w:val="20"/>
                <w:szCs w:val="20"/>
                <w:color w:val="auto"/>
              </w:rPr>
            </w:pPr>
            <w:r>
              <w:rPr>
                <w:rFonts w:ascii="Arial" w:cs="Arial" w:eastAsia="Arial" w:hAnsi="Arial"/>
                <w:sz w:val="18"/>
                <w:szCs w:val="18"/>
                <w:color w:val="auto"/>
              </w:rPr>
              <w:t>769,935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82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tcPr>
          <w:p>
            <w:pPr>
              <w:jc w:val="right"/>
              <w:ind w:right="14"/>
              <w:spacing w:after="0"/>
              <w:rPr>
                <w:sz w:val="20"/>
                <w:szCs w:val="20"/>
                <w:color w:val="auto"/>
              </w:rPr>
            </w:pPr>
            <w:r>
              <w:rPr>
                <w:rFonts w:ascii="Arial" w:cs="Arial" w:eastAsia="Arial" w:hAnsi="Arial"/>
                <w:sz w:val="18"/>
                <w:szCs w:val="18"/>
                <w:color w:val="auto"/>
              </w:rPr>
              <w:t>106.60</w:t>
            </w:r>
          </w:p>
        </w:tc>
      </w:tr>
      <w:tr>
        <w:trPr>
          <w:trHeight w:val="27"/>
        </w:trPr>
        <w:tc>
          <w:tcPr>
            <w:tcW w:w="630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57"/>
        </w:trPr>
        <w:tc>
          <w:tcPr>
            <w:tcW w:w="6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 of March 31, 2020</w:t>
            </w:r>
          </w:p>
        </w:tc>
        <w:tc>
          <w:tcPr>
            <w:tcW w:w="16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17,188,885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1,340</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77.95</w:t>
            </w:r>
          </w:p>
        </w:tc>
      </w:tr>
      <w:tr>
        <w:trPr>
          <w:trHeight w:val="20"/>
        </w:trPr>
        <w:tc>
          <w:tcPr>
            <w:tcW w:w="63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left="60" w:right="180" w:firstLine="648"/>
        <w:spacing w:after="0" w:line="263" w:lineRule="auto"/>
        <w:rPr>
          <w:sz w:val="20"/>
          <w:szCs w:val="20"/>
          <w:color w:val="auto"/>
        </w:rPr>
      </w:pPr>
      <w:r>
        <w:rPr>
          <w:rFonts w:ascii="Arial" w:cs="Arial" w:eastAsia="Arial" w:hAnsi="Arial"/>
          <w:sz w:val="18"/>
          <w:szCs w:val="18"/>
          <w:color w:val="auto"/>
        </w:rPr>
        <w:t>See Footnote 14 “Shareholders' Equity” to our Financial Statements for further information related to our share repurchase program. Due to the impact of the COVID-19 pandemic, we temporarily suspended repurchasing shares of our common stock. Future share repurchases will be subject to the restrictions associated with the Waiver to the Corporate Credit Facility.</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Dividends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distributed cash dividends to holders of common stock during the first quarter of 2020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9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Declaration Date</w:t>
            </w:r>
          </w:p>
        </w:tc>
        <w:tc>
          <w:tcPr>
            <w:tcW w:w="28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Shareholder Record Date</w:t>
            </w:r>
          </w:p>
        </w:tc>
        <w:tc>
          <w:tcPr>
            <w:tcW w:w="28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3"/>
              </w:rPr>
              <w:t>Distribution Date</w:t>
            </w:r>
          </w:p>
        </w:tc>
        <w:tc>
          <w:tcPr>
            <w:tcW w:w="2680" w:type="dxa"/>
            <w:vAlign w:val="bottom"/>
          </w:tcPr>
          <w:p>
            <w:pPr>
              <w:jc w:val="center"/>
              <w:spacing w:after="0"/>
              <w:rPr>
                <w:sz w:val="20"/>
                <w:szCs w:val="20"/>
                <w:color w:val="auto"/>
              </w:rPr>
            </w:pPr>
            <w:r>
              <w:rPr>
                <w:rFonts w:ascii="Arial" w:cs="Arial" w:eastAsia="Arial" w:hAnsi="Arial"/>
                <w:sz w:val="16"/>
                <w:szCs w:val="16"/>
                <w:b w:val="1"/>
                <w:bCs w:val="1"/>
                <w:color w:val="auto"/>
                <w:w w:val="93"/>
              </w:rPr>
              <w:t>Dividend per Share</w:t>
            </w:r>
          </w:p>
        </w:tc>
      </w:tr>
      <w:tr>
        <w:trPr>
          <w:trHeight w:val="33"/>
        </w:trPr>
        <w:tc>
          <w:tcPr>
            <w:tcW w:w="28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80" w:type="dxa"/>
            <w:vAlign w:val="bottom"/>
            <w:tcBorders>
              <w:bottom w:val="single" w:sz="8" w:color="auto"/>
            </w:tcBorders>
          </w:tcPr>
          <w:p>
            <w:pPr>
              <w:spacing w:after="0"/>
              <w:rPr>
                <w:sz w:val="2"/>
                <w:szCs w:val="2"/>
                <w:color w:val="auto"/>
              </w:rPr>
            </w:pPr>
          </w:p>
        </w:tc>
      </w:tr>
      <w:tr>
        <w:trPr>
          <w:trHeight w:val="243"/>
        </w:trPr>
        <w:tc>
          <w:tcPr>
            <w:tcW w:w="29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December 9, 2019</w:t>
            </w:r>
          </w:p>
        </w:tc>
        <w:tc>
          <w:tcPr>
            <w:tcW w:w="28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8"/>
              </w:rPr>
              <w:t>December 23, 2019</w:t>
            </w:r>
          </w:p>
        </w:tc>
        <w:tc>
          <w:tcPr>
            <w:tcW w:w="28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January 6, 2020</w:t>
            </w:r>
          </w:p>
        </w:tc>
        <w:tc>
          <w:tcPr>
            <w:tcW w:w="2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$0.54</w:t>
            </w:r>
          </w:p>
        </w:tc>
      </w:tr>
      <w:tr>
        <w:trPr>
          <w:trHeight w:val="243"/>
        </w:trPr>
        <w:tc>
          <w:tcPr>
            <w:tcW w:w="296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February 14, 2020</w:t>
            </w:r>
          </w:p>
        </w:tc>
        <w:tc>
          <w:tcPr>
            <w:tcW w:w="280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February 27, 2020</w:t>
            </w:r>
          </w:p>
        </w:tc>
        <w:tc>
          <w:tcPr>
            <w:tcW w:w="280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March 12, 2020</w:t>
            </w:r>
          </w:p>
        </w:tc>
        <w:tc>
          <w:tcPr>
            <w:tcW w:w="2680" w:type="dxa"/>
            <w:vAlign w:val="bottom"/>
          </w:tcPr>
          <w:p>
            <w:pPr>
              <w:jc w:val="center"/>
              <w:spacing w:after="0"/>
              <w:rPr>
                <w:sz w:val="20"/>
                <w:szCs w:val="20"/>
                <w:color w:val="auto"/>
              </w:rPr>
            </w:pPr>
            <w:r>
              <w:rPr>
                <w:rFonts w:ascii="Arial" w:cs="Arial" w:eastAsia="Arial" w:hAnsi="Arial"/>
                <w:sz w:val="18"/>
                <w:szCs w:val="18"/>
                <w:color w:val="auto"/>
                <w:w w:val="88"/>
              </w:rPr>
              <w:t>$0.54</w:t>
            </w:r>
          </w:p>
        </w:tc>
      </w:tr>
    </w:tbl>
    <w:p>
      <w:pPr>
        <w:spacing w:after="0" w:line="121"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Given the impact of the COVID-19 pandemic, we temporarily suspended cash dividends. In addition, our Corporate Credit Facility and the indentures governing our senior notes contain restrictions on our ability to pay dividends. Future dividend payments will also be subject to the restrictions associated with the Waiver to the Corporate Credit Facility and will be subject to Board of Directors’ approval, which will depend on our financial condition, results of operations and capital requirements, as well as applicable law, regulatory constraints, industry practice and other business considerations that our Board of Directors considers relevant. The payment of certain cash dividends may also result in an adjustment to the conversion rate of the Convertible Notes in a manner adverse to us. Accordingly, there can be no assurance that we will pay dividends in the future at the same rate or at all.</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240"/>
          </w:cols>
          <w:pgMar w:left="320" w:top="125" w:right="339" w:bottom="1440" w:gutter="0" w:footer="0" w:header="0"/>
        </w:sectPr>
      </w:pPr>
    </w:p>
    <w:bookmarkStart w:id="61" w:name="page62"/>
    <w:bookmarkEnd w:id="61"/>
    <w:p>
      <w:pPr>
        <w:spacing w:after="0"/>
        <w:rPr>
          <w:sz w:val="20"/>
          <w:szCs w:val="20"/>
          <w:color w:val="auto"/>
        </w:rPr>
      </w:pPr>
      <w:r>
        <w:rPr>
          <w:rFonts w:ascii="Arial" w:cs="Arial" w:eastAsia="Arial" w:hAnsi="Arial"/>
          <w:sz w:val="18"/>
          <w:szCs w:val="18"/>
          <w:i w:val="1"/>
          <w:iCs w:val="1"/>
          <w:color w:val="auto"/>
        </w:rPr>
        <w:t>Supplemental Guarantor Information</w:t>
      </w:r>
    </w:p>
    <w:p>
      <w:pPr>
        <w:spacing w:after="0" w:line="117"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The 2026 Notes are guaranteed by MVWC, Marriott Ownership Resorts, Inc. (“MORI”), and certain other subsidiaries whose voting securities are wholly owned directly or indirectly by MORI (such subsidiaries collectively, the “Senior Notes Guarantors”). These guarantees are full and unconditional and joint and several. The guarantees of the Senior Notes Guarantors are subject to release in limited circumstances only upon the occurrence of certain customary conditions.</w:t>
      </w:r>
    </w:p>
    <w:p>
      <w:pPr>
        <w:spacing w:after="0" w:line="79"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The following tables present consolidating financial information as of March 31, 2020 and for the three months ended March 31, 2020 for MVWC and MORI on a stand-alone basis (collectively, the “Issuers”), the Senior Notes Guarantors, the combined non-guarantor subsidiaries of MVW and MVW on a consolidated basis.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Condensed Consolidating Balance Sheet</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00" w:type="dxa"/>
            <w:vAlign w:val="bottom"/>
            <w:gridSpan w:val="5"/>
          </w:tcPr>
          <w:p>
            <w:pPr>
              <w:ind w:left="460"/>
              <w:spacing w:after="0"/>
              <w:rPr>
                <w:sz w:val="20"/>
                <w:szCs w:val="20"/>
                <w:color w:val="auto"/>
              </w:rPr>
            </w:pPr>
            <w:r>
              <w:rPr>
                <w:rFonts w:ascii="Arial" w:cs="Arial" w:eastAsia="Arial" w:hAnsi="Arial"/>
                <w:sz w:val="16"/>
                <w:szCs w:val="16"/>
                <w:b w:val="1"/>
                <w:bCs w:val="1"/>
                <w:color w:val="auto"/>
              </w:rPr>
              <w:t>As of March 31, 2020</w:t>
            </w:r>
          </w:p>
        </w:tc>
        <w:tc>
          <w:tcPr>
            <w:tcW w:w="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6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3"/>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2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20" w:type="dxa"/>
            <w:vAlign w:val="bottom"/>
            <w:gridSpan w:val="3"/>
          </w:tcPr>
          <w:p>
            <w:pPr>
              <w:jc w:val="right"/>
              <w:ind w:right="30"/>
              <w:spacing w:after="0"/>
              <w:rPr>
                <w:sz w:val="20"/>
                <w:szCs w:val="20"/>
                <w:color w:val="auto"/>
              </w:rPr>
            </w:pPr>
            <w:r>
              <w:rPr>
                <w:rFonts w:ascii="Arial" w:cs="Arial" w:eastAsia="Arial" w:hAnsi="Arial"/>
                <w:sz w:val="16"/>
                <w:szCs w:val="16"/>
                <w:b w:val="1"/>
                <w:bCs w:val="1"/>
                <w:color w:val="auto"/>
              </w:rPr>
              <w:t>Issuers</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Senior Notes</w:t>
            </w:r>
          </w:p>
        </w:tc>
        <w:tc>
          <w:tcPr>
            <w:tcW w:w="120" w:type="dxa"/>
            <w:vAlign w:val="bottom"/>
          </w:tcPr>
          <w:p>
            <w:pPr>
              <w:spacing w:after="0"/>
              <w:rPr>
                <w:sz w:val="18"/>
                <w:szCs w:val="18"/>
                <w:color w:val="auto"/>
              </w:rPr>
            </w:pPr>
          </w:p>
        </w:tc>
        <w:tc>
          <w:tcPr>
            <w:tcW w:w="134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Non-Guarantor</w:t>
            </w:r>
          </w:p>
        </w:tc>
        <w:tc>
          <w:tcPr>
            <w:tcW w:w="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vMerge w:val="restart"/>
          </w:tcPr>
          <w:p>
            <w:pPr>
              <w:jc w:val="right"/>
              <w:ind w:right="371"/>
              <w:spacing w:after="0"/>
              <w:rPr>
                <w:sz w:val="20"/>
                <w:szCs w:val="20"/>
                <w:color w:val="auto"/>
              </w:rPr>
            </w:pPr>
            <w:r>
              <w:rPr>
                <w:rFonts w:ascii="Arial" w:cs="Arial" w:eastAsia="Arial" w:hAnsi="Arial"/>
                <w:sz w:val="16"/>
                <w:szCs w:val="16"/>
                <w:b w:val="1"/>
                <w:bCs w:val="1"/>
                <w:color w:val="auto"/>
              </w:rPr>
              <w:t>MVW</w:t>
            </w:r>
          </w:p>
        </w:tc>
        <w:tc>
          <w:tcPr>
            <w:tcW w:w="0" w:type="dxa"/>
            <w:vAlign w:val="bottom"/>
          </w:tcPr>
          <w:p>
            <w:pPr>
              <w:spacing w:after="0"/>
              <w:rPr>
                <w:sz w:val="1"/>
                <w:szCs w:val="1"/>
                <w:color w:val="auto"/>
              </w:rPr>
            </w:pPr>
          </w:p>
        </w:tc>
      </w:tr>
      <w:tr>
        <w:trPr>
          <w:trHeight w:val="47"/>
        </w:trPr>
        <w:tc>
          <w:tcPr>
            <w:tcW w:w="260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1340" w:type="dxa"/>
            <w:vAlign w:val="bottom"/>
            <w:gridSpan w:val="2"/>
            <w:vMerge w:val="continue"/>
          </w:tcPr>
          <w:p>
            <w:pPr>
              <w:spacing w:after="0"/>
              <w:rPr>
                <w:sz w:val="4"/>
                <w:szCs w:val="4"/>
                <w:color w:val="auto"/>
              </w:rPr>
            </w:pPr>
          </w:p>
        </w:tc>
        <w:tc>
          <w:tcPr>
            <w:tcW w:w="44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6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2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11"/>
              <w:spacing w:after="0"/>
              <w:rPr>
                <w:sz w:val="20"/>
                <w:szCs w:val="20"/>
                <w:color w:val="auto"/>
              </w:rPr>
            </w:pPr>
            <w:r>
              <w:rPr>
                <w:rFonts w:ascii="Arial" w:cs="Arial" w:eastAsia="Arial" w:hAnsi="Arial"/>
                <w:sz w:val="16"/>
                <w:szCs w:val="16"/>
                <w:b w:val="1"/>
                <w:bCs w:val="1"/>
                <w:color w:val="auto"/>
              </w:rPr>
              <w:t>MVWC</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50"/>
              <w:spacing w:after="0"/>
              <w:rPr>
                <w:sz w:val="20"/>
                <w:szCs w:val="20"/>
                <w:color w:val="auto"/>
              </w:rPr>
            </w:pPr>
            <w:r>
              <w:rPr>
                <w:rFonts w:ascii="Arial" w:cs="Arial" w:eastAsia="Arial" w:hAnsi="Arial"/>
                <w:sz w:val="16"/>
                <w:szCs w:val="16"/>
                <w:b w:val="1"/>
                <w:bCs w:val="1"/>
                <w:color w:val="auto"/>
              </w:rPr>
              <w:t>MORI</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71"/>
              <w:spacing w:after="0"/>
              <w:rPr>
                <w:sz w:val="20"/>
                <w:szCs w:val="20"/>
                <w:color w:val="auto"/>
              </w:rPr>
            </w:pPr>
            <w:r>
              <w:rPr>
                <w:rFonts w:ascii="Arial" w:cs="Arial" w:eastAsia="Arial" w:hAnsi="Arial"/>
                <w:sz w:val="16"/>
                <w:szCs w:val="16"/>
                <w:b w:val="1"/>
                <w:bCs w:val="1"/>
                <w:color w:val="auto"/>
                <w:w w:val="97"/>
              </w:rPr>
              <w:t>Guarantors</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51"/>
              <w:spacing w:after="0"/>
              <w:rPr>
                <w:sz w:val="20"/>
                <w:szCs w:val="20"/>
                <w:color w:val="auto"/>
              </w:rPr>
            </w:pPr>
            <w:r>
              <w:rPr>
                <w:rFonts w:ascii="Arial" w:cs="Arial" w:eastAsia="Arial" w:hAnsi="Arial"/>
                <w:sz w:val="16"/>
                <w:szCs w:val="16"/>
                <w:b w:val="1"/>
                <w:bCs w:val="1"/>
                <w:color w:val="auto"/>
              </w:rPr>
              <w:t>Subsidiaries</w:t>
            </w:r>
          </w:p>
        </w:tc>
        <w:tc>
          <w:tcPr>
            <w:tcW w:w="120" w:type="dxa"/>
            <w:vAlign w:val="bottom"/>
            <w:tcBorders>
              <w:bottom w:val="single" w:sz="8" w:color="CCEEFF"/>
            </w:tcBorders>
          </w:tcPr>
          <w:p>
            <w:pPr>
              <w:spacing w:after="0"/>
              <w:rPr>
                <w:sz w:val="22"/>
                <w:szCs w:val="22"/>
                <w:color w:val="auto"/>
              </w:rPr>
            </w:pPr>
          </w:p>
        </w:tc>
        <w:tc>
          <w:tcPr>
            <w:tcW w:w="134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w w:val="94"/>
              </w:rPr>
              <w:t>Total Eliminations</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131"/>
              <w:spacing w:after="0"/>
              <w:rPr>
                <w:sz w:val="20"/>
                <w:szCs w:val="20"/>
                <w:color w:val="auto"/>
              </w:rPr>
            </w:pPr>
            <w:r>
              <w:rPr>
                <w:rFonts w:ascii="Arial" w:cs="Arial" w:eastAsia="Arial" w:hAnsi="Arial"/>
                <w:sz w:val="16"/>
                <w:szCs w:val="16"/>
                <w:b w:val="1"/>
                <w:bCs w:val="1"/>
                <w:color w:val="auto"/>
                <w:w w:val="92"/>
              </w:rPr>
              <w:t>Consolidated</w:t>
            </w:r>
          </w:p>
        </w:tc>
        <w:tc>
          <w:tcPr>
            <w:tcW w:w="0" w:type="dxa"/>
            <w:vAlign w:val="bottom"/>
          </w:tcPr>
          <w:p>
            <w:pPr>
              <w:spacing w:after="0"/>
              <w:rPr>
                <w:sz w:val="1"/>
                <w:szCs w:val="1"/>
                <w:color w:val="auto"/>
              </w:rPr>
            </w:pPr>
          </w:p>
        </w:tc>
      </w:tr>
      <w:tr>
        <w:trPr>
          <w:trHeight w:val="249"/>
        </w:trPr>
        <w:tc>
          <w:tcPr>
            <w:tcW w:w="2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106</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651</w:t>
            </w:r>
          </w:p>
        </w:tc>
        <w:tc>
          <w:tcPr>
            <w:tcW w:w="0" w:type="dxa"/>
            <w:vAlign w:val="bottom"/>
          </w:tcPr>
          <w:p>
            <w:pPr>
              <w:spacing w:after="0"/>
              <w:rPr>
                <w:sz w:val="1"/>
                <w:szCs w:val="1"/>
                <w:color w:val="auto"/>
              </w:rPr>
            </w:pPr>
          </w:p>
        </w:tc>
      </w:tr>
      <w:tr>
        <w:trPr>
          <w:trHeight w:val="243"/>
        </w:trPr>
        <w:tc>
          <w:tcPr>
            <w:tcW w:w="2600" w:type="dxa"/>
            <w:vAlign w:val="bottom"/>
          </w:tcPr>
          <w:p>
            <w:pPr>
              <w:ind w:left="40"/>
              <w:spacing w:after="0"/>
              <w:rPr>
                <w:sz w:val="20"/>
                <w:szCs w:val="20"/>
                <w:color w:val="auto"/>
              </w:rPr>
            </w:pPr>
            <w:r>
              <w:rPr>
                <w:rFonts w:ascii="Arial" w:cs="Arial" w:eastAsia="Arial" w:hAnsi="Arial"/>
                <w:sz w:val="18"/>
                <w:szCs w:val="18"/>
                <w:color w:val="auto"/>
              </w:rPr>
              <w:t>Restricted cash</w:t>
            </w:r>
          </w:p>
        </w:tc>
        <w:tc>
          <w:tcPr>
            <w:tcW w:w="2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309</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369</w:t>
            </w:r>
          </w:p>
        </w:tc>
        <w:tc>
          <w:tcPr>
            <w:tcW w:w="0" w:type="dxa"/>
            <w:vAlign w:val="bottom"/>
          </w:tcPr>
          <w:p>
            <w:pPr>
              <w:spacing w:after="0"/>
              <w:rPr>
                <w:sz w:val="1"/>
                <w:szCs w:val="1"/>
                <w:color w:val="auto"/>
              </w:rPr>
            </w:pPr>
          </w:p>
        </w:tc>
      </w:tr>
      <w:tr>
        <w:trPr>
          <w:trHeight w:val="27"/>
        </w:trPr>
        <w:tc>
          <w:tcPr>
            <w:tcW w:w="2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receivable, net</w:t>
            </w: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267</w:t>
            </w:r>
          </w:p>
        </w:tc>
        <w:tc>
          <w:tcPr>
            <w:tcW w:w="0" w:type="dxa"/>
            <w:vAlign w:val="bottom"/>
          </w:tcPr>
          <w:p>
            <w:pPr>
              <w:spacing w:after="0"/>
              <w:rPr>
                <w:sz w:val="1"/>
                <w:szCs w:val="1"/>
                <w:color w:val="auto"/>
              </w:rPr>
            </w:pPr>
          </w:p>
        </w:tc>
      </w:tr>
      <w:tr>
        <w:trPr>
          <w:trHeight w:val="229"/>
        </w:trPr>
        <w:tc>
          <w:tcPr>
            <w:tcW w:w="2600" w:type="dxa"/>
            <w:vAlign w:val="bottom"/>
          </w:tcPr>
          <w:p>
            <w:pPr>
              <w:ind w:left="40"/>
              <w:spacing w:after="0"/>
              <w:rPr>
                <w:sz w:val="20"/>
                <w:szCs w:val="20"/>
                <w:color w:val="auto"/>
              </w:rPr>
            </w:pPr>
            <w:r>
              <w:rPr>
                <w:rFonts w:ascii="Arial" w:cs="Arial" w:eastAsia="Arial" w:hAnsi="Arial"/>
                <w:sz w:val="18"/>
                <w:szCs w:val="18"/>
                <w:color w:val="auto"/>
              </w:rPr>
              <w:t>Vacation ownership notes</w:t>
            </w: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00" w:type="dxa"/>
            <w:vAlign w:val="bottom"/>
          </w:tcPr>
          <w:p>
            <w:pPr>
              <w:ind w:left="40"/>
              <w:spacing w:after="0"/>
              <w:rPr>
                <w:sz w:val="20"/>
                <w:szCs w:val="20"/>
                <w:color w:val="auto"/>
              </w:rPr>
            </w:pPr>
            <w:r>
              <w:rPr>
                <w:rFonts w:ascii="Arial" w:cs="Arial" w:eastAsia="Arial" w:hAnsi="Arial"/>
                <w:sz w:val="18"/>
                <w:szCs w:val="18"/>
                <w:color w:val="auto"/>
              </w:rPr>
              <w:t>receivable, net</w:t>
            </w:r>
          </w:p>
        </w:tc>
        <w:tc>
          <w:tcPr>
            <w:tcW w:w="26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95</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161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1,903</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2,159</w:t>
            </w:r>
          </w:p>
        </w:tc>
        <w:tc>
          <w:tcPr>
            <w:tcW w:w="0" w:type="dxa"/>
            <w:vAlign w:val="bottom"/>
          </w:tcPr>
          <w:p>
            <w:pPr>
              <w:spacing w:after="0"/>
              <w:rPr>
                <w:sz w:val="1"/>
                <w:szCs w:val="1"/>
                <w:color w:val="auto"/>
              </w:rPr>
            </w:pPr>
          </w:p>
        </w:tc>
      </w:tr>
      <w:tr>
        <w:trPr>
          <w:trHeight w:val="27"/>
        </w:trPr>
        <w:tc>
          <w:tcPr>
            <w:tcW w:w="2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Inventory</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95</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776</w:t>
            </w:r>
          </w:p>
        </w:tc>
        <w:tc>
          <w:tcPr>
            <w:tcW w:w="0" w:type="dxa"/>
            <w:vAlign w:val="bottom"/>
          </w:tcPr>
          <w:p>
            <w:pPr>
              <w:spacing w:after="0"/>
              <w:rPr>
                <w:sz w:val="1"/>
                <w:szCs w:val="1"/>
                <w:color w:val="auto"/>
              </w:rPr>
            </w:pPr>
          </w:p>
        </w:tc>
      </w:tr>
      <w:tr>
        <w:trPr>
          <w:trHeight w:val="243"/>
        </w:trPr>
        <w:tc>
          <w:tcPr>
            <w:tcW w:w="2600" w:type="dxa"/>
            <w:vAlign w:val="bottom"/>
          </w:tcPr>
          <w:p>
            <w:pPr>
              <w:ind w:left="40"/>
              <w:spacing w:after="0"/>
              <w:rPr>
                <w:sz w:val="20"/>
                <w:szCs w:val="20"/>
                <w:color w:val="auto"/>
              </w:rPr>
            </w:pPr>
            <w:r>
              <w:rPr>
                <w:rFonts w:ascii="Arial" w:cs="Arial" w:eastAsia="Arial" w:hAnsi="Arial"/>
                <w:sz w:val="18"/>
                <w:szCs w:val="18"/>
                <w:color w:val="auto"/>
              </w:rPr>
              <w:t>Property and equipment</w:t>
            </w:r>
          </w:p>
        </w:tc>
        <w:tc>
          <w:tcPr>
            <w:tcW w:w="2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245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346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242</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833</w:t>
            </w:r>
          </w:p>
        </w:tc>
        <w:tc>
          <w:tcPr>
            <w:tcW w:w="0" w:type="dxa"/>
            <w:vAlign w:val="bottom"/>
          </w:tcPr>
          <w:p>
            <w:pPr>
              <w:spacing w:after="0"/>
              <w:rPr>
                <w:sz w:val="1"/>
                <w:szCs w:val="1"/>
                <w:color w:val="auto"/>
              </w:rPr>
            </w:pPr>
          </w:p>
        </w:tc>
      </w:tr>
      <w:tr>
        <w:trPr>
          <w:trHeight w:val="27"/>
        </w:trPr>
        <w:tc>
          <w:tcPr>
            <w:tcW w:w="2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2,817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2,817</w:t>
            </w:r>
          </w:p>
        </w:tc>
        <w:tc>
          <w:tcPr>
            <w:tcW w:w="0" w:type="dxa"/>
            <w:vAlign w:val="bottom"/>
          </w:tcPr>
          <w:p>
            <w:pPr>
              <w:spacing w:after="0"/>
              <w:rPr>
                <w:sz w:val="1"/>
                <w:szCs w:val="1"/>
                <w:color w:val="auto"/>
              </w:rPr>
            </w:pPr>
          </w:p>
        </w:tc>
      </w:tr>
      <w:tr>
        <w:trPr>
          <w:trHeight w:val="243"/>
        </w:trPr>
        <w:tc>
          <w:tcPr>
            <w:tcW w:w="2600" w:type="dxa"/>
            <w:vAlign w:val="bottom"/>
          </w:tcPr>
          <w:p>
            <w:pPr>
              <w:ind w:left="40"/>
              <w:spacing w:after="0"/>
              <w:rPr>
                <w:sz w:val="20"/>
                <w:szCs w:val="20"/>
                <w:color w:val="auto"/>
              </w:rPr>
            </w:pPr>
            <w:r>
              <w:rPr>
                <w:rFonts w:ascii="Arial" w:cs="Arial" w:eastAsia="Arial" w:hAnsi="Arial"/>
                <w:sz w:val="18"/>
                <w:szCs w:val="18"/>
                <w:color w:val="auto"/>
              </w:rPr>
              <w:t>Intangibles, net</w:t>
            </w:r>
          </w:p>
        </w:tc>
        <w:tc>
          <w:tcPr>
            <w:tcW w:w="2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934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989</w:t>
            </w:r>
          </w:p>
        </w:tc>
        <w:tc>
          <w:tcPr>
            <w:tcW w:w="0" w:type="dxa"/>
            <w:vAlign w:val="bottom"/>
          </w:tcPr>
          <w:p>
            <w:pPr>
              <w:spacing w:after="0"/>
              <w:rPr>
                <w:sz w:val="1"/>
                <w:szCs w:val="1"/>
                <w:color w:val="auto"/>
              </w:rPr>
            </w:pPr>
          </w:p>
        </w:tc>
      </w:tr>
      <w:tr>
        <w:trPr>
          <w:trHeight w:val="27"/>
        </w:trPr>
        <w:tc>
          <w:tcPr>
            <w:tcW w:w="2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Investments in subsidiaries</w:t>
            </w: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2,871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4,606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(7,477)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600" w:type="dxa"/>
            <w:vAlign w:val="bottom"/>
          </w:tcPr>
          <w:p>
            <w:pPr>
              <w:ind w:left="40"/>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301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157</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571</w:t>
            </w:r>
          </w:p>
        </w:tc>
        <w:tc>
          <w:tcPr>
            <w:tcW w:w="0" w:type="dxa"/>
            <w:vAlign w:val="bottom"/>
          </w:tcPr>
          <w:p>
            <w:pPr>
              <w:spacing w:after="0"/>
              <w:rPr>
                <w:sz w:val="1"/>
                <w:szCs w:val="1"/>
                <w:color w:val="auto"/>
              </w:rPr>
            </w:pPr>
          </w:p>
        </w:tc>
      </w:tr>
      <w:tr>
        <w:trPr>
          <w:trHeight w:val="27"/>
        </w:trPr>
        <w:tc>
          <w:tcPr>
            <w:tcW w:w="26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3,017</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5,771</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5,231</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2,923</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(7,510)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9,432</w:t>
            </w:r>
          </w:p>
        </w:tc>
        <w:tc>
          <w:tcPr>
            <w:tcW w:w="0" w:type="dxa"/>
            <w:vAlign w:val="bottom"/>
          </w:tcPr>
          <w:p>
            <w:pPr>
              <w:spacing w:after="0"/>
              <w:rPr>
                <w:sz w:val="1"/>
                <w:szCs w:val="1"/>
                <w:color w:val="auto"/>
              </w:rPr>
            </w:pPr>
          </w:p>
        </w:tc>
      </w:tr>
      <w:tr>
        <w:trPr>
          <w:trHeight w:val="20"/>
        </w:trPr>
        <w:tc>
          <w:tcPr>
            <w:tcW w:w="26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2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payable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43"/>
        </w:trPr>
        <w:tc>
          <w:tcPr>
            <w:tcW w:w="2600" w:type="dxa"/>
            <w:vAlign w:val="bottom"/>
          </w:tcPr>
          <w:p>
            <w:pPr>
              <w:ind w:left="40"/>
              <w:spacing w:after="0"/>
              <w:rPr>
                <w:sz w:val="20"/>
                <w:szCs w:val="20"/>
                <w:color w:val="auto"/>
              </w:rPr>
            </w:pPr>
            <w:r>
              <w:rPr>
                <w:rFonts w:ascii="Arial" w:cs="Arial" w:eastAsia="Arial" w:hAnsi="Arial"/>
                <w:sz w:val="18"/>
                <w:szCs w:val="18"/>
                <w:color w:val="auto"/>
              </w:rPr>
              <w:t>Advance deposits</w:t>
            </w:r>
          </w:p>
        </w:tc>
        <w:tc>
          <w:tcPr>
            <w:tcW w:w="2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75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7"/>
        </w:trPr>
        <w:tc>
          <w:tcPr>
            <w:tcW w:w="2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115</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344</w:t>
            </w:r>
          </w:p>
        </w:tc>
        <w:tc>
          <w:tcPr>
            <w:tcW w:w="0" w:type="dxa"/>
            <w:vAlign w:val="bottom"/>
          </w:tcPr>
          <w:p>
            <w:pPr>
              <w:spacing w:after="0"/>
              <w:rPr>
                <w:sz w:val="1"/>
                <w:szCs w:val="1"/>
                <w:color w:val="auto"/>
              </w:rPr>
            </w:pPr>
          </w:p>
        </w:tc>
      </w:tr>
      <w:tr>
        <w:trPr>
          <w:trHeight w:val="243"/>
        </w:trPr>
        <w:tc>
          <w:tcPr>
            <w:tcW w:w="2600" w:type="dxa"/>
            <w:vAlign w:val="bottom"/>
          </w:tcPr>
          <w:p>
            <w:pPr>
              <w:ind w:left="40"/>
              <w:spacing w:after="0"/>
              <w:rPr>
                <w:sz w:val="20"/>
                <w:szCs w:val="20"/>
                <w:color w:val="auto"/>
              </w:rPr>
            </w:pPr>
            <w:r>
              <w:rPr>
                <w:rFonts w:ascii="Arial" w:cs="Arial" w:eastAsia="Arial" w:hAnsi="Arial"/>
                <w:sz w:val="18"/>
                <w:szCs w:val="18"/>
                <w:color w:val="auto"/>
              </w:rPr>
              <w:t>Deferred revenue</w:t>
            </w:r>
          </w:p>
        </w:tc>
        <w:tc>
          <w:tcPr>
            <w:tcW w:w="2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198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334</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536</w:t>
            </w:r>
          </w:p>
        </w:tc>
        <w:tc>
          <w:tcPr>
            <w:tcW w:w="0" w:type="dxa"/>
            <w:vAlign w:val="bottom"/>
          </w:tcPr>
          <w:p>
            <w:pPr>
              <w:spacing w:after="0"/>
              <w:rPr>
                <w:sz w:val="1"/>
                <w:szCs w:val="1"/>
                <w:color w:val="auto"/>
              </w:rPr>
            </w:pPr>
          </w:p>
        </w:tc>
      </w:tr>
      <w:tr>
        <w:trPr>
          <w:trHeight w:val="27"/>
        </w:trPr>
        <w:tc>
          <w:tcPr>
            <w:tcW w:w="2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Payroll and benefits liability</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43"/>
        </w:trPr>
        <w:tc>
          <w:tcPr>
            <w:tcW w:w="2600" w:type="dxa"/>
            <w:vAlign w:val="bottom"/>
          </w:tcPr>
          <w:p>
            <w:pPr>
              <w:ind w:left="40"/>
              <w:spacing w:after="0"/>
              <w:rPr>
                <w:sz w:val="20"/>
                <w:szCs w:val="20"/>
                <w:color w:val="auto"/>
              </w:rPr>
            </w:pPr>
            <w:r>
              <w:rPr>
                <w:rFonts w:ascii="Arial" w:cs="Arial" w:eastAsia="Arial" w:hAnsi="Arial"/>
                <w:sz w:val="18"/>
                <w:szCs w:val="18"/>
                <w:color w:val="auto"/>
              </w:rPr>
              <w:t>Deferred compensation liability</w:t>
            </w:r>
          </w:p>
        </w:tc>
        <w:tc>
          <w:tcPr>
            <w:tcW w:w="2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89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7"/>
        </w:trPr>
        <w:tc>
          <w:tcPr>
            <w:tcW w:w="2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Securitized debt, net</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1,926</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1,926</w:t>
            </w:r>
          </w:p>
        </w:tc>
        <w:tc>
          <w:tcPr>
            <w:tcW w:w="0" w:type="dxa"/>
            <w:vAlign w:val="bottom"/>
          </w:tcPr>
          <w:p>
            <w:pPr>
              <w:spacing w:after="0"/>
              <w:rPr>
                <w:sz w:val="1"/>
                <w:szCs w:val="1"/>
                <w:color w:val="auto"/>
              </w:rPr>
            </w:pPr>
          </w:p>
        </w:tc>
      </w:tr>
      <w:tr>
        <w:trPr>
          <w:trHeight w:val="243"/>
        </w:trPr>
        <w:tc>
          <w:tcPr>
            <w:tcW w:w="2600" w:type="dxa"/>
            <w:vAlign w:val="bottom"/>
          </w:tcPr>
          <w:p>
            <w:pPr>
              <w:ind w:left="40"/>
              <w:spacing w:after="0"/>
              <w:rPr>
                <w:sz w:val="20"/>
                <w:szCs w:val="20"/>
                <w:color w:val="auto"/>
              </w:rPr>
            </w:pPr>
            <w:r>
              <w:rPr>
                <w:rFonts w:ascii="Arial" w:cs="Arial" w:eastAsia="Arial" w:hAnsi="Arial"/>
                <w:sz w:val="18"/>
                <w:szCs w:val="18"/>
                <w:color w:val="auto"/>
              </w:rPr>
              <w:t>Debt, net</w:t>
            </w:r>
          </w:p>
        </w:tc>
        <w:tc>
          <w:tcPr>
            <w:tcW w:w="26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209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2,567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2,778</w:t>
            </w:r>
          </w:p>
        </w:tc>
        <w:tc>
          <w:tcPr>
            <w:tcW w:w="0" w:type="dxa"/>
            <w:vAlign w:val="bottom"/>
          </w:tcPr>
          <w:p>
            <w:pPr>
              <w:spacing w:after="0"/>
              <w:rPr>
                <w:sz w:val="1"/>
                <w:szCs w:val="1"/>
                <w:color w:val="auto"/>
              </w:rPr>
            </w:pPr>
          </w:p>
        </w:tc>
      </w:tr>
      <w:tr>
        <w:trPr>
          <w:trHeight w:val="27"/>
        </w:trPr>
        <w:tc>
          <w:tcPr>
            <w:tcW w:w="2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43"/>
        </w:trPr>
        <w:tc>
          <w:tcPr>
            <w:tcW w:w="2600" w:type="dxa"/>
            <w:vAlign w:val="bottom"/>
          </w:tcPr>
          <w:p>
            <w:pPr>
              <w:ind w:left="40"/>
              <w:spacing w:after="0"/>
              <w:rPr>
                <w:sz w:val="20"/>
                <w:szCs w:val="20"/>
                <w:color w:val="auto"/>
              </w:rPr>
            </w:pPr>
            <w:r>
              <w:rPr>
                <w:rFonts w:ascii="Arial" w:cs="Arial" w:eastAsia="Arial" w:hAnsi="Arial"/>
                <w:sz w:val="18"/>
                <w:szCs w:val="18"/>
                <w:color w:val="auto"/>
              </w:rPr>
              <w:t>Deferred taxes</w:t>
            </w:r>
          </w:p>
        </w:tc>
        <w:tc>
          <w:tcPr>
            <w:tcW w:w="2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120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151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290</w:t>
            </w:r>
          </w:p>
        </w:tc>
        <w:tc>
          <w:tcPr>
            <w:tcW w:w="0" w:type="dxa"/>
            <w:vAlign w:val="bottom"/>
          </w:tcPr>
          <w:p>
            <w:pPr>
              <w:spacing w:after="0"/>
              <w:rPr>
                <w:sz w:val="1"/>
                <w:szCs w:val="1"/>
                <w:color w:val="auto"/>
              </w:rPr>
            </w:pPr>
          </w:p>
        </w:tc>
      </w:tr>
      <w:tr>
        <w:trPr>
          <w:trHeight w:val="27"/>
        </w:trPr>
        <w:tc>
          <w:tcPr>
            <w:tcW w:w="2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MVW shareholders' equity</w:t>
            </w: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2,759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2,660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4,387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452</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(7,499)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2,759</w:t>
            </w:r>
          </w:p>
        </w:tc>
        <w:tc>
          <w:tcPr>
            <w:tcW w:w="0" w:type="dxa"/>
            <w:vAlign w:val="bottom"/>
          </w:tcPr>
          <w:p>
            <w:pPr>
              <w:spacing w:after="0"/>
              <w:rPr>
                <w:sz w:val="1"/>
                <w:szCs w:val="1"/>
                <w:color w:val="auto"/>
              </w:rPr>
            </w:pPr>
          </w:p>
        </w:tc>
      </w:tr>
      <w:tr>
        <w:trPr>
          <w:trHeight w:val="243"/>
        </w:trPr>
        <w:tc>
          <w:tcPr>
            <w:tcW w:w="2600" w:type="dxa"/>
            <w:vAlign w:val="bottom"/>
          </w:tcPr>
          <w:p>
            <w:pPr>
              <w:ind w:left="40"/>
              <w:spacing w:after="0"/>
              <w:rPr>
                <w:sz w:val="20"/>
                <w:szCs w:val="20"/>
                <w:color w:val="auto"/>
              </w:rPr>
            </w:pPr>
            <w:r>
              <w:rPr>
                <w:rFonts w:ascii="Arial" w:cs="Arial" w:eastAsia="Arial" w:hAnsi="Arial"/>
                <w:sz w:val="18"/>
                <w:szCs w:val="18"/>
                <w:color w:val="auto"/>
              </w:rPr>
              <w:t>Noncontrolling interests</w:t>
            </w:r>
          </w:p>
        </w:tc>
        <w:tc>
          <w:tcPr>
            <w:tcW w:w="2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26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 and equity</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3,017</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5,771</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5,231</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2,923</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(7,510)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9,432</w:t>
            </w:r>
          </w:p>
        </w:tc>
        <w:tc>
          <w:tcPr>
            <w:tcW w:w="0" w:type="dxa"/>
            <w:vAlign w:val="bottom"/>
          </w:tcPr>
          <w:p>
            <w:pPr>
              <w:spacing w:after="0"/>
              <w:rPr>
                <w:sz w:val="1"/>
                <w:szCs w:val="1"/>
                <w:color w:val="auto"/>
              </w:rPr>
            </w:pPr>
          </w:p>
        </w:tc>
      </w:tr>
      <w:tr>
        <w:trPr>
          <w:trHeight w:val="20"/>
        </w:trPr>
        <w:tc>
          <w:tcPr>
            <w:tcW w:w="26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2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ind w:left="20"/>
              <w:spacing w:after="0"/>
              <w:rPr>
                <w:sz w:val="20"/>
                <w:szCs w:val="20"/>
                <w:color w:val="auto"/>
              </w:rPr>
            </w:pPr>
            <w:r>
              <w:rPr>
                <w:rFonts w:ascii="Arial" w:cs="Arial" w:eastAsia="Arial" w:hAnsi="Arial"/>
                <w:sz w:val="18"/>
                <w:szCs w:val="18"/>
                <w:color w:val="auto"/>
                <w:w w:val="89"/>
              </w:rPr>
              <w:t>59</w:t>
            </w: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81" w:right="339" w:bottom="1440" w:gutter="0" w:footer="0" w:header="0"/>
        </w:sectPr>
      </w:pPr>
    </w:p>
    <w:bookmarkStart w:id="62" w:name="page63"/>
    <w:bookmarkEnd w:id="62"/>
    <w:p>
      <w:pPr>
        <w:spacing w:after="0"/>
        <w:rPr>
          <w:sz w:val="20"/>
          <w:szCs w:val="20"/>
          <w:color w:val="auto"/>
        </w:rPr>
      </w:pPr>
      <w:r>
        <w:rPr>
          <w:rFonts w:ascii="Arial" w:cs="Arial" w:eastAsia="Arial" w:hAnsi="Arial"/>
          <w:sz w:val="18"/>
          <w:szCs w:val="18"/>
          <w:i w:val="1"/>
          <w:iCs w:val="1"/>
          <w:color w:val="auto"/>
        </w:rPr>
        <w:t>Condensed Consolidating Statement of Income</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0" w:type="dxa"/>
            <w:vAlign w:val="bottom"/>
            <w:gridSpan w:val="5"/>
          </w:tcPr>
          <w:p>
            <w:pPr>
              <w:spacing w:after="0"/>
              <w:rPr>
                <w:sz w:val="20"/>
                <w:szCs w:val="20"/>
                <w:color w:val="auto"/>
              </w:rPr>
            </w:pPr>
            <w:r>
              <w:rPr>
                <w:rFonts w:ascii="Arial" w:cs="Arial" w:eastAsia="Arial" w:hAnsi="Arial"/>
                <w:sz w:val="16"/>
                <w:szCs w:val="16"/>
                <w:b w:val="1"/>
                <w:bCs w:val="1"/>
                <w:color w:val="auto"/>
              </w:rPr>
              <w:t>Three Months Ended March 31, 2020</w:t>
            </w:r>
          </w:p>
        </w:tc>
        <w:tc>
          <w:tcPr>
            <w:tcW w:w="5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6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3"/>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2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20" w:type="dxa"/>
            <w:vAlign w:val="bottom"/>
            <w:gridSpan w:val="3"/>
          </w:tcPr>
          <w:p>
            <w:pPr>
              <w:jc w:val="right"/>
              <w:ind w:right="30"/>
              <w:spacing w:after="0"/>
              <w:rPr>
                <w:sz w:val="20"/>
                <w:szCs w:val="20"/>
                <w:color w:val="auto"/>
              </w:rPr>
            </w:pPr>
            <w:r>
              <w:rPr>
                <w:rFonts w:ascii="Arial" w:cs="Arial" w:eastAsia="Arial" w:hAnsi="Arial"/>
                <w:sz w:val="16"/>
                <w:szCs w:val="16"/>
                <w:b w:val="1"/>
                <w:bCs w:val="1"/>
                <w:color w:val="auto"/>
              </w:rPr>
              <w:t>Issuers</w:t>
            </w: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vMerge w:val="restart"/>
          </w:tcPr>
          <w:p>
            <w:pPr>
              <w:ind w:left="120"/>
              <w:spacing w:after="0"/>
              <w:rPr>
                <w:sz w:val="20"/>
                <w:szCs w:val="20"/>
                <w:color w:val="auto"/>
              </w:rPr>
            </w:pPr>
            <w:r>
              <w:rPr>
                <w:rFonts w:ascii="Arial" w:cs="Arial" w:eastAsia="Arial" w:hAnsi="Arial"/>
                <w:sz w:val="16"/>
                <w:szCs w:val="16"/>
                <w:b w:val="1"/>
                <w:bCs w:val="1"/>
                <w:color w:val="auto"/>
              </w:rPr>
              <w:t>Senior Notes</w:t>
            </w:r>
          </w:p>
        </w:tc>
        <w:tc>
          <w:tcPr>
            <w:tcW w:w="120" w:type="dxa"/>
            <w:vAlign w:val="bottom"/>
          </w:tcPr>
          <w:p>
            <w:pPr>
              <w:spacing w:after="0"/>
              <w:rPr>
                <w:sz w:val="20"/>
                <w:szCs w:val="20"/>
                <w:color w:val="auto"/>
              </w:rPr>
            </w:pPr>
          </w:p>
        </w:tc>
        <w:tc>
          <w:tcPr>
            <w:tcW w:w="134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Non-Guarantor</w:t>
            </w:r>
          </w:p>
        </w:tc>
        <w:tc>
          <w:tcPr>
            <w:tcW w:w="5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vMerge w:val="restart"/>
          </w:tcPr>
          <w:p>
            <w:pPr>
              <w:jc w:val="right"/>
              <w:ind w:right="372"/>
              <w:spacing w:after="0"/>
              <w:rPr>
                <w:sz w:val="20"/>
                <w:szCs w:val="20"/>
                <w:color w:val="auto"/>
              </w:rPr>
            </w:pPr>
            <w:r>
              <w:rPr>
                <w:rFonts w:ascii="Arial" w:cs="Arial" w:eastAsia="Arial" w:hAnsi="Arial"/>
                <w:sz w:val="16"/>
                <w:szCs w:val="16"/>
                <w:b w:val="1"/>
                <w:bCs w:val="1"/>
                <w:color w:val="auto"/>
              </w:rPr>
              <w:t>MVW</w:t>
            </w:r>
          </w:p>
        </w:tc>
        <w:tc>
          <w:tcPr>
            <w:tcW w:w="0" w:type="dxa"/>
            <w:vAlign w:val="bottom"/>
          </w:tcPr>
          <w:p>
            <w:pPr>
              <w:spacing w:after="0"/>
              <w:rPr>
                <w:sz w:val="1"/>
                <w:szCs w:val="1"/>
                <w:color w:val="auto"/>
              </w:rPr>
            </w:pPr>
          </w:p>
        </w:tc>
      </w:tr>
      <w:tr>
        <w:trPr>
          <w:trHeight w:val="33"/>
        </w:trPr>
        <w:tc>
          <w:tcPr>
            <w:tcW w:w="26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gridSpan w:val="2"/>
            <w:vMerge w:val="continue"/>
          </w:tcPr>
          <w:p>
            <w:pPr>
              <w:spacing w:after="0"/>
              <w:rPr>
                <w:sz w:val="2"/>
                <w:szCs w:val="2"/>
                <w:color w:val="auto"/>
              </w:rPr>
            </w:pPr>
          </w:p>
        </w:tc>
        <w:tc>
          <w:tcPr>
            <w:tcW w:w="5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26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2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12"/>
              <w:spacing w:after="0"/>
              <w:rPr>
                <w:sz w:val="20"/>
                <w:szCs w:val="20"/>
                <w:color w:val="auto"/>
              </w:rPr>
            </w:pPr>
            <w:r>
              <w:rPr>
                <w:rFonts w:ascii="Arial" w:cs="Arial" w:eastAsia="Arial" w:hAnsi="Arial"/>
                <w:sz w:val="16"/>
                <w:szCs w:val="16"/>
                <w:b w:val="1"/>
                <w:bCs w:val="1"/>
                <w:color w:val="auto"/>
              </w:rPr>
              <w:t>MVWC</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51"/>
              <w:spacing w:after="0"/>
              <w:rPr>
                <w:sz w:val="20"/>
                <w:szCs w:val="20"/>
                <w:color w:val="auto"/>
              </w:rPr>
            </w:pPr>
            <w:r>
              <w:rPr>
                <w:rFonts w:ascii="Arial" w:cs="Arial" w:eastAsia="Arial" w:hAnsi="Arial"/>
                <w:sz w:val="16"/>
                <w:szCs w:val="16"/>
                <w:b w:val="1"/>
                <w:bCs w:val="1"/>
                <w:color w:val="auto"/>
              </w:rPr>
              <w:t>MORI</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73"/>
              <w:spacing w:after="0"/>
              <w:rPr>
                <w:sz w:val="20"/>
                <w:szCs w:val="20"/>
                <w:color w:val="auto"/>
              </w:rPr>
            </w:pPr>
            <w:r>
              <w:rPr>
                <w:rFonts w:ascii="Arial" w:cs="Arial" w:eastAsia="Arial" w:hAnsi="Arial"/>
                <w:sz w:val="16"/>
                <w:szCs w:val="16"/>
                <w:b w:val="1"/>
                <w:bCs w:val="1"/>
                <w:color w:val="auto"/>
              </w:rPr>
              <w:t>Guarantors</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52"/>
              <w:spacing w:after="0"/>
              <w:rPr>
                <w:sz w:val="20"/>
                <w:szCs w:val="20"/>
                <w:color w:val="auto"/>
              </w:rPr>
            </w:pPr>
            <w:r>
              <w:rPr>
                <w:rFonts w:ascii="Arial" w:cs="Arial" w:eastAsia="Arial" w:hAnsi="Arial"/>
                <w:sz w:val="16"/>
                <w:szCs w:val="16"/>
                <w:b w:val="1"/>
                <w:bCs w:val="1"/>
                <w:color w:val="auto"/>
              </w:rPr>
              <w:t>Subsidiaries</w:t>
            </w:r>
          </w:p>
        </w:tc>
        <w:tc>
          <w:tcPr>
            <w:tcW w:w="120" w:type="dxa"/>
            <w:vAlign w:val="bottom"/>
            <w:tcBorders>
              <w:bottom w:val="single" w:sz="8" w:color="CCEEFF"/>
            </w:tcBorders>
          </w:tcPr>
          <w:p>
            <w:pPr>
              <w:spacing w:after="0"/>
              <w:rPr>
                <w:sz w:val="22"/>
                <w:szCs w:val="22"/>
                <w:color w:val="auto"/>
              </w:rPr>
            </w:pPr>
          </w:p>
        </w:tc>
        <w:tc>
          <w:tcPr>
            <w:tcW w:w="134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w w:val="94"/>
              </w:rPr>
              <w:t>Total Eliminations</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132"/>
              <w:spacing w:after="0"/>
              <w:rPr>
                <w:sz w:val="20"/>
                <w:szCs w:val="20"/>
                <w:color w:val="auto"/>
              </w:rPr>
            </w:pPr>
            <w:r>
              <w:rPr>
                <w:rFonts w:ascii="Arial" w:cs="Arial" w:eastAsia="Arial" w:hAnsi="Arial"/>
                <w:sz w:val="16"/>
                <w:szCs w:val="16"/>
                <w:b w:val="1"/>
                <w:bCs w:val="1"/>
                <w:color w:val="auto"/>
                <w:w w:val="92"/>
              </w:rPr>
              <w:t>Consolidated</w:t>
            </w:r>
          </w:p>
        </w:tc>
        <w:tc>
          <w:tcPr>
            <w:tcW w:w="0" w:type="dxa"/>
            <w:vAlign w:val="bottom"/>
          </w:tcPr>
          <w:p>
            <w:pPr>
              <w:spacing w:after="0"/>
              <w:rPr>
                <w:sz w:val="1"/>
                <w:szCs w:val="1"/>
                <w:color w:val="auto"/>
              </w:rPr>
            </w:pPr>
          </w:p>
        </w:tc>
      </w:tr>
      <w:tr>
        <w:trPr>
          <w:trHeight w:val="250"/>
        </w:trPr>
        <w:tc>
          <w:tcPr>
            <w:tcW w:w="2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638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248</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1,010</w:t>
            </w:r>
          </w:p>
        </w:tc>
        <w:tc>
          <w:tcPr>
            <w:tcW w:w="0" w:type="dxa"/>
            <w:vAlign w:val="bottom"/>
          </w:tcPr>
          <w:p>
            <w:pPr>
              <w:spacing w:after="0"/>
              <w:rPr>
                <w:sz w:val="1"/>
                <w:szCs w:val="1"/>
                <w:color w:val="auto"/>
              </w:rPr>
            </w:pPr>
          </w:p>
        </w:tc>
      </w:tr>
      <w:tr>
        <w:trPr>
          <w:trHeight w:val="243"/>
        </w:trPr>
        <w:tc>
          <w:tcPr>
            <w:tcW w:w="2600" w:type="dxa"/>
            <w:vAlign w:val="bottom"/>
          </w:tcPr>
          <w:p>
            <w:pPr>
              <w:ind w:left="40"/>
              <w:spacing w:after="0"/>
              <w:rPr>
                <w:sz w:val="20"/>
                <w:szCs w:val="20"/>
                <w:color w:val="auto"/>
              </w:rPr>
            </w:pPr>
            <w:r>
              <w:rPr>
                <w:rFonts w:ascii="Arial" w:cs="Arial" w:eastAsia="Arial" w:hAnsi="Arial"/>
                <w:sz w:val="18"/>
                <w:szCs w:val="18"/>
                <w:color w:val="auto"/>
              </w:rPr>
              <w:t>Expenses</w:t>
            </w: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(701)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(226)</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(1,173)</w:t>
            </w:r>
          </w:p>
        </w:tc>
        <w:tc>
          <w:tcPr>
            <w:tcW w:w="0" w:type="dxa"/>
            <w:vAlign w:val="bottom"/>
          </w:tcPr>
          <w:p>
            <w:pPr>
              <w:spacing w:after="0"/>
              <w:rPr>
                <w:sz w:val="1"/>
                <w:szCs w:val="1"/>
                <w:color w:val="auto"/>
              </w:rPr>
            </w:pPr>
          </w:p>
        </w:tc>
      </w:tr>
      <w:tr>
        <w:trPr>
          <w:trHeight w:val="27"/>
        </w:trPr>
        <w:tc>
          <w:tcPr>
            <w:tcW w:w="2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600" w:type="dxa"/>
            <w:vAlign w:val="bottom"/>
            <w:shd w:val="clear" w:color="auto" w:fill="CCEEFF"/>
          </w:tcPr>
          <w:p>
            <w:pPr>
              <w:ind w:left="40"/>
              <w:spacing w:after="0"/>
              <w:rPr>
                <w:sz w:val="20"/>
                <w:szCs w:val="20"/>
                <w:color w:val="auto"/>
              </w:rPr>
            </w:pPr>
            <w:r>
              <w:rPr>
                <w:rFonts w:ascii="Arial" w:cs="Arial" w:eastAsia="Arial" w:hAnsi="Arial"/>
                <w:sz w:val="18"/>
                <w:szCs w:val="18"/>
                <w:color w:val="auto"/>
              </w:rPr>
              <w:t>Benefit (provision) for income</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taxes</w:t>
            </w:r>
          </w:p>
        </w:tc>
        <w:tc>
          <w:tcPr>
            <w:tcW w:w="2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35</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29"/>
        </w:trPr>
        <w:tc>
          <w:tcPr>
            <w:tcW w:w="2600" w:type="dxa"/>
            <w:vAlign w:val="bottom"/>
          </w:tcPr>
          <w:p>
            <w:pPr>
              <w:ind w:left="40"/>
              <w:spacing w:after="0"/>
              <w:rPr>
                <w:sz w:val="20"/>
                <w:szCs w:val="20"/>
                <w:color w:val="auto"/>
              </w:rPr>
            </w:pPr>
            <w:r>
              <w:rPr>
                <w:rFonts w:ascii="Arial" w:cs="Arial" w:eastAsia="Arial" w:hAnsi="Arial"/>
                <w:sz w:val="18"/>
                <w:szCs w:val="18"/>
                <w:color w:val="auto"/>
              </w:rPr>
              <w:t>Equity in net (loss) income of</w:t>
            </w: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00" w:type="dxa"/>
            <w:vAlign w:val="bottom"/>
          </w:tcPr>
          <w:p>
            <w:pPr>
              <w:ind w:left="40"/>
              <w:spacing w:after="0"/>
              <w:rPr>
                <w:sz w:val="20"/>
                <w:szCs w:val="20"/>
                <w:color w:val="auto"/>
              </w:rPr>
            </w:pPr>
            <w:r>
              <w:rPr>
                <w:rFonts w:ascii="Arial" w:cs="Arial" w:eastAsia="Arial" w:hAnsi="Arial"/>
                <w:sz w:val="18"/>
                <w:szCs w:val="18"/>
                <w:color w:val="auto"/>
              </w:rPr>
              <w:t>subsidiaries</w:t>
            </w:r>
          </w:p>
        </w:tc>
        <w:tc>
          <w:tcPr>
            <w:tcW w:w="2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(94)</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0"/>
                <w:szCs w:val="20"/>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6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income</w:t>
            </w: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29"/>
        </w:trPr>
        <w:tc>
          <w:tcPr>
            <w:tcW w:w="2600" w:type="dxa"/>
            <w:vAlign w:val="bottom"/>
          </w:tcPr>
          <w:p>
            <w:pPr>
              <w:ind w:left="40"/>
              <w:spacing w:after="0"/>
              <w:rPr>
                <w:sz w:val="20"/>
                <w:szCs w:val="20"/>
                <w:color w:val="auto"/>
              </w:rPr>
            </w:pPr>
            <w:r>
              <w:rPr>
                <w:rFonts w:ascii="Arial" w:cs="Arial" w:eastAsia="Arial" w:hAnsi="Arial"/>
                <w:sz w:val="18"/>
                <w:szCs w:val="18"/>
                <w:color w:val="auto"/>
              </w:rPr>
              <w:t>Net income attributable to</w:t>
            </w: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00" w:type="dxa"/>
            <w:vAlign w:val="bottom"/>
          </w:tcPr>
          <w:p>
            <w:pPr>
              <w:ind w:left="40"/>
              <w:spacing w:after="0"/>
              <w:rPr>
                <w:sz w:val="20"/>
                <w:szCs w:val="20"/>
                <w:color w:val="auto"/>
              </w:rPr>
            </w:pPr>
            <w:r>
              <w:rPr>
                <w:rFonts w:ascii="Arial" w:cs="Arial" w:eastAsia="Arial" w:hAnsi="Arial"/>
                <w:sz w:val="18"/>
                <w:szCs w:val="18"/>
                <w:color w:val="auto"/>
              </w:rPr>
              <w:t>noncontrolling interests</w:t>
            </w:r>
          </w:p>
        </w:tc>
        <w:tc>
          <w:tcPr>
            <w:tcW w:w="26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26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6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9"/>
              </w:rPr>
              <w:t>Net (loss) income attributable to</w:t>
            </w:r>
          </w:p>
        </w:tc>
        <w:tc>
          <w:tcPr>
            <w:tcW w:w="2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20" w:type="dxa"/>
            <w:vAlign w:val="bottom"/>
            <w:shd w:val="clear" w:color="auto" w:fill="CCEEFF"/>
          </w:tcPr>
          <w:p>
            <w:pPr>
              <w:spacing w:after="0"/>
              <w:rPr>
                <w:sz w:val="18"/>
                <w:szCs w:val="18"/>
                <w:color w:val="auto"/>
              </w:rPr>
            </w:pPr>
          </w:p>
        </w:tc>
        <w:tc>
          <w:tcPr>
            <w:tcW w:w="32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20" w:type="dxa"/>
            <w:vAlign w:val="bottom"/>
            <w:shd w:val="clear" w:color="auto" w:fill="CCEEFF"/>
          </w:tcPr>
          <w:p>
            <w:pPr>
              <w:spacing w:after="0"/>
              <w:rPr>
                <w:sz w:val="18"/>
                <w:szCs w:val="18"/>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20" w:type="dxa"/>
            <w:vAlign w:val="bottom"/>
            <w:shd w:val="clear" w:color="auto" w:fill="CCEEFF"/>
          </w:tcPr>
          <w:p>
            <w:pPr>
              <w:spacing w:after="0"/>
              <w:rPr>
                <w:sz w:val="18"/>
                <w:szCs w:val="18"/>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26</w:t>
            </w:r>
          </w:p>
        </w:tc>
        <w:tc>
          <w:tcPr>
            <w:tcW w:w="120" w:type="dxa"/>
            <w:vAlign w:val="bottom"/>
            <w:shd w:val="clear" w:color="auto" w:fill="CCEEFF"/>
          </w:tcPr>
          <w:p>
            <w:pPr>
              <w:spacing w:after="0"/>
              <w:rPr>
                <w:sz w:val="18"/>
                <w:szCs w:val="18"/>
                <w:color w:val="auto"/>
              </w:rPr>
            </w:pPr>
          </w:p>
        </w:tc>
        <w:tc>
          <w:tcPr>
            <w:tcW w:w="58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6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87</w:t>
            </w:r>
          </w:p>
        </w:tc>
        <w:tc>
          <w:tcPr>
            <w:tcW w:w="100" w:type="dxa"/>
            <w:vAlign w:val="bottom"/>
            <w:shd w:val="clear" w:color="auto" w:fill="CCEEFF"/>
          </w:tcPr>
          <w:p>
            <w:pPr>
              <w:spacing w:after="0"/>
              <w:rPr>
                <w:sz w:val="18"/>
                <w:szCs w:val="18"/>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37"/>
        </w:trPr>
        <w:tc>
          <w:tcPr>
            <w:tcW w:w="2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common shareholders</w:t>
            </w:r>
          </w:p>
        </w:tc>
        <w:tc>
          <w:tcPr>
            <w:tcW w:w="260" w:type="dxa"/>
            <w:vAlign w:val="bottom"/>
            <w:tcBorders>
              <w:bottom w:val="single" w:sz="8" w:color="auto"/>
            </w:tcBorders>
            <w:vMerge w:val="continue"/>
            <w:shd w:val="clear" w:color="auto" w:fill="CCEEFF"/>
          </w:tcPr>
          <w:p>
            <w:pPr>
              <w:spacing w:after="0"/>
              <w:rPr>
                <w:sz w:val="20"/>
                <w:szCs w:val="20"/>
                <w:color w:val="auto"/>
              </w:rPr>
            </w:pPr>
          </w:p>
        </w:tc>
        <w:tc>
          <w:tcPr>
            <w:tcW w:w="108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320" w:type="dxa"/>
            <w:vAlign w:val="bottom"/>
            <w:tcBorders>
              <w:bottom w:val="single" w:sz="8" w:color="auto"/>
            </w:tcBorders>
            <w:vMerge w:val="continue"/>
            <w:shd w:val="clear" w:color="auto" w:fill="CCEEFF"/>
          </w:tcPr>
          <w:p>
            <w:pPr>
              <w:spacing w:after="0"/>
              <w:rPr>
                <w:sz w:val="20"/>
                <w:szCs w:val="20"/>
                <w:color w:val="auto"/>
              </w:rPr>
            </w:pPr>
          </w:p>
        </w:tc>
        <w:tc>
          <w:tcPr>
            <w:tcW w:w="102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vMerge w:val="continue"/>
            <w:shd w:val="clear" w:color="auto" w:fill="CCEEFF"/>
          </w:tcPr>
          <w:p>
            <w:pPr>
              <w:spacing w:after="0"/>
              <w:rPr>
                <w:sz w:val="20"/>
                <w:szCs w:val="20"/>
                <w:color w:val="auto"/>
              </w:rPr>
            </w:pPr>
          </w:p>
        </w:tc>
        <w:tc>
          <w:tcPr>
            <w:tcW w:w="122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vMerge w:val="continue"/>
            <w:shd w:val="clear" w:color="auto" w:fill="CCEEFF"/>
          </w:tcPr>
          <w:p>
            <w:pPr>
              <w:spacing w:after="0"/>
              <w:rPr>
                <w:sz w:val="20"/>
                <w:szCs w:val="20"/>
                <w:color w:val="auto"/>
              </w:rPr>
            </w:pPr>
          </w:p>
        </w:tc>
        <w:tc>
          <w:tcPr>
            <w:tcW w:w="122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auto"/>
            </w:tcBorders>
            <w:vMerge w:val="continue"/>
            <w:shd w:val="clear" w:color="auto" w:fill="CCEEFF"/>
          </w:tcPr>
          <w:p>
            <w:pPr>
              <w:spacing w:after="0"/>
              <w:rPr>
                <w:sz w:val="20"/>
                <w:szCs w:val="20"/>
                <w:color w:val="auto"/>
              </w:rPr>
            </w:pPr>
          </w:p>
        </w:tc>
        <w:tc>
          <w:tcPr>
            <w:tcW w:w="7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118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6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Contractual Obligations and Off-Balance Sheet Arrangements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contractual obligations as of March 31, 2020:</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520" w:type="dxa"/>
            <w:vAlign w:val="bottom"/>
            <w:gridSpan w:val="5"/>
          </w:tcPr>
          <w:p>
            <w:pPr>
              <w:jc w:val="right"/>
              <w:ind w:right="540"/>
              <w:spacing w:after="0"/>
              <w:rPr>
                <w:sz w:val="20"/>
                <w:szCs w:val="20"/>
                <w:color w:val="auto"/>
              </w:rPr>
            </w:pPr>
            <w:r>
              <w:rPr>
                <w:rFonts w:ascii="Arial" w:cs="Arial" w:eastAsia="Arial" w:hAnsi="Arial"/>
                <w:sz w:val="16"/>
                <w:szCs w:val="16"/>
                <w:b w:val="1"/>
                <w:bCs w:val="1"/>
                <w:color w:val="auto"/>
              </w:rPr>
              <w:t>Payments Due by Period</w:t>
            </w: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4"/>
              </w:rPr>
              <w:t>Remainder</w:t>
            </w:r>
          </w:p>
        </w:tc>
        <w:tc>
          <w:tcPr>
            <w:tcW w:w="160" w:type="dxa"/>
            <w:vAlign w:val="bottom"/>
          </w:tcPr>
          <w:p>
            <w:pPr>
              <w:spacing w:after="0"/>
              <w:rPr>
                <w:sz w:val="18"/>
                <w:szCs w:val="18"/>
                <w:color w:val="auto"/>
              </w:rPr>
            </w:pPr>
          </w:p>
        </w:tc>
        <w:tc>
          <w:tcPr>
            <w:tcW w:w="1180" w:type="dxa"/>
            <w:vAlign w:val="bottom"/>
            <w:gridSpan w:val="2"/>
          </w:tcPr>
          <w:p>
            <w:pPr>
              <w:ind w:left="260"/>
              <w:spacing w:after="0"/>
              <w:rPr>
                <w:sz w:val="20"/>
                <w:szCs w:val="20"/>
                <w:color w:val="auto"/>
              </w:rPr>
            </w:pPr>
            <w:r>
              <w:rPr>
                <w:rFonts w:ascii="Arial" w:cs="Arial" w:eastAsia="Arial" w:hAnsi="Arial"/>
                <w:sz w:val="16"/>
                <w:szCs w:val="16"/>
                <w:b w:val="1"/>
                <w:bCs w:val="1"/>
                <w:color w:val="auto"/>
              </w:rPr>
              <w:t>Years</w:t>
            </w:r>
          </w:p>
        </w:tc>
        <w:tc>
          <w:tcPr>
            <w:tcW w:w="160" w:type="dxa"/>
            <w:vAlign w:val="bottom"/>
          </w:tcPr>
          <w:p>
            <w:pPr>
              <w:spacing w:after="0"/>
              <w:rPr>
                <w:sz w:val="18"/>
                <w:szCs w:val="18"/>
                <w:color w:val="auto"/>
              </w:rPr>
            </w:pPr>
          </w:p>
        </w:tc>
        <w:tc>
          <w:tcPr>
            <w:tcW w:w="1180" w:type="dxa"/>
            <w:vAlign w:val="bottom"/>
            <w:gridSpan w:val="2"/>
          </w:tcPr>
          <w:p>
            <w:pPr>
              <w:jc w:val="right"/>
              <w:ind w:right="540"/>
              <w:spacing w:after="0"/>
              <w:rPr>
                <w:sz w:val="20"/>
                <w:szCs w:val="20"/>
                <w:color w:val="auto"/>
              </w:rPr>
            </w:pPr>
            <w:r>
              <w:rPr>
                <w:rFonts w:ascii="Arial" w:cs="Arial" w:eastAsia="Arial" w:hAnsi="Arial"/>
                <w:sz w:val="16"/>
                <w:szCs w:val="16"/>
                <w:b w:val="1"/>
                <w:bCs w:val="1"/>
                <w:color w:val="auto"/>
              </w:rPr>
              <w:t>Years</w:t>
            </w: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458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300" w:type="dxa"/>
            <w:vAlign w:val="bottom"/>
          </w:tcPr>
          <w:p>
            <w:pPr>
              <w:spacing w:after="0"/>
              <w:rPr>
                <w:sz w:val="20"/>
                <w:szCs w:val="20"/>
                <w:color w:val="auto"/>
              </w:rPr>
            </w:pPr>
          </w:p>
        </w:tc>
        <w:tc>
          <w:tcPr>
            <w:tcW w:w="1080" w:type="dxa"/>
            <w:vAlign w:val="bottom"/>
            <w:gridSpan w:val="2"/>
          </w:tcPr>
          <w:p>
            <w:pPr>
              <w:ind w:left="160"/>
              <w:spacing w:after="0"/>
              <w:rPr>
                <w:sz w:val="20"/>
                <w:szCs w:val="20"/>
                <w:color w:val="auto"/>
              </w:rPr>
            </w:pPr>
            <w:r>
              <w:rPr>
                <w:rFonts w:ascii="Arial" w:cs="Arial" w:eastAsia="Arial" w:hAnsi="Arial"/>
                <w:sz w:val="16"/>
                <w:szCs w:val="16"/>
                <w:b w:val="1"/>
                <w:bCs w:val="1"/>
                <w:color w:val="auto"/>
              </w:rPr>
              <w:t>Total</w:t>
            </w:r>
          </w:p>
        </w:tc>
        <w:tc>
          <w:tcPr>
            <w:tcW w:w="180" w:type="dxa"/>
            <w:vAlign w:val="bottom"/>
          </w:tcPr>
          <w:p>
            <w:pPr>
              <w:spacing w:after="0"/>
              <w:rPr>
                <w:sz w:val="20"/>
                <w:szCs w:val="20"/>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0"/>
              </w:rPr>
              <w:t>of 2020</w:t>
            </w:r>
          </w:p>
        </w:tc>
        <w:tc>
          <w:tcPr>
            <w:tcW w:w="160" w:type="dxa"/>
            <w:vAlign w:val="bottom"/>
          </w:tcPr>
          <w:p>
            <w:pPr>
              <w:spacing w:after="0"/>
              <w:rPr>
                <w:sz w:val="20"/>
                <w:szCs w:val="20"/>
                <w:color w:val="auto"/>
              </w:rPr>
            </w:pPr>
          </w:p>
        </w:tc>
        <w:tc>
          <w:tcPr>
            <w:tcW w:w="1060" w:type="dxa"/>
            <w:vAlign w:val="bottom"/>
          </w:tcPr>
          <w:p>
            <w:pPr>
              <w:jc w:val="right"/>
              <w:ind w:right="133"/>
              <w:spacing w:after="0"/>
              <w:rPr>
                <w:sz w:val="20"/>
                <w:szCs w:val="20"/>
                <w:color w:val="auto"/>
              </w:rPr>
            </w:pPr>
            <w:r>
              <w:rPr>
                <w:rFonts w:ascii="Arial" w:cs="Arial" w:eastAsia="Arial" w:hAnsi="Arial"/>
                <w:sz w:val="16"/>
                <w:szCs w:val="16"/>
                <w:b w:val="1"/>
                <w:bCs w:val="1"/>
                <w:color w:val="auto"/>
                <w:w w:val="95"/>
              </w:rPr>
              <w:t>2021 - 2022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ind w:right="132"/>
              <w:spacing w:after="0"/>
              <w:rPr>
                <w:sz w:val="20"/>
                <w:szCs w:val="20"/>
                <w:color w:val="auto"/>
              </w:rPr>
            </w:pPr>
            <w:r>
              <w:rPr>
                <w:rFonts w:ascii="Arial" w:cs="Arial" w:eastAsia="Arial" w:hAnsi="Arial"/>
                <w:sz w:val="16"/>
                <w:szCs w:val="16"/>
                <w:b w:val="1"/>
                <w:bCs w:val="1"/>
                <w:color w:val="auto"/>
                <w:w w:val="95"/>
              </w:rPr>
              <w:t>2023 - 2024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jc w:val="right"/>
              <w:ind w:right="151"/>
              <w:spacing w:after="0"/>
              <w:rPr>
                <w:sz w:val="20"/>
                <w:szCs w:val="20"/>
                <w:color w:val="auto"/>
              </w:rPr>
            </w:pPr>
            <w:r>
              <w:rPr>
                <w:rFonts w:ascii="Arial" w:cs="Arial" w:eastAsia="Arial" w:hAnsi="Arial"/>
                <w:sz w:val="16"/>
                <w:szCs w:val="16"/>
                <w:b w:val="1"/>
                <w:bCs w:val="1"/>
                <w:color w:val="auto"/>
                <w:w w:val="99"/>
              </w:rPr>
              <w:t>Thereafter</w:t>
            </w:r>
          </w:p>
        </w:tc>
        <w:tc>
          <w:tcPr>
            <w:tcW w:w="0" w:type="dxa"/>
            <w:vAlign w:val="bottom"/>
          </w:tcPr>
          <w:p>
            <w:pPr>
              <w:spacing w:after="0"/>
              <w:rPr>
                <w:sz w:val="1"/>
                <w:szCs w:val="1"/>
                <w:color w:val="auto"/>
              </w:rPr>
            </w:pPr>
          </w:p>
        </w:tc>
      </w:tr>
      <w:tr>
        <w:trPr>
          <w:trHeight w:val="250"/>
        </w:trPr>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45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Contractual Obligations</w:t>
            </w: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40" w:type="dxa"/>
            <w:vAlign w:val="bottom"/>
          </w:tcPr>
          <w:p>
            <w:pPr>
              <w:spacing w:after="0"/>
              <w:rPr>
                <w:sz w:val="22"/>
                <w:szCs w:val="22"/>
                <w:color w:val="auto"/>
              </w:rPr>
            </w:pPr>
          </w:p>
        </w:tc>
        <w:tc>
          <w:tcPr>
            <w:tcW w:w="4580" w:type="dxa"/>
            <w:vAlign w:val="bottom"/>
            <w:gridSpan w:val="2"/>
          </w:tcPr>
          <w:p>
            <w:pPr>
              <w:ind w:left="240"/>
              <w:spacing w:after="0"/>
              <w:rPr>
                <w:sz w:val="20"/>
                <w:szCs w:val="20"/>
                <w:color w:val="auto"/>
              </w:rPr>
            </w:pPr>
            <w:r>
              <w:rPr>
                <w:rFonts w:ascii="Arial" w:cs="Arial" w:eastAsia="Arial" w:hAnsi="Arial"/>
                <w:sz w:val="18"/>
                <w:szCs w:val="18"/>
                <w:color w:val="auto"/>
              </w:rPr>
              <w:t>Debt</w:t>
            </w:r>
            <w:r>
              <w:rPr>
                <w:rFonts w:ascii="Arial" w:cs="Arial" w:eastAsia="Arial" w:hAnsi="Arial"/>
                <w:sz w:val="18"/>
                <w:szCs w:val="18"/>
                <w:color w:val="auto"/>
                <w:vertAlign w:val="superscript"/>
              </w:rPr>
              <w:t>(1)</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5,717</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265</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975</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1,446</w:t>
            </w:r>
          </w:p>
        </w:tc>
        <w:tc>
          <w:tcPr>
            <w:tcW w:w="12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3,031</w:t>
            </w:r>
          </w:p>
        </w:tc>
        <w:tc>
          <w:tcPr>
            <w:tcW w:w="0" w:type="dxa"/>
            <w:vAlign w:val="bottom"/>
          </w:tcPr>
          <w:p>
            <w:pPr>
              <w:spacing w:after="0"/>
              <w:rPr>
                <w:sz w:val="1"/>
                <w:szCs w:val="1"/>
                <w:color w:val="auto"/>
              </w:rPr>
            </w:pPr>
          </w:p>
        </w:tc>
      </w:tr>
      <w:tr>
        <w:trPr>
          <w:trHeight w:val="258"/>
        </w:trPr>
        <w:tc>
          <w:tcPr>
            <w:tcW w:w="40" w:type="dxa"/>
            <w:vAlign w:val="bottom"/>
            <w:tcBorders>
              <w:bottom w:val="single" w:sz="8" w:color="CCEEFF"/>
            </w:tcBorders>
            <w:shd w:val="clear" w:color="auto" w:fill="CCEEFF"/>
          </w:tcPr>
          <w:p>
            <w:pPr>
              <w:spacing w:after="0"/>
              <w:rPr>
                <w:sz w:val="22"/>
                <w:szCs w:val="22"/>
                <w:color w:val="auto"/>
              </w:rPr>
            </w:pPr>
          </w:p>
        </w:tc>
        <w:tc>
          <w:tcPr>
            <w:tcW w:w="17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w w:val="88"/>
                <w:shd w:val="clear" w:color="auto" w:fill="CCEEFF"/>
              </w:rPr>
              <w:t>Purchase obligations</w:t>
            </w:r>
          </w:p>
        </w:tc>
        <w:tc>
          <w:tcPr>
            <w:tcW w:w="2840" w:type="dxa"/>
            <w:vAlign w:val="bottom"/>
            <w:tcBorders>
              <w:bottom w:val="single" w:sz="8" w:color="CCEEFF"/>
            </w:tcBorders>
            <w:shd w:val="clear" w:color="auto" w:fill="CCEEFF"/>
          </w:tcPr>
          <w:p>
            <w:pPr>
              <w:jc w:val="right"/>
              <w:ind w:right="2695"/>
              <w:spacing w:after="0"/>
              <w:rPr>
                <w:sz w:val="20"/>
                <w:szCs w:val="20"/>
                <w:color w:val="auto"/>
              </w:rPr>
            </w:pPr>
            <w:r>
              <w:rPr>
                <w:rFonts w:ascii="Arial" w:cs="Arial" w:eastAsia="Arial" w:hAnsi="Arial"/>
                <w:sz w:val="9"/>
                <w:szCs w:val="9"/>
                <w:color w:val="auto"/>
                <w:w w:val="72"/>
              </w:rPr>
              <w:t>(2)</w:t>
            </w:r>
          </w:p>
        </w:tc>
        <w:tc>
          <w:tcPr>
            <w:tcW w:w="3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409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320</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580" w:type="dxa"/>
            <w:vAlign w:val="bottom"/>
            <w:gridSpan w:val="2"/>
          </w:tcPr>
          <w:p>
            <w:pPr>
              <w:ind w:left="240"/>
              <w:spacing w:after="0"/>
              <w:rPr>
                <w:sz w:val="20"/>
                <w:szCs w:val="20"/>
                <w:color w:val="auto"/>
              </w:rPr>
            </w:pPr>
            <w:r>
              <w:rPr>
                <w:rFonts w:ascii="Arial" w:cs="Arial" w:eastAsia="Arial" w:hAnsi="Arial"/>
                <w:sz w:val="18"/>
                <w:szCs w:val="18"/>
                <w:color w:val="auto"/>
              </w:rPr>
              <w:t>Operating lease obligations</w:t>
            </w:r>
          </w:p>
        </w:tc>
        <w:tc>
          <w:tcPr>
            <w:tcW w:w="30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226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shd w:val="clear" w:color="auto" w:fill="CCEEFF"/>
          </w:tcPr>
          <w:p>
            <w:pPr>
              <w:spacing w:after="0"/>
              <w:rPr>
                <w:sz w:val="23"/>
                <w:szCs w:val="23"/>
                <w:color w:val="auto"/>
              </w:rPr>
            </w:pPr>
          </w:p>
        </w:tc>
        <w:tc>
          <w:tcPr>
            <w:tcW w:w="45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Finance lease obligations</w:t>
            </w:r>
            <w:r>
              <w:rPr>
                <w:rFonts w:ascii="Arial" w:cs="Arial" w:eastAsia="Arial" w:hAnsi="Arial"/>
                <w:sz w:val="18"/>
                <w:szCs w:val="18"/>
                <w:color w:val="auto"/>
                <w:vertAlign w:val="superscript"/>
              </w:rPr>
              <w:t>(3)</w:t>
            </w:r>
          </w:p>
        </w:tc>
        <w:tc>
          <w:tcPr>
            <w:tcW w:w="30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tcPr>
          <w:p>
            <w:pPr>
              <w:spacing w:after="0"/>
              <w:rPr>
                <w:sz w:val="22"/>
                <w:szCs w:val="22"/>
                <w:color w:val="auto"/>
              </w:rPr>
            </w:pPr>
          </w:p>
        </w:tc>
        <w:tc>
          <w:tcPr>
            <w:tcW w:w="4580" w:type="dxa"/>
            <w:vAlign w:val="bottom"/>
            <w:tcBorders>
              <w:bottom w:val="single" w:sz="8" w:color="CCEEFF"/>
            </w:tcBorders>
            <w:gridSpan w:val="2"/>
          </w:tcPr>
          <w:p>
            <w:pPr>
              <w:ind w:left="240"/>
              <w:spacing w:after="0"/>
              <w:rPr>
                <w:sz w:val="20"/>
                <w:szCs w:val="20"/>
                <w:color w:val="auto"/>
              </w:rPr>
            </w:pPr>
            <w:r>
              <w:rPr>
                <w:rFonts w:ascii="Arial" w:cs="Arial" w:eastAsia="Arial" w:hAnsi="Arial"/>
                <w:sz w:val="18"/>
                <w:szCs w:val="18"/>
                <w:color w:val="auto"/>
              </w:rPr>
              <w:t>Other long-term obligations</w:t>
            </w:r>
            <w:r>
              <w:rPr>
                <w:rFonts w:ascii="Arial" w:cs="Arial" w:eastAsia="Arial" w:hAnsi="Arial"/>
                <w:sz w:val="18"/>
                <w:szCs w:val="18"/>
                <w:color w:val="auto"/>
                <w:vertAlign w:val="superscript"/>
              </w:rPr>
              <w:t>(4)</w:t>
            </w: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5"/>
        </w:trPr>
        <w:tc>
          <w:tcPr>
            <w:tcW w:w="40" w:type="dxa"/>
            <w:vAlign w:val="bottom"/>
            <w:tcBorders>
              <w:bottom w:val="single" w:sz="8" w:color="CCEEFF"/>
            </w:tcBorders>
            <w:shd w:val="clear" w:color="auto" w:fill="CCEEFF"/>
          </w:tcPr>
          <w:p>
            <w:pPr>
              <w:spacing w:after="0"/>
              <w:rPr>
                <w:sz w:val="23"/>
                <w:szCs w:val="23"/>
                <w:color w:val="auto"/>
              </w:rPr>
            </w:pPr>
          </w:p>
        </w:tc>
        <w:tc>
          <w:tcPr>
            <w:tcW w:w="45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shd w:val="clear" w:color="auto" w:fill="CCEEFF"/>
              </w:rPr>
              <w:t>Total contractual obligations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6,398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353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1,365</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1,526</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3,154</w:t>
            </w: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bottom w:val="single" w:sz="8" w:color="CCEEFF"/>
            </w:tcBorders>
            <w:gridSpan w:val="3"/>
            <w:vMerge w:val="restart"/>
          </w:tcPr>
          <w:p>
            <w:pPr>
              <w:jc w:val="right"/>
              <w:ind w:right="2315"/>
              <w:spacing w:after="0"/>
              <w:rPr>
                <w:sz w:val="20"/>
                <w:szCs w:val="20"/>
                <w:color w:val="auto"/>
              </w:rPr>
            </w:pPr>
            <w:r>
              <w:rPr>
                <w:rFonts w:ascii="Arial" w:cs="Arial" w:eastAsia="Arial" w:hAnsi="Arial"/>
                <w:sz w:val="18"/>
                <w:szCs w:val="18"/>
                <w:color w:val="auto"/>
                <w:w w:val="89"/>
              </w:rPr>
              <w:t>_________________________</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620" w:type="dxa"/>
            <w:vAlign w:val="bottom"/>
            <w:gridSpan w:val="3"/>
            <w:vMerge w:val="continue"/>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660" w:hanging="652"/>
        <w:spacing w:after="0" w:line="225" w:lineRule="auto"/>
        <w:tabs>
          <w:tab w:leader="none" w:pos="660" w:val="left"/>
        </w:tabs>
        <w:numPr>
          <w:ilvl w:val="0"/>
          <w:numId w:val="28"/>
        </w:numPr>
        <w:rPr>
          <w:rFonts w:ascii="Arial" w:cs="Arial" w:eastAsia="Arial" w:hAnsi="Arial"/>
          <w:sz w:val="25"/>
          <w:szCs w:val="25"/>
          <w:color w:val="auto"/>
          <w:vertAlign w:val="superscript"/>
        </w:rPr>
      </w:pPr>
      <w:r>
        <w:rPr>
          <w:rFonts w:ascii="Arial" w:cs="Arial" w:eastAsia="Arial" w:hAnsi="Arial"/>
          <w:sz w:val="18"/>
          <w:szCs w:val="18"/>
          <w:color w:val="auto"/>
        </w:rPr>
        <w:t>Includes principal as well as interest payments and excludes unamortized debt discount and issuance costs.</w:t>
      </w:r>
    </w:p>
    <w:p>
      <w:pPr>
        <w:spacing w:after="0" w:line="56" w:lineRule="exact"/>
        <w:rPr>
          <w:rFonts w:ascii="Arial" w:cs="Arial" w:eastAsia="Arial" w:hAnsi="Arial"/>
          <w:sz w:val="25"/>
          <w:szCs w:val="25"/>
          <w:color w:val="auto"/>
          <w:vertAlign w:val="superscript"/>
        </w:rPr>
      </w:pPr>
    </w:p>
    <w:p>
      <w:pPr>
        <w:ind w:left="660" w:right="360" w:hanging="652"/>
        <w:spacing w:after="0" w:line="253" w:lineRule="auto"/>
        <w:tabs>
          <w:tab w:leader="none" w:pos="660" w:val="left"/>
        </w:tabs>
        <w:numPr>
          <w:ilvl w:val="0"/>
          <w:numId w:val="28"/>
        </w:numPr>
        <w:rPr>
          <w:rFonts w:ascii="Arial" w:cs="Arial" w:eastAsia="Arial" w:hAnsi="Arial"/>
          <w:sz w:val="22"/>
          <w:szCs w:val="22"/>
          <w:color w:val="auto"/>
          <w:vertAlign w:val="superscript"/>
        </w:rPr>
      </w:pPr>
      <w:r>
        <w:rPr>
          <w:rFonts w:ascii="Arial" w:cs="Arial" w:eastAsia="Arial" w:hAnsi="Arial"/>
          <w:sz w:val="16"/>
          <w:szCs w:val="16"/>
          <w:color w:val="auto"/>
        </w:rPr>
        <w:t>Arrangements are considered purchase obligations if a contract specifies all significant terms, including fixed or minimum quantities to be purchased, a pricing structure, and approximate timing of the transaction. Amounts reflected represent expected funding under such contracts. Amounts reflected on the consolidated balance sheet as accounts payable and accrued liabilities are excluded from the table above.</w:t>
      </w:r>
    </w:p>
    <w:p>
      <w:pPr>
        <w:ind w:left="660" w:hanging="652"/>
        <w:spacing w:after="0" w:line="225" w:lineRule="auto"/>
        <w:tabs>
          <w:tab w:leader="none" w:pos="660" w:val="left"/>
        </w:tabs>
        <w:numPr>
          <w:ilvl w:val="0"/>
          <w:numId w:val="28"/>
        </w:numPr>
        <w:rPr>
          <w:rFonts w:ascii="Arial" w:cs="Arial" w:eastAsia="Arial" w:hAnsi="Arial"/>
          <w:sz w:val="25"/>
          <w:szCs w:val="25"/>
          <w:color w:val="auto"/>
          <w:vertAlign w:val="superscript"/>
        </w:rPr>
      </w:pPr>
      <w:r>
        <w:rPr>
          <w:rFonts w:ascii="Arial" w:cs="Arial" w:eastAsia="Arial" w:hAnsi="Arial"/>
          <w:sz w:val="18"/>
          <w:szCs w:val="18"/>
          <w:color w:val="auto"/>
        </w:rPr>
        <w:t>Includes interest.</w:t>
      </w:r>
    </w:p>
    <w:p>
      <w:pPr>
        <w:spacing w:after="0" w:line="56" w:lineRule="exact"/>
        <w:rPr>
          <w:rFonts w:ascii="Arial" w:cs="Arial" w:eastAsia="Arial" w:hAnsi="Arial"/>
          <w:sz w:val="25"/>
          <w:szCs w:val="25"/>
          <w:color w:val="auto"/>
          <w:vertAlign w:val="superscript"/>
        </w:rPr>
      </w:pPr>
    </w:p>
    <w:p>
      <w:pPr>
        <w:ind w:left="660" w:right="720" w:hanging="652"/>
        <w:spacing w:after="0" w:line="208" w:lineRule="auto"/>
        <w:tabs>
          <w:tab w:leader="none" w:pos="660" w:val="left"/>
        </w:tabs>
        <w:numPr>
          <w:ilvl w:val="0"/>
          <w:numId w:val="28"/>
        </w:numPr>
        <w:rPr>
          <w:rFonts w:ascii="Arial" w:cs="Arial" w:eastAsia="Arial" w:hAnsi="Arial"/>
          <w:sz w:val="25"/>
          <w:szCs w:val="25"/>
          <w:color w:val="auto"/>
          <w:vertAlign w:val="superscript"/>
        </w:rPr>
      </w:pPr>
      <w:r>
        <w:rPr>
          <w:rFonts w:ascii="Arial" w:cs="Arial" w:eastAsia="Arial" w:hAnsi="Arial"/>
          <w:sz w:val="18"/>
          <w:szCs w:val="18"/>
          <w:color w:val="auto"/>
        </w:rPr>
        <w:t>Primarily relates to future guaranteed purchases of rental inventory, operational support services, marketing related benefits, membership fulfillment benefits and other commitments.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right="80" w:firstLine="648"/>
        <w:spacing w:after="0" w:line="254" w:lineRule="auto"/>
        <w:rPr>
          <w:sz w:val="20"/>
          <w:szCs w:val="20"/>
          <w:color w:val="auto"/>
        </w:rPr>
      </w:pPr>
      <w:r>
        <w:rPr>
          <w:rFonts w:ascii="Arial" w:cs="Arial" w:eastAsia="Arial" w:hAnsi="Arial"/>
          <w:sz w:val="18"/>
          <w:szCs w:val="18"/>
          <w:color w:val="auto"/>
        </w:rPr>
        <w:t xml:space="preserve">Our preparation of financial statements in accordance with GAAP requires management to make estimates and assumptions that affect reported amounts and related disclosures. We have discussed those policies and estimates that we believe are critical and require the use of complex judgment in their application in our most recent Annual Report on Form 10-K. Since the date of our most recent Annual Report on Form 10-K, there have been no material changes to our critical accounting policies or the methodologies or assumptions we apply under them, except those resulting from </w:t>
      </w:r>
      <w:r>
        <w:rPr>
          <w:rFonts w:ascii="Arial" w:cs="Arial" w:eastAsia="Arial" w:hAnsi="Arial"/>
          <w:sz w:val="18"/>
          <w:szCs w:val="18"/>
          <w:i w:val="1"/>
          <w:iCs w:val="1"/>
          <w:color w:val="auto"/>
        </w:rPr>
        <w:t>Accounting for</w:t>
      </w:r>
      <w:r>
        <w:rPr>
          <w:rFonts w:ascii="Arial" w:cs="Arial" w:eastAsia="Arial" w:hAnsi="Arial"/>
          <w:sz w:val="18"/>
          <w:szCs w:val="18"/>
          <w:color w:val="auto"/>
        </w:rPr>
        <w:t xml:space="preserve"> </w:t>
      </w:r>
      <w:r>
        <w:rPr>
          <w:rFonts w:ascii="Arial" w:cs="Arial" w:eastAsia="Arial" w:hAnsi="Arial"/>
          <w:sz w:val="18"/>
          <w:szCs w:val="18"/>
          <w:i w:val="1"/>
          <w:iCs w:val="1"/>
          <w:color w:val="auto"/>
        </w:rPr>
        <w:t>acquired vacation ownership notes receivable</w:t>
      </w:r>
      <w:r>
        <w:rPr>
          <w:rFonts w:ascii="Arial" w:cs="Arial" w:eastAsia="Arial" w:hAnsi="Arial"/>
          <w:sz w:val="18"/>
          <w:szCs w:val="18"/>
          <w:color w:val="auto"/>
        </w:rPr>
        <w:t>, which is discussed in Footnote 2 “Significant Accounting Policies and Recent Accounting Standards” and</w:t>
      </w:r>
      <w:r>
        <w:rPr>
          <w:rFonts w:ascii="Arial" w:cs="Arial" w:eastAsia="Arial" w:hAnsi="Arial"/>
          <w:sz w:val="18"/>
          <w:szCs w:val="18"/>
          <w:i w:val="1"/>
          <w:iCs w:val="1"/>
          <w:color w:val="auto"/>
        </w:rPr>
        <w:t xml:space="preserve"> </w:t>
      </w:r>
      <w:r>
        <w:rPr>
          <w:rFonts w:ascii="Arial" w:cs="Arial" w:eastAsia="Arial" w:hAnsi="Arial"/>
          <w:sz w:val="18"/>
          <w:szCs w:val="18"/>
          <w:color w:val="auto"/>
        </w:rPr>
        <w:t>Footnote 6 “Vacation Ownership Notes Receivable” to our interim consolidated financial statements presented in Part 1, Item 1 of this Quarterly Report on Form 10-Q.</w:t>
      </w:r>
    </w:p>
    <w:p>
      <w:pPr>
        <w:spacing w:after="0" w:line="19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21"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Our exposure to market risk has not changed materially from that disclosed in Part I, Item 7A of our Annual Report on Form 10-K for the year ended December 31, 2019.</w:t>
      </w:r>
    </w:p>
    <w:p>
      <w:pPr>
        <w:sectPr>
          <w:pgSz w:w="11900" w:h="16838" w:orient="portrait"/>
          <w:cols w:equalWidth="0" w:num="1">
            <w:col w:w="11240"/>
          </w:cols>
          <w:pgMar w:left="320" w:top="881" w:right="339" w:bottom="1440" w:gutter="0" w:footer="0" w:header="0"/>
        </w:sectPr>
      </w:pP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60</w:t>
      </w:r>
    </w:p>
    <w:p>
      <w:pPr>
        <w:sectPr>
          <w:pgSz w:w="11900" w:h="16838" w:orient="portrait"/>
          <w:cols w:equalWidth="0" w:num="1">
            <w:col w:w="11240"/>
          </w:cols>
          <w:pgMar w:left="320" w:top="881" w:right="339" w:bottom="1440" w:gutter="0" w:footer="0" w:header="0"/>
          <w:type w:val="continuous"/>
        </w:sectPr>
      </w:pPr>
    </w:p>
    <w:bookmarkStart w:id="63" w:name="page64"/>
    <w:bookmarkEnd w:id="6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Disclosure Controls and Procedures</w:t>
      </w:r>
    </w:p>
    <w:p>
      <w:pPr>
        <w:spacing w:after="0" w:line="117"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As of the end of the period covered by this Quarterly Report on Form 10-Q, we evaluated, under the supervision and with the participation of our management, including our Chief Executive Officer and Chief Financial Officer, the effectiveness of the design and operation of our disclosure controls and procedures (as such term is defined in Rules 13a-15(e) and 15d-15(e) of the Securities Exchange Act of 1934, as amended (the “Exchange Act”)), and management necessarily applied its judgment in assessing the costs and benefits of such controls and procedures, which by their nature, can provide only reasonable assurance about management’s control objectives. Our disclosure controls and procedures have been designed to provide reasonable assurance of achieving the desired control objectives. However, you should note that the design of any system of controls is based in part upon certain assumptions about the likelihood of future events, and we cannot assure you that any design will succeed in achieving its stated goals under all potential future conditions, regardless of how remote. Based upon the foregoing evaluation, our Chief Executive Officer and Chief Financial Officer concluded that our disclosure controls and procedures were effective and operating to provide reasonable assurance that we record, process, summarize and report the information we are required to disclose in the reports that we file or submit under the Exchange Act within the time periods specified in the rules and forms of the SEC, and to provide reasonable assurance that we accumulate and communicate such information to our management, including our Chief Executive Officer and Chief Financial Officer, as appropriate to allow timely decisions about required disclosure.</w:t>
      </w:r>
    </w:p>
    <w:p>
      <w:pPr>
        <w:spacing w:after="0" w:line="6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117"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We made no changes in our internal control over financial reporting during the first quarter of 2020 that have materially affected, or are reasonably likely to materially affect, our internal control over financial reporting other than changes in control over financial reporting to integrate the business we acquired in the ILG Acquisition, which included the acquisition of our Exchange &amp; Third-Party Management segment. In the fourth quarter of 2019, we migrated a portion of the Exchange &amp; Third-Party Management segment to our existing general ledger system; the remainder of the Exchange &amp; Third-Party Management segment was migrated in the first quarter of 2020. Also, during the first quarter of 2020, we implemented a new enterprise-wide human resources information system and we transitioned the U.S.-based Legacy-ILG associates to our U.S. payroll service provider.</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21"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Currently, and from time to time, we are subject to claims in legal proceedings arising in the normal course of business, including, among others, the legal actions discussed in Footnote 11 “Contingencies and Commitments” to our Financial Statements. While management presently believes that the ultimate outcome of these proceedings, individually and in the aggregate, will not materially harm our financial position, cash flows, or overall trends in results of operations, legal proceedings are inherently uncertain, and unfavorable rulings could, individually or in aggregate, have a material adverse effect on our business, financial condition, or operating results.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right="260" w:firstLine="648"/>
        <w:spacing w:after="0" w:line="263" w:lineRule="auto"/>
        <w:rPr>
          <w:sz w:val="20"/>
          <w:szCs w:val="20"/>
          <w:color w:val="auto"/>
        </w:rPr>
      </w:pPr>
      <w:r>
        <w:rPr>
          <w:rFonts w:ascii="Arial" w:cs="Arial" w:eastAsia="Arial" w:hAnsi="Arial"/>
          <w:sz w:val="18"/>
          <w:szCs w:val="18"/>
          <w:color w:val="auto"/>
        </w:rPr>
        <w:t>There have been no material changes from the risk factors disclosed in Part I, Item 1A of our Annual Report on Form 10-K for the fiscal year ended December 31, 2019 other than as discussed below. The risk factors below update the additional risk factors previously disclosed on our Form 8-K filed on May 6, 2020.</w:t>
      </w:r>
    </w:p>
    <w:p>
      <w:pPr>
        <w:spacing w:after="0" w:line="76"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auto"/>
        </w:rPr>
        <w:t>The COVID-19 pandemic is severely and adversely affecting our sales and our operations, and will have serious adverse effects on our business, financial condition and results of operations for an unknown period of time.</w:t>
      </w:r>
    </w:p>
    <w:p>
      <w:pPr>
        <w:spacing w:after="0" w:line="62"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In March 2020, the World Health Organization declared the coronavirus (“COVID-19 pandemic”) outbreak a pandemic. In the wake of this declaration, our operations have been impacted by recommendations and/or mandates from national, federal, state, and local authorities to stay home and to avoid non-essential contact and gatherings of people, and to self-quarantine. As a result, since March 16, 2020, we have seen marked declines in occupancy, rentals, and contract sales because of the temporary closure of substantially all of our sales centers internationally, the temporary closure of many of our resorts, the temporary closure of our resorts for rental guests with stays at our branded North America vacation ownership resorts, and the reduction in operations and amenities at all of our resorts based on various government mandates and advisories. We have implemented furloughs and reduced work hours for our associates and have instituted “work from home” measures for many of our associates. In addition, to minimize the risk of the COVID-19 pandemic to our employees and customers and to prevent the continued spread of the virus, we are implementing social distancing and enhanced hygiene protocols at our resorts, sales centers, and corporate offices in accordance with the guidelines from national, federal, state, and local authorities. These measures, while intended to protect human life, may result in additional costs, operational</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220"/>
          </w:cols>
          <w:pgMar w:left="320" w:top="125" w:right="35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inefficiencies, and fewer revenue opportunities. While it is not possible at this time to estimate the impact that any protocols adopted to combat the COVID-19 pandemic could have on our business, measures such as canceling in-person sales tours and customized presentations could result in lesser effectiveness of customer-associate interaction and diminished customer satisfaction, which could adversely impact our financial condition. We are monitoring the situation and intend to reopen our sales centers and resorts and increase operations and amenities as conditions permit; however, extended or further closures may be required nationally, regionally, or in specific locations. In addition, we cannot predict any limitations national, federal, state and local governments may impose on our operations when we are able to reopen our resorts, which may include, for example, limitations on access to swimming pools, gyms and other sports facilities, mask protection, as well as other protections that may limit the use of amenities at our resorts to enforce social distancing measures. This situation is unprecedented and rapidly changing and has unknown duration and severity.</w:t>
      </w:r>
    </w:p>
    <w:p>
      <w:pPr>
        <w:spacing w:after="0" w:line="57"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color w:val="auto"/>
        </w:rPr>
        <w:t>The COVID-19 pandemic has had a material adverse impact, and is expected to continue to have a material adverse impact, on global economies and financial markets, which has resulted in an economic downturn that has reduced demand for our products. The success of our business and our profitability depend, in substantial part, upon the health of the travel industry, which has been adversely affected by the COVID-19 pandemic. A substantial amount of our sales activity occurs at our resorts, and the number of prospective and current owners who visit our resorts has an impact on sales volume. Fear of exposure to the COVID-19 pandemic has caused travelers to cancel travel plans to our resorts. These changes in vacation and travel patterns due to the COVID-19 pandemic have begun to adversely affect our cash flows, revenues and profits. Moreover, even once travel advisories and restrictions are lifted, travel demand may remain weak for a significant length of time, and we cannot predict if or when demand for our resorts will return to pre-COVID-19 pandemic levels. Adverse changes in the perceived or actual economic climate, including higher unemployment rates, declines in income levels and loss of personal wealth resulting from the impact of the COVID-19 pandemic are expected to negatively affect travel demand for a prolonged period of time.</w:t>
      </w:r>
    </w:p>
    <w:p>
      <w:pPr>
        <w:spacing w:after="0" w:line="58" w:lineRule="exact"/>
        <w:rPr>
          <w:sz w:val="20"/>
          <w:szCs w:val="20"/>
          <w:color w:val="auto"/>
        </w:rPr>
      </w:pPr>
    </w:p>
    <w:p>
      <w:pPr>
        <w:ind w:right="220" w:firstLine="648"/>
        <w:spacing w:after="0" w:line="272" w:lineRule="auto"/>
        <w:rPr>
          <w:sz w:val="20"/>
          <w:szCs w:val="20"/>
          <w:color w:val="auto"/>
        </w:rPr>
      </w:pPr>
      <w:r>
        <w:rPr>
          <w:rFonts w:ascii="Arial" w:cs="Arial" w:eastAsia="Arial" w:hAnsi="Arial"/>
          <w:sz w:val="17"/>
          <w:szCs w:val="17"/>
          <w:color w:val="auto"/>
        </w:rPr>
        <w:t>The COVID-19 pandemic has led to an increase in payment delinquencies for our vacation ownership notes receivable. The number of delinquencies may increase over time if the duration of the pandemic or its effect on economic conditions continues for a long period and could lead to defaults on financing that we provide to purchasers of our products. Purchaser defaults may cause us to foreclose on vacation ownership notes receivable and reclaim ownership of the financed interests and could impact our ability to secure ABS or warehouse credit facility financing on terms that are acceptable to us, or at all. In addition, the transactions in which we have securitized vacation ownership notes receivable contain certain portfolio performance requirements related to default and delinquency rates, which, if not met, would result in loss or disruption of cash flow until portfolio performance sufficiently improves to satisfy the requirements.</w:t>
      </w:r>
    </w:p>
    <w:p>
      <w:pPr>
        <w:spacing w:after="0" w:line="69"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The duration and extent of the impact of the COVID-19 pandemic on our business and financial results will largely depend on future developments, including the duration and spread of the pandemic, the extent and severity of any resurgences of the pandemic in the future, the response by all levels of government in their efforts to contain the pandemic and to mitigate the economic disruptions, the related impact on consumer confidence and spending, and how quickly economies and demand for our products recover after the pandemic subsides, all of which are highly uncertain, rapidly changing and cannot be predicted. Such impacts are expected to adversely affect our profitability, cash flows, financial results, and capital resources for a significant period of time.</w:t>
      </w:r>
    </w:p>
    <w:p>
      <w:pPr>
        <w:spacing w:after="0" w:line="84"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The COVID-19 pandemic and the volatile regional and global economic conditions stemming from the pandemic could also precipitate or aggravate the other risk factors that we identify in our Annual Report on Form 10-K for the year ended December 31, 2019, which could materially adversely affect our business, financial condition, results of operations (including revenue, profitability and cash flow) and/or stock price. Further, the COVID-19 pandemic may also adversely affect our operating and financial results in a manner that is not presently known to us or that we currently do not consider to present significant risks to our operations.</w:t>
      </w:r>
    </w:p>
    <w:p>
      <w:pPr>
        <w:spacing w:after="0" w:line="80"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b w:val="1"/>
          <w:bCs w:val="1"/>
          <w:i w:val="1"/>
          <w:iCs w:val="1"/>
          <w:color w:val="auto"/>
        </w:rPr>
        <w:t>The economic disruption caused by the COVID-19 pandemic is adversely affecting our ability to generate cash to support our continuing operations, implement our growth plans, pay quarterly dividends, resume our stock repurchase program, and make interest and other payments with respect to our indebtedness and other obligations.</w:t>
      </w:r>
    </w:p>
    <w:p>
      <w:pPr>
        <w:spacing w:after="0" w:line="76" w:lineRule="exact"/>
        <w:rPr>
          <w:sz w:val="20"/>
          <w:szCs w:val="20"/>
          <w:color w:val="auto"/>
        </w:rPr>
      </w:pPr>
    </w:p>
    <w:p>
      <w:pPr>
        <w:ind w:right="80" w:firstLine="648"/>
        <w:spacing w:after="0" w:line="301" w:lineRule="auto"/>
        <w:rPr>
          <w:sz w:val="20"/>
          <w:szCs w:val="20"/>
          <w:color w:val="auto"/>
        </w:rPr>
      </w:pPr>
      <w:r>
        <w:rPr>
          <w:rFonts w:ascii="Arial" w:cs="Arial" w:eastAsia="Arial" w:hAnsi="Arial"/>
          <w:sz w:val="16"/>
          <w:szCs w:val="16"/>
          <w:color w:val="auto"/>
        </w:rPr>
        <w:t>We depend upon our operations to generate strong cash flows to support our operating activities, supply capital to finance our operations and growth, make capital expenditures and acquisitions, manage our debt levels, and return value to our shareholders through dividends and stock repurchases. The economic disruption caused by the COVID-19 pandemic is adversely affecting our ability to generate sufficient cash flows from operations to support these activities and could adversely affect our ability to make interest and other payments with respect to our indebtedness and other obligations.</w:t>
      </w:r>
    </w:p>
    <w:p>
      <w:pPr>
        <w:spacing w:after="0" w:line="49"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We have taken steps to reduce operating costs and improve efficiency, including furloughing most of our associates and significantly reducing work weeks for most of the remaining associates. Such steps, and further changes we may make in the future to reduce costs, may negatively impact owner and guest satisfaction and our ability to attract and retain associates. For example, if furloughed personnel do not return to work with us when the COVID-19 pandemic subsides, including because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240"/>
          </w:cols>
          <w:pgMar w:left="320" w:top="125" w:right="339"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they found new jobs during the furlough, we may experience operational challenges that impact owner satisfaction and demand for our products, which could limit our ability to grow and expand our business and could reduce our profits.</w:t>
      </w:r>
    </w:p>
    <w:p>
      <w:pPr>
        <w:spacing w:after="0" w:line="62"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We have also taken steps to reduce or defer planned inventory and corporate capital expenditures, which may negatively impact owner satisfaction and may make our products less attractive to prospective purchasers.</w:t>
      </w:r>
    </w:p>
    <w:p>
      <w:pPr>
        <w:spacing w:after="0" w:line="62" w:lineRule="exact"/>
        <w:rPr>
          <w:sz w:val="20"/>
          <w:szCs w:val="20"/>
          <w:color w:val="auto"/>
        </w:rPr>
      </w:pPr>
    </w:p>
    <w:p>
      <w:pPr>
        <w:ind w:right="340" w:firstLine="648"/>
        <w:spacing w:after="0" w:line="263" w:lineRule="auto"/>
        <w:rPr>
          <w:sz w:val="20"/>
          <w:szCs w:val="20"/>
          <w:color w:val="auto"/>
        </w:rPr>
      </w:pPr>
      <w:r>
        <w:rPr>
          <w:rFonts w:ascii="Arial" w:cs="Arial" w:eastAsia="Arial" w:hAnsi="Arial"/>
          <w:sz w:val="18"/>
          <w:szCs w:val="18"/>
          <w:color w:val="auto"/>
        </w:rPr>
        <w:t>We have temporarily suspended our stock repurchase program and the declaration and payment of quarterly cash dividends for the foreseeable future. The failure to repurchase stock and failure to pay dividends may negatively impact our reputation and investor confidence in us, which may negatively affect our stock price.</w:t>
      </w:r>
    </w:p>
    <w:p>
      <w:pPr>
        <w:spacing w:after="0" w:line="76" w:lineRule="exact"/>
        <w:rPr>
          <w:sz w:val="20"/>
          <w:szCs w:val="20"/>
          <w:color w:val="auto"/>
        </w:rPr>
      </w:pPr>
    </w:p>
    <w:p>
      <w:pPr>
        <w:jc w:val="both"/>
        <w:ind w:right="80" w:firstLine="648"/>
        <w:spacing w:after="0" w:line="273" w:lineRule="auto"/>
        <w:rPr>
          <w:sz w:val="20"/>
          <w:szCs w:val="20"/>
          <w:color w:val="auto"/>
        </w:rPr>
      </w:pPr>
      <w:r>
        <w:rPr>
          <w:rFonts w:ascii="Arial" w:cs="Arial" w:eastAsia="Arial" w:hAnsi="Arial"/>
          <w:sz w:val="17"/>
          <w:szCs w:val="17"/>
          <w:color w:val="auto"/>
        </w:rPr>
        <w:t>In addition, we may not be able to generate sufficient cash from operations to service our indebtedness and other obligations. If we cannot make scheduled payments under any of the agreements governing our debt, we would be in default under such agreements, and the lenders under our Corporate Credit Facility could terminate their commitments to loan money. In the case of secured debt, such lenders and other creditors could foreclose on the assets securing such debt and apply the amounts realized from such foreclosures to repay amounts owed to them. Any of these actions would likely trigger cross-default or cross-acceleration provisions in our other debt instruments, which would allow the creditors under such instruments to exercise similar rights. If any of these actions were taken, we could be forced into restructuring, bankruptcy or liquidation.</w:t>
      </w:r>
    </w:p>
    <w:p>
      <w:pPr>
        <w:spacing w:after="0" w:line="70"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auto"/>
        </w:rPr>
        <w:t>Our Corporate Credit Facility and our indentures contain various restrictive covenants. The failure to comply with such covenants could have an adverse effect on us. We may not be able to raise additional financing.</w:t>
      </w:r>
    </w:p>
    <w:p>
      <w:pPr>
        <w:spacing w:after="0" w:line="62" w:lineRule="exact"/>
        <w:rPr>
          <w:sz w:val="20"/>
          <w:szCs w:val="20"/>
          <w:color w:val="auto"/>
        </w:rPr>
      </w:pPr>
    </w:p>
    <w:p>
      <w:pPr>
        <w:ind w:firstLine="648"/>
        <w:spacing w:after="0" w:line="296" w:lineRule="auto"/>
        <w:rPr>
          <w:sz w:val="20"/>
          <w:szCs w:val="20"/>
          <w:color w:val="auto"/>
        </w:rPr>
      </w:pPr>
      <w:r>
        <w:rPr>
          <w:rFonts w:ascii="Arial" w:cs="Arial" w:eastAsia="Arial" w:hAnsi="Arial"/>
          <w:sz w:val="16"/>
          <w:szCs w:val="16"/>
          <w:color w:val="auto"/>
        </w:rPr>
        <w:t>The credit agreement that governs the Corporate Credit Facility and the indentures that govern our senior notes impose significant operating and financial restrictions on us, which, among other things, limit our ability and the ability of certain of our subsidiaries to incur debt, pay dividends and make other restricted payments, make loans and investments, incur liens, sell assets, enter into affiliate transactions, enter into agreements restricting subsidiaries’ ability to pay dividends and consolidate, merge or sell all or substantially all of their assets. All of these covenants and restrictions limit how we conduct our business. In addition, we are required to maintain a specified leverage ratio under the terms of the Corporate Credit Facility.</w:t>
      </w:r>
    </w:p>
    <w:p>
      <w:pPr>
        <w:spacing w:after="0" w:line="53"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Any failure to comply with the restrictions contained in the Corporate Credit Facility or the indentures governing our senior notes, including any failure to comply with financial maintenance covenants in the Corporate Credit Facility due to the negative effects of the COVID-19 pandemic on our revenue and results of operations or any failure to comply with the reporting covenants in the Corporate Credit Facility or the indentures governing our senior notes, may result in an event of default under our Corporate Credit Facility or the indentures governing our senior notes. If an event of default occurs and is not cured or waived, our obligations under the Corporate Credit Facility or the indentures could be accelerated. We may not have sufficient cash to repay any such debt.</w:t>
      </w:r>
    </w:p>
    <w:p>
      <w:pPr>
        <w:spacing w:after="0" w:line="84"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We may be required to raise additional capital to refinance our obligations under the Corporate Credit Facility or the indentures or support our operations. Our access to and cost of financing will depend on, among other things, global economic conditions, conditions in the global financing markets, the availability of sufficient amounts of financing, our prospects and our credit ratings, and the outlook for our industry as a whole. The terms of future debt agreements could include more restrictive covenants or require incremental collateral, which may further restrict our business operations or cause future financing to be unavailable due to our covenant restrictions then in effect. There is no guarantee that debt or equity financings will be available in the future on terms favorable to us or at all.</w:t>
      </w:r>
    </w:p>
    <w:p>
      <w:pPr>
        <w:spacing w:after="0" w:line="188"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6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Issuer Purchases of Equity Securities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4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00" w:type="dxa"/>
            <w:vAlign w:val="bottom"/>
          </w:tcPr>
          <w:p>
            <w:pPr>
              <w:jc w:val="center"/>
              <w:spacing w:after="0"/>
              <w:rPr>
                <w:sz w:val="20"/>
                <w:szCs w:val="20"/>
                <w:color w:val="auto"/>
              </w:rPr>
            </w:pPr>
            <w:r>
              <w:rPr>
                <w:rFonts w:ascii="Arial" w:cs="Arial" w:eastAsia="Arial" w:hAnsi="Arial"/>
                <w:sz w:val="16"/>
                <w:szCs w:val="16"/>
                <w:b w:val="1"/>
                <w:bCs w:val="1"/>
                <w:color w:val="auto"/>
                <w:w w:val="90"/>
              </w:rPr>
              <w:t>Total Number of Shares</w:t>
            </w:r>
          </w:p>
        </w:tc>
        <w:tc>
          <w:tcPr>
            <w:tcW w:w="120" w:type="dxa"/>
            <w:vAlign w:val="bottom"/>
          </w:tcPr>
          <w:p>
            <w:pPr>
              <w:spacing w:after="0"/>
              <w:rPr>
                <w:sz w:val="17"/>
                <w:szCs w:val="17"/>
                <w:color w:val="auto"/>
              </w:rPr>
            </w:pPr>
          </w:p>
        </w:tc>
        <w:tc>
          <w:tcPr>
            <w:tcW w:w="1900" w:type="dxa"/>
            <w:vAlign w:val="bottom"/>
          </w:tcPr>
          <w:p>
            <w:pPr>
              <w:jc w:val="center"/>
              <w:spacing w:after="0"/>
              <w:rPr>
                <w:sz w:val="20"/>
                <w:szCs w:val="20"/>
                <w:color w:val="auto"/>
              </w:rPr>
            </w:pPr>
            <w:r>
              <w:rPr>
                <w:rFonts w:ascii="Arial" w:cs="Arial" w:eastAsia="Arial" w:hAnsi="Arial"/>
                <w:sz w:val="16"/>
                <w:szCs w:val="16"/>
                <w:b w:val="1"/>
                <w:bCs w:val="1"/>
                <w:color w:val="auto"/>
                <w:w w:val="94"/>
              </w:rPr>
              <w:t>Maximum Number of</w:t>
            </w:r>
          </w:p>
        </w:tc>
        <w:tc>
          <w:tcPr>
            <w:tcW w:w="0" w:type="dxa"/>
            <w:vAlign w:val="bottom"/>
          </w:tcPr>
          <w:p>
            <w:pPr>
              <w:spacing w:after="0"/>
              <w:rPr>
                <w:sz w:val="1"/>
                <w:szCs w:val="1"/>
                <w:color w:val="auto"/>
              </w:rPr>
            </w:pPr>
          </w:p>
        </w:tc>
      </w:tr>
      <w:tr>
        <w:trPr>
          <w:trHeight w:val="203"/>
        </w:trPr>
        <w:tc>
          <w:tcPr>
            <w:tcW w:w="44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00" w:type="dxa"/>
            <w:vAlign w:val="bottom"/>
          </w:tcPr>
          <w:p>
            <w:pPr>
              <w:jc w:val="center"/>
              <w:spacing w:after="0"/>
              <w:rPr>
                <w:sz w:val="20"/>
                <w:szCs w:val="20"/>
                <w:color w:val="auto"/>
              </w:rPr>
            </w:pPr>
            <w:r>
              <w:rPr>
                <w:rFonts w:ascii="Arial" w:cs="Arial" w:eastAsia="Arial" w:hAnsi="Arial"/>
                <w:sz w:val="16"/>
                <w:szCs w:val="16"/>
                <w:b w:val="1"/>
                <w:bCs w:val="1"/>
                <w:color w:val="auto"/>
                <w:w w:val="90"/>
              </w:rPr>
              <w:t>Purchased as Part of</w:t>
            </w:r>
          </w:p>
        </w:tc>
        <w:tc>
          <w:tcPr>
            <w:tcW w:w="120" w:type="dxa"/>
            <w:vAlign w:val="bottom"/>
          </w:tcPr>
          <w:p>
            <w:pPr>
              <w:spacing w:after="0"/>
              <w:rPr>
                <w:sz w:val="17"/>
                <w:szCs w:val="17"/>
                <w:color w:val="auto"/>
              </w:rPr>
            </w:pPr>
          </w:p>
        </w:tc>
        <w:tc>
          <w:tcPr>
            <w:tcW w:w="1900" w:type="dxa"/>
            <w:vAlign w:val="bottom"/>
          </w:tcPr>
          <w:p>
            <w:pPr>
              <w:jc w:val="center"/>
              <w:spacing w:after="0"/>
              <w:rPr>
                <w:sz w:val="20"/>
                <w:szCs w:val="20"/>
                <w:color w:val="auto"/>
              </w:rPr>
            </w:pPr>
            <w:r>
              <w:rPr>
                <w:rFonts w:ascii="Arial" w:cs="Arial" w:eastAsia="Arial" w:hAnsi="Arial"/>
                <w:sz w:val="16"/>
                <w:szCs w:val="16"/>
                <w:b w:val="1"/>
                <w:bCs w:val="1"/>
                <w:color w:val="auto"/>
                <w:w w:val="92"/>
              </w:rPr>
              <w:t>Shares That May Yet Be</w:t>
            </w:r>
          </w:p>
        </w:tc>
        <w:tc>
          <w:tcPr>
            <w:tcW w:w="0" w:type="dxa"/>
            <w:vAlign w:val="bottom"/>
          </w:tcPr>
          <w:p>
            <w:pPr>
              <w:spacing w:after="0"/>
              <w:rPr>
                <w:sz w:val="1"/>
                <w:szCs w:val="1"/>
                <w:color w:val="auto"/>
              </w:rPr>
            </w:pPr>
          </w:p>
        </w:tc>
      </w:tr>
      <w:tr>
        <w:trPr>
          <w:trHeight w:val="203"/>
        </w:trPr>
        <w:tc>
          <w:tcPr>
            <w:tcW w:w="4400" w:type="dxa"/>
            <w:vAlign w:val="bottom"/>
          </w:tcPr>
          <w:p>
            <w:pPr>
              <w:spacing w:after="0"/>
              <w:rPr>
                <w:sz w:val="17"/>
                <w:szCs w:val="17"/>
                <w:color w:val="auto"/>
              </w:rPr>
            </w:pPr>
          </w:p>
        </w:tc>
        <w:tc>
          <w:tcPr>
            <w:tcW w:w="1340" w:type="dxa"/>
            <w:vAlign w:val="bottom"/>
          </w:tcPr>
          <w:p>
            <w:pPr>
              <w:jc w:val="center"/>
              <w:spacing w:after="0"/>
              <w:rPr>
                <w:sz w:val="20"/>
                <w:szCs w:val="20"/>
                <w:color w:val="auto"/>
              </w:rPr>
            </w:pPr>
            <w:r>
              <w:rPr>
                <w:rFonts w:ascii="Arial" w:cs="Arial" w:eastAsia="Arial" w:hAnsi="Arial"/>
                <w:sz w:val="16"/>
                <w:szCs w:val="16"/>
                <w:b w:val="1"/>
                <w:bCs w:val="1"/>
                <w:color w:val="auto"/>
                <w:w w:val="92"/>
              </w:rPr>
              <w:t>Total Number of</w:t>
            </w:r>
          </w:p>
        </w:tc>
        <w:tc>
          <w:tcPr>
            <w:tcW w:w="120" w:type="dxa"/>
            <w:vAlign w:val="bottom"/>
          </w:tcPr>
          <w:p>
            <w:pPr>
              <w:spacing w:after="0"/>
              <w:rPr>
                <w:sz w:val="17"/>
                <w:szCs w:val="17"/>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8"/>
              </w:rPr>
              <w:t>Average</w:t>
            </w:r>
          </w:p>
        </w:tc>
        <w:tc>
          <w:tcPr>
            <w:tcW w:w="1900" w:type="dxa"/>
            <w:vAlign w:val="bottom"/>
          </w:tcPr>
          <w:p>
            <w:pPr>
              <w:jc w:val="center"/>
              <w:spacing w:after="0"/>
              <w:rPr>
                <w:sz w:val="20"/>
                <w:szCs w:val="20"/>
                <w:color w:val="auto"/>
              </w:rPr>
            </w:pPr>
            <w:r>
              <w:rPr>
                <w:rFonts w:ascii="Arial" w:cs="Arial" w:eastAsia="Arial" w:hAnsi="Arial"/>
                <w:sz w:val="16"/>
                <w:szCs w:val="16"/>
                <w:b w:val="1"/>
                <w:bCs w:val="1"/>
                <w:color w:val="auto"/>
                <w:w w:val="90"/>
              </w:rPr>
              <w:t>Publicly Announced Plans</w:t>
            </w:r>
          </w:p>
        </w:tc>
        <w:tc>
          <w:tcPr>
            <w:tcW w:w="120" w:type="dxa"/>
            <w:vAlign w:val="bottom"/>
          </w:tcPr>
          <w:p>
            <w:pPr>
              <w:spacing w:after="0"/>
              <w:rPr>
                <w:sz w:val="17"/>
                <w:szCs w:val="17"/>
                <w:color w:val="auto"/>
              </w:rPr>
            </w:pPr>
          </w:p>
        </w:tc>
        <w:tc>
          <w:tcPr>
            <w:tcW w:w="1900" w:type="dxa"/>
            <w:vAlign w:val="bottom"/>
          </w:tcPr>
          <w:p>
            <w:pPr>
              <w:jc w:val="center"/>
              <w:spacing w:after="0"/>
              <w:rPr>
                <w:sz w:val="20"/>
                <w:szCs w:val="20"/>
                <w:color w:val="auto"/>
              </w:rPr>
            </w:pPr>
            <w:r>
              <w:rPr>
                <w:rFonts w:ascii="Arial" w:cs="Arial" w:eastAsia="Arial" w:hAnsi="Arial"/>
                <w:sz w:val="16"/>
                <w:szCs w:val="16"/>
                <w:b w:val="1"/>
                <w:bCs w:val="1"/>
                <w:color w:val="auto"/>
                <w:w w:val="90"/>
              </w:rPr>
              <w:t>Purchased Under the</w:t>
            </w:r>
          </w:p>
        </w:tc>
        <w:tc>
          <w:tcPr>
            <w:tcW w:w="0" w:type="dxa"/>
            <w:vAlign w:val="bottom"/>
          </w:tcPr>
          <w:p>
            <w:pPr>
              <w:spacing w:after="0"/>
              <w:rPr>
                <w:sz w:val="1"/>
                <w:szCs w:val="1"/>
                <w:color w:val="auto"/>
              </w:rPr>
            </w:pPr>
          </w:p>
        </w:tc>
      </w:tr>
      <w:tr>
        <w:trPr>
          <w:trHeight w:val="243"/>
        </w:trPr>
        <w:tc>
          <w:tcPr>
            <w:tcW w:w="44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Period</w:t>
            </w: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7"/>
              </w:rPr>
              <w:t>Shares Purchased</w:t>
            </w:r>
          </w:p>
        </w:tc>
        <w:tc>
          <w:tcPr>
            <w:tcW w:w="120" w:type="dxa"/>
            <w:vAlign w:val="bottom"/>
            <w:tcBorders>
              <w:bottom w:val="single" w:sz="8" w:color="CCEEFF"/>
            </w:tcBorders>
          </w:tcPr>
          <w:p>
            <w:pPr>
              <w:spacing w:after="0"/>
              <w:rPr>
                <w:sz w:val="21"/>
                <w:szCs w:val="21"/>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Price per Share</w:t>
            </w:r>
          </w:p>
        </w:tc>
        <w:tc>
          <w:tcPr>
            <w:tcW w:w="100" w:type="dxa"/>
            <w:vAlign w:val="bottom"/>
            <w:tcBorders>
              <w:bottom w:val="single" w:sz="8" w:color="CCEEFF"/>
            </w:tcBorders>
          </w:tcPr>
          <w:p>
            <w:pPr>
              <w:spacing w:after="0"/>
              <w:rPr>
                <w:sz w:val="21"/>
                <w:szCs w:val="21"/>
                <w:color w:val="auto"/>
              </w:rPr>
            </w:pPr>
          </w:p>
        </w:tc>
        <w:tc>
          <w:tcPr>
            <w:tcW w:w="19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or Programs</w:t>
            </w:r>
            <w:r>
              <w:rPr>
                <w:rFonts w:ascii="Arial" w:cs="Arial" w:eastAsia="Arial" w:hAnsi="Arial"/>
                <w:sz w:val="21"/>
                <w:szCs w:val="21"/>
                <w:b w:val="1"/>
                <w:bCs w:val="1"/>
                <w:color w:val="auto"/>
                <w:w w:val="89"/>
                <w:vertAlign w:val="superscript"/>
              </w:rPr>
              <w:t>(1)</w:t>
            </w:r>
          </w:p>
        </w:tc>
        <w:tc>
          <w:tcPr>
            <w:tcW w:w="120" w:type="dxa"/>
            <w:vAlign w:val="bottom"/>
            <w:tcBorders>
              <w:bottom w:val="single" w:sz="8" w:color="CCEEFF"/>
            </w:tcBorders>
          </w:tcPr>
          <w:p>
            <w:pPr>
              <w:spacing w:after="0"/>
              <w:rPr>
                <w:sz w:val="21"/>
                <w:szCs w:val="21"/>
                <w:color w:val="auto"/>
              </w:rPr>
            </w:pPr>
          </w:p>
        </w:tc>
        <w:tc>
          <w:tcPr>
            <w:tcW w:w="19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Plans or Programs</w:t>
            </w:r>
            <w:r>
              <w:rPr>
                <w:rFonts w:ascii="Arial" w:cs="Arial" w:eastAsia="Arial" w:hAnsi="Arial"/>
                <w:sz w:val="21"/>
                <w:szCs w:val="21"/>
                <w:b w:val="1"/>
                <w:bCs w:val="1"/>
                <w:color w:val="auto"/>
                <w:w w:val="89"/>
                <w:vertAlign w:val="superscript"/>
              </w:rPr>
              <w:t>(1)</w:t>
            </w:r>
          </w:p>
        </w:tc>
        <w:tc>
          <w:tcPr>
            <w:tcW w:w="0" w:type="dxa"/>
            <w:vAlign w:val="bottom"/>
          </w:tcPr>
          <w:p>
            <w:pPr>
              <w:spacing w:after="0"/>
              <w:rPr>
                <w:sz w:val="1"/>
                <w:szCs w:val="1"/>
                <w:color w:val="auto"/>
              </w:rPr>
            </w:pPr>
          </w:p>
        </w:tc>
      </w:tr>
      <w:tr>
        <w:trPr>
          <w:trHeight w:val="243"/>
        </w:trPr>
        <w:tc>
          <w:tcPr>
            <w:tcW w:w="4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January 1, 2020 – January 31, 2020</w:t>
            </w:r>
          </w:p>
        </w:tc>
        <w:tc>
          <w:tcPr>
            <w:tcW w:w="13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207,332</w:t>
            </w:r>
          </w:p>
        </w:tc>
        <w:tc>
          <w:tcPr>
            <w:tcW w:w="148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2"/>
              </w:rPr>
              <w:t>$125.84</w:t>
            </w:r>
          </w:p>
        </w:tc>
        <w:tc>
          <w:tcPr>
            <w:tcW w:w="10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207,332</w:t>
            </w:r>
          </w:p>
        </w:tc>
        <w:tc>
          <w:tcPr>
            <w:tcW w:w="202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9"/>
              </w:rPr>
              <w:t>2,487,571</w:t>
            </w:r>
          </w:p>
        </w:tc>
        <w:tc>
          <w:tcPr>
            <w:tcW w:w="0" w:type="dxa"/>
            <w:vAlign w:val="bottom"/>
          </w:tcPr>
          <w:p>
            <w:pPr>
              <w:spacing w:after="0"/>
              <w:rPr>
                <w:sz w:val="1"/>
                <w:szCs w:val="1"/>
                <w:color w:val="auto"/>
              </w:rPr>
            </w:pPr>
          </w:p>
        </w:tc>
      </w:tr>
      <w:tr>
        <w:trPr>
          <w:trHeight w:val="243"/>
        </w:trPr>
        <w:tc>
          <w:tcPr>
            <w:tcW w:w="4400" w:type="dxa"/>
            <w:vAlign w:val="bottom"/>
          </w:tcPr>
          <w:p>
            <w:pPr>
              <w:ind w:left="40"/>
              <w:spacing w:after="0"/>
              <w:rPr>
                <w:sz w:val="20"/>
                <w:szCs w:val="20"/>
                <w:color w:val="auto"/>
              </w:rPr>
            </w:pPr>
            <w:r>
              <w:rPr>
                <w:rFonts w:ascii="Arial" w:cs="Arial" w:eastAsia="Arial" w:hAnsi="Arial"/>
                <w:sz w:val="18"/>
                <w:szCs w:val="18"/>
                <w:color w:val="auto"/>
              </w:rPr>
              <w:t>February 1, 2020 – February 29, 2020</w:t>
            </w:r>
          </w:p>
        </w:tc>
        <w:tc>
          <w:tcPr>
            <w:tcW w:w="1340" w:type="dxa"/>
            <w:vAlign w:val="bottom"/>
          </w:tcPr>
          <w:p>
            <w:pPr>
              <w:jc w:val="center"/>
              <w:spacing w:after="0"/>
              <w:rPr>
                <w:sz w:val="20"/>
                <w:szCs w:val="20"/>
                <w:color w:val="auto"/>
              </w:rPr>
            </w:pPr>
            <w:r>
              <w:rPr>
                <w:rFonts w:ascii="Arial" w:cs="Arial" w:eastAsia="Arial" w:hAnsi="Arial"/>
                <w:sz w:val="18"/>
                <w:szCs w:val="18"/>
                <w:color w:val="auto"/>
                <w:w w:val="89"/>
              </w:rPr>
              <w:t>213,144</w:t>
            </w:r>
          </w:p>
        </w:tc>
        <w:tc>
          <w:tcPr>
            <w:tcW w:w="1480" w:type="dxa"/>
            <w:vAlign w:val="bottom"/>
            <w:gridSpan w:val="2"/>
          </w:tcPr>
          <w:p>
            <w:pPr>
              <w:jc w:val="center"/>
              <w:ind w:left="50"/>
              <w:spacing w:after="0"/>
              <w:rPr>
                <w:sz w:val="20"/>
                <w:szCs w:val="20"/>
                <w:color w:val="auto"/>
              </w:rPr>
            </w:pPr>
            <w:r>
              <w:rPr>
                <w:rFonts w:ascii="Arial" w:cs="Arial" w:eastAsia="Arial" w:hAnsi="Arial"/>
                <w:sz w:val="18"/>
                <w:szCs w:val="18"/>
                <w:color w:val="auto"/>
                <w:w w:val="89"/>
              </w:rPr>
              <w:t>$117.49</w:t>
            </w:r>
          </w:p>
        </w:tc>
        <w:tc>
          <w:tcPr>
            <w:tcW w:w="100" w:type="dxa"/>
            <w:vAlign w:val="bottom"/>
          </w:tcPr>
          <w:p>
            <w:pPr>
              <w:spacing w:after="0"/>
              <w:rPr>
                <w:sz w:val="21"/>
                <w:szCs w:val="21"/>
                <w:color w:val="auto"/>
              </w:rPr>
            </w:pPr>
          </w:p>
        </w:tc>
        <w:tc>
          <w:tcPr>
            <w:tcW w:w="1900" w:type="dxa"/>
            <w:vAlign w:val="bottom"/>
          </w:tcPr>
          <w:p>
            <w:pPr>
              <w:jc w:val="center"/>
              <w:spacing w:after="0"/>
              <w:rPr>
                <w:sz w:val="20"/>
                <w:szCs w:val="20"/>
                <w:color w:val="auto"/>
              </w:rPr>
            </w:pPr>
            <w:r>
              <w:rPr>
                <w:rFonts w:ascii="Arial" w:cs="Arial" w:eastAsia="Arial" w:hAnsi="Arial"/>
                <w:sz w:val="18"/>
                <w:szCs w:val="18"/>
                <w:color w:val="auto"/>
                <w:w w:val="89"/>
              </w:rPr>
              <w:t>213,144</w:t>
            </w:r>
          </w:p>
        </w:tc>
        <w:tc>
          <w:tcPr>
            <w:tcW w:w="2020" w:type="dxa"/>
            <w:vAlign w:val="bottom"/>
            <w:gridSpan w:val="2"/>
          </w:tcPr>
          <w:p>
            <w:pPr>
              <w:jc w:val="center"/>
              <w:ind w:left="10"/>
              <w:spacing w:after="0"/>
              <w:rPr>
                <w:sz w:val="20"/>
                <w:szCs w:val="20"/>
                <w:color w:val="auto"/>
              </w:rPr>
            </w:pPr>
            <w:r>
              <w:rPr>
                <w:rFonts w:ascii="Arial" w:cs="Arial" w:eastAsia="Arial" w:hAnsi="Arial"/>
                <w:sz w:val="18"/>
                <w:szCs w:val="18"/>
                <w:color w:val="auto"/>
                <w:w w:val="89"/>
              </w:rPr>
              <w:t>2,274,427</w:t>
            </w:r>
          </w:p>
        </w:tc>
        <w:tc>
          <w:tcPr>
            <w:tcW w:w="0" w:type="dxa"/>
            <w:vAlign w:val="bottom"/>
          </w:tcPr>
          <w:p>
            <w:pPr>
              <w:spacing w:after="0"/>
              <w:rPr>
                <w:sz w:val="1"/>
                <w:szCs w:val="1"/>
                <w:color w:val="auto"/>
              </w:rPr>
            </w:pPr>
          </w:p>
        </w:tc>
      </w:tr>
      <w:tr>
        <w:trPr>
          <w:trHeight w:val="27"/>
        </w:trPr>
        <w:tc>
          <w:tcPr>
            <w:tcW w:w="4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March 1, 2020 – March 31, 2020</w:t>
            </w:r>
          </w:p>
        </w:tc>
        <w:tc>
          <w:tcPr>
            <w:tcW w:w="13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349,459</w:t>
            </w:r>
          </w:p>
        </w:tc>
        <w:tc>
          <w:tcPr>
            <w:tcW w:w="148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7"/>
              </w:rPr>
              <w:t>$88.54</w:t>
            </w:r>
          </w:p>
        </w:tc>
        <w:tc>
          <w:tcPr>
            <w:tcW w:w="100" w:type="dxa"/>
            <w:vAlign w:val="bottom"/>
            <w:tcBorders>
              <w:bottom w:val="single" w:sz="8" w:color="CCEEFF"/>
            </w:tcBorders>
            <w:shd w:val="clear" w:color="auto" w:fill="CCEEFF"/>
          </w:tcPr>
          <w:p>
            <w:pPr>
              <w:spacing w:after="0"/>
              <w:rPr>
                <w:sz w:val="23"/>
                <w:szCs w:val="23"/>
                <w:color w:val="auto"/>
              </w:rPr>
            </w:pPr>
          </w:p>
        </w:tc>
        <w:tc>
          <w:tcPr>
            <w:tcW w:w="1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349,459</w:t>
            </w:r>
          </w:p>
        </w:tc>
        <w:tc>
          <w:tcPr>
            <w:tcW w:w="202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9"/>
              </w:rPr>
              <w:t>1,924,968</w:t>
            </w:r>
          </w:p>
        </w:tc>
        <w:tc>
          <w:tcPr>
            <w:tcW w:w="0" w:type="dxa"/>
            <w:vAlign w:val="bottom"/>
          </w:tcPr>
          <w:p>
            <w:pPr>
              <w:spacing w:after="0"/>
              <w:rPr>
                <w:sz w:val="1"/>
                <w:szCs w:val="1"/>
                <w:color w:val="auto"/>
              </w:rPr>
            </w:pPr>
          </w:p>
        </w:tc>
      </w:tr>
      <w:tr>
        <w:trPr>
          <w:trHeight w:val="257"/>
        </w:trPr>
        <w:tc>
          <w:tcPr>
            <w:tcW w:w="4400" w:type="dxa"/>
            <w:vAlign w:val="bottom"/>
          </w:tcPr>
          <w:p>
            <w:pPr>
              <w:ind w:left="40"/>
              <w:spacing w:after="0"/>
              <w:rPr>
                <w:sz w:val="20"/>
                <w:szCs w:val="20"/>
                <w:color w:val="auto"/>
              </w:rPr>
            </w:pPr>
            <w:r>
              <w:rPr>
                <w:rFonts w:ascii="Arial" w:cs="Arial" w:eastAsia="Arial" w:hAnsi="Arial"/>
                <w:sz w:val="18"/>
                <w:szCs w:val="18"/>
                <w:color w:val="auto"/>
              </w:rPr>
              <w:t>Total</w:t>
            </w:r>
          </w:p>
        </w:tc>
        <w:tc>
          <w:tcPr>
            <w:tcW w:w="13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89"/>
              </w:rPr>
              <w:t>769,935</w:t>
            </w:r>
          </w:p>
        </w:tc>
        <w:tc>
          <w:tcPr>
            <w:tcW w:w="1480" w:type="dxa"/>
            <w:vAlign w:val="bottom"/>
            <w:gridSpan w:val="2"/>
          </w:tcPr>
          <w:p>
            <w:pPr>
              <w:jc w:val="center"/>
              <w:ind w:left="30"/>
              <w:spacing w:after="0"/>
              <w:rPr>
                <w:sz w:val="20"/>
                <w:szCs w:val="20"/>
                <w:color w:val="auto"/>
              </w:rPr>
            </w:pPr>
            <w:r>
              <w:rPr>
                <w:rFonts w:ascii="Arial" w:cs="Arial" w:eastAsia="Arial" w:hAnsi="Arial"/>
                <w:sz w:val="18"/>
                <w:szCs w:val="18"/>
                <w:color w:val="auto"/>
                <w:w w:val="92"/>
              </w:rPr>
              <w:t>$106.60</w:t>
            </w:r>
          </w:p>
        </w:tc>
        <w:tc>
          <w:tcPr>
            <w:tcW w:w="100" w:type="dxa"/>
            <w:vAlign w:val="bottom"/>
          </w:tcPr>
          <w:p>
            <w:pPr>
              <w:spacing w:after="0"/>
              <w:rPr>
                <w:sz w:val="22"/>
                <w:szCs w:val="22"/>
                <w:color w:val="auto"/>
              </w:rPr>
            </w:pPr>
          </w:p>
        </w:tc>
        <w:tc>
          <w:tcPr>
            <w:tcW w:w="19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89"/>
              </w:rPr>
              <w:t>769,935</w:t>
            </w:r>
          </w:p>
        </w:tc>
        <w:tc>
          <w:tcPr>
            <w:tcW w:w="2020" w:type="dxa"/>
            <w:vAlign w:val="bottom"/>
            <w:gridSpan w:val="2"/>
          </w:tcPr>
          <w:p>
            <w:pPr>
              <w:jc w:val="center"/>
              <w:ind w:left="10"/>
              <w:spacing w:after="0"/>
              <w:rPr>
                <w:sz w:val="20"/>
                <w:szCs w:val="20"/>
                <w:color w:val="auto"/>
              </w:rPr>
            </w:pPr>
            <w:r>
              <w:rPr>
                <w:rFonts w:ascii="Arial" w:cs="Arial" w:eastAsia="Arial" w:hAnsi="Arial"/>
                <w:sz w:val="18"/>
                <w:szCs w:val="18"/>
                <w:color w:val="auto"/>
                <w:w w:val="89"/>
              </w:rPr>
              <w:t>1,924,968</w:t>
            </w:r>
          </w:p>
        </w:tc>
        <w:tc>
          <w:tcPr>
            <w:tcW w:w="0" w:type="dxa"/>
            <w:vAlign w:val="bottom"/>
          </w:tcPr>
          <w:p>
            <w:pPr>
              <w:spacing w:after="0"/>
              <w:rPr>
                <w:sz w:val="1"/>
                <w:szCs w:val="1"/>
                <w:color w:val="auto"/>
              </w:rPr>
            </w:pPr>
          </w:p>
        </w:tc>
      </w:tr>
      <w:tr>
        <w:trPr>
          <w:trHeight w:val="20"/>
        </w:trPr>
        <w:tc>
          <w:tcPr>
            <w:tcW w:w="4400" w:type="dxa"/>
            <w:vAlign w:val="bottom"/>
            <w:vMerge w:val="restart"/>
          </w:tcPr>
          <w:p>
            <w:pPr>
              <w:spacing w:after="0"/>
              <w:rPr>
                <w:sz w:val="20"/>
                <w:szCs w:val="20"/>
                <w:color w:val="auto"/>
              </w:rPr>
            </w:pPr>
            <w:r>
              <w:rPr>
                <w:rFonts w:ascii="Arial" w:cs="Arial" w:eastAsia="Arial" w:hAnsi="Arial"/>
                <w:sz w:val="18"/>
                <w:szCs w:val="18"/>
                <w:color w:val="auto"/>
              </w:rPr>
              <w:t>_________________________</w:t>
            </w: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400" w:type="dxa"/>
            <w:vAlign w:val="bottom"/>
            <w:vMerge w:val="continue"/>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660" w:right="20" w:hanging="652"/>
        <w:spacing w:after="0" w:line="232" w:lineRule="auto"/>
        <w:tabs>
          <w:tab w:leader="none" w:pos="660" w:val="left"/>
        </w:tabs>
        <w:numPr>
          <w:ilvl w:val="0"/>
          <w:numId w:val="29"/>
        </w:numPr>
        <w:rPr>
          <w:rFonts w:ascii="Arial" w:cs="Arial" w:eastAsia="Arial" w:hAnsi="Arial"/>
          <w:sz w:val="25"/>
          <w:szCs w:val="25"/>
          <w:color w:val="auto"/>
          <w:vertAlign w:val="superscript"/>
        </w:rPr>
      </w:pPr>
      <w:r>
        <w:rPr>
          <w:rFonts w:ascii="Arial" w:cs="Arial" w:eastAsia="Arial" w:hAnsi="Arial"/>
          <w:sz w:val="18"/>
          <w:szCs w:val="18"/>
          <w:color w:val="auto"/>
        </w:rPr>
        <w:t>On July 30, 2019, our Board of Directors authorized the extension of the duration of our existing share repurchase program to December 31, 2020, as well as the repurchase of up to 4.5 million additional shares of our common stock. As of March 31, 2020, our Board of Directors had authorized the repurchase of an aggregate of up to 19.4 million shares of our common stock under the share repurchase program since the initiation of the program in October 2013.</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240"/>
          </w:cols>
          <w:pgMar w:left="320" w:top="125" w:right="339" w:bottom="1440" w:gutter="0" w:footer="0" w:header="0"/>
        </w:sectPr>
      </w:pPr>
    </w:p>
    <w:bookmarkStart w:id="66" w:name="page67"/>
    <w:bookmarkEnd w:id="6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6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All documents referenced below are being filed as a part of this Quarterly Report on Form 10-Q, unless otherwise noted.</w:t>
      </w:r>
    </w:p>
    <w:p>
      <w:pPr>
        <w:spacing w:after="0" w:line="185"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1040" w:type="dxa"/>
            <w:vAlign w:val="bottom"/>
            <w:gridSpan w:val="2"/>
            <w:vMerge w:val="restart"/>
          </w:tcPr>
          <w:p>
            <w:pPr>
              <w:jc w:val="center"/>
              <w:ind w:right="120"/>
              <w:spacing w:after="0"/>
              <w:rPr>
                <w:sz w:val="20"/>
                <w:szCs w:val="20"/>
                <w:color w:val="auto"/>
              </w:rPr>
            </w:pPr>
            <w:r>
              <w:rPr>
                <w:rFonts w:ascii="Arial" w:cs="Arial" w:eastAsia="Arial" w:hAnsi="Arial"/>
                <w:sz w:val="16"/>
                <w:szCs w:val="16"/>
                <w:b w:val="1"/>
                <w:bCs w:val="1"/>
                <w:color w:val="auto"/>
                <w:w w:val="97"/>
              </w:rPr>
              <w:t>Exhibit</w:t>
            </w:r>
          </w:p>
        </w:tc>
        <w:tc>
          <w:tcPr>
            <w:tcW w:w="5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vMerge w:val="restart"/>
          </w:tcPr>
          <w:p>
            <w:pPr>
              <w:jc w:val="center"/>
              <w:ind w:right="120"/>
              <w:spacing w:after="0"/>
              <w:rPr>
                <w:sz w:val="20"/>
                <w:szCs w:val="20"/>
                <w:color w:val="auto"/>
              </w:rPr>
            </w:pPr>
            <w:r>
              <w:rPr>
                <w:rFonts w:ascii="Arial" w:cs="Arial" w:eastAsia="Arial" w:hAnsi="Arial"/>
                <w:sz w:val="16"/>
                <w:szCs w:val="16"/>
                <w:b w:val="1"/>
                <w:bCs w:val="1"/>
                <w:color w:val="auto"/>
                <w:w w:val="96"/>
              </w:rPr>
              <w:t>Filed</w:t>
            </w:r>
          </w:p>
        </w:tc>
        <w:tc>
          <w:tcPr>
            <w:tcW w:w="3100" w:type="dxa"/>
            <w:vAlign w:val="bottom"/>
            <w:gridSpan w:val="5"/>
          </w:tcPr>
          <w:p>
            <w:pPr>
              <w:ind w:left="360"/>
              <w:spacing w:after="0"/>
              <w:rPr>
                <w:sz w:val="20"/>
                <w:szCs w:val="20"/>
                <w:color w:val="auto"/>
              </w:rPr>
            </w:pPr>
            <w:r>
              <w:rPr>
                <w:rFonts w:ascii="Arial" w:cs="Arial" w:eastAsia="Arial" w:hAnsi="Arial"/>
                <w:sz w:val="16"/>
                <w:szCs w:val="16"/>
                <w:b w:val="1"/>
                <w:bCs w:val="1"/>
                <w:color w:val="auto"/>
              </w:rPr>
              <w:t>Incorporation By Reference From</w:t>
            </w:r>
          </w:p>
        </w:tc>
        <w:tc>
          <w:tcPr>
            <w:tcW w:w="0" w:type="dxa"/>
            <w:vAlign w:val="bottom"/>
          </w:tcPr>
          <w:p>
            <w:pPr>
              <w:spacing w:after="0"/>
              <w:rPr>
                <w:sz w:val="1"/>
                <w:szCs w:val="1"/>
                <w:color w:val="auto"/>
              </w:rPr>
            </w:pPr>
          </w:p>
        </w:tc>
      </w:tr>
      <w:tr>
        <w:trPr>
          <w:trHeight w:val="33"/>
        </w:trPr>
        <w:tc>
          <w:tcPr>
            <w:tcW w:w="1040" w:type="dxa"/>
            <w:vAlign w:val="bottom"/>
            <w:gridSpan w:val="2"/>
            <w:vMerge w:val="continue"/>
          </w:tcPr>
          <w:p>
            <w:pPr>
              <w:spacing w:after="0"/>
              <w:rPr>
                <w:sz w:val="2"/>
                <w:szCs w:val="2"/>
                <w:color w:val="auto"/>
              </w:rPr>
            </w:pPr>
          </w:p>
        </w:tc>
        <w:tc>
          <w:tcPr>
            <w:tcW w:w="5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gridSpan w:val="2"/>
            <w:vMerge w:val="continue"/>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104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5"/>
              </w:rPr>
              <w:t>Number</w:t>
            </w:r>
          </w:p>
        </w:tc>
        <w:tc>
          <w:tcPr>
            <w:tcW w:w="6040" w:type="dxa"/>
            <w:vAlign w:val="bottom"/>
            <w:gridSpan w:val="2"/>
          </w:tcPr>
          <w:p>
            <w:pPr>
              <w:ind w:left="2560"/>
              <w:spacing w:after="0"/>
              <w:rPr>
                <w:sz w:val="20"/>
                <w:szCs w:val="20"/>
                <w:color w:val="auto"/>
              </w:rPr>
            </w:pPr>
            <w:r>
              <w:rPr>
                <w:rFonts w:ascii="Arial" w:cs="Arial" w:eastAsia="Arial" w:hAnsi="Arial"/>
                <w:sz w:val="16"/>
                <w:szCs w:val="16"/>
                <w:b w:val="1"/>
                <w:bCs w:val="1"/>
                <w:color w:val="auto"/>
              </w:rPr>
              <w:t>Description</w:t>
            </w:r>
          </w:p>
        </w:tc>
        <w:tc>
          <w:tcPr>
            <w:tcW w:w="10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4"/>
              </w:rPr>
              <w:t>Herewith</w:t>
            </w:r>
          </w:p>
        </w:tc>
        <w:tc>
          <w:tcPr>
            <w:tcW w:w="1000" w:type="dxa"/>
            <w:vAlign w:val="bottom"/>
            <w:gridSpan w:val="2"/>
          </w:tcPr>
          <w:p>
            <w:pPr>
              <w:ind w:left="240"/>
              <w:spacing w:after="0"/>
              <w:rPr>
                <w:sz w:val="20"/>
                <w:szCs w:val="20"/>
                <w:color w:val="auto"/>
              </w:rPr>
            </w:pPr>
            <w:r>
              <w:rPr>
                <w:rFonts w:ascii="Arial" w:cs="Arial" w:eastAsia="Arial" w:hAnsi="Arial"/>
                <w:sz w:val="16"/>
                <w:szCs w:val="16"/>
                <w:b w:val="1"/>
                <w:bCs w:val="1"/>
                <w:color w:val="auto"/>
              </w:rPr>
              <w:t>Form</w:t>
            </w:r>
          </w:p>
        </w:tc>
        <w:tc>
          <w:tcPr>
            <w:tcW w:w="880" w:type="dxa"/>
            <w:vAlign w:val="bottom"/>
            <w:gridSpan w:val="2"/>
          </w:tcPr>
          <w:p>
            <w:pPr>
              <w:ind w:left="120"/>
              <w:spacing w:after="0"/>
              <w:rPr>
                <w:sz w:val="20"/>
                <w:szCs w:val="20"/>
                <w:color w:val="auto"/>
              </w:rPr>
            </w:pPr>
            <w:r>
              <w:rPr>
                <w:rFonts w:ascii="Arial" w:cs="Arial" w:eastAsia="Arial" w:hAnsi="Arial"/>
                <w:sz w:val="16"/>
                <w:szCs w:val="16"/>
                <w:b w:val="1"/>
                <w:bCs w:val="1"/>
                <w:color w:val="auto"/>
              </w:rPr>
              <w:t>Exhibit</w:t>
            </w:r>
          </w:p>
        </w:tc>
        <w:tc>
          <w:tcPr>
            <w:tcW w:w="1220" w:type="dxa"/>
            <w:vAlign w:val="bottom"/>
          </w:tcPr>
          <w:p>
            <w:pPr>
              <w:ind w:left="240"/>
              <w:spacing w:after="0"/>
              <w:rPr>
                <w:sz w:val="20"/>
                <w:szCs w:val="20"/>
                <w:color w:val="auto"/>
              </w:rPr>
            </w:pPr>
            <w:r>
              <w:rPr>
                <w:rFonts w:ascii="Arial" w:cs="Arial" w:eastAsia="Arial" w:hAnsi="Arial"/>
                <w:sz w:val="16"/>
                <w:szCs w:val="16"/>
                <w:b w:val="1"/>
                <w:bCs w:val="1"/>
                <w:color w:val="auto"/>
              </w:rPr>
              <w:t>Date Filed</w:t>
            </w:r>
          </w:p>
        </w:tc>
        <w:tc>
          <w:tcPr>
            <w:tcW w:w="0" w:type="dxa"/>
            <w:vAlign w:val="bottom"/>
          </w:tcPr>
          <w:p>
            <w:pPr>
              <w:spacing w:after="0"/>
              <w:rPr>
                <w:sz w:val="1"/>
                <w:szCs w:val="1"/>
                <w:color w:val="auto"/>
              </w:rPr>
            </w:pPr>
          </w:p>
        </w:tc>
      </w:tr>
      <w:tr>
        <w:trPr>
          <w:trHeight w:val="33"/>
        </w:trPr>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sectPr>
          <w:pgSz w:w="11900" w:h="16838" w:orient="portrait"/>
          <w:cols w:equalWidth="0" w:num="1">
            <w:col w:w="11220"/>
          </w:cols>
          <w:pgMar w:left="320" w:top="125" w:right="359" w:bottom="1440" w:gutter="0" w:footer="0" w:header="0"/>
        </w:sectPr>
      </w:pPr>
    </w:p>
    <w:p>
      <w:pPr>
        <w:spacing w:after="0" w:line="216" w:lineRule="exact"/>
        <w:rPr>
          <w:sz w:val="20"/>
          <w:szCs w:val="20"/>
          <w:color w:val="auto"/>
        </w:rPr>
      </w:pPr>
    </w:p>
    <w:p>
      <w:pPr>
        <w:ind w:left="380"/>
        <w:spacing w:after="0"/>
        <w:rPr>
          <w:rFonts w:ascii="Arial" w:cs="Arial" w:eastAsia="Arial" w:hAnsi="Arial"/>
          <w:sz w:val="18"/>
          <w:szCs w:val="18"/>
          <w:u w:val="single" w:color="auto"/>
          <w:color w:val="0000FF"/>
        </w:rPr>
      </w:pPr>
      <w:hyperlink r:id="rId22">
        <w:r>
          <w:rPr>
            <w:rFonts w:ascii="Arial" w:cs="Arial" w:eastAsia="Arial" w:hAnsi="Arial"/>
            <w:sz w:val="18"/>
            <w:szCs w:val="18"/>
            <w:u w:val="single" w:color="auto"/>
            <w:color w:val="0000FF"/>
          </w:rPr>
          <w:t>2.1</w:t>
        </w:r>
      </w:hyperlink>
    </w:p>
    <w:p>
      <w:pPr>
        <w:spacing w:after="0" w:line="200" w:lineRule="exact"/>
        <w:rPr>
          <w:sz w:val="20"/>
          <w:szCs w:val="20"/>
          <w:color w:val="auto"/>
        </w:rPr>
      </w:pPr>
    </w:p>
    <w:p>
      <w:pPr>
        <w:spacing w:after="0" w:line="349" w:lineRule="exact"/>
        <w:rPr>
          <w:sz w:val="20"/>
          <w:szCs w:val="20"/>
          <w:color w:val="auto"/>
        </w:rPr>
      </w:pPr>
    </w:p>
    <w:p>
      <w:pPr>
        <w:ind w:left="380"/>
        <w:spacing w:after="0"/>
        <w:rPr>
          <w:rFonts w:ascii="Arial" w:cs="Arial" w:eastAsia="Arial" w:hAnsi="Arial"/>
          <w:sz w:val="18"/>
          <w:szCs w:val="18"/>
          <w:u w:val="single" w:color="auto"/>
          <w:color w:val="0000FF"/>
        </w:rPr>
      </w:pPr>
      <w:hyperlink r:id="rId23">
        <w:r>
          <w:rPr>
            <w:rFonts w:ascii="Arial" w:cs="Arial" w:eastAsia="Arial" w:hAnsi="Arial"/>
            <w:sz w:val="18"/>
            <w:szCs w:val="18"/>
            <w:u w:val="single" w:color="auto"/>
            <w:color w:val="0000FF"/>
          </w:rPr>
          <w:t>3.1</w:t>
        </w:r>
      </w:hyperlink>
    </w:p>
    <w:p>
      <w:pPr>
        <w:spacing w:after="0" w:line="279" w:lineRule="exact"/>
        <w:rPr>
          <w:sz w:val="20"/>
          <w:szCs w:val="20"/>
          <w:color w:val="auto"/>
        </w:rPr>
      </w:pPr>
    </w:p>
    <w:p>
      <w:pPr>
        <w:ind w:left="380"/>
        <w:spacing w:after="0"/>
        <w:rPr>
          <w:rFonts w:ascii="Arial" w:cs="Arial" w:eastAsia="Arial" w:hAnsi="Arial"/>
          <w:sz w:val="18"/>
          <w:szCs w:val="18"/>
          <w:u w:val="single" w:color="auto"/>
          <w:color w:val="0000FF"/>
        </w:rPr>
      </w:pPr>
      <w:hyperlink r:id="rId24">
        <w:r>
          <w:rPr>
            <w:rFonts w:ascii="Arial" w:cs="Arial" w:eastAsia="Arial" w:hAnsi="Arial"/>
            <w:sz w:val="18"/>
            <w:szCs w:val="18"/>
            <w:u w:val="single" w:color="auto"/>
            <w:color w:val="0000FF"/>
          </w:rPr>
          <w:t>3.2</w:t>
        </w:r>
      </w:hyperlink>
    </w:p>
    <w:p>
      <w:pPr>
        <w:spacing w:after="0" w:line="279" w:lineRule="exact"/>
        <w:rPr>
          <w:sz w:val="20"/>
          <w:szCs w:val="20"/>
          <w:color w:val="auto"/>
        </w:rPr>
      </w:pPr>
    </w:p>
    <w:p>
      <w:pPr>
        <w:ind w:left="380"/>
        <w:spacing w:after="0"/>
        <w:rPr>
          <w:rFonts w:ascii="Arial" w:cs="Arial" w:eastAsia="Arial" w:hAnsi="Arial"/>
          <w:sz w:val="18"/>
          <w:szCs w:val="18"/>
          <w:u w:val="single" w:color="auto"/>
          <w:color w:val="0000FF"/>
        </w:rPr>
      </w:pPr>
      <w:hyperlink r:id="rId25">
        <w:r>
          <w:rPr>
            <w:rFonts w:ascii="Arial" w:cs="Arial" w:eastAsia="Arial" w:hAnsi="Arial"/>
            <w:sz w:val="18"/>
            <w:szCs w:val="18"/>
            <w:u w:val="single" w:color="auto"/>
            <w:color w:val="0000FF"/>
          </w:rPr>
          <w:t>4.1</w:t>
        </w:r>
      </w:hyperlink>
    </w:p>
    <w:p>
      <w:pPr>
        <w:spacing w:after="0" w:line="387" w:lineRule="exact"/>
        <w:rPr>
          <w:sz w:val="20"/>
          <w:szCs w:val="20"/>
          <w:color w:val="auto"/>
        </w:rPr>
      </w:pPr>
    </w:p>
    <w:p>
      <w:pPr>
        <w:ind w:left="380"/>
        <w:spacing w:after="0"/>
        <w:rPr>
          <w:rFonts w:ascii="Arial" w:cs="Arial" w:eastAsia="Arial" w:hAnsi="Arial"/>
          <w:sz w:val="18"/>
          <w:szCs w:val="18"/>
          <w:u w:val="single" w:color="auto"/>
          <w:color w:val="0000FF"/>
        </w:rPr>
      </w:pPr>
      <w:hyperlink r:id="rId26">
        <w:r>
          <w:rPr>
            <w:rFonts w:ascii="Arial" w:cs="Arial" w:eastAsia="Arial" w:hAnsi="Arial"/>
            <w:sz w:val="18"/>
            <w:szCs w:val="18"/>
            <w:u w:val="single" w:color="auto"/>
            <w:color w:val="0000FF"/>
          </w:rPr>
          <w:t>4.2</w:t>
        </w:r>
      </w:hyperlink>
    </w:p>
    <w:p>
      <w:pPr>
        <w:spacing w:after="0" w:line="387" w:lineRule="exact"/>
        <w:rPr>
          <w:sz w:val="20"/>
          <w:szCs w:val="20"/>
          <w:color w:val="auto"/>
        </w:rPr>
      </w:pPr>
    </w:p>
    <w:p>
      <w:pPr>
        <w:ind w:left="380"/>
        <w:spacing w:after="0"/>
        <w:rPr>
          <w:rFonts w:ascii="Arial" w:cs="Arial" w:eastAsia="Arial" w:hAnsi="Arial"/>
          <w:sz w:val="18"/>
          <w:szCs w:val="18"/>
          <w:u w:val="single" w:color="auto"/>
          <w:color w:val="0000FF"/>
        </w:rPr>
      </w:pPr>
      <w:hyperlink r:id="rId27">
        <w:r>
          <w:rPr>
            <w:rFonts w:ascii="Arial" w:cs="Arial" w:eastAsia="Arial" w:hAnsi="Arial"/>
            <w:sz w:val="18"/>
            <w:szCs w:val="18"/>
            <w:u w:val="single" w:color="auto"/>
            <w:color w:val="0000FF"/>
          </w:rPr>
          <w:t>4.3</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380"/>
        <w:spacing w:after="0"/>
        <w:rPr>
          <w:rFonts w:ascii="Arial" w:cs="Arial" w:eastAsia="Arial" w:hAnsi="Arial"/>
          <w:sz w:val="18"/>
          <w:szCs w:val="18"/>
          <w:u w:val="single" w:color="auto"/>
          <w:color w:val="0000FF"/>
        </w:rPr>
      </w:pPr>
      <w:hyperlink r:id="rId28">
        <w:r>
          <w:rPr>
            <w:rFonts w:ascii="Arial" w:cs="Arial" w:eastAsia="Arial" w:hAnsi="Arial"/>
            <w:sz w:val="18"/>
            <w:szCs w:val="18"/>
            <w:u w:val="single" w:color="auto"/>
            <w:color w:val="0000FF"/>
          </w:rPr>
          <w:t>4.4</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380"/>
        <w:spacing w:after="0"/>
        <w:rPr>
          <w:rFonts w:ascii="Arial" w:cs="Arial" w:eastAsia="Arial" w:hAnsi="Arial"/>
          <w:sz w:val="18"/>
          <w:szCs w:val="18"/>
          <w:u w:val="single" w:color="auto"/>
          <w:color w:val="0000FF"/>
        </w:rPr>
      </w:pPr>
      <w:hyperlink r:id="rId29">
        <w:r>
          <w:rPr>
            <w:rFonts w:ascii="Arial" w:cs="Arial" w:eastAsia="Arial" w:hAnsi="Arial"/>
            <w:sz w:val="18"/>
            <w:szCs w:val="18"/>
            <w:u w:val="single" w:color="auto"/>
            <w:color w:val="0000FF"/>
          </w:rPr>
          <w:t>4.5</w:t>
        </w:r>
      </w:hyperlink>
    </w:p>
    <w:p>
      <w:pPr>
        <w:spacing w:after="0" w:line="200" w:lineRule="exact"/>
        <w:rPr>
          <w:sz w:val="20"/>
          <w:szCs w:val="20"/>
          <w:color w:val="auto"/>
        </w:rPr>
      </w:pPr>
    </w:p>
    <w:p>
      <w:pPr>
        <w:spacing w:after="0" w:line="349" w:lineRule="exact"/>
        <w:rPr>
          <w:sz w:val="20"/>
          <w:szCs w:val="20"/>
          <w:color w:val="auto"/>
        </w:rPr>
      </w:pPr>
    </w:p>
    <w:p>
      <w:pPr>
        <w:ind w:left="380"/>
        <w:spacing w:after="0"/>
        <w:rPr>
          <w:rFonts w:ascii="Arial" w:cs="Arial" w:eastAsia="Arial" w:hAnsi="Arial"/>
          <w:sz w:val="18"/>
          <w:szCs w:val="18"/>
          <w:u w:val="single" w:color="auto"/>
          <w:color w:val="0000FF"/>
        </w:rPr>
      </w:pPr>
      <w:hyperlink r:id="rId30">
        <w:r>
          <w:rPr>
            <w:rFonts w:ascii="Arial" w:cs="Arial" w:eastAsia="Arial" w:hAnsi="Arial"/>
            <w:sz w:val="18"/>
            <w:szCs w:val="18"/>
            <w:u w:val="single" w:color="auto"/>
            <w:color w:val="0000FF"/>
          </w:rPr>
          <w:t>4.6</w:t>
        </w:r>
      </w:hyperlink>
    </w:p>
    <w:p>
      <w:pPr>
        <w:spacing w:after="0" w:line="200" w:lineRule="exact"/>
        <w:rPr>
          <w:sz w:val="20"/>
          <w:szCs w:val="20"/>
          <w:color w:val="auto"/>
        </w:rPr>
      </w:pPr>
    </w:p>
    <w:p>
      <w:pPr>
        <w:spacing w:after="0" w:line="295" w:lineRule="exact"/>
        <w:rPr>
          <w:sz w:val="20"/>
          <w:szCs w:val="20"/>
          <w:color w:val="auto"/>
        </w:rPr>
      </w:pPr>
    </w:p>
    <w:p>
      <w:pPr>
        <w:ind w:left="380"/>
        <w:spacing w:after="0"/>
        <w:rPr>
          <w:rFonts w:ascii="Arial" w:cs="Arial" w:eastAsia="Arial" w:hAnsi="Arial"/>
          <w:sz w:val="18"/>
          <w:szCs w:val="18"/>
          <w:u w:val="single" w:color="auto"/>
          <w:color w:val="0000FF"/>
        </w:rPr>
      </w:pPr>
      <w:hyperlink r:id="rId31">
        <w:r>
          <w:rPr>
            <w:rFonts w:ascii="Arial" w:cs="Arial" w:eastAsia="Arial" w:hAnsi="Arial"/>
            <w:sz w:val="18"/>
            <w:szCs w:val="18"/>
            <w:u w:val="single" w:color="auto"/>
            <w:color w:val="0000FF"/>
          </w:rPr>
          <w:t>4.7</w:t>
        </w:r>
      </w:hyperlink>
    </w:p>
    <w:p>
      <w:pPr>
        <w:spacing w:after="0" w:line="387" w:lineRule="exact"/>
        <w:rPr>
          <w:sz w:val="20"/>
          <w:szCs w:val="20"/>
          <w:color w:val="auto"/>
        </w:rPr>
      </w:pPr>
    </w:p>
    <w:p>
      <w:pPr>
        <w:ind w:left="380"/>
        <w:spacing w:after="0"/>
        <w:rPr>
          <w:rFonts w:ascii="Arial" w:cs="Arial" w:eastAsia="Arial" w:hAnsi="Arial"/>
          <w:sz w:val="18"/>
          <w:szCs w:val="18"/>
          <w:u w:val="single" w:color="auto"/>
          <w:color w:val="0000FF"/>
        </w:rPr>
      </w:pPr>
      <w:hyperlink r:id="rId28">
        <w:r>
          <w:rPr>
            <w:rFonts w:ascii="Arial" w:cs="Arial" w:eastAsia="Arial" w:hAnsi="Arial"/>
            <w:sz w:val="18"/>
            <w:szCs w:val="18"/>
            <w:u w:val="single" w:color="auto"/>
            <w:color w:val="0000FF"/>
          </w:rPr>
          <w:t>4.8</w:t>
        </w:r>
      </w:hyperlink>
    </w:p>
    <w:p>
      <w:pPr>
        <w:spacing w:after="0" w:line="200" w:lineRule="exact"/>
        <w:rPr>
          <w:sz w:val="20"/>
          <w:szCs w:val="20"/>
          <w:color w:val="auto"/>
        </w:rPr>
      </w:pPr>
    </w:p>
    <w:p>
      <w:pPr>
        <w:spacing w:after="0" w:line="295" w:lineRule="exact"/>
        <w:rPr>
          <w:sz w:val="20"/>
          <w:szCs w:val="20"/>
          <w:color w:val="auto"/>
        </w:rPr>
      </w:pPr>
    </w:p>
    <w:p>
      <w:pPr>
        <w:ind w:left="380"/>
        <w:spacing w:after="0"/>
        <w:rPr>
          <w:rFonts w:ascii="Arial" w:cs="Arial" w:eastAsia="Arial" w:hAnsi="Arial"/>
          <w:sz w:val="18"/>
          <w:szCs w:val="18"/>
          <w:u w:val="single" w:color="auto"/>
          <w:color w:val="0000FF"/>
        </w:rPr>
      </w:pPr>
      <w:hyperlink r:id="rId32">
        <w:r>
          <w:rPr>
            <w:rFonts w:ascii="Arial" w:cs="Arial" w:eastAsia="Arial" w:hAnsi="Arial"/>
            <w:sz w:val="18"/>
            <w:szCs w:val="18"/>
            <w:u w:val="single" w:color="auto"/>
            <w:color w:val="0000FF"/>
          </w:rPr>
          <w:t>4.9</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340"/>
        <w:spacing w:after="0"/>
        <w:rPr>
          <w:rFonts w:ascii="Arial" w:cs="Arial" w:eastAsia="Arial" w:hAnsi="Arial"/>
          <w:sz w:val="16"/>
          <w:szCs w:val="16"/>
          <w:u w:val="single" w:color="auto"/>
          <w:color w:val="0000FF"/>
        </w:rPr>
      </w:pPr>
      <w:hyperlink r:id="rId33">
        <w:r>
          <w:rPr>
            <w:rFonts w:ascii="Arial" w:cs="Arial" w:eastAsia="Arial" w:hAnsi="Arial"/>
            <w:sz w:val="16"/>
            <w:szCs w:val="16"/>
            <w:u w:val="single" w:color="auto"/>
            <w:color w:val="0000FF"/>
          </w:rPr>
          <w:t>4.10</w:t>
        </w:r>
      </w:hyperlink>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340"/>
        <w:spacing w:after="0"/>
        <w:rPr>
          <w:rFonts w:ascii="Arial" w:cs="Arial" w:eastAsia="Arial" w:hAnsi="Arial"/>
          <w:sz w:val="16"/>
          <w:szCs w:val="16"/>
          <w:u w:val="single" w:color="auto"/>
          <w:color w:val="0000FF"/>
        </w:rPr>
      </w:pPr>
      <w:hyperlink r:id="rId34">
        <w:r>
          <w:rPr>
            <w:rFonts w:ascii="Arial" w:cs="Arial" w:eastAsia="Arial" w:hAnsi="Arial"/>
            <w:sz w:val="16"/>
            <w:szCs w:val="16"/>
            <w:u w:val="single" w:color="auto"/>
            <w:color w:val="0000FF"/>
          </w:rPr>
          <w:t>4.11</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40"/>
        <w:spacing w:after="0"/>
        <w:rPr>
          <w:rFonts w:ascii="Arial" w:cs="Arial" w:eastAsia="Arial" w:hAnsi="Arial"/>
          <w:sz w:val="16"/>
          <w:szCs w:val="16"/>
          <w:u w:val="single" w:color="auto"/>
          <w:color w:val="0000FF"/>
        </w:rPr>
      </w:pPr>
      <w:hyperlink r:id="rId35">
        <w:r>
          <w:rPr>
            <w:rFonts w:ascii="Arial" w:cs="Arial" w:eastAsia="Arial" w:hAnsi="Arial"/>
            <w:sz w:val="16"/>
            <w:szCs w:val="16"/>
            <w:u w:val="single" w:color="auto"/>
            <w:color w:val="0000FF"/>
          </w:rPr>
          <w:t>4.12</w:t>
        </w:r>
      </w:hyperlink>
    </w:p>
    <w:p>
      <w:pPr>
        <w:spacing w:after="0" w:line="200" w:lineRule="exact"/>
        <w:rPr>
          <w:sz w:val="20"/>
          <w:szCs w:val="20"/>
          <w:color w:val="auto"/>
        </w:rPr>
      </w:pPr>
    </w:p>
    <w:p>
      <w:pPr>
        <w:spacing w:after="0" w:line="318" w:lineRule="exact"/>
        <w:rPr>
          <w:sz w:val="20"/>
          <w:szCs w:val="20"/>
          <w:color w:val="auto"/>
        </w:rPr>
      </w:pPr>
    </w:p>
    <w:p>
      <w:pPr>
        <w:ind w:left="340"/>
        <w:spacing w:after="0"/>
        <w:rPr>
          <w:rFonts w:ascii="Arial" w:cs="Arial" w:eastAsia="Arial" w:hAnsi="Arial"/>
          <w:sz w:val="16"/>
          <w:szCs w:val="16"/>
          <w:u w:val="single" w:color="auto"/>
          <w:color w:val="0000FF"/>
        </w:rPr>
      </w:pPr>
      <w:hyperlink r:id="rId36">
        <w:r>
          <w:rPr>
            <w:rFonts w:ascii="Arial" w:cs="Arial" w:eastAsia="Arial" w:hAnsi="Arial"/>
            <w:sz w:val="16"/>
            <w:szCs w:val="16"/>
            <w:u w:val="single" w:color="auto"/>
            <w:color w:val="0000FF"/>
          </w:rPr>
          <w:t>4.13</w:t>
        </w:r>
      </w:hyperlink>
    </w:p>
    <w:p>
      <w:pPr>
        <w:spacing w:after="0" w:line="20" w:lineRule="exact"/>
        <w:rPr>
          <w:sz w:val="20"/>
          <w:szCs w:val="20"/>
          <w:color w:val="auto"/>
        </w:rPr>
      </w:pPr>
      <w:r>
        <w:rPr>
          <w:sz w:val="20"/>
          <w:szCs w:val="20"/>
          <w:color w:val="auto"/>
        </w:rPr>
        <w:br w:type="column"/>
      </w:r>
    </w:p>
    <w:p>
      <w:pPr>
        <w:ind w:right="760"/>
        <w:spacing w:after="0" w:line="311" w:lineRule="auto"/>
        <w:rPr>
          <w:sz w:val="20"/>
          <w:szCs w:val="20"/>
          <w:color w:val="auto"/>
        </w:rPr>
      </w:pPr>
      <w:r>
        <w:rPr>
          <w:rFonts w:ascii="Arial" w:cs="Arial" w:eastAsia="Arial" w:hAnsi="Arial"/>
          <w:sz w:val="16"/>
          <w:szCs w:val="16"/>
          <w:color w:val="auto"/>
        </w:rPr>
        <w:t>Agreement and Plan of Merger, dated as of April 30, 2018, by and among Marriott Vacations Worldwide Corporation, ILG, Inc., Ignite Holdco, Inc., Ignite Holdco Subsidiary, Inc., Volt Merger Sub, Inc., and Volt Merger Sub LLC*</w:t>
      </w:r>
    </w:p>
    <w:p>
      <w:pPr>
        <w:spacing w:after="0" w:line="149" w:lineRule="exact"/>
        <w:rPr>
          <w:sz w:val="20"/>
          <w:szCs w:val="20"/>
          <w:color w:val="auto"/>
        </w:rPr>
      </w:pPr>
    </w:p>
    <w:p>
      <w:pPr>
        <w:ind w:right="1500"/>
        <w:spacing w:after="0" w:line="277" w:lineRule="auto"/>
        <w:rPr>
          <w:sz w:val="20"/>
          <w:szCs w:val="20"/>
          <w:color w:val="auto"/>
        </w:rPr>
      </w:pPr>
      <w:r>
        <w:rPr>
          <w:rFonts w:ascii="Arial" w:cs="Arial" w:eastAsia="Arial" w:hAnsi="Arial"/>
          <w:sz w:val="18"/>
          <w:szCs w:val="18"/>
          <w:color w:val="auto"/>
        </w:rPr>
        <w:t>Restated Certificate of Incorporation of Marriott Vacations Worldwide Corporation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Restated Bylaws of Marriott Vacations Worldwide Corporation</w:t>
      </w:r>
    </w:p>
    <w:p>
      <w:pPr>
        <w:spacing w:after="0" w:line="171" w:lineRule="exact"/>
        <w:rPr>
          <w:sz w:val="20"/>
          <w:szCs w:val="20"/>
          <w:color w:val="auto"/>
        </w:rPr>
      </w:pPr>
    </w:p>
    <w:p>
      <w:pPr>
        <w:ind w:right="1020"/>
        <w:spacing w:after="0" w:line="277" w:lineRule="auto"/>
        <w:rPr>
          <w:sz w:val="20"/>
          <w:szCs w:val="20"/>
          <w:color w:val="auto"/>
        </w:rPr>
      </w:pPr>
      <w:r>
        <w:rPr>
          <w:rFonts w:ascii="Arial" w:cs="Arial" w:eastAsia="Arial" w:hAnsi="Arial"/>
          <w:sz w:val="18"/>
          <w:szCs w:val="18"/>
          <w:color w:val="auto"/>
        </w:rPr>
        <w:t>Form of certificate representing shares of common stock, par value $0.01 per share, of Marriott Vacations Worldwide Corporation</w:t>
      </w:r>
    </w:p>
    <w:p>
      <w:pPr>
        <w:spacing w:after="0" w:line="116" w:lineRule="exact"/>
        <w:rPr>
          <w:sz w:val="20"/>
          <w:szCs w:val="20"/>
          <w:color w:val="auto"/>
        </w:rPr>
      </w:pPr>
    </w:p>
    <w:p>
      <w:pPr>
        <w:ind w:right="840"/>
        <w:spacing w:after="0" w:line="342" w:lineRule="auto"/>
        <w:rPr>
          <w:sz w:val="20"/>
          <w:szCs w:val="20"/>
          <w:color w:val="auto"/>
        </w:rPr>
      </w:pPr>
      <w:r>
        <w:rPr>
          <w:rFonts w:ascii="Arial" w:cs="Arial" w:eastAsia="Arial" w:hAnsi="Arial"/>
          <w:sz w:val="16"/>
          <w:szCs w:val="16"/>
          <w:color w:val="auto"/>
        </w:rPr>
        <w:t>Indenture between Marriott Vacations Worldwide Corporation and The Bank of New York Mellon Trust Company, N.A., as trustee, dated September 25, 2017</w:t>
      </w:r>
    </w:p>
    <w:p>
      <w:pPr>
        <w:spacing w:after="0" w:line="70" w:lineRule="exact"/>
        <w:rPr>
          <w:sz w:val="20"/>
          <w:szCs w:val="20"/>
          <w:color w:val="auto"/>
        </w:rPr>
      </w:pPr>
    </w:p>
    <w:p>
      <w:pPr>
        <w:ind w:right="1100"/>
        <w:spacing w:after="0" w:line="277" w:lineRule="auto"/>
        <w:rPr>
          <w:sz w:val="20"/>
          <w:szCs w:val="20"/>
          <w:color w:val="auto"/>
        </w:rPr>
      </w:pPr>
      <w:r>
        <w:rPr>
          <w:rFonts w:ascii="Arial" w:cs="Arial" w:eastAsia="Arial" w:hAnsi="Arial"/>
          <w:sz w:val="18"/>
          <w:szCs w:val="18"/>
          <w:color w:val="auto"/>
        </w:rPr>
        <w:t>Form of 1.50% Convertible Senior Note due 2022 (included as Exhibit A to Exhibit 4.2 above)</w:t>
      </w:r>
    </w:p>
    <w:p>
      <w:pPr>
        <w:spacing w:after="0" w:line="116" w:lineRule="exact"/>
        <w:rPr>
          <w:sz w:val="20"/>
          <w:szCs w:val="20"/>
          <w:color w:val="auto"/>
        </w:rPr>
      </w:pPr>
    </w:p>
    <w:p>
      <w:pPr>
        <w:ind w:right="780"/>
        <w:spacing w:after="0" w:line="259" w:lineRule="auto"/>
        <w:rPr>
          <w:sz w:val="20"/>
          <w:szCs w:val="20"/>
          <w:color w:val="auto"/>
        </w:rPr>
      </w:pPr>
      <w:r>
        <w:rPr>
          <w:rFonts w:ascii="Arial" w:cs="Arial" w:eastAsia="Arial" w:hAnsi="Arial"/>
          <w:sz w:val="18"/>
          <w:szCs w:val="18"/>
          <w:color w:val="auto"/>
        </w:rPr>
        <w:t>Indenture, dated as of August 23, 2018, by and among Marriott Ownership Resorts, Inc., Marriott Vacations Worldwide Corporation, as guarantor, the other guarantors party thereto and the Bank of New York Mellon Trust Company, N.A., as trustee</w:t>
      </w:r>
    </w:p>
    <w:p>
      <w:pPr>
        <w:spacing w:after="0" w:line="133" w:lineRule="exact"/>
        <w:rPr>
          <w:sz w:val="20"/>
          <w:szCs w:val="20"/>
          <w:color w:val="auto"/>
        </w:rPr>
      </w:pPr>
    </w:p>
    <w:p>
      <w:pPr>
        <w:jc w:val="both"/>
        <w:ind w:right="740"/>
        <w:spacing w:after="0" w:line="263" w:lineRule="auto"/>
        <w:rPr>
          <w:sz w:val="20"/>
          <w:szCs w:val="20"/>
          <w:color w:val="auto"/>
        </w:rPr>
      </w:pPr>
      <w:r>
        <w:rPr>
          <w:rFonts w:ascii="Arial" w:cs="Arial" w:eastAsia="Arial" w:hAnsi="Arial"/>
          <w:sz w:val="18"/>
          <w:szCs w:val="18"/>
          <w:color w:val="auto"/>
        </w:rPr>
        <w:t>First Supplemental Indenture, dated September 1, 2018, by and among Marriott Ownership Resorts, Inc., ILG, LLC, the guarantors party thereto and the Bank of New York Mellon Trust Company, N.A., as trustee</w:t>
      </w:r>
    </w:p>
    <w:p>
      <w:pPr>
        <w:spacing w:after="0" w:line="76" w:lineRule="exact"/>
        <w:rPr>
          <w:sz w:val="20"/>
          <w:szCs w:val="20"/>
          <w:color w:val="auto"/>
        </w:rPr>
      </w:pPr>
    </w:p>
    <w:p>
      <w:pPr>
        <w:ind w:right="1060"/>
        <w:spacing w:after="0" w:line="286" w:lineRule="auto"/>
        <w:rPr>
          <w:sz w:val="20"/>
          <w:szCs w:val="20"/>
          <w:color w:val="auto"/>
        </w:rPr>
      </w:pPr>
      <w:r>
        <w:rPr>
          <w:rFonts w:ascii="Arial" w:cs="Arial" w:eastAsia="Arial" w:hAnsi="Arial"/>
          <w:sz w:val="17"/>
          <w:szCs w:val="17"/>
          <w:color w:val="auto"/>
        </w:rPr>
        <w:t>Second Supplemental Indenture, dated December 31, 2019, by and among Marriott Ownership Resorts, Inc., ILG, LLC, MVW Vacations, LLC and the Bank of New York Mellon Trust Company, N.A., as trustee</w:t>
      </w:r>
    </w:p>
    <w:p>
      <w:pPr>
        <w:spacing w:after="0" w:line="3" w:lineRule="exact"/>
        <w:rPr>
          <w:sz w:val="20"/>
          <w:szCs w:val="20"/>
          <w:color w:val="auto"/>
        </w:rPr>
      </w:pPr>
    </w:p>
    <w:p>
      <w:pPr>
        <w:jc w:val="both"/>
        <w:ind w:right="800"/>
        <w:spacing w:after="0" w:line="263" w:lineRule="auto"/>
        <w:rPr>
          <w:sz w:val="20"/>
          <w:szCs w:val="20"/>
          <w:color w:val="auto"/>
        </w:rPr>
      </w:pPr>
      <w:r>
        <w:rPr>
          <w:rFonts w:ascii="Arial" w:cs="Arial" w:eastAsia="Arial" w:hAnsi="Arial"/>
          <w:sz w:val="18"/>
          <w:szCs w:val="18"/>
          <w:color w:val="auto"/>
        </w:rPr>
        <w:t>Third Supplemental Indenture, dated February 26, 2020, by and among Marriott Ownership Resorts, Inc., ILG, LLC, MVW Services Corporation, and the Bank of New York Mellon Trust Company, N.A., as trustee</w:t>
      </w:r>
    </w:p>
    <w:p>
      <w:pPr>
        <w:spacing w:after="0" w:line="22" w:lineRule="exact"/>
        <w:rPr>
          <w:sz w:val="20"/>
          <w:szCs w:val="20"/>
          <w:color w:val="auto"/>
        </w:rPr>
      </w:pPr>
    </w:p>
    <w:p>
      <w:pPr>
        <w:ind w:right="1060"/>
        <w:spacing w:after="0" w:line="277" w:lineRule="auto"/>
        <w:rPr>
          <w:sz w:val="20"/>
          <w:szCs w:val="20"/>
          <w:color w:val="auto"/>
        </w:rPr>
      </w:pPr>
      <w:r>
        <w:rPr>
          <w:rFonts w:ascii="Arial" w:cs="Arial" w:eastAsia="Arial" w:hAnsi="Arial"/>
          <w:sz w:val="18"/>
          <w:szCs w:val="18"/>
          <w:color w:val="auto"/>
        </w:rPr>
        <w:t>Form of 6.500% Senior Note due 2026 (included as Exhibit A to Exhibit 4.4 above)</w:t>
      </w:r>
    </w:p>
    <w:p>
      <w:pPr>
        <w:spacing w:after="0" w:line="8" w:lineRule="exact"/>
        <w:rPr>
          <w:sz w:val="20"/>
          <w:szCs w:val="20"/>
          <w:color w:val="auto"/>
        </w:rPr>
      </w:pPr>
    </w:p>
    <w:p>
      <w:pPr>
        <w:ind w:right="720"/>
        <w:spacing w:after="0" w:line="259" w:lineRule="auto"/>
        <w:rPr>
          <w:sz w:val="20"/>
          <w:szCs w:val="20"/>
          <w:color w:val="auto"/>
        </w:rPr>
      </w:pPr>
      <w:r>
        <w:rPr>
          <w:rFonts w:ascii="Arial" w:cs="Arial" w:eastAsia="Arial" w:hAnsi="Arial"/>
          <w:sz w:val="18"/>
          <w:szCs w:val="18"/>
          <w:color w:val="auto"/>
        </w:rPr>
        <w:t>Registration Rights Agreement, dated as of August 23, 2018, by and among Marriott Ownership Resorts, Inc., Marriott Vacations Worldwide Corporation, as guarantor, the other guarantors party thereto and Merrill Lynch, Pierce, Fenner &amp; Smith Incorporated</w:t>
      </w:r>
    </w:p>
    <w:p>
      <w:pPr>
        <w:spacing w:after="0" w:line="25" w:lineRule="exact"/>
        <w:rPr>
          <w:sz w:val="20"/>
          <w:szCs w:val="20"/>
          <w:color w:val="auto"/>
        </w:rPr>
      </w:pPr>
    </w:p>
    <w:p>
      <w:pPr>
        <w:ind w:right="840"/>
        <w:spacing w:after="0" w:line="259" w:lineRule="auto"/>
        <w:rPr>
          <w:sz w:val="20"/>
          <w:szCs w:val="20"/>
          <w:color w:val="auto"/>
        </w:rPr>
      </w:pPr>
      <w:r>
        <w:rPr>
          <w:rFonts w:ascii="Arial" w:cs="Arial" w:eastAsia="Arial" w:hAnsi="Arial"/>
          <w:sz w:val="18"/>
          <w:szCs w:val="18"/>
          <w:color w:val="auto"/>
        </w:rPr>
        <w:t>Joinder Agreement to Registration Rights Agreement, dated as of September 1, 2018, by and among ILG, LLC, the guarantors party thereto and Merrill Lynch, Pierce, Fenner &amp; Smith Incorporated as the representative of the initial purchasers</w:t>
      </w:r>
    </w:p>
    <w:p>
      <w:pPr>
        <w:spacing w:after="0" w:line="25" w:lineRule="exact"/>
        <w:rPr>
          <w:sz w:val="20"/>
          <w:szCs w:val="20"/>
          <w:color w:val="auto"/>
        </w:rPr>
      </w:pPr>
    </w:p>
    <w:p>
      <w:pPr>
        <w:ind w:right="780"/>
        <w:spacing w:after="0" w:line="259" w:lineRule="auto"/>
        <w:rPr>
          <w:sz w:val="20"/>
          <w:szCs w:val="20"/>
          <w:color w:val="auto"/>
        </w:rPr>
      </w:pPr>
      <w:r>
        <w:rPr>
          <w:rFonts w:ascii="Arial" w:cs="Arial" w:eastAsia="Arial" w:hAnsi="Arial"/>
          <w:sz w:val="18"/>
          <w:szCs w:val="18"/>
          <w:color w:val="auto"/>
        </w:rPr>
        <w:t>Indenture, dated as of October 1, 2019, by and among Marriott Ownership Resorts, Inc., Marriott Vacations Worldwide Corporation, as guarantor, the other guarantors party thereto and The Bank of New York Mellon Trust Company, N.A., as trustee</w:t>
      </w:r>
    </w:p>
    <w:p>
      <w:pPr>
        <w:spacing w:after="0" w:line="25" w:lineRule="exact"/>
        <w:rPr>
          <w:sz w:val="20"/>
          <w:szCs w:val="20"/>
          <w:color w:val="auto"/>
        </w:rPr>
      </w:pPr>
    </w:p>
    <w:p>
      <w:pPr>
        <w:jc w:val="both"/>
        <w:ind w:right="1140"/>
        <w:spacing w:after="0" w:line="263" w:lineRule="auto"/>
        <w:rPr>
          <w:sz w:val="20"/>
          <w:szCs w:val="20"/>
          <w:color w:val="auto"/>
        </w:rPr>
      </w:pPr>
      <w:r>
        <w:rPr>
          <w:rFonts w:ascii="Arial" w:cs="Arial" w:eastAsia="Arial" w:hAnsi="Arial"/>
          <w:sz w:val="18"/>
          <w:szCs w:val="18"/>
          <w:color w:val="auto"/>
        </w:rPr>
        <w:t>Supplemental Indenture, dated December 31, 2019, by and among Marriott Ownership Resorts, Inc., MVW Vacations, LLC and the Bank of New York Mellon Trust Company, N.A., as trustee</w:t>
      </w:r>
    </w:p>
    <w:p>
      <w:pPr>
        <w:spacing w:after="0" w:line="22" w:lineRule="exact"/>
        <w:rPr>
          <w:sz w:val="20"/>
          <w:szCs w:val="20"/>
          <w:color w:val="auto"/>
        </w:rPr>
      </w:pPr>
    </w:p>
    <w:p>
      <w:pPr>
        <w:ind w:right="820"/>
        <w:spacing w:after="0" w:line="263" w:lineRule="auto"/>
        <w:rPr>
          <w:sz w:val="20"/>
          <w:szCs w:val="20"/>
          <w:color w:val="auto"/>
        </w:rPr>
      </w:pPr>
      <w:r>
        <w:rPr>
          <w:rFonts w:ascii="Arial" w:cs="Arial" w:eastAsia="Arial" w:hAnsi="Arial"/>
          <w:sz w:val="18"/>
          <w:szCs w:val="18"/>
          <w:color w:val="auto"/>
        </w:rPr>
        <w:t>Second Supplemental Indenture, dated February 26, 2020, by and among Marriott Ownership Resorts, Inc., MVW Services Corporation, and the Bank of New York Mellow Trust Company, N.A., as trustee</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660" w:type="dxa"/>
            <w:vAlign w:val="bottom"/>
          </w:tcPr>
          <w:p>
            <w:pPr>
              <w:jc w:val="center"/>
              <w:ind w:right="210"/>
              <w:spacing w:after="0"/>
              <w:rPr>
                <w:sz w:val="20"/>
                <w:szCs w:val="20"/>
                <w:color w:val="auto"/>
              </w:rPr>
            </w:pPr>
            <w:r>
              <w:rPr>
                <w:rFonts w:ascii="Arial" w:cs="Arial" w:eastAsia="Arial" w:hAnsi="Arial"/>
                <w:sz w:val="18"/>
                <w:szCs w:val="18"/>
                <w:color w:val="auto"/>
                <w:w w:val="99"/>
              </w:rPr>
              <w:t>8-K</w:t>
            </w:r>
          </w:p>
        </w:tc>
        <w:tc>
          <w:tcPr>
            <w:tcW w:w="880" w:type="dxa"/>
            <w:vAlign w:val="bottom"/>
          </w:tcPr>
          <w:p>
            <w:pPr>
              <w:jc w:val="center"/>
              <w:spacing w:after="0"/>
              <w:rPr>
                <w:sz w:val="20"/>
                <w:szCs w:val="20"/>
                <w:color w:val="auto"/>
              </w:rPr>
            </w:pPr>
            <w:r>
              <w:rPr>
                <w:rFonts w:ascii="Arial" w:cs="Arial" w:eastAsia="Arial" w:hAnsi="Arial"/>
                <w:sz w:val="18"/>
                <w:szCs w:val="18"/>
                <w:color w:val="auto"/>
                <w:w w:val="95"/>
              </w:rPr>
              <w:t>2.1</w:t>
            </w:r>
          </w:p>
        </w:tc>
        <w:tc>
          <w:tcPr>
            <w:tcW w:w="1080" w:type="dxa"/>
            <w:vAlign w:val="bottom"/>
          </w:tcPr>
          <w:p>
            <w:pPr>
              <w:jc w:val="center"/>
              <w:ind w:left="190"/>
              <w:spacing w:after="0"/>
              <w:rPr>
                <w:sz w:val="20"/>
                <w:szCs w:val="20"/>
                <w:color w:val="auto"/>
              </w:rPr>
            </w:pPr>
            <w:r>
              <w:rPr>
                <w:rFonts w:ascii="Arial" w:cs="Arial" w:eastAsia="Arial" w:hAnsi="Arial"/>
                <w:sz w:val="18"/>
                <w:szCs w:val="18"/>
                <w:color w:val="auto"/>
                <w:w w:val="91"/>
              </w:rPr>
              <w:t>5/1/2018</w:t>
            </w:r>
          </w:p>
        </w:tc>
      </w:tr>
      <w:tr>
        <w:trPr>
          <w:trHeight w:val="756"/>
        </w:trPr>
        <w:tc>
          <w:tcPr>
            <w:tcW w:w="660" w:type="dxa"/>
            <w:vAlign w:val="bottom"/>
          </w:tcPr>
          <w:p>
            <w:pPr>
              <w:jc w:val="center"/>
              <w:ind w:right="210"/>
              <w:spacing w:after="0"/>
              <w:rPr>
                <w:sz w:val="20"/>
                <w:szCs w:val="20"/>
                <w:color w:val="auto"/>
              </w:rPr>
            </w:pPr>
            <w:r>
              <w:rPr>
                <w:rFonts w:ascii="Arial" w:cs="Arial" w:eastAsia="Arial" w:hAnsi="Arial"/>
                <w:sz w:val="18"/>
                <w:szCs w:val="18"/>
                <w:color w:val="auto"/>
                <w:w w:val="99"/>
              </w:rPr>
              <w:t>8-K</w:t>
            </w:r>
          </w:p>
        </w:tc>
        <w:tc>
          <w:tcPr>
            <w:tcW w:w="880" w:type="dxa"/>
            <w:vAlign w:val="bottom"/>
          </w:tcPr>
          <w:p>
            <w:pPr>
              <w:jc w:val="center"/>
              <w:spacing w:after="0"/>
              <w:rPr>
                <w:sz w:val="20"/>
                <w:szCs w:val="20"/>
                <w:color w:val="auto"/>
              </w:rPr>
            </w:pPr>
            <w:r>
              <w:rPr>
                <w:rFonts w:ascii="Arial" w:cs="Arial" w:eastAsia="Arial" w:hAnsi="Arial"/>
                <w:sz w:val="18"/>
                <w:szCs w:val="18"/>
                <w:color w:val="auto"/>
                <w:w w:val="95"/>
              </w:rPr>
              <w:t>3.1</w:t>
            </w:r>
          </w:p>
        </w:tc>
        <w:tc>
          <w:tcPr>
            <w:tcW w:w="1080" w:type="dxa"/>
            <w:vAlign w:val="bottom"/>
          </w:tcPr>
          <w:p>
            <w:pPr>
              <w:jc w:val="center"/>
              <w:ind w:left="190"/>
              <w:spacing w:after="0"/>
              <w:rPr>
                <w:sz w:val="20"/>
                <w:szCs w:val="20"/>
                <w:color w:val="auto"/>
              </w:rPr>
            </w:pPr>
            <w:r>
              <w:rPr>
                <w:rFonts w:ascii="Arial" w:cs="Arial" w:eastAsia="Arial" w:hAnsi="Arial"/>
                <w:sz w:val="18"/>
                <w:szCs w:val="18"/>
                <w:color w:val="auto"/>
                <w:w w:val="88"/>
              </w:rPr>
              <w:t>11/22/2011</w:t>
            </w:r>
          </w:p>
        </w:tc>
      </w:tr>
      <w:tr>
        <w:trPr>
          <w:trHeight w:val="486"/>
        </w:trPr>
        <w:tc>
          <w:tcPr>
            <w:tcW w:w="660" w:type="dxa"/>
            <w:vAlign w:val="bottom"/>
          </w:tcPr>
          <w:p>
            <w:pPr>
              <w:jc w:val="center"/>
              <w:ind w:right="210"/>
              <w:spacing w:after="0"/>
              <w:rPr>
                <w:sz w:val="20"/>
                <w:szCs w:val="20"/>
                <w:color w:val="auto"/>
              </w:rPr>
            </w:pPr>
            <w:r>
              <w:rPr>
                <w:rFonts w:ascii="Arial" w:cs="Arial" w:eastAsia="Arial" w:hAnsi="Arial"/>
                <w:sz w:val="18"/>
                <w:szCs w:val="18"/>
                <w:color w:val="auto"/>
                <w:w w:val="99"/>
              </w:rPr>
              <w:t>8-K</w:t>
            </w:r>
          </w:p>
        </w:tc>
        <w:tc>
          <w:tcPr>
            <w:tcW w:w="880" w:type="dxa"/>
            <w:vAlign w:val="bottom"/>
          </w:tcPr>
          <w:p>
            <w:pPr>
              <w:jc w:val="center"/>
              <w:spacing w:after="0"/>
              <w:rPr>
                <w:sz w:val="20"/>
                <w:szCs w:val="20"/>
                <w:color w:val="auto"/>
              </w:rPr>
            </w:pPr>
            <w:r>
              <w:rPr>
                <w:rFonts w:ascii="Arial" w:cs="Arial" w:eastAsia="Arial" w:hAnsi="Arial"/>
                <w:sz w:val="18"/>
                <w:szCs w:val="18"/>
                <w:color w:val="auto"/>
                <w:w w:val="95"/>
              </w:rPr>
              <w:t>3.2</w:t>
            </w:r>
          </w:p>
        </w:tc>
        <w:tc>
          <w:tcPr>
            <w:tcW w:w="1080" w:type="dxa"/>
            <w:vAlign w:val="bottom"/>
          </w:tcPr>
          <w:p>
            <w:pPr>
              <w:jc w:val="center"/>
              <w:ind w:left="190"/>
              <w:spacing w:after="0"/>
              <w:rPr>
                <w:sz w:val="20"/>
                <w:szCs w:val="20"/>
                <w:color w:val="auto"/>
              </w:rPr>
            </w:pPr>
            <w:r>
              <w:rPr>
                <w:rFonts w:ascii="Arial" w:cs="Arial" w:eastAsia="Arial" w:hAnsi="Arial"/>
                <w:sz w:val="18"/>
                <w:szCs w:val="18"/>
                <w:color w:val="auto"/>
                <w:w w:val="88"/>
              </w:rPr>
              <w:t>11/22/2011</w:t>
            </w:r>
          </w:p>
        </w:tc>
      </w:tr>
      <w:tr>
        <w:trPr>
          <w:trHeight w:val="486"/>
        </w:trPr>
        <w:tc>
          <w:tcPr>
            <w:tcW w:w="660" w:type="dxa"/>
            <w:vAlign w:val="bottom"/>
          </w:tcPr>
          <w:p>
            <w:pPr>
              <w:jc w:val="center"/>
              <w:ind w:right="190"/>
              <w:spacing w:after="0"/>
              <w:rPr>
                <w:sz w:val="20"/>
                <w:szCs w:val="20"/>
                <w:color w:val="auto"/>
              </w:rPr>
            </w:pPr>
            <w:r>
              <w:rPr>
                <w:rFonts w:ascii="Arial" w:cs="Arial" w:eastAsia="Arial" w:hAnsi="Arial"/>
                <w:sz w:val="18"/>
                <w:szCs w:val="18"/>
                <w:color w:val="auto"/>
                <w:w w:val="89"/>
              </w:rPr>
              <w:t>10</w:t>
            </w:r>
          </w:p>
        </w:tc>
        <w:tc>
          <w:tcPr>
            <w:tcW w:w="880" w:type="dxa"/>
            <w:vAlign w:val="bottom"/>
          </w:tcPr>
          <w:p>
            <w:pPr>
              <w:jc w:val="center"/>
              <w:spacing w:after="0"/>
              <w:rPr>
                <w:sz w:val="20"/>
                <w:szCs w:val="20"/>
                <w:color w:val="auto"/>
              </w:rPr>
            </w:pPr>
            <w:r>
              <w:rPr>
                <w:rFonts w:ascii="Arial" w:cs="Arial" w:eastAsia="Arial" w:hAnsi="Arial"/>
                <w:sz w:val="18"/>
                <w:szCs w:val="18"/>
                <w:color w:val="auto"/>
                <w:w w:val="95"/>
              </w:rPr>
              <w:t>4.1</w:t>
            </w:r>
          </w:p>
        </w:tc>
        <w:tc>
          <w:tcPr>
            <w:tcW w:w="1080" w:type="dxa"/>
            <w:vAlign w:val="bottom"/>
          </w:tcPr>
          <w:p>
            <w:pPr>
              <w:jc w:val="center"/>
              <w:ind w:left="190"/>
              <w:spacing w:after="0"/>
              <w:rPr>
                <w:sz w:val="20"/>
                <w:szCs w:val="20"/>
                <w:color w:val="auto"/>
              </w:rPr>
            </w:pPr>
            <w:r>
              <w:rPr>
                <w:rFonts w:ascii="Arial" w:cs="Arial" w:eastAsia="Arial" w:hAnsi="Arial"/>
                <w:sz w:val="18"/>
                <w:szCs w:val="18"/>
                <w:color w:val="auto"/>
                <w:w w:val="88"/>
              </w:rPr>
              <w:t>10/14/2011</w:t>
            </w:r>
          </w:p>
        </w:tc>
      </w:tr>
      <w:tr>
        <w:trPr>
          <w:trHeight w:val="594"/>
        </w:trPr>
        <w:tc>
          <w:tcPr>
            <w:tcW w:w="660" w:type="dxa"/>
            <w:vAlign w:val="bottom"/>
          </w:tcPr>
          <w:p>
            <w:pPr>
              <w:jc w:val="center"/>
              <w:ind w:right="210"/>
              <w:spacing w:after="0"/>
              <w:rPr>
                <w:sz w:val="20"/>
                <w:szCs w:val="20"/>
                <w:color w:val="auto"/>
              </w:rPr>
            </w:pPr>
            <w:r>
              <w:rPr>
                <w:rFonts w:ascii="Arial" w:cs="Arial" w:eastAsia="Arial" w:hAnsi="Arial"/>
                <w:sz w:val="18"/>
                <w:szCs w:val="18"/>
                <w:color w:val="auto"/>
                <w:w w:val="89"/>
              </w:rPr>
              <w:t>10-Q</w:t>
            </w:r>
          </w:p>
        </w:tc>
        <w:tc>
          <w:tcPr>
            <w:tcW w:w="880" w:type="dxa"/>
            <w:vAlign w:val="bottom"/>
          </w:tcPr>
          <w:p>
            <w:pPr>
              <w:jc w:val="center"/>
              <w:spacing w:after="0"/>
              <w:rPr>
                <w:sz w:val="20"/>
                <w:szCs w:val="20"/>
                <w:color w:val="auto"/>
              </w:rPr>
            </w:pPr>
            <w:r>
              <w:rPr>
                <w:rFonts w:ascii="Arial" w:cs="Arial" w:eastAsia="Arial" w:hAnsi="Arial"/>
                <w:sz w:val="18"/>
                <w:szCs w:val="18"/>
                <w:color w:val="auto"/>
                <w:w w:val="95"/>
              </w:rPr>
              <w:t>4.1</w:t>
            </w:r>
          </w:p>
        </w:tc>
        <w:tc>
          <w:tcPr>
            <w:tcW w:w="1080" w:type="dxa"/>
            <w:vAlign w:val="bottom"/>
          </w:tcPr>
          <w:p>
            <w:pPr>
              <w:jc w:val="center"/>
              <w:ind w:left="190"/>
              <w:spacing w:after="0"/>
              <w:rPr>
                <w:sz w:val="20"/>
                <w:szCs w:val="20"/>
                <w:color w:val="auto"/>
              </w:rPr>
            </w:pPr>
            <w:r>
              <w:rPr>
                <w:rFonts w:ascii="Arial" w:cs="Arial" w:eastAsia="Arial" w:hAnsi="Arial"/>
                <w:sz w:val="18"/>
                <w:szCs w:val="18"/>
                <w:color w:val="auto"/>
                <w:w w:val="89"/>
              </w:rPr>
              <w:t>11/2/2017</w:t>
            </w:r>
          </w:p>
        </w:tc>
      </w:tr>
      <w:tr>
        <w:trPr>
          <w:trHeight w:val="594"/>
        </w:trPr>
        <w:tc>
          <w:tcPr>
            <w:tcW w:w="660" w:type="dxa"/>
            <w:vAlign w:val="bottom"/>
          </w:tcPr>
          <w:p>
            <w:pPr>
              <w:jc w:val="center"/>
              <w:ind w:right="210"/>
              <w:spacing w:after="0"/>
              <w:rPr>
                <w:sz w:val="20"/>
                <w:szCs w:val="20"/>
                <w:color w:val="auto"/>
              </w:rPr>
            </w:pPr>
            <w:r>
              <w:rPr>
                <w:rFonts w:ascii="Arial" w:cs="Arial" w:eastAsia="Arial" w:hAnsi="Arial"/>
                <w:sz w:val="18"/>
                <w:szCs w:val="18"/>
                <w:color w:val="auto"/>
                <w:w w:val="89"/>
              </w:rPr>
              <w:t>10-Q</w:t>
            </w:r>
          </w:p>
        </w:tc>
        <w:tc>
          <w:tcPr>
            <w:tcW w:w="880" w:type="dxa"/>
            <w:vAlign w:val="bottom"/>
          </w:tcPr>
          <w:p>
            <w:pPr>
              <w:jc w:val="center"/>
              <w:spacing w:after="0"/>
              <w:rPr>
                <w:sz w:val="20"/>
                <w:szCs w:val="20"/>
                <w:color w:val="auto"/>
              </w:rPr>
            </w:pPr>
            <w:r>
              <w:rPr>
                <w:rFonts w:ascii="Arial" w:cs="Arial" w:eastAsia="Arial" w:hAnsi="Arial"/>
                <w:sz w:val="18"/>
                <w:szCs w:val="18"/>
                <w:color w:val="auto"/>
                <w:w w:val="95"/>
              </w:rPr>
              <w:t>4.1</w:t>
            </w:r>
          </w:p>
        </w:tc>
        <w:tc>
          <w:tcPr>
            <w:tcW w:w="1080" w:type="dxa"/>
            <w:vAlign w:val="bottom"/>
          </w:tcPr>
          <w:p>
            <w:pPr>
              <w:jc w:val="center"/>
              <w:ind w:left="190"/>
              <w:spacing w:after="0"/>
              <w:rPr>
                <w:sz w:val="20"/>
                <w:szCs w:val="20"/>
                <w:color w:val="auto"/>
              </w:rPr>
            </w:pPr>
            <w:r>
              <w:rPr>
                <w:rFonts w:ascii="Arial" w:cs="Arial" w:eastAsia="Arial" w:hAnsi="Arial"/>
                <w:sz w:val="18"/>
                <w:szCs w:val="18"/>
                <w:color w:val="auto"/>
                <w:w w:val="89"/>
              </w:rPr>
              <w:t>11/2/2017</w:t>
            </w:r>
          </w:p>
        </w:tc>
      </w:tr>
      <w:tr>
        <w:trPr>
          <w:trHeight w:val="810"/>
        </w:trPr>
        <w:tc>
          <w:tcPr>
            <w:tcW w:w="660" w:type="dxa"/>
            <w:vAlign w:val="bottom"/>
          </w:tcPr>
          <w:p>
            <w:pPr>
              <w:jc w:val="center"/>
              <w:ind w:right="210"/>
              <w:spacing w:after="0"/>
              <w:rPr>
                <w:sz w:val="20"/>
                <w:szCs w:val="20"/>
                <w:color w:val="auto"/>
              </w:rPr>
            </w:pPr>
            <w:r>
              <w:rPr>
                <w:rFonts w:ascii="Arial" w:cs="Arial" w:eastAsia="Arial" w:hAnsi="Arial"/>
                <w:sz w:val="18"/>
                <w:szCs w:val="18"/>
                <w:color w:val="auto"/>
                <w:w w:val="99"/>
              </w:rPr>
              <w:t>8-K</w:t>
            </w:r>
          </w:p>
        </w:tc>
        <w:tc>
          <w:tcPr>
            <w:tcW w:w="880" w:type="dxa"/>
            <w:vAlign w:val="bottom"/>
          </w:tcPr>
          <w:p>
            <w:pPr>
              <w:jc w:val="center"/>
              <w:spacing w:after="0"/>
              <w:rPr>
                <w:sz w:val="20"/>
                <w:szCs w:val="20"/>
                <w:color w:val="auto"/>
              </w:rPr>
            </w:pPr>
            <w:r>
              <w:rPr>
                <w:rFonts w:ascii="Arial" w:cs="Arial" w:eastAsia="Arial" w:hAnsi="Arial"/>
                <w:sz w:val="18"/>
                <w:szCs w:val="18"/>
                <w:color w:val="auto"/>
                <w:w w:val="95"/>
              </w:rPr>
              <w:t>4.1</w:t>
            </w:r>
          </w:p>
        </w:tc>
        <w:tc>
          <w:tcPr>
            <w:tcW w:w="1080" w:type="dxa"/>
            <w:vAlign w:val="bottom"/>
          </w:tcPr>
          <w:p>
            <w:pPr>
              <w:jc w:val="center"/>
              <w:ind w:left="190"/>
              <w:spacing w:after="0"/>
              <w:rPr>
                <w:sz w:val="20"/>
                <w:szCs w:val="20"/>
                <w:color w:val="auto"/>
              </w:rPr>
            </w:pPr>
            <w:r>
              <w:rPr>
                <w:rFonts w:ascii="Arial" w:cs="Arial" w:eastAsia="Arial" w:hAnsi="Arial"/>
                <w:sz w:val="18"/>
                <w:szCs w:val="18"/>
                <w:color w:val="auto"/>
                <w:w w:val="89"/>
              </w:rPr>
              <w:t>8/23/2018</w:t>
            </w:r>
          </w:p>
        </w:tc>
      </w:tr>
      <w:tr>
        <w:trPr>
          <w:trHeight w:val="918"/>
        </w:trPr>
        <w:tc>
          <w:tcPr>
            <w:tcW w:w="660" w:type="dxa"/>
            <w:vAlign w:val="bottom"/>
          </w:tcPr>
          <w:p>
            <w:pPr>
              <w:jc w:val="center"/>
              <w:ind w:right="210"/>
              <w:spacing w:after="0"/>
              <w:rPr>
                <w:sz w:val="20"/>
                <w:szCs w:val="20"/>
                <w:color w:val="auto"/>
              </w:rPr>
            </w:pPr>
            <w:r>
              <w:rPr>
                <w:rFonts w:ascii="Arial" w:cs="Arial" w:eastAsia="Arial" w:hAnsi="Arial"/>
                <w:sz w:val="18"/>
                <w:szCs w:val="18"/>
                <w:color w:val="auto"/>
                <w:w w:val="99"/>
              </w:rPr>
              <w:t>8-K</w:t>
            </w:r>
          </w:p>
        </w:tc>
        <w:tc>
          <w:tcPr>
            <w:tcW w:w="880" w:type="dxa"/>
            <w:vAlign w:val="bottom"/>
          </w:tcPr>
          <w:p>
            <w:pPr>
              <w:jc w:val="center"/>
              <w:spacing w:after="0"/>
              <w:rPr>
                <w:sz w:val="20"/>
                <w:szCs w:val="20"/>
                <w:color w:val="auto"/>
              </w:rPr>
            </w:pPr>
            <w:r>
              <w:rPr>
                <w:rFonts w:ascii="Arial" w:cs="Arial" w:eastAsia="Arial" w:hAnsi="Arial"/>
                <w:sz w:val="18"/>
                <w:szCs w:val="18"/>
                <w:color w:val="auto"/>
                <w:w w:val="95"/>
              </w:rPr>
              <w:t>4.7</w:t>
            </w:r>
          </w:p>
        </w:tc>
        <w:tc>
          <w:tcPr>
            <w:tcW w:w="1080" w:type="dxa"/>
            <w:vAlign w:val="bottom"/>
          </w:tcPr>
          <w:p>
            <w:pPr>
              <w:jc w:val="center"/>
              <w:ind w:left="190"/>
              <w:spacing w:after="0"/>
              <w:rPr>
                <w:sz w:val="20"/>
                <w:szCs w:val="20"/>
                <w:color w:val="auto"/>
              </w:rPr>
            </w:pPr>
            <w:r>
              <w:rPr>
                <w:rFonts w:ascii="Arial" w:cs="Arial" w:eastAsia="Arial" w:hAnsi="Arial"/>
                <w:sz w:val="18"/>
                <w:szCs w:val="18"/>
                <w:color w:val="auto"/>
                <w:w w:val="91"/>
              </w:rPr>
              <w:t>9/5/2018</w:t>
            </w:r>
          </w:p>
        </w:tc>
      </w:tr>
      <w:tr>
        <w:trPr>
          <w:trHeight w:val="756"/>
        </w:trPr>
        <w:tc>
          <w:tcPr>
            <w:tcW w:w="660" w:type="dxa"/>
            <w:vAlign w:val="bottom"/>
          </w:tcPr>
          <w:p>
            <w:pPr>
              <w:jc w:val="center"/>
              <w:ind w:right="210"/>
              <w:spacing w:after="0"/>
              <w:rPr>
                <w:sz w:val="20"/>
                <w:szCs w:val="20"/>
                <w:color w:val="auto"/>
              </w:rPr>
            </w:pPr>
            <w:r>
              <w:rPr>
                <w:rFonts w:ascii="Arial" w:cs="Arial" w:eastAsia="Arial" w:hAnsi="Arial"/>
                <w:sz w:val="18"/>
                <w:szCs w:val="18"/>
                <w:color w:val="auto"/>
                <w:w w:val="94"/>
              </w:rPr>
              <w:t>10-K</w:t>
            </w:r>
          </w:p>
        </w:tc>
        <w:tc>
          <w:tcPr>
            <w:tcW w:w="880" w:type="dxa"/>
            <w:vAlign w:val="bottom"/>
          </w:tcPr>
          <w:p>
            <w:pPr>
              <w:jc w:val="center"/>
              <w:spacing w:after="0"/>
              <w:rPr>
                <w:sz w:val="20"/>
                <w:szCs w:val="20"/>
                <w:color w:val="auto"/>
              </w:rPr>
            </w:pPr>
            <w:r>
              <w:rPr>
                <w:rFonts w:ascii="Arial" w:cs="Arial" w:eastAsia="Arial" w:hAnsi="Arial"/>
                <w:sz w:val="18"/>
                <w:szCs w:val="18"/>
                <w:color w:val="auto"/>
                <w:w w:val="95"/>
              </w:rPr>
              <w:t>4.6</w:t>
            </w:r>
          </w:p>
        </w:tc>
        <w:tc>
          <w:tcPr>
            <w:tcW w:w="1080" w:type="dxa"/>
            <w:vAlign w:val="bottom"/>
          </w:tcPr>
          <w:p>
            <w:pPr>
              <w:jc w:val="center"/>
              <w:ind w:left="190"/>
              <w:spacing w:after="0"/>
              <w:rPr>
                <w:sz w:val="20"/>
                <w:szCs w:val="20"/>
                <w:color w:val="auto"/>
              </w:rPr>
            </w:pPr>
            <w:r>
              <w:rPr>
                <w:rFonts w:ascii="Arial" w:cs="Arial" w:eastAsia="Arial" w:hAnsi="Arial"/>
                <w:sz w:val="18"/>
                <w:szCs w:val="18"/>
                <w:color w:val="auto"/>
                <w:w w:val="91"/>
              </w:rPr>
              <w:t>3/2/2020</w:t>
            </w:r>
          </w:p>
        </w:tc>
      </w:tr>
      <w:tr>
        <w:trPr>
          <w:trHeight w:val="702"/>
        </w:trPr>
        <w:tc>
          <w:tcPr>
            <w:tcW w:w="660" w:type="dxa"/>
            <w:vAlign w:val="bottom"/>
          </w:tcPr>
          <w:p>
            <w:pPr>
              <w:jc w:val="center"/>
              <w:ind w:right="210"/>
              <w:spacing w:after="0"/>
              <w:rPr>
                <w:sz w:val="20"/>
                <w:szCs w:val="20"/>
                <w:color w:val="auto"/>
              </w:rPr>
            </w:pPr>
            <w:r>
              <w:rPr>
                <w:rFonts w:ascii="Arial" w:cs="Arial" w:eastAsia="Arial" w:hAnsi="Arial"/>
                <w:sz w:val="18"/>
                <w:szCs w:val="18"/>
                <w:color w:val="auto"/>
                <w:w w:val="94"/>
              </w:rPr>
              <w:t>10-K</w:t>
            </w:r>
          </w:p>
        </w:tc>
        <w:tc>
          <w:tcPr>
            <w:tcW w:w="880" w:type="dxa"/>
            <w:vAlign w:val="bottom"/>
          </w:tcPr>
          <w:p>
            <w:pPr>
              <w:jc w:val="center"/>
              <w:spacing w:after="0"/>
              <w:rPr>
                <w:sz w:val="20"/>
                <w:szCs w:val="20"/>
                <w:color w:val="auto"/>
              </w:rPr>
            </w:pPr>
            <w:r>
              <w:rPr>
                <w:rFonts w:ascii="Arial" w:cs="Arial" w:eastAsia="Arial" w:hAnsi="Arial"/>
                <w:sz w:val="18"/>
                <w:szCs w:val="18"/>
                <w:color w:val="auto"/>
                <w:w w:val="95"/>
              </w:rPr>
              <w:t>4.7</w:t>
            </w:r>
          </w:p>
        </w:tc>
        <w:tc>
          <w:tcPr>
            <w:tcW w:w="1080" w:type="dxa"/>
            <w:vAlign w:val="bottom"/>
          </w:tcPr>
          <w:p>
            <w:pPr>
              <w:jc w:val="center"/>
              <w:ind w:left="190"/>
              <w:spacing w:after="0"/>
              <w:rPr>
                <w:sz w:val="20"/>
                <w:szCs w:val="20"/>
                <w:color w:val="auto"/>
              </w:rPr>
            </w:pPr>
            <w:r>
              <w:rPr>
                <w:rFonts w:ascii="Arial" w:cs="Arial" w:eastAsia="Arial" w:hAnsi="Arial"/>
                <w:sz w:val="18"/>
                <w:szCs w:val="18"/>
                <w:color w:val="auto"/>
                <w:w w:val="91"/>
              </w:rPr>
              <w:t>3/2/2020</w:t>
            </w:r>
          </w:p>
        </w:tc>
      </w:tr>
      <w:tr>
        <w:trPr>
          <w:trHeight w:val="594"/>
        </w:trPr>
        <w:tc>
          <w:tcPr>
            <w:tcW w:w="660" w:type="dxa"/>
            <w:vAlign w:val="bottom"/>
          </w:tcPr>
          <w:p>
            <w:pPr>
              <w:jc w:val="center"/>
              <w:ind w:right="210"/>
              <w:spacing w:after="0"/>
              <w:rPr>
                <w:sz w:val="20"/>
                <w:szCs w:val="20"/>
                <w:color w:val="auto"/>
              </w:rPr>
            </w:pPr>
            <w:r>
              <w:rPr>
                <w:rFonts w:ascii="Arial" w:cs="Arial" w:eastAsia="Arial" w:hAnsi="Arial"/>
                <w:sz w:val="18"/>
                <w:szCs w:val="18"/>
                <w:color w:val="auto"/>
                <w:w w:val="99"/>
              </w:rPr>
              <w:t>8-K</w:t>
            </w:r>
          </w:p>
        </w:tc>
        <w:tc>
          <w:tcPr>
            <w:tcW w:w="880" w:type="dxa"/>
            <w:vAlign w:val="bottom"/>
          </w:tcPr>
          <w:p>
            <w:pPr>
              <w:jc w:val="center"/>
              <w:spacing w:after="0"/>
              <w:rPr>
                <w:sz w:val="20"/>
                <w:szCs w:val="20"/>
                <w:color w:val="auto"/>
              </w:rPr>
            </w:pPr>
            <w:r>
              <w:rPr>
                <w:rFonts w:ascii="Arial" w:cs="Arial" w:eastAsia="Arial" w:hAnsi="Arial"/>
                <w:sz w:val="18"/>
                <w:szCs w:val="18"/>
                <w:color w:val="auto"/>
                <w:w w:val="95"/>
              </w:rPr>
              <w:t>4.1</w:t>
            </w:r>
          </w:p>
        </w:tc>
        <w:tc>
          <w:tcPr>
            <w:tcW w:w="1080" w:type="dxa"/>
            <w:vAlign w:val="bottom"/>
          </w:tcPr>
          <w:p>
            <w:pPr>
              <w:jc w:val="center"/>
              <w:ind w:left="190"/>
              <w:spacing w:after="0"/>
              <w:rPr>
                <w:sz w:val="20"/>
                <w:szCs w:val="20"/>
                <w:color w:val="auto"/>
              </w:rPr>
            </w:pPr>
            <w:r>
              <w:rPr>
                <w:rFonts w:ascii="Arial" w:cs="Arial" w:eastAsia="Arial" w:hAnsi="Arial"/>
                <w:sz w:val="18"/>
                <w:szCs w:val="18"/>
                <w:color w:val="auto"/>
                <w:w w:val="89"/>
              </w:rPr>
              <w:t>8/23/2018</w:t>
            </w:r>
          </w:p>
        </w:tc>
      </w:tr>
      <w:tr>
        <w:trPr>
          <w:trHeight w:val="702"/>
        </w:trPr>
        <w:tc>
          <w:tcPr>
            <w:tcW w:w="660" w:type="dxa"/>
            <w:vAlign w:val="bottom"/>
          </w:tcPr>
          <w:p>
            <w:pPr>
              <w:jc w:val="center"/>
              <w:ind w:right="210"/>
              <w:spacing w:after="0"/>
              <w:rPr>
                <w:sz w:val="20"/>
                <w:szCs w:val="20"/>
                <w:color w:val="auto"/>
              </w:rPr>
            </w:pPr>
            <w:r>
              <w:rPr>
                <w:rFonts w:ascii="Arial" w:cs="Arial" w:eastAsia="Arial" w:hAnsi="Arial"/>
                <w:sz w:val="18"/>
                <w:szCs w:val="18"/>
                <w:color w:val="auto"/>
                <w:w w:val="99"/>
              </w:rPr>
              <w:t>8-K</w:t>
            </w:r>
          </w:p>
        </w:tc>
        <w:tc>
          <w:tcPr>
            <w:tcW w:w="880" w:type="dxa"/>
            <w:vAlign w:val="bottom"/>
          </w:tcPr>
          <w:p>
            <w:pPr>
              <w:jc w:val="center"/>
              <w:spacing w:after="0"/>
              <w:rPr>
                <w:sz w:val="20"/>
                <w:szCs w:val="20"/>
                <w:color w:val="auto"/>
              </w:rPr>
            </w:pPr>
            <w:r>
              <w:rPr>
                <w:rFonts w:ascii="Arial" w:cs="Arial" w:eastAsia="Arial" w:hAnsi="Arial"/>
                <w:sz w:val="18"/>
                <w:szCs w:val="18"/>
                <w:color w:val="auto"/>
                <w:w w:val="95"/>
              </w:rPr>
              <w:t>4.3</w:t>
            </w:r>
          </w:p>
        </w:tc>
        <w:tc>
          <w:tcPr>
            <w:tcW w:w="1080" w:type="dxa"/>
            <w:vAlign w:val="bottom"/>
          </w:tcPr>
          <w:p>
            <w:pPr>
              <w:jc w:val="center"/>
              <w:ind w:left="190"/>
              <w:spacing w:after="0"/>
              <w:rPr>
                <w:sz w:val="20"/>
                <w:szCs w:val="20"/>
                <w:color w:val="auto"/>
              </w:rPr>
            </w:pPr>
            <w:r>
              <w:rPr>
                <w:rFonts w:ascii="Arial" w:cs="Arial" w:eastAsia="Arial" w:hAnsi="Arial"/>
                <w:sz w:val="18"/>
                <w:szCs w:val="18"/>
                <w:color w:val="auto"/>
                <w:w w:val="89"/>
              </w:rPr>
              <w:t>8/23/2018</w:t>
            </w:r>
          </w:p>
        </w:tc>
      </w:tr>
      <w:tr>
        <w:trPr>
          <w:trHeight w:val="918"/>
        </w:trPr>
        <w:tc>
          <w:tcPr>
            <w:tcW w:w="660" w:type="dxa"/>
            <w:vAlign w:val="bottom"/>
          </w:tcPr>
          <w:p>
            <w:pPr>
              <w:jc w:val="center"/>
              <w:ind w:right="210"/>
              <w:spacing w:after="0"/>
              <w:rPr>
                <w:sz w:val="20"/>
                <w:szCs w:val="20"/>
                <w:color w:val="auto"/>
              </w:rPr>
            </w:pPr>
            <w:r>
              <w:rPr>
                <w:rFonts w:ascii="Arial" w:cs="Arial" w:eastAsia="Arial" w:hAnsi="Arial"/>
                <w:sz w:val="18"/>
                <w:szCs w:val="18"/>
                <w:color w:val="auto"/>
                <w:w w:val="99"/>
              </w:rPr>
              <w:t>8-K</w:t>
            </w:r>
          </w:p>
        </w:tc>
        <w:tc>
          <w:tcPr>
            <w:tcW w:w="880" w:type="dxa"/>
            <w:vAlign w:val="bottom"/>
          </w:tcPr>
          <w:p>
            <w:pPr>
              <w:jc w:val="center"/>
              <w:spacing w:after="0"/>
              <w:rPr>
                <w:sz w:val="20"/>
                <w:szCs w:val="20"/>
                <w:color w:val="auto"/>
              </w:rPr>
            </w:pPr>
            <w:r>
              <w:rPr>
                <w:rFonts w:ascii="Arial" w:cs="Arial" w:eastAsia="Arial" w:hAnsi="Arial"/>
                <w:sz w:val="18"/>
                <w:szCs w:val="18"/>
                <w:color w:val="auto"/>
                <w:w w:val="95"/>
              </w:rPr>
              <w:t>4.8</w:t>
            </w:r>
          </w:p>
        </w:tc>
        <w:tc>
          <w:tcPr>
            <w:tcW w:w="1080" w:type="dxa"/>
            <w:vAlign w:val="bottom"/>
          </w:tcPr>
          <w:p>
            <w:pPr>
              <w:jc w:val="center"/>
              <w:ind w:left="190"/>
              <w:spacing w:after="0"/>
              <w:rPr>
                <w:sz w:val="20"/>
                <w:szCs w:val="20"/>
                <w:color w:val="auto"/>
              </w:rPr>
            </w:pPr>
            <w:r>
              <w:rPr>
                <w:rFonts w:ascii="Arial" w:cs="Arial" w:eastAsia="Arial" w:hAnsi="Arial"/>
                <w:sz w:val="18"/>
                <w:szCs w:val="18"/>
                <w:color w:val="auto"/>
                <w:w w:val="91"/>
              </w:rPr>
              <w:t>9/5/2018</w:t>
            </w:r>
          </w:p>
        </w:tc>
      </w:tr>
      <w:tr>
        <w:trPr>
          <w:trHeight w:val="918"/>
        </w:trPr>
        <w:tc>
          <w:tcPr>
            <w:tcW w:w="660" w:type="dxa"/>
            <w:vAlign w:val="bottom"/>
          </w:tcPr>
          <w:p>
            <w:pPr>
              <w:jc w:val="center"/>
              <w:ind w:right="210"/>
              <w:spacing w:after="0"/>
              <w:rPr>
                <w:sz w:val="20"/>
                <w:szCs w:val="20"/>
                <w:color w:val="auto"/>
              </w:rPr>
            </w:pPr>
            <w:r>
              <w:rPr>
                <w:rFonts w:ascii="Arial" w:cs="Arial" w:eastAsia="Arial" w:hAnsi="Arial"/>
                <w:sz w:val="18"/>
                <w:szCs w:val="18"/>
                <w:color w:val="auto"/>
                <w:w w:val="99"/>
              </w:rPr>
              <w:t>8-K</w:t>
            </w:r>
          </w:p>
        </w:tc>
        <w:tc>
          <w:tcPr>
            <w:tcW w:w="880" w:type="dxa"/>
            <w:vAlign w:val="bottom"/>
          </w:tcPr>
          <w:p>
            <w:pPr>
              <w:jc w:val="center"/>
              <w:spacing w:after="0"/>
              <w:rPr>
                <w:sz w:val="20"/>
                <w:szCs w:val="20"/>
                <w:color w:val="auto"/>
              </w:rPr>
            </w:pPr>
            <w:r>
              <w:rPr>
                <w:rFonts w:ascii="Arial" w:cs="Arial" w:eastAsia="Arial" w:hAnsi="Arial"/>
                <w:sz w:val="18"/>
                <w:szCs w:val="18"/>
                <w:color w:val="auto"/>
                <w:w w:val="95"/>
              </w:rPr>
              <w:t>4.1</w:t>
            </w:r>
          </w:p>
        </w:tc>
        <w:tc>
          <w:tcPr>
            <w:tcW w:w="1080" w:type="dxa"/>
            <w:vAlign w:val="bottom"/>
          </w:tcPr>
          <w:p>
            <w:pPr>
              <w:jc w:val="center"/>
              <w:ind w:left="190"/>
              <w:spacing w:after="0"/>
              <w:rPr>
                <w:sz w:val="20"/>
                <w:szCs w:val="20"/>
                <w:color w:val="auto"/>
              </w:rPr>
            </w:pPr>
            <w:r>
              <w:rPr>
                <w:rFonts w:ascii="Arial" w:cs="Arial" w:eastAsia="Arial" w:hAnsi="Arial"/>
                <w:sz w:val="18"/>
                <w:szCs w:val="18"/>
                <w:color w:val="auto"/>
                <w:w w:val="89"/>
              </w:rPr>
              <w:t>10/1/2019</w:t>
            </w:r>
          </w:p>
        </w:tc>
      </w:tr>
      <w:tr>
        <w:trPr>
          <w:trHeight w:val="810"/>
        </w:trPr>
        <w:tc>
          <w:tcPr>
            <w:tcW w:w="660" w:type="dxa"/>
            <w:vAlign w:val="bottom"/>
          </w:tcPr>
          <w:p>
            <w:pPr>
              <w:jc w:val="center"/>
              <w:ind w:right="210"/>
              <w:spacing w:after="0"/>
              <w:rPr>
                <w:sz w:val="20"/>
                <w:szCs w:val="20"/>
                <w:color w:val="auto"/>
              </w:rPr>
            </w:pPr>
            <w:r>
              <w:rPr>
                <w:rFonts w:ascii="Arial" w:cs="Arial" w:eastAsia="Arial" w:hAnsi="Arial"/>
                <w:sz w:val="18"/>
                <w:szCs w:val="18"/>
                <w:color w:val="auto"/>
                <w:w w:val="94"/>
              </w:rPr>
              <w:t>10-K</w:t>
            </w:r>
          </w:p>
        </w:tc>
        <w:tc>
          <w:tcPr>
            <w:tcW w:w="880" w:type="dxa"/>
            <w:vAlign w:val="bottom"/>
          </w:tcPr>
          <w:p>
            <w:pPr>
              <w:jc w:val="center"/>
              <w:spacing w:after="0"/>
              <w:rPr>
                <w:sz w:val="20"/>
                <w:szCs w:val="20"/>
                <w:color w:val="auto"/>
              </w:rPr>
            </w:pPr>
            <w:r>
              <w:rPr>
                <w:rFonts w:ascii="Arial" w:cs="Arial" w:eastAsia="Arial" w:hAnsi="Arial"/>
                <w:sz w:val="18"/>
                <w:szCs w:val="18"/>
                <w:color w:val="auto"/>
                <w:w w:val="91"/>
              </w:rPr>
              <w:t>4.12</w:t>
            </w:r>
          </w:p>
        </w:tc>
        <w:tc>
          <w:tcPr>
            <w:tcW w:w="1080" w:type="dxa"/>
            <w:vAlign w:val="bottom"/>
          </w:tcPr>
          <w:p>
            <w:pPr>
              <w:jc w:val="center"/>
              <w:ind w:left="190"/>
              <w:spacing w:after="0"/>
              <w:rPr>
                <w:sz w:val="20"/>
                <w:szCs w:val="20"/>
                <w:color w:val="auto"/>
              </w:rPr>
            </w:pPr>
            <w:r>
              <w:rPr>
                <w:rFonts w:ascii="Arial" w:cs="Arial" w:eastAsia="Arial" w:hAnsi="Arial"/>
                <w:sz w:val="18"/>
                <w:szCs w:val="18"/>
                <w:color w:val="auto"/>
                <w:w w:val="91"/>
              </w:rPr>
              <w:t>3/2/2020</w:t>
            </w:r>
          </w:p>
        </w:tc>
      </w:tr>
      <w:tr>
        <w:trPr>
          <w:trHeight w:val="702"/>
        </w:trPr>
        <w:tc>
          <w:tcPr>
            <w:tcW w:w="660" w:type="dxa"/>
            <w:vAlign w:val="bottom"/>
          </w:tcPr>
          <w:p>
            <w:pPr>
              <w:jc w:val="center"/>
              <w:ind w:right="210"/>
              <w:spacing w:after="0"/>
              <w:rPr>
                <w:sz w:val="20"/>
                <w:szCs w:val="20"/>
                <w:color w:val="auto"/>
              </w:rPr>
            </w:pPr>
            <w:r>
              <w:rPr>
                <w:rFonts w:ascii="Arial" w:cs="Arial" w:eastAsia="Arial" w:hAnsi="Arial"/>
                <w:sz w:val="18"/>
                <w:szCs w:val="18"/>
                <w:color w:val="auto"/>
                <w:w w:val="94"/>
              </w:rPr>
              <w:t>10-K</w:t>
            </w:r>
          </w:p>
        </w:tc>
        <w:tc>
          <w:tcPr>
            <w:tcW w:w="880" w:type="dxa"/>
            <w:vAlign w:val="bottom"/>
          </w:tcPr>
          <w:p>
            <w:pPr>
              <w:jc w:val="center"/>
              <w:spacing w:after="0"/>
              <w:rPr>
                <w:sz w:val="20"/>
                <w:szCs w:val="20"/>
                <w:color w:val="auto"/>
              </w:rPr>
            </w:pPr>
            <w:r>
              <w:rPr>
                <w:rFonts w:ascii="Arial" w:cs="Arial" w:eastAsia="Arial" w:hAnsi="Arial"/>
                <w:sz w:val="18"/>
                <w:szCs w:val="18"/>
                <w:color w:val="auto"/>
                <w:w w:val="91"/>
              </w:rPr>
              <w:t>4.13</w:t>
            </w:r>
          </w:p>
        </w:tc>
        <w:tc>
          <w:tcPr>
            <w:tcW w:w="1080" w:type="dxa"/>
            <w:vAlign w:val="bottom"/>
          </w:tcPr>
          <w:p>
            <w:pPr>
              <w:jc w:val="center"/>
              <w:ind w:left="190"/>
              <w:spacing w:after="0"/>
              <w:rPr>
                <w:sz w:val="20"/>
                <w:szCs w:val="20"/>
                <w:color w:val="auto"/>
              </w:rPr>
            </w:pPr>
            <w:r>
              <w:rPr>
                <w:rFonts w:ascii="Arial" w:cs="Arial" w:eastAsia="Arial" w:hAnsi="Arial"/>
                <w:sz w:val="18"/>
                <w:szCs w:val="18"/>
                <w:color w:val="auto"/>
                <w:w w:val="91"/>
              </w:rPr>
              <w:t>3/2/2020</w:t>
            </w:r>
          </w:p>
        </w:tc>
      </w:tr>
    </w:tbl>
    <w:p>
      <w:pPr>
        <w:spacing w:after="0" w:line="434" w:lineRule="exact"/>
        <w:rPr>
          <w:sz w:val="20"/>
          <w:szCs w:val="20"/>
          <w:color w:val="auto"/>
        </w:rPr>
      </w:pPr>
    </w:p>
    <w:p>
      <w:pPr>
        <w:sectPr>
          <w:pgSz w:w="11900" w:h="16838" w:orient="portrait"/>
          <w:cols w:equalWidth="0" w:num="3">
            <w:col w:w="660" w:space="440"/>
            <w:col w:w="6560" w:space="720"/>
            <w:col w:w="2840"/>
          </w:cols>
          <w:pgMar w:left="320" w:top="125" w:right="359" w:bottom="1440" w:gutter="0" w:footer="0" w:header="0"/>
          <w:type w:val="continuous"/>
        </w:sectPr>
      </w:pPr>
    </w:p>
    <w:p>
      <w:pPr>
        <w:spacing w:after="0" w:line="1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64</w:t>
      </w:r>
    </w:p>
    <w:p>
      <w:pPr>
        <w:sectPr>
          <w:pgSz w:w="11900" w:h="16838" w:orient="portrait"/>
          <w:cols w:equalWidth="0" w:num="1">
            <w:col w:w="11220"/>
          </w:cols>
          <w:pgMar w:left="320" w:top="125" w:right="359" w:bottom="1440" w:gutter="0" w:footer="0" w:header="0"/>
          <w:type w:val="continuous"/>
        </w:sectPr>
      </w:pPr>
    </w:p>
    <w:bookmarkStart w:id="67" w:name="page68"/>
    <w:bookmarkEnd w:id="6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tbl>
      <w:tblPr>
        <w:tblLayout w:type="fixed"/>
        <w:tblInd w:w="200" w:type="dxa"/>
        <w:tblCellMar>
          <w:top w:w="0" w:type="dxa"/>
          <w:left w:w="0" w:type="dxa"/>
          <w:bottom w:w="0" w:type="dxa"/>
          <w:right w:w="0" w:type="dxa"/>
        </w:tblCellMar>
      </w:tblPr>
      <w:tr>
        <w:trPr>
          <w:trHeight w:val="210"/>
        </w:trPr>
        <w:tc>
          <w:tcPr>
            <w:tcW w:w="2000" w:type="dxa"/>
            <w:vAlign w:val="bottom"/>
            <w:vMerge w:val="restart"/>
          </w:tcPr>
          <w:p>
            <w:pPr>
              <w:jc w:val="center"/>
              <w:ind w:right="1319"/>
              <w:spacing w:after="0"/>
              <w:rPr>
                <w:sz w:val="20"/>
                <w:szCs w:val="20"/>
                <w:color w:val="auto"/>
              </w:rPr>
            </w:pPr>
            <w:r>
              <w:rPr>
                <w:rFonts w:ascii="Arial" w:cs="Arial" w:eastAsia="Arial" w:hAnsi="Arial"/>
                <w:sz w:val="16"/>
                <w:szCs w:val="16"/>
                <w:b w:val="1"/>
                <w:bCs w:val="1"/>
                <w:color w:val="auto"/>
                <w:w w:val="97"/>
              </w:rPr>
              <w:t>Exhibit</w:t>
            </w:r>
          </w:p>
        </w:tc>
        <w:tc>
          <w:tcPr>
            <w:tcW w:w="3640" w:type="dxa"/>
            <w:vAlign w:val="bottom"/>
          </w:tcPr>
          <w:p>
            <w:pPr>
              <w:spacing w:after="0"/>
              <w:rPr>
                <w:sz w:val="18"/>
                <w:szCs w:val="18"/>
                <w:color w:val="auto"/>
              </w:rPr>
            </w:pPr>
          </w:p>
        </w:tc>
        <w:tc>
          <w:tcPr>
            <w:tcW w:w="2280" w:type="dxa"/>
            <w:vAlign w:val="bottom"/>
            <w:vMerge w:val="restart"/>
          </w:tcPr>
          <w:p>
            <w:pPr>
              <w:jc w:val="center"/>
              <w:ind w:left="1079"/>
              <w:spacing w:after="0"/>
              <w:rPr>
                <w:sz w:val="20"/>
                <w:szCs w:val="20"/>
                <w:color w:val="auto"/>
              </w:rPr>
            </w:pPr>
            <w:r>
              <w:rPr>
                <w:rFonts w:ascii="Arial" w:cs="Arial" w:eastAsia="Arial" w:hAnsi="Arial"/>
                <w:sz w:val="16"/>
                <w:szCs w:val="16"/>
                <w:b w:val="1"/>
                <w:bCs w:val="1"/>
                <w:color w:val="auto"/>
                <w:w w:val="96"/>
              </w:rPr>
              <w:t>Filed</w:t>
            </w:r>
          </w:p>
        </w:tc>
        <w:tc>
          <w:tcPr>
            <w:tcW w:w="3100" w:type="dxa"/>
            <w:vAlign w:val="bottom"/>
            <w:gridSpan w:val="3"/>
          </w:tcPr>
          <w:p>
            <w:pPr>
              <w:ind w:left="360"/>
              <w:spacing w:after="0"/>
              <w:rPr>
                <w:sz w:val="20"/>
                <w:szCs w:val="20"/>
                <w:color w:val="auto"/>
              </w:rPr>
            </w:pPr>
            <w:r>
              <w:rPr>
                <w:rFonts w:ascii="Arial" w:cs="Arial" w:eastAsia="Arial" w:hAnsi="Arial"/>
                <w:sz w:val="16"/>
                <w:szCs w:val="16"/>
                <w:b w:val="1"/>
                <w:bCs w:val="1"/>
                <w:color w:val="auto"/>
              </w:rPr>
              <w:t>Incorporation By Reference From</w:t>
            </w:r>
          </w:p>
        </w:tc>
        <w:tc>
          <w:tcPr>
            <w:tcW w:w="0" w:type="dxa"/>
            <w:vAlign w:val="bottom"/>
          </w:tcPr>
          <w:p>
            <w:pPr>
              <w:spacing w:after="0"/>
              <w:rPr>
                <w:sz w:val="1"/>
                <w:szCs w:val="1"/>
                <w:color w:val="auto"/>
              </w:rPr>
            </w:pPr>
          </w:p>
        </w:tc>
      </w:tr>
      <w:tr>
        <w:trPr>
          <w:trHeight w:val="33"/>
        </w:trPr>
        <w:tc>
          <w:tcPr>
            <w:tcW w:w="2000" w:type="dxa"/>
            <w:vAlign w:val="bottom"/>
            <w:vMerge w:val="continue"/>
          </w:tcPr>
          <w:p>
            <w:pPr>
              <w:spacing w:after="0"/>
              <w:rPr>
                <w:sz w:val="2"/>
                <w:szCs w:val="2"/>
                <w:color w:val="auto"/>
              </w:rPr>
            </w:pPr>
          </w:p>
        </w:tc>
        <w:tc>
          <w:tcPr>
            <w:tcW w:w="3640" w:type="dxa"/>
            <w:vAlign w:val="bottom"/>
          </w:tcPr>
          <w:p>
            <w:pPr>
              <w:spacing w:after="0"/>
              <w:rPr>
                <w:sz w:val="2"/>
                <w:szCs w:val="2"/>
                <w:color w:val="auto"/>
              </w:rPr>
            </w:pPr>
          </w:p>
        </w:tc>
        <w:tc>
          <w:tcPr>
            <w:tcW w:w="2280" w:type="dxa"/>
            <w:vAlign w:val="bottom"/>
            <w:vMerge w:val="continue"/>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2000" w:type="dxa"/>
            <w:vAlign w:val="bottom"/>
          </w:tcPr>
          <w:p>
            <w:pPr>
              <w:jc w:val="center"/>
              <w:ind w:right="1339"/>
              <w:spacing w:after="0"/>
              <w:rPr>
                <w:sz w:val="20"/>
                <w:szCs w:val="20"/>
                <w:color w:val="auto"/>
              </w:rPr>
            </w:pPr>
            <w:r>
              <w:rPr>
                <w:rFonts w:ascii="Arial" w:cs="Arial" w:eastAsia="Arial" w:hAnsi="Arial"/>
                <w:sz w:val="16"/>
                <w:szCs w:val="16"/>
                <w:b w:val="1"/>
                <w:bCs w:val="1"/>
                <w:color w:val="auto"/>
                <w:w w:val="95"/>
              </w:rPr>
              <w:t>Number</w:t>
            </w:r>
          </w:p>
        </w:tc>
        <w:tc>
          <w:tcPr>
            <w:tcW w:w="3640" w:type="dxa"/>
            <w:vAlign w:val="bottom"/>
          </w:tcPr>
          <w:p>
            <w:pPr>
              <w:ind w:left="1440"/>
              <w:spacing w:after="0"/>
              <w:rPr>
                <w:sz w:val="20"/>
                <w:szCs w:val="20"/>
                <w:color w:val="auto"/>
              </w:rPr>
            </w:pPr>
            <w:r>
              <w:rPr>
                <w:rFonts w:ascii="Arial" w:cs="Arial" w:eastAsia="Arial" w:hAnsi="Arial"/>
                <w:sz w:val="16"/>
                <w:szCs w:val="16"/>
                <w:b w:val="1"/>
                <w:bCs w:val="1"/>
                <w:color w:val="auto"/>
              </w:rPr>
              <w:t>Description</w:t>
            </w:r>
          </w:p>
        </w:tc>
        <w:tc>
          <w:tcPr>
            <w:tcW w:w="2280" w:type="dxa"/>
            <w:vAlign w:val="bottom"/>
          </w:tcPr>
          <w:p>
            <w:pPr>
              <w:jc w:val="center"/>
              <w:ind w:left="1079"/>
              <w:spacing w:after="0"/>
              <w:rPr>
                <w:sz w:val="20"/>
                <w:szCs w:val="20"/>
                <w:color w:val="auto"/>
              </w:rPr>
            </w:pPr>
            <w:r>
              <w:rPr>
                <w:rFonts w:ascii="Arial" w:cs="Arial" w:eastAsia="Arial" w:hAnsi="Arial"/>
                <w:sz w:val="16"/>
                <w:szCs w:val="16"/>
                <w:b w:val="1"/>
                <w:bCs w:val="1"/>
                <w:color w:val="auto"/>
                <w:w w:val="94"/>
              </w:rPr>
              <w:t>Herewith</w:t>
            </w:r>
          </w:p>
        </w:tc>
        <w:tc>
          <w:tcPr>
            <w:tcW w:w="880" w:type="dxa"/>
            <w:vAlign w:val="bottom"/>
          </w:tcPr>
          <w:p>
            <w:pPr>
              <w:ind w:left="240"/>
              <w:spacing w:after="0"/>
              <w:rPr>
                <w:sz w:val="20"/>
                <w:szCs w:val="20"/>
                <w:color w:val="auto"/>
              </w:rPr>
            </w:pPr>
            <w:r>
              <w:rPr>
                <w:rFonts w:ascii="Arial" w:cs="Arial" w:eastAsia="Arial" w:hAnsi="Arial"/>
                <w:sz w:val="16"/>
                <w:szCs w:val="16"/>
                <w:b w:val="1"/>
                <w:bCs w:val="1"/>
                <w:color w:val="auto"/>
              </w:rPr>
              <w:t>Form</w:t>
            </w:r>
          </w:p>
        </w:tc>
        <w:tc>
          <w:tcPr>
            <w:tcW w:w="1000" w:type="dxa"/>
            <w:vAlign w:val="bottom"/>
          </w:tcPr>
          <w:p>
            <w:pPr>
              <w:ind w:left="240"/>
              <w:spacing w:after="0"/>
              <w:rPr>
                <w:sz w:val="20"/>
                <w:szCs w:val="20"/>
                <w:color w:val="auto"/>
              </w:rPr>
            </w:pPr>
            <w:r>
              <w:rPr>
                <w:rFonts w:ascii="Arial" w:cs="Arial" w:eastAsia="Arial" w:hAnsi="Arial"/>
                <w:sz w:val="16"/>
                <w:szCs w:val="16"/>
                <w:b w:val="1"/>
                <w:bCs w:val="1"/>
                <w:color w:val="auto"/>
              </w:rPr>
              <w:t>Exhibit</w:t>
            </w:r>
          </w:p>
        </w:tc>
        <w:tc>
          <w:tcPr>
            <w:tcW w:w="1220" w:type="dxa"/>
            <w:vAlign w:val="bottom"/>
          </w:tcPr>
          <w:p>
            <w:pPr>
              <w:ind w:left="240"/>
              <w:spacing w:after="0"/>
              <w:rPr>
                <w:sz w:val="20"/>
                <w:szCs w:val="20"/>
                <w:color w:val="auto"/>
              </w:rPr>
            </w:pPr>
            <w:r>
              <w:rPr>
                <w:rFonts w:ascii="Arial" w:cs="Arial" w:eastAsia="Arial" w:hAnsi="Arial"/>
                <w:sz w:val="16"/>
                <w:szCs w:val="16"/>
                <w:b w:val="1"/>
                <w:bCs w:val="1"/>
                <w:color w:val="auto"/>
              </w:rPr>
              <w:t>Date Filed</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20955</wp:posOffset>
            </wp:positionV>
            <wp:extent cx="708914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7">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p>
      <w:pPr>
        <w:spacing w:after="0" w:line="167" w:lineRule="exact"/>
        <w:rPr>
          <w:sz w:val="20"/>
          <w:szCs w:val="20"/>
          <w:color w:val="auto"/>
        </w:rPr>
      </w:pPr>
    </w:p>
    <w:p>
      <w:pPr>
        <w:ind w:left="340"/>
        <w:spacing w:after="0"/>
        <w:rPr>
          <w:rFonts w:ascii="Arial" w:cs="Arial" w:eastAsia="Arial" w:hAnsi="Arial"/>
          <w:sz w:val="16"/>
          <w:szCs w:val="16"/>
          <w:u w:val="single" w:color="auto"/>
          <w:color w:val="0000FF"/>
        </w:rPr>
      </w:pPr>
      <w:hyperlink r:id="rId34">
        <w:r>
          <w:rPr>
            <w:rFonts w:ascii="Arial" w:cs="Arial" w:eastAsia="Arial" w:hAnsi="Arial"/>
            <w:sz w:val="16"/>
            <w:szCs w:val="16"/>
            <w:u w:val="single" w:color="auto"/>
            <w:color w:val="0000FF"/>
          </w:rPr>
          <w:t>4.14</w:t>
        </w:r>
      </w:hyperlink>
    </w:p>
    <w:p>
      <w:pPr>
        <w:spacing w:after="0" w:line="200" w:lineRule="exact"/>
        <w:rPr>
          <w:sz w:val="20"/>
          <w:szCs w:val="20"/>
          <w:color w:val="auto"/>
        </w:rPr>
      </w:pPr>
    </w:p>
    <w:p>
      <w:pPr>
        <w:spacing w:after="0" w:line="210" w:lineRule="exact"/>
        <w:rPr>
          <w:sz w:val="20"/>
          <w:szCs w:val="20"/>
          <w:color w:val="auto"/>
        </w:rPr>
      </w:pPr>
    </w:p>
    <w:p>
      <w:pPr>
        <w:ind w:left="340"/>
        <w:spacing w:after="0"/>
        <w:rPr>
          <w:rFonts w:ascii="Arial" w:cs="Arial" w:eastAsia="Arial" w:hAnsi="Arial"/>
          <w:sz w:val="16"/>
          <w:szCs w:val="16"/>
          <w:u w:val="single" w:color="auto"/>
          <w:color w:val="0000FF"/>
        </w:rPr>
      </w:pPr>
      <w:hyperlink r:id="rId38">
        <w:r>
          <w:rPr>
            <w:rFonts w:ascii="Arial" w:cs="Arial" w:eastAsia="Arial" w:hAnsi="Arial"/>
            <w:sz w:val="16"/>
            <w:szCs w:val="16"/>
            <w:u w:val="single" w:color="auto"/>
            <w:color w:val="0000FF"/>
          </w:rPr>
          <w:t>4.15</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40"/>
        <w:spacing w:after="0"/>
        <w:rPr>
          <w:rFonts w:ascii="Arial" w:cs="Arial" w:eastAsia="Arial" w:hAnsi="Arial"/>
          <w:sz w:val="16"/>
          <w:szCs w:val="16"/>
          <w:u w:val="single" w:color="auto"/>
          <w:color w:val="0000FF"/>
        </w:rPr>
      </w:pPr>
      <w:hyperlink r:id="rId39">
        <w:r>
          <w:rPr>
            <w:rFonts w:ascii="Arial" w:cs="Arial" w:eastAsia="Arial" w:hAnsi="Arial"/>
            <w:sz w:val="16"/>
            <w:szCs w:val="16"/>
            <w:u w:val="single" w:color="auto"/>
            <w:color w:val="0000FF"/>
          </w:rPr>
          <w:t>4.16</w:t>
        </w:r>
      </w:hyperlink>
    </w:p>
    <w:p>
      <w:pPr>
        <w:spacing w:after="0" w:line="200" w:lineRule="exact"/>
        <w:rPr>
          <w:sz w:val="20"/>
          <w:szCs w:val="20"/>
          <w:color w:val="auto"/>
        </w:rPr>
      </w:pPr>
    </w:p>
    <w:p>
      <w:pPr>
        <w:spacing w:after="0" w:line="318" w:lineRule="exact"/>
        <w:rPr>
          <w:sz w:val="20"/>
          <w:szCs w:val="20"/>
          <w:color w:val="auto"/>
        </w:rPr>
      </w:pPr>
    </w:p>
    <w:p>
      <w:pPr>
        <w:ind w:left="340"/>
        <w:spacing w:after="0"/>
        <w:rPr>
          <w:rFonts w:ascii="Arial" w:cs="Arial" w:eastAsia="Arial" w:hAnsi="Arial"/>
          <w:sz w:val="16"/>
          <w:szCs w:val="16"/>
          <w:u w:val="single" w:color="auto"/>
          <w:color w:val="0000FF"/>
        </w:rPr>
      </w:pPr>
      <w:hyperlink r:id="rId39">
        <w:r>
          <w:rPr>
            <w:rFonts w:ascii="Arial" w:cs="Arial" w:eastAsia="Arial" w:hAnsi="Arial"/>
            <w:sz w:val="16"/>
            <w:szCs w:val="16"/>
            <w:u w:val="single" w:color="auto"/>
            <w:color w:val="0000FF"/>
          </w:rPr>
          <w:t>4.17</w:t>
        </w:r>
      </w:hyperlink>
    </w:p>
    <w:p>
      <w:pPr>
        <w:spacing w:after="0" w:line="200" w:lineRule="exact"/>
        <w:rPr>
          <w:sz w:val="20"/>
          <w:szCs w:val="20"/>
          <w:color w:val="auto"/>
        </w:rPr>
      </w:pPr>
    </w:p>
    <w:p>
      <w:pPr>
        <w:spacing w:after="0" w:line="318" w:lineRule="exact"/>
        <w:rPr>
          <w:sz w:val="20"/>
          <w:szCs w:val="20"/>
          <w:color w:val="auto"/>
        </w:rPr>
      </w:pPr>
    </w:p>
    <w:p>
      <w:pPr>
        <w:ind w:left="340"/>
        <w:spacing w:after="0"/>
        <w:rPr>
          <w:rFonts w:ascii="Arial" w:cs="Arial" w:eastAsia="Arial" w:hAnsi="Arial"/>
          <w:sz w:val="16"/>
          <w:szCs w:val="16"/>
          <w:u w:val="single" w:color="auto"/>
          <w:color w:val="0000FF"/>
        </w:rPr>
      </w:pPr>
      <w:hyperlink r:id="rId40">
        <w:r>
          <w:rPr>
            <w:rFonts w:ascii="Arial" w:cs="Arial" w:eastAsia="Arial" w:hAnsi="Arial"/>
            <w:sz w:val="16"/>
            <w:szCs w:val="16"/>
            <w:u w:val="single" w:color="auto"/>
            <w:color w:val="0000FF"/>
          </w:rPr>
          <w:t>4.18</w:t>
        </w:r>
      </w:hyperlink>
    </w:p>
    <w:p>
      <w:pPr>
        <w:spacing w:after="0" w:line="20" w:lineRule="exact"/>
        <w:rPr>
          <w:sz w:val="20"/>
          <w:szCs w:val="20"/>
          <w:color w:val="auto"/>
        </w:rPr>
      </w:pPr>
      <w:r>
        <w:rPr>
          <w:sz w:val="20"/>
          <w:szCs w:val="20"/>
          <w:color w:val="auto"/>
        </w:rPr>
        <w:br w:type="column"/>
      </w:r>
    </w:p>
    <w:p>
      <w:pPr>
        <w:spacing w:after="0" w:line="39" w:lineRule="exact"/>
        <w:rPr>
          <w:sz w:val="20"/>
          <w:szCs w:val="20"/>
          <w:color w:val="auto"/>
        </w:rPr>
      </w:pPr>
    </w:p>
    <w:p>
      <w:pPr>
        <w:ind w:right="940"/>
        <w:spacing w:after="0" w:line="277" w:lineRule="auto"/>
        <w:rPr>
          <w:sz w:val="20"/>
          <w:szCs w:val="20"/>
          <w:color w:val="auto"/>
        </w:rPr>
      </w:pPr>
      <w:r>
        <w:rPr>
          <w:rFonts w:ascii="Arial" w:cs="Arial" w:eastAsia="Arial" w:hAnsi="Arial"/>
          <w:sz w:val="18"/>
          <w:szCs w:val="18"/>
          <w:color w:val="auto"/>
        </w:rPr>
        <w:t>Form of 4.750% Senior Notes due 2028 (included as Exhibit A to Exhibit 4.11 above)</w:t>
      </w:r>
    </w:p>
    <w:p>
      <w:pPr>
        <w:spacing w:after="0" w:line="8" w:lineRule="exact"/>
        <w:rPr>
          <w:sz w:val="20"/>
          <w:szCs w:val="20"/>
          <w:color w:val="auto"/>
        </w:rPr>
      </w:pPr>
    </w:p>
    <w:p>
      <w:pPr>
        <w:ind w:right="800"/>
        <w:spacing w:after="0" w:line="305" w:lineRule="auto"/>
        <w:rPr>
          <w:sz w:val="20"/>
          <w:szCs w:val="20"/>
          <w:color w:val="auto"/>
        </w:rPr>
      </w:pPr>
      <w:r>
        <w:rPr>
          <w:rFonts w:ascii="Arial" w:cs="Arial" w:eastAsia="Arial" w:hAnsi="Arial"/>
          <w:sz w:val="16"/>
          <w:szCs w:val="16"/>
          <w:color w:val="auto"/>
        </w:rPr>
        <w:t>Registration Rights Agreement, dated as of October 1, 2019, by and among Marriott Ownership Resorts, Inc., Marriott Vacations Worldwide Corporation, as guarantor, the other guarantors party thereto and J.P. Morgan Securities LLC</w:t>
      </w:r>
    </w:p>
    <w:p>
      <w:pPr>
        <w:spacing w:after="0" w:line="1" w:lineRule="exact"/>
        <w:rPr>
          <w:sz w:val="20"/>
          <w:szCs w:val="20"/>
          <w:color w:val="auto"/>
        </w:rPr>
      </w:pPr>
    </w:p>
    <w:p>
      <w:pPr>
        <w:ind w:right="780"/>
        <w:spacing w:after="0" w:line="259" w:lineRule="auto"/>
        <w:rPr>
          <w:sz w:val="20"/>
          <w:szCs w:val="20"/>
          <w:color w:val="auto"/>
        </w:rPr>
      </w:pPr>
      <w:r>
        <w:rPr>
          <w:rFonts w:ascii="Arial" w:cs="Arial" w:eastAsia="Arial" w:hAnsi="Arial"/>
          <w:sz w:val="18"/>
          <w:szCs w:val="18"/>
          <w:color w:val="auto"/>
        </w:rPr>
        <w:t>Indenture, dated as of May 13, 2020, by and among Marriott Ownership Resorts, Inc., Marriott Vacations Worldwide Corporation, as guarantor, the other guarantors party thereto and The Bank of New York Mellon Trust Company, N.A., as trustee and collateral agent</w:t>
      </w:r>
    </w:p>
    <w:p>
      <w:pPr>
        <w:spacing w:after="0" w:line="25" w:lineRule="exact"/>
        <w:rPr>
          <w:sz w:val="20"/>
          <w:szCs w:val="20"/>
          <w:color w:val="auto"/>
        </w:rPr>
      </w:pPr>
    </w:p>
    <w:p>
      <w:pPr>
        <w:ind w:right="1260"/>
        <w:spacing w:after="0" w:line="277" w:lineRule="auto"/>
        <w:rPr>
          <w:sz w:val="20"/>
          <w:szCs w:val="20"/>
          <w:color w:val="auto"/>
        </w:rPr>
      </w:pPr>
      <w:r>
        <w:rPr>
          <w:rFonts w:ascii="Arial" w:cs="Arial" w:eastAsia="Arial" w:hAnsi="Arial"/>
          <w:sz w:val="18"/>
          <w:szCs w:val="18"/>
          <w:color w:val="auto"/>
        </w:rPr>
        <w:t>Form of 6.125% Senior Secured Notes due 2025 (included as Exhibit A to Exhibit 4.16)</w:t>
      </w:r>
    </w:p>
    <w:p>
      <w:pPr>
        <w:spacing w:after="0" w:line="8" w:lineRule="exact"/>
        <w:rPr>
          <w:sz w:val="20"/>
          <w:szCs w:val="20"/>
          <w:color w:val="auto"/>
        </w:rPr>
      </w:pPr>
    </w:p>
    <w:p>
      <w:pPr>
        <w:ind w:right="900"/>
        <w:spacing w:after="0" w:line="259" w:lineRule="auto"/>
        <w:rPr>
          <w:sz w:val="20"/>
          <w:szCs w:val="20"/>
          <w:color w:val="auto"/>
        </w:rPr>
      </w:pPr>
      <w:r>
        <w:rPr>
          <w:rFonts w:ascii="Arial" w:cs="Arial" w:eastAsia="Arial" w:hAnsi="Arial"/>
          <w:sz w:val="18"/>
          <w:szCs w:val="18"/>
          <w:color w:val="auto"/>
        </w:rPr>
        <w:t>Waiver to Credit Agreement, dated as of May 14, 2020, by and among Marriott Vacations Worldwide Corporation, Marriott Ownership Resorts, Inc., the Revolving Credit Lenders party thereto and JPMorgan Chase Bank, N.A., as administrative agent</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spacing w:after="0"/>
        <w:tabs>
          <w:tab w:leader="none" w:pos="940" w:val="left"/>
          <w:tab w:leader="none" w:pos="1800" w:val="left"/>
        </w:tabs>
        <w:rPr>
          <w:sz w:val="20"/>
          <w:szCs w:val="20"/>
          <w:color w:val="auto"/>
        </w:rPr>
      </w:pPr>
      <w:r>
        <w:rPr>
          <w:rFonts w:ascii="Arial" w:cs="Arial" w:eastAsia="Arial" w:hAnsi="Arial"/>
          <w:sz w:val="18"/>
          <w:szCs w:val="18"/>
          <w:color w:val="auto"/>
        </w:rPr>
        <w:t>8-K</w:t>
      </w:r>
      <w:r>
        <w:rPr>
          <w:sz w:val="20"/>
          <w:szCs w:val="20"/>
          <w:color w:val="auto"/>
        </w:rPr>
        <w:tab/>
      </w:r>
      <w:r>
        <w:rPr>
          <w:rFonts w:ascii="Arial" w:cs="Arial" w:eastAsia="Arial" w:hAnsi="Arial"/>
          <w:sz w:val="18"/>
          <w:szCs w:val="18"/>
          <w:color w:val="auto"/>
        </w:rPr>
        <w:t>4.2</w:t>
      </w:r>
      <w:r>
        <w:rPr>
          <w:sz w:val="20"/>
          <w:szCs w:val="20"/>
          <w:color w:val="auto"/>
        </w:rPr>
        <w:tab/>
      </w:r>
      <w:r>
        <w:rPr>
          <w:rFonts w:ascii="Arial" w:cs="Arial" w:eastAsia="Arial" w:hAnsi="Arial"/>
          <w:sz w:val="16"/>
          <w:szCs w:val="16"/>
          <w:color w:val="auto"/>
        </w:rPr>
        <w:t>10/1/2019</w:t>
      </w:r>
    </w:p>
    <w:p>
      <w:pPr>
        <w:spacing w:after="0" w:line="387" w:lineRule="exact"/>
        <w:rPr>
          <w:sz w:val="20"/>
          <w:szCs w:val="20"/>
          <w:color w:val="auto"/>
        </w:rPr>
      </w:pPr>
    </w:p>
    <w:p>
      <w:pPr>
        <w:spacing w:after="0"/>
        <w:tabs>
          <w:tab w:leader="none" w:pos="940" w:val="left"/>
          <w:tab w:leader="none" w:pos="1800" w:val="left"/>
        </w:tabs>
        <w:rPr>
          <w:sz w:val="20"/>
          <w:szCs w:val="20"/>
          <w:color w:val="auto"/>
        </w:rPr>
      </w:pPr>
      <w:r>
        <w:rPr>
          <w:rFonts w:ascii="Arial" w:cs="Arial" w:eastAsia="Arial" w:hAnsi="Arial"/>
          <w:sz w:val="18"/>
          <w:szCs w:val="18"/>
          <w:color w:val="auto"/>
        </w:rPr>
        <w:t>8-K</w:t>
      </w:r>
      <w:r>
        <w:rPr>
          <w:sz w:val="20"/>
          <w:szCs w:val="20"/>
          <w:color w:val="auto"/>
        </w:rPr>
        <w:tab/>
      </w:r>
      <w:r>
        <w:rPr>
          <w:rFonts w:ascii="Arial" w:cs="Arial" w:eastAsia="Arial" w:hAnsi="Arial"/>
          <w:sz w:val="18"/>
          <w:szCs w:val="18"/>
          <w:color w:val="auto"/>
        </w:rPr>
        <w:t>4.3</w:t>
      </w:r>
      <w:r>
        <w:rPr>
          <w:sz w:val="20"/>
          <w:szCs w:val="20"/>
          <w:color w:val="auto"/>
        </w:rPr>
        <w:tab/>
      </w:r>
      <w:r>
        <w:rPr>
          <w:rFonts w:ascii="Arial" w:cs="Arial" w:eastAsia="Arial" w:hAnsi="Arial"/>
          <w:sz w:val="16"/>
          <w:szCs w:val="16"/>
          <w:color w:val="auto"/>
        </w:rPr>
        <w:t>10/1/2019</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tabs>
          <w:tab w:leader="none" w:pos="940" w:val="left"/>
          <w:tab w:leader="none" w:pos="1800" w:val="left"/>
        </w:tabs>
        <w:rPr>
          <w:sz w:val="20"/>
          <w:szCs w:val="20"/>
          <w:color w:val="auto"/>
        </w:rPr>
      </w:pPr>
      <w:r>
        <w:rPr>
          <w:rFonts w:ascii="Arial" w:cs="Arial" w:eastAsia="Arial" w:hAnsi="Arial"/>
          <w:sz w:val="18"/>
          <w:szCs w:val="18"/>
          <w:color w:val="auto"/>
        </w:rPr>
        <w:t>8-K</w:t>
      </w:r>
      <w:r>
        <w:rPr>
          <w:sz w:val="20"/>
          <w:szCs w:val="20"/>
          <w:color w:val="auto"/>
        </w:rPr>
        <w:tab/>
      </w:r>
      <w:r>
        <w:rPr>
          <w:rFonts w:ascii="Arial" w:cs="Arial" w:eastAsia="Arial" w:hAnsi="Arial"/>
          <w:sz w:val="18"/>
          <w:szCs w:val="18"/>
          <w:color w:val="auto"/>
        </w:rPr>
        <w:t>4.1</w:t>
      </w:r>
      <w:r>
        <w:rPr>
          <w:sz w:val="20"/>
          <w:szCs w:val="20"/>
          <w:color w:val="auto"/>
        </w:rPr>
        <w:tab/>
      </w:r>
      <w:r>
        <w:rPr>
          <w:rFonts w:ascii="Arial" w:cs="Arial" w:eastAsia="Arial" w:hAnsi="Arial"/>
          <w:sz w:val="16"/>
          <w:szCs w:val="16"/>
          <w:color w:val="auto"/>
        </w:rPr>
        <w:t>5/15/2020</w:t>
      </w:r>
    </w:p>
    <w:p>
      <w:pPr>
        <w:spacing w:after="0" w:line="200" w:lineRule="exact"/>
        <w:rPr>
          <w:sz w:val="20"/>
          <w:szCs w:val="20"/>
          <w:color w:val="auto"/>
        </w:rPr>
      </w:pPr>
    </w:p>
    <w:p>
      <w:pPr>
        <w:spacing w:after="0" w:line="295" w:lineRule="exact"/>
        <w:rPr>
          <w:sz w:val="20"/>
          <w:szCs w:val="20"/>
          <w:color w:val="auto"/>
        </w:rPr>
      </w:pPr>
    </w:p>
    <w:p>
      <w:pPr>
        <w:spacing w:after="0"/>
        <w:tabs>
          <w:tab w:leader="none" w:pos="940" w:val="left"/>
          <w:tab w:leader="none" w:pos="1800" w:val="left"/>
        </w:tabs>
        <w:rPr>
          <w:sz w:val="20"/>
          <w:szCs w:val="20"/>
          <w:color w:val="auto"/>
        </w:rPr>
      </w:pPr>
      <w:r>
        <w:rPr>
          <w:rFonts w:ascii="Arial" w:cs="Arial" w:eastAsia="Arial" w:hAnsi="Arial"/>
          <w:sz w:val="18"/>
          <w:szCs w:val="18"/>
          <w:color w:val="auto"/>
        </w:rPr>
        <w:t>8-K</w:t>
      </w:r>
      <w:r>
        <w:rPr>
          <w:sz w:val="20"/>
          <w:szCs w:val="20"/>
          <w:color w:val="auto"/>
        </w:rPr>
        <w:tab/>
      </w:r>
      <w:r>
        <w:rPr>
          <w:rFonts w:ascii="Arial" w:cs="Arial" w:eastAsia="Arial" w:hAnsi="Arial"/>
          <w:sz w:val="18"/>
          <w:szCs w:val="18"/>
          <w:color w:val="auto"/>
        </w:rPr>
        <w:t>4.2</w:t>
      </w:r>
      <w:r>
        <w:rPr>
          <w:sz w:val="20"/>
          <w:szCs w:val="20"/>
          <w:color w:val="auto"/>
        </w:rPr>
        <w:tab/>
      </w:r>
      <w:r>
        <w:rPr>
          <w:rFonts w:ascii="Arial" w:cs="Arial" w:eastAsia="Arial" w:hAnsi="Arial"/>
          <w:sz w:val="16"/>
          <w:szCs w:val="16"/>
          <w:color w:val="auto"/>
        </w:rPr>
        <w:t>5/15/2020</w:t>
      </w:r>
    </w:p>
    <w:p>
      <w:pPr>
        <w:spacing w:after="0" w:line="200" w:lineRule="exact"/>
        <w:rPr>
          <w:sz w:val="20"/>
          <w:szCs w:val="20"/>
          <w:color w:val="auto"/>
        </w:rPr>
      </w:pPr>
    </w:p>
    <w:p>
      <w:pPr>
        <w:spacing w:after="0" w:line="295" w:lineRule="exact"/>
        <w:rPr>
          <w:sz w:val="20"/>
          <w:szCs w:val="20"/>
          <w:color w:val="auto"/>
        </w:rPr>
      </w:pPr>
    </w:p>
    <w:p>
      <w:pPr>
        <w:spacing w:after="0"/>
        <w:tabs>
          <w:tab w:leader="none" w:pos="940" w:val="left"/>
          <w:tab w:leader="none" w:pos="1800" w:val="left"/>
        </w:tabs>
        <w:rPr>
          <w:sz w:val="20"/>
          <w:szCs w:val="20"/>
          <w:color w:val="auto"/>
        </w:rPr>
      </w:pPr>
      <w:r>
        <w:rPr>
          <w:rFonts w:ascii="Arial" w:cs="Arial" w:eastAsia="Arial" w:hAnsi="Arial"/>
          <w:sz w:val="18"/>
          <w:szCs w:val="18"/>
          <w:color w:val="auto"/>
        </w:rPr>
        <w:t>8-K</w:t>
      </w:r>
      <w:r>
        <w:rPr>
          <w:sz w:val="20"/>
          <w:szCs w:val="20"/>
          <w:color w:val="auto"/>
        </w:rPr>
        <w:tab/>
      </w:r>
      <w:r>
        <w:rPr>
          <w:rFonts w:ascii="Arial" w:cs="Arial" w:eastAsia="Arial" w:hAnsi="Arial"/>
          <w:sz w:val="18"/>
          <w:szCs w:val="18"/>
          <w:color w:val="auto"/>
        </w:rPr>
        <w:t>4.3</w:t>
      </w:r>
      <w:r>
        <w:rPr>
          <w:sz w:val="20"/>
          <w:szCs w:val="20"/>
          <w:color w:val="auto"/>
        </w:rPr>
        <w:tab/>
      </w:r>
      <w:r>
        <w:rPr>
          <w:rFonts w:ascii="Arial" w:cs="Arial" w:eastAsia="Arial" w:hAnsi="Arial"/>
          <w:sz w:val="16"/>
          <w:szCs w:val="16"/>
          <w:color w:val="auto"/>
        </w:rPr>
        <w:t>5/15/2020</w:t>
      </w:r>
    </w:p>
    <w:p>
      <w:pPr>
        <w:spacing w:after="0" w:line="387" w:lineRule="exact"/>
        <w:rPr>
          <w:sz w:val="20"/>
          <w:szCs w:val="20"/>
          <w:color w:val="auto"/>
        </w:rPr>
      </w:pPr>
    </w:p>
    <w:p>
      <w:pPr>
        <w:sectPr>
          <w:pgSz w:w="11900" w:h="16838" w:orient="portrait"/>
          <w:cols w:equalWidth="0" w:num="3">
            <w:col w:w="660" w:space="440"/>
            <w:col w:w="6600" w:space="720"/>
            <w:col w:w="2800"/>
          </w:cols>
          <w:pgMar w:left="320" w:top="125" w:right="359" w:bottom="1440" w:gutter="0" w:footer="0" w:header="0"/>
          <w:type w:val="continuous"/>
        </w:sectPr>
      </w:pPr>
    </w:p>
    <w:p>
      <w:pPr>
        <w:ind w:left="340"/>
        <w:spacing w:after="0"/>
        <w:rPr>
          <w:rFonts w:ascii="Arial" w:cs="Arial" w:eastAsia="Arial" w:hAnsi="Arial"/>
          <w:sz w:val="16"/>
          <w:szCs w:val="16"/>
          <w:u w:val="single" w:color="auto"/>
          <w:color w:val="0000FF"/>
        </w:rPr>
      </w:pPr>
      <w:hyperlink r:id="rId41">
        <w:r>
          <w:rPr>
            <w:rFonts w:ascii="Arial" w:cs="Arial" w:eastAsia="Arial" w:hAnsi="Arial"/>
            <w:sz w:val="16"/>
            <w:szCs w:val="16"/>
            <w:u w:val="single" w:color="auto"/>
            <w:color w:val="0000FF"/>
          </w:rPr>
          <w:t>4.19</w:t>
        </w:r>
      </w:hyperlink>
    </w:p>
    <w:p>
      <w:pPr>
        <w:spacing w:after="0" w:line="194" w:lineRule="exact"/>
        <w:rPr>
          <w:sz w:val="20"/>
          <w:szCs w:val="20"/>
          <w:color w:val="auto"/>
        </w:rPr>
      </w:pPr>
    </w:p>
    <w:p>
      <w:pPr>
        <w:ind w:left="340"/>
        <w:spacing w:after="0"/>
        <w:rPr>
          <w:rFonts w:ascii="Arial" w:cs="Arial" w:eastAsia="Arial" w:hAnsi="Arial"/>
          <w:sz w:val="16"/>
          <w:szCs w:val="16"/>
          <w:u w:val="single" w:color="auto"/>
          <w:color w:val="0000FF"/>
        </w:rPr>
      </w:pPr>
      <w:hyperlink w:anchor="page70">
        <w:r>
          <w:rPr>
            <w:rFonts w:ascii="Arial" w:cs="Arial" w:eastAsia="Arial" w:hAnsi="Arial"/>
            <w:sz w:val="16"/>
            <w:szCs w:val="16"/>
            <w:u w:val="single" w:color="auto"/>
            <w:color w:val="0000FF"/>
          </w:rPr>
          <w:t>31.1</w:t>
        </w:r>
      </w:hyperlink>
    </w:p>
    <w:p>
      <w:pPr>
        <w:spacing w:after="0" w:line="302" w:lineRule="exact"/>
        <w:rPr>
          <w:sz w:val="20"/>
          <w:szCs w:val="20"/>
          <w:color w:val="auto"/>
        </w:rPr>
      </w:pPr>
    </w:p>
    <w:p>
      <w:pPr>
        <w:ind w:left="340"/>
        <w:spacing w:after="0"/>
        <w:rPr>
          <w:rFonts w:ascii="Arial" w:cs="Arial" w:eastAsia="Arial" w:hAnsi="Arial"/>
          <w:sz w:val="16"/>
          <w:szCs w:val="16"/>
          <w:u w:val="single" w:color="auto"/>
          <w:color w:val="0000FF"/>
        </w:rPr>
      </w:pPr>
      <w:hyperlink w:anchor="page71">
        <w:r>
          <w:rPr>
            <w:rFonts w:ascii="Arial" w:cs="Arial" w:eastAsia="Arial" w:hAnsi="Arial"/>
            <w:sz w:val="16"/>
            <w:szCs w:val="16"/>
            <w:u w:val="single" w:color="auto"/>
            <w:color w:val="0000FF"/>
          </w:rPr>
          <w:t>31.2</w:t>
        </w:r>
      </w:hyperlink>
    </w:p>
    <w:p>
      <w:pPr>
        <w:spacing w:after="0" w:line="302" w:lineRule="exact"/>
        <w:rPr>
          <w:sz w:val="20"/>
          <w:szCs w:val="20"/>
          <w:color w:val="auto"/>
        </w:rPr>
      </w:pPr>
    </w:p>
    <w:p>
      <w:pPr>
        <w:ind w:left="340"/>
        <w:spacing w:after="0"/>
        <w:rPr>
          <w:rFonts w:ascii="Arial" w:cs="Arial" w:eastAsia="Arial" w:hAnsi="Arial"/>
          <w:sz w:val="16"/>
          <w:szCs w:val="16"/>
          <w:u w:val="single" w:color="auto"/>
          <w:color w:val="0000FF"/>
        </w:rPr>
      </w:pPr>
      <w:hyperlink w:anchor="page72">
        <w:r>
          <w:rPr>
            <w:rFonts w:ascii="Arial" w:cs="Arial" w:eastAsia="Arial" w:hAnsi="Arial"/>
            <w:sz w:val="16"/>
            <w:szCs w:val="16"/>
            <w:u w:val="single" w:color="auto"/>
            <w:color w:val="0000FF"/>
          </w:rPr>
          <w:t>32.1</w:t>
        </w:r>
      </w:hyperlink>
    </w:p>
    <w:p>
      <w:pPr>
        <w:spacing w:after="0" w:line="302" w:lineRule="exact"/>
        <w:rPr>
          <w:sz w:val="20"/>
          <w:szCs w:val="20"/>
          <w:color w:val="auto"/>
        </w:rPr>
      </w:pPr>
    </w:p>
    <w:p>
      <w:pPr>
        <w:ind w:left="340"/>
        <w:spacing w:after="0"/>
        <w:rPr>
          <w:rFonts w:ascii="Arial" w:cs="Arial" w:eastAsia="Arial" w:hAnsi="Arial"/>
          <w:sz w:val="16"/>
          <w:szCs w:val="16"/>
          <w:u w:val="single" w:color="auto"/>
          <w:color w:val="0000FF"/>
        </w:rPr>
      </w:pPr>
      <w:hyperlink w:anchor="page73">
        <w:r>
          <w:rPr>
            <w:rFonts w:ascii="Arial" w:cs="Arial" w:eastAsia="Arial" w:hAnsi="Arial"/>
            <w:sz w:val="16"/>
            <w:szCs w:val="16"/>
            <w:u w:val="single" w:color="auto"/>
            <w:color w:val="0000FF"/>
          </w:rPr>
          <w:t>32.2</w:t>
        </w:r>
      </w:hyperlink>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Description of Registered Securities</w:t>
      </w:r>
    </w:p>
    <w:p>
      <w:pPr>
        <w:spacing w:after="0" w:line="63"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Certification of Chief Executive Officer pursuant to Rule 13a-14(a) of the Securities Exchange Act of 1934</w:t>
      </w:r>
    </w:p>
    <w:p>
      <w:pPr>
        <w:spacing w:after="0" w:line="8"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Certification of Chief Financial Officer pursuant to Rule 13a-14(a) of the Securities Exchange Act of 1934</w:t>
      </w:r>
    </w:p>
    <w:p>
      <w:pPr>
        <w:spacing w:after="0" w:line="8"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Certification of Chief Executive Officer pursuant to Rule 13a-14(b) and Section 906 of the Sarbanes-Oxley Act of 2002</w:t>
      </w:r>
    </w:p>
    <w:p>
      <w:pPr>
        <w:spacing w:after="0" w:line="8"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Certification of Chief Financial Officer pursuant to Rule 13a-14(b) and Section 906 of the Sarbanes-Oxley Act of 2002</w:t>
      </w:r>
    </w:p>
    <w:p>
      <w:pPr>
        <w:spacing w:after="0" w:line="20" w:lineRule="exact"/>
        <w:rPr>
          <w:sz w:val="20"/>
          <w:szCs w:val="20"/>
          <w:color w:val="auto"/>
        </w:rPr>
      </w:pPr>
      <w:r>
        <w:rPr>
          <w:sz w:val="20"/>
          <w:szCs w:val="20"/>
          <w:color w:val="auto"/>
        </w:rPr>
        <w:br w:type="column"/>
      </w:r>
    </w:p>
    <w:p>
      <w:pPr>
        <w:jc w:val="right"/>
        <w:ind w:right="300"/>
        <w:spacing w:after="0"/>
        <w:tabs>
          <w:tab w:leader="none" w:pos="1560" w:val="left"/>
          <w:tab w:leader="none" w:pos="620" w:val="left"/>
        </w:tabs>
        <w:rPr>
          <w:sz w:val="20"/>
          <w:szCs w:val="20"/>
          <w:color w:val="auto"/>
        </w:rPr>
      </w:pPr>
      <w:r>
        <w:rPr>
          <w:rFonts w:ascii="Arial" w:cs="Arial" w:eastAsia="Arial" w:hAnsi="Arial"/>
          <w:sz w:val="18"/>
          <w:szCs w:val="18"/>
          <w:color w:val="auto"/>
        </w:rPr>
        <w:t>10-K</w:t>
      </w:r>
      <w:r>
        <w:rPr>
          <w:sz w:val="20"/>
          <w:szCs w:val="20"/>
          <w:color w:val="auto"/>
        </w:rPr>
        <w:tab/>
      </w:r>
      <w:r>
        <w:rPr>
          <w:rFonts w:ascii="Arial" w:cs="Arial" w:eastAsia="Arial" w:hAnsi="Arial"/>
          <w:sz w:val="18"/>
          <w:szCs w:val="18"/>
          <w:color w:val="auto"/>
        </w:rPr>
        <w:t>4.16</w:t>
      </w:r>
      <w:r>
        <w:rPr>
          <w:sz w:val="20"/>
          <w:szCs w:val="20"/>
          <w:color w:val="auto"/>
        </w:rPr>
        <w:tab/>
      </w:r>
      <w:r>
        <w:rPr>
          <w:rFonts w:ascii="Arial" w:cs="Arial" w:eastAsia="Arial" w:hAnsi="Arial"/>
          <w:sz w:val="16"/>
          <w:szCs w:val="16"/>
          <w:color w:val="auto"/>
        </w:rPr>
        <w:t>3/2/2020</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X</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X</w:t>
      </w:r>
    </w:p>
    <w:p>
      <w:pPr>
        <w:spacing w:after="0" w:line="27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Furnished</w:t>
      </w:r>
    </w:p>
    <w:p>
      <w:pPr>
        <w:spacing w:after="0" w:line="27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Furnished</w:t>
      </w:r>
    </w:p>
    <w:p>
      <w:pPr>
        <w:spacing w:after="0" w:line="170" w:lineRule="exact"/>
        <w:rPr>
          <w:sz w:val="20"/>
          <w:szCs w:val="20"/>
          <w:color w:val="auto"/>
        </w:rPr>
      </w:pPr>
    </w:p>
    <w:p>
      <w:pPr>
        <w:sectPr>
          <w:pgSz w:w="11900" w:h="16838" w:orient="portrait"/>
          <w:cols w:equalWidth="0" w:num="3">
            <w:col w:w="660" w:space="440"/>
            <w:col w:w="5680" w:space="720"/>
            <w:col w:w="3720"/>
          </w:cols>
          <w:pgMar w:left="320" w:top="125" w:right="359" w:bottom="1440" w:gutter="0" w:footer="0" w:header="0"/>
          <w:type w:val="continuous"/>
        </w:sectPr>
      </w:pPr>
    </w:p>
    <w:p>
      <w:pPr>
        <w:ind w:left="1100"/>
        <w:spacing w:after="0"/>
        <w:rPr>
          <w:sz w:val="20"/>
          <w:szCs w:val="20"/>
          <w:color w:val="auto"/>
        </w:rPr>
      </w:pPr>
      <w:r>
        <w:rPr>
          <w:rFonts w:ascii="Arial" w:cs="Arial" w:eastAsia="Arial" w:hAnsi="Arial"/>
          <w:sz w:val="16"/>
          <w:szCs w:val="16"/>
          <w:color w:val="auto"/>
        </w:rPr>
        <w:t>The following financial statements from the Company’s Quarterly Report on Form 10-Q for the quarter ended March 31, 2020, formatted in</w:t>
      </w:r>
    </w:p>
    <w:p>
      <w:pPr>
        <w:spacing w:after="0" w:line="46" w:lineRule="exact"/>
        <w:rPr>
          <w:sz w:val="20"/>
          <w:szCs w:val="20"/>
          <w:color w:val="auto"/>
        </w:rPr>
      </w:pPr>
    </w:p>
    <w:p>
      <w:pPr>
        <w:ind w:left="1100" w:right="140" w:hanging="741"/>
        <w:spacing w:after="0" w:line="187" w:lineRule="auto"/>
        <w:tabs>
          <w:tab w:leader="none" w:pos="1100" w:val="left"/>
        </w:tabs>
        <w:numPr>
          <w:ilvl w:val="0"/>
          <w:numId w:val="30"/>
        </w:numPr>
        <w:rPr>
          <w:rFonts w:ascii="Arial" w:cs="Arial" w:eastAsia="Arial" w:hAnsi="Arial"/>
          <w:sz w:val="36"/>
          <w:szCs w:val="36"/>
          <w:color w:val="auto"/>
          <w:vertAlign w:val="subscript"/>
        </w:rPr>
      </w:pPr>
      <w:r>
        <w:rPr>
          <w:rFonts w:ascii="Arial" w:cs="Arial" w:eastAsia="Arial" w:hAnsi="Arial"/>
          <w:sz w:val="18"/>
          <w:szCs w:val="18"/>
          <w:color w:val="auto"/>
        </w:rPr>
        <w:t>Inline XBRL: (i) Interim Consolidated Statements of Income, (ii) Interim Consolidated Statements of Comprehensive Income, (iii) Interim Consolidated Balance Sheets, (iv) Interim Consolidated Statements of Cash Flows, (v) Interim Consolidated Statements of Shareholders’ Equity, and (vi) Notes to Interim Consolidated Financial Statements</w:t>
      </w:r>
    </w:p>
    <w:p>
      <w:pPr>
        <w:spacing w:after="0" w:line="43" w:lineRule="exact"/>
        <w:rPr>
          <w:sz w:val="20"/>
          <w:szCs w:val="20"/>
          <w:color w:val="auto"/>
        </w:rPr>
      </w:pPr>
    </w:p>
    <w:p>
      <w:pPr>
        <w:ind w:left="1100" w:right="140" w:hanging="741"/>
        <w:spacing w:after="0" w:line="182" w:lineRule="auto"/>
        <w:tabs>
          <w:tab w:leader="none" w:pos="1100" w:val="left"/>
        </w:tabs>
        <w:numPr>
          <w:ilvl w:val="0"/>
          <w:numId w:val="31"/>
        </w:numPr>
        <w:rPr>
          <w:rFonts w:ascii="Arial" w:cs="Arial" w:eastAsia="Arial" w:hAnsi="Arial"/>
          <w:sz w:val="34"/>
          <w:szCs w:val="34"/>
          <w:color w:val="auto"/>
          <w:vertAlign w:val="subscript"/>
        </w:rPr>
      </w:pPr>
      <w:r>
        <w:rPr>
          <w:rFonts w:ascii="Arial" w:cs="Arial" w:eastAsia="Arial" w:hAnsi="Arial"/>
          <w:sz w:val="17"/>
          <w:szCs w:val="17"/>
          <w:color w:val="auto"/>
        </w:rPr>
        <w:t>The cover page from the Company’s Quarterly Report on Form 10-Q for the quarter ended March 31, 2020, formatted in Inline XBRL and contained in Exhibit 101</w:t>
      </w:r>
    </w:p>
    <w:p>
      <w:pPr>
        <w:spacing w:after="0" w:line="284" w:lineRule="exact"/>
        <w:rPr>
          <w:sz w:val="20"/>
          <w:szCs w:val="20"/>
          <w:color w:val="auto"/>
        </w:rPr>
      </w:pPr>
    </w:p>
    <w:p>
      <w:pPr>
        <w:ind w:left="1080" w:right="400" w:hanging="638"/>
        <w:spacing w:after="0" w:line="182" w:lineRule="auto"/>
        <w:tabs>
          <w:tab w:leader="none" w:pos="1080" w:val="left"/>
        </w:tabs>
        <w:numPr>
          <w:ilvl w:val="0"/>
          <w:numId w:val="32"/>
        </w:numPr>
        <w:rPr>
          <w:rFonts w:ascii="Arial" w:cs="Arial" w:eastAsia="Arial" w:hAnsi="Arial"/>
          <w:sz w:val="34"/>
          <w:szCs w:val="34"/>
          <w:color w:val="auto"/>
          <w:vertAlign w:val="subscript"/>
        </w:rPr>
      </w:pPr>
      <w:r>
        <w:rPr>
          <w:rFonts w:ascii="Arial" w:cs="Arial" w:eastAsia="Arial" w:hAnsi="Arial"/>
          <w:sz w:val="17"/>
          <w:szCs w:val="17"/>
          <w:color w:val="auto"/>
        </w:rPr>
        <w:t>Schedules have been omitted pursuant to Item 601(b)(2) of Regulation S-K. The Company agrees to furnish supplemental copies to the SEC of any omitted schedule upon request by the SEC.</w:t>
      </w: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220"/>
          </w:cols>
          <w:pgMar w:left="320" w:top="125" w:right="359" w:bottom="1440" w:gutter="0" w:footer="0" w:header="0"/>
          <w:type w:val="continuous"/>
        </w:sectPr>
      </w:pPr>
    </w:p>
    <w:bookmarkStart w:id="68" w:name="page69"/>
    <w:bookmarkEnd w:id="68"/>
    <w:p>
      <w:pPr>
        <w:jc w:val="center"/>
        <w:ind w:right="-7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877"/>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16"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4520" w:type="dxa"/>
            <w:vAlign w:val="bottom"/>
          </w:tcPr>
          <w:p>
            <w:pPr>
              <w:spacing w:after="0"/>
              <w:rPr>
                <w:sz w:val="20"/>
                <w:szCs w:val="20"/>
                <w:color w:val="auto"/>
              </w:rPr>
            </w:pPr>
          </w:p>
        </w:tc>
        <w:tc>
          <w:tcPr>
            <w:tcW w:w="6520" w:type="dxa"/>
            <w:vAlign w:val="bottom"/>
          </w:tcPr>
          <w:p>
            <w:pPr>
              <w:ind w:left="20"/>
              <w:spacing w:after="0"/>
              <w:rPr>
                <w:sz w:val="20"/>
                <w:szCs w:val="20"/>
                <w:color w:val="auto"/>
              </w:rPr>
            </w:pPr>
            <w:r>
              <w:rPr>
                <w:rFonts w:ascii="Arial" w:cs="Arial" w:eastAsia="Arial" w:hAnsi="Arial"/>
                <w:sz w:val="18"/>
                <w:szCs w:val="18"/>
                <w:color w:val="auto"/>
              </w:rPr>
              <w:t>MARRIOTT VACATIONS WORLDWIDE CORPORATION</w:t>
            </w:r>
          </w:p>
        </w:tc>
      </w:tr>
      <w:tr>
        <w:trPr>
          <w:trHeight w:val="594"/>
        </w:trPr>
        <w:tc>
          <w:tcPr>
            <w:tcW w:w="4520" w:type="dxa"/>
            <w:vAlign w:val="bottom"/>
          </w:tcPr>
          <w:p>
            <w:pPr>
              <w:spacing w:after="0"/>
              <w:rPr>
                <w:sz w:val="20"/>
                <w:szCs w:val="20"/>
                <w:color w:val="auto"/>
              </w:rPr>
            </w:pPr>
            <w:r>
              <w:rPr>
                <w:rFonts w:ascii="Arial" w:cs="Arial" w:eastAsia="Arial" w:hAnsi="Arial"/>
                <w:sz w:val="18"/>
                <w:szCs w:val="18"/>
                <w:color w:val="auto"/>
              </w:rPr>
              <w:t>May 22, 2020</w:t>
            </w:r>
          </w:p>
        </w:tc>
        <w:tc>
          <w:tcPr>
            <w:tcW w:w="6520" w:type="dxa"/>
            <w:vAlign w:val="bottom"/>
          </w:tcPr>
          <w:p>
            <w:pPr>
              <w:ind w:left="20"/>
              <w:spacing w:after="0"/>
              <w:rPr>
                <w:sz w:val="20"/>
                <w:szCs w:val="20"/>
                <w:color w:val="auto"/>
              </w:rPr>
            </w:pPr>
            <w:r>
              <w:rPr>
                <w:rFonts w:ascii="Arial" w:cs="Arial" w:eastAsia="Arial" w:hAnsi="Arial"/>
                <w:sz w:val="18"/>
                <w:szCs w:val="18"/>
                <w:color w:val="auto"/>
              </w:rPr>
              <w:t>/s/ Stephen P. Weisz</w:t>
            </w:r>
          </w:p>
        </w:tc>
      </w:tr>
      <w:tr>
        <w:trPr>
          <w:trHeight w:val="27"/>
        </w:trPr>
        <w:tc>
          <w:tcPr>
            <w:tcW w:w="4520" w:type="dxa"/>
            <w:vAlign w:val="bottom"/>
          </w:tcPr>
          <w:p>
            <w:pPr>
              <w:spacing w:after="0"/>
              <w:rPr>
                <w:sz w:val="2"/>
                <w:szCs w:val="2"/>
                <w:color w:val="auto"/>
              </w:rPr>
            </w:pPr>
          </w:p>
        </w:tc>
        <w:tc>
          <w:tcPr>
            <w:tcW w:w="6520" w:type="dxa"/>
            <w:vAlign w:val="bottom"/>
            <w:tcBorders>
              <w:bottom w:val="single" w:sz="8" w:color="auto"/>
            </w:tcBorders>
          </w:tcPr>
          <w:p>
            <w:pPr>
              <w:spacing w:after="0"/>
              <w:rPr>
                <w:sz w:val="2"/>
                <w:szCs w:val="2"/>
                <w:color w:val="auto"/>
              </w:rPr>
            </w:pPr>
          </w:p>
        </w:tc>
      </w:tr>
      <w:tr>
        <w:trPr>
          <w:trHeight w:val="237"/>
        </w:trPr>
        <w:tc>
          <w:tcPr>
            <w:tcW w:w="4520" w:type="dxa"/>
            <w:vAlign w:val="bottom"/>
          </w:tcPr>
          <w:p>
            <w:pPr>
              <w:spacing w:after="0"/>
              <w:rPr>
                <w:sz w:val="20"/>
                <w:szCs w:val="20"/>
                <w:color w:val="auto"/>
              </w:rPr>
            </w:pPr>
          </w:p>
        </w:tc>
        <w:tc>
          <w:tcPr>
            <w:tcW w:w="6520" w:type="dxa"/>
            <w:vAlign w:val="bottom"/>
          </w:tcPr>
          <w:p>
            <w:pPr>
              <w:ind w:left="20"/>
              <w:spacing w:after="0"/>
              <w:rPr>
                <w:sz w:val="20"/>
                <w:szCs w:val="20"/>
                <w:color w:val="auto"/>
              </w:rPr>
            </w:pPr>
            <w:r>
              <w:rPr>
                <w:rFonts w:ascii="Arial" w:cs="Arial" w:eastAsia="Arial" w:hAnsi="Arial"/>
                <w:sz w:val="18"/>
                <w:szCs w:val="18"/>
                <w:color w:val="auto"/>
              </w:rPr>
              <w:t>Stephen P. Weisz</w:t>
            </w:r>
          </w:p>
        </w:tc>
      </w:tr>
      <w:tr>
        <w:trPr>
          <w:trHeight w:val="270"/>
        </w:trPr>
        <w:tc>
          <w:tcPr>
            <w:tcW w:w="4520" w:type="dxa"/>
            <w:vAlign w:val="bottom"/>
          </w:tcPr>
          <w:p>
            <w:pPr>
              <w:spacing w:after="0"/>
              <w:rPr>
                <w:sz w:val="23"/>
                <w:szCs w:val="23"/>
                <w:color w:val="auto"/>
              </w:rPr>
            </w:pPr>
          </w:p>
        </w:tc>
        <w:tc>
          <w:tcPr>
            <w:tcW w:w="652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r>
    </w:tbl>
    <w:p>
      <w:pPr>
        <w:spacing w:after="0" w:line="364"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/s/ John E. Geller,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2893695</wp:posOffset>
            </wp:positionH>
            <wp:positionV relativeFrom="paragraph">
              <wp:posOffset>31750</wp:posOffset>
            </wp:positionV>
            <wp:extent cx="414020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42">
                      <a:extLst>
                        <a:ext uri="{28A0092B-C50C-407E-A947-70E740481C1C}"/>
                      </a:extLst>
                    </a:blip>
                    <a:srcRect/>
                    <a:stretch>
                      <a:fillRect/>
                    </a:stretch>
                  </pic:blipFill>
                  <pic:spPr bwMode="auto">
                    <a:xfrm>
                      <a:off x="0" y="0"/>
                      <a:ext cx="4140200" cy="8255"/>
                    </a:xfrm>
                    <a:prstGeom prst="rect">
                      <a:avLst/>
                    </a:prstGeom>
                    <a:noFill/>
                  </pic:spPr>
                </pic:pic>
              </a:graphicData>
            </a:graphic>
          </wp:anchor>
        </w:drawing>
      </w:r>
    </w:p>
    <w:p>
      <w:pPr>
        <w:spacing w:after="0" w:line="57"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John E. Geller, Jr.</w:t>
      </w:r>
    </w:p>
    <w:p>
      <w:pPr>
        <w:spacing w:after="0" w:line="63"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Executive Vice President and Chief Financial and Administrative Officer</w:t>
      </w:r>
    </w:p>
    <w:p>
      <w:pPr>
        <w:spacing w:after="0" w:line="25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160"/>
          </w:cols>
          <w:pgMar w:left="320" w:top="337" w:right="419" w:bottom="1440" w:gutter="0" w:footer="0" w:header="0"/>
        </w:sectPr>
      </w:pPr>
    </w:p>
    <w:bookmarkStart w:id="69" w:name="page70"/>
    <w:bookmarkEnd w:id="69"/>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of the Securities Exchange Act of 1934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Stephen P. Weisz, certify that:</w:t>
      </w:r>
    </w:p>
    <w:p>
      <w:pPr>
        <w:spacing w:after="0" w:line="117" w:lineRule="exact"/>
        <w:rPr>
          <w:sz w:val="20"/>
          <w:szCs w:val="20"/>
          <w:color w:val="auto"/>
        </w:rPr>
      </w:pPr>
    </w:p>
    <w:p>
      <w:pPr>
        <w:ind w:left="660" w:hanging="652"/>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Marriott Vacations Worldwide Corporation;</w:t>
      </w:r>
    </w:p>
    <w:p>
      <w:pPr>
        <w:spacing w:after="0" w:line="117" w:lineRule="exact"/>
        <w:rPr>
          <w:rFonts w:ascii="Arial" w:cs="Arial" w:eastAsia="Arial" w:hAnsi="Arial"/>
          <w:sz w:val="18"/>
          <w:szCs w:val="18"/>
          <w:color w:val="auto"/>
        </w:rPr>
      </w:pPr>
    </w:p>
    <w:p>
      <w:pPr>
        <w:jc w:val="both"/>
        <w:ind w:left="660" w:right="120" w:hanging="652"/>
        <w:spacing w:after="0" w:line="263"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660" w:right="80" w:hanging="652"/>
        <w:spacing w:after="0" w:line="308" w:lineRule="auto"/>
        <w:tabs>
          <w:tab w:leader="none" w:pos="6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jc w:val="both"/>
        <w:ind w:left="660" w:right="120" w:hanging="652"/>
        <w:spacing w:after="0" w:line="263"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1300" w:right="120" w:hanging="644"/>
        <w:spacing w:after="0" w:line="263" w:lineRule="auto"/>
        <w:tabs>
          <w:tab w:leader="none" w:pos="1300" w:val="left"/>
        </w:tabs>
        <w:numPr>
          <w:ilvl w:val="1"/>
          <w:numId w:val="3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300" w:right="40" w:hanging="644"/>
        <w:spacing w:after="0" w:line="263" w:lineRule="auto"/>
        <w:tabs>
          <w:tab w:leader="none" w:pos="1300" w:val="left"/>
        </w:tabs>
        <w:numPr>
          <w:ilvl w:val="1"/>
          <w:numId w:val="3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1300" w:right="220" w:hanging="644"/>
        <w:spacing w:after="0" w:line="342" w:lineRule="auto"/>
        <w:tabs>
          <w:tab w:leader="none" w:pos="1300" w:val="left"/>
        </w:tabs>
        <w:numPr>
          <w:ilvl w:val="1"/>
          <w:numId w:val="3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300" w:right="200" w:hanging="644"/>
        <w:spacing w:after="0" w:line="263" w:lineRule="auto"/>
        <w:tabs>
          <w:tab w:leader="none" w:pos="1300" w:val="left"/>
        </w:tabs>
        <w:numPr>
          <w:ilvl w:val="1"/>
          <w:numId w:val="3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660" w:right="80" w:hanging="652"/>
        <w:spacing w:after="0" w:line="342" w:lineRule="auto"/>
        <w:tabs>
          <w:tab w:leader="none" w:pos="6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300" w:right="460" w:hanging="644"/>
        <w:spacing w:after="0" w:line="342" w:lineRule="auto"/>
        <w:tabs>
          <w:tab w:leader="none" w:pos="1300" w:val="left"/>
        </w:tabs>
        <w:numPr>
          <w:ilvl w:val="1"/>
          <w:numId w:val="3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300" w:right="140" w:hanging="644"/>
        <w:spacing w:after="0" w:line="277" w:lineRule="auto"/>
        <w:tabs>
          <w:tab w:leader="none" w:pos="1300" w:val="left"/>
        </w:tabs>
        <w:numPr>
          <w:ilvl w:val="1"/>
          <w:numId w:val="3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Date: May 22, 2020</w:t>
      </w:r>
    </w:p>
    <w:p>
      <w:pPr>
        <w:spacing w:after="0" w:line="200" w:lineRule="exact"/>
        <w:rPr>
          <w:sz w:val="20"/>
          <w:szCs w:val="20"/>
          <w:color w:val="auto"/>
        </w:rPr>
      </w:pPr>
    </w:p>
    <w:p>
      <w:pPr>
        <w:spacing w:after="0" w:line="295"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/s/ Stephen P. Weisz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2936875</wp:posOffset>
            </wp:positionH>
            <wp:positionV relativeFrom="paragraph">
              <wp:posOffset>31750</wp:posOffset>
            </wp:positionV>
            <wp:extent cx="420052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43">
                      <a:extLst>
                        <a:ext uri="{28A0092B-C50C-407E-A947-70E740481C1C}"/>
                      </a:extLst>
                    </a:blip>
                    <a:srcRect/>
                    <a:stretch>
                      <a:fillRect/>
                    </a:stretch>
                  </pic:blipFill>
                  <pic:spPr bwMode="auto">
                    <a:xfrm>
                      <a:off x="0" y="0"/>
                      <a:ext cx="4200525" cy="8255"/>
                    </a:xfrm>
                    <a:prstGeom prst="rect">
                      <a:avLst/>
                    </a:prstGeom>
                    <a:noFill/>
                  </pic:spPr>
                </pic:pic>
              </a:graphicData>
            </a:graphic>
          </wp:anchor>
        </w:drawing>
      </w:r>
    </w:p>
    <w:p>
      <w:pPr>
        <w:spacing w:after="0" w:line="57"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Stephen P. Weisz</w:t>
      </w:r>
    </w:p>
    <w:p>
      <w:pPr>
        <w:spacing w:after="0" w:line="63"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President and Chief Executive Officer</w:t>
      </w:r>
    </w:p>
    <w:p>
      <w:pPr>
        <w:spacing w:after="0" w:line="63"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553" w:right="339" w:bottom="1440" w:gutter="0" w:footer="0" w:header="0"/>
        </w:sectPr>
      </w:pPr>
    </w:p>
    <w:bookmarkStart w:id="70" w:name="page71"/>
    <w:bookmarkEnd w:id="70"/>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of the Securities Exchange Act of 1934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John E. Geller, Jr., certify that:</w:t>
      </w:r>
    </w:p>
    <w:p>
      <w:pPr>
        <w:spacing w:after="0" w:line="117" w:lineRule="exact"/>
        <w:rPr>
          <w:sz w:val="20"/>
          <w:szCs w:val="20"/>
          <w:color w:val="auto"/>
        </w:rPr>
      </w:pPr>
    </w:p>
    <w:p>
      <w:pPr>
        <w:ind w:left="660" w:hanging="652"/>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Marriott Vacations Worldwide Corporation;</w:t>
      </w:r>
    </w:p>
    <w:p>
      <w:pPr>
        <w:spacing w:after="0" w:line="117" w:lineRule="exact"/>
        <w:rPr>
          <w:rFonts w:ascii="Arial" w:cs="Arial" w:eastAsia="Arial" w:hAnsi="Arial"/>
          <w:sz w:val="18"/>
          <w:szCs w:val="18"/>
          <w:color w:val="auto"/>
        </w:rPr>
      </w:pPr>
    </w:p>
    <w:p>
      <w:pPr>
        <w:jc w:val="both"/>
        <w:ind w:left="660" w:right="120" w:hanging="652"/>
        <w:spacing w:after="0" w:line="263"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660" w:right="80" w:hanging="652"/>
        <w:spacing w:after="0" w:line="308" w:lineRule="auto"/>
        <w:tabs>
          <w:tab w:leader="none" w:pos="6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jc w:val="both"/>
        <w:ind w:left="660" w:right="120" w:hanging="652"/>
        <w:spacing w:after="0" w:line="263"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1300" w:right="120" w:hanging="644"/>
        <w:spacing w:after="0" w:line="263" w:lineRule="auto"/>
        <w:tabs>
          <w:tab w:leader="none" w:pos="1300" w:val="left"/>
        </w:tabs>
        <w:numPr>
          <w:ilvl w:val="1"/>
          <w:numId w:val="3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300" w:right="40" w:hanging="644"/>
        <w:spacing w:after="0" w:line="263" w:lineRule="auto"/>
        <w:tabs>
          <w:tab w:leader="none" w:pos="1300" w:val="left"/>
        </w:tabs>
        <w:numPr>
          <w:ilvl w:val="1"/>
          <w:numId w:val="3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1300" w:right="220" w:hanging="644"/>
        <w:spacing w:after="0" w:line="342" w:lineRule="auto"/>
        <w:tabs>
          <w:tab w:leader="none" w:pos="1300" w:val="left"/>
        </w:tabs>
        <w:numPr>
          <w:ilvl w:val="1"/>
          <w:numId w:val="3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300" w:right="200" w:hanging="644"/>
        <w:spacing w:after="0" w:line="263" w:lineRule="auto"/>
        <w:tabs>
          <w:tab w:leader="none" w:pos="1300" w:val="left"/>
        </w:tabs>
        <w:numPr>
          <w:ilvl w:val="1"/>
          <w:numId w:val="3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660" w:right="80" w:hanging="652"/>
        <w:spacing w:after="0" w:line="342" w:lineRule="auto"/>
        <w:tabs>
          <w:tab w:leader="none" w:pos="6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300" w:right="460" w:hanging="644"/>
        <w:spacing w:after="0" w:line="342" w:lineRule="auto"/>
        <w:tabs>
          <w:tab w:leader="none" w:pos="1300" w:val="left"/>
        </w:tabs>
        <w:numPr>
          <w:ilvl w:val="1"/>
          <w:numId w:val="3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300" w:right="140" w:hanging="644"/>
        <w:spacing w:after="0" w:line="277" w:lineRule="auto"/>
        <w:tabs>
          <w:tab w:leader="none" w:pos="1300" w:val="left"/>
        </w:tabs>
        <w:numPr>
          <w:ilvl w:val="1"/>
          <w:numId w:val="3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Date: May 22, 2020</w:t>
      </w:r>
    </w:p>
    <w:p>
      <w:pPr>
        <w:spacing w:after="0" w:line="200" w:lineRule="exact"/>
        <w:rPr>
          <w:sz w:val="20"/>
          <w:szCs w:val="20"/>
          <w:color w:val="auto"/>
        </w:rPr>
      </w:pPr>
    </w:p>
    <w:p>
      <w:pPr>
        <w:spacing w:after="0" w:line="268"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/s/ John E. Geller,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2945130</wp:posOffset>
            </wp:positionH>
            <wp:positionV relativeFrom="paragraph">
              <wp:posOffset>31750</wp:posOffset>
            </wp:positionV>
            <wp:extent cx="416623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44">
                      <a:extLst>
                        <a:ext uri="{28A0092B-C50C-407E-A947-70E740481C1C}"/>
                      </a:extLst>
                    </a:blip>
                    <a:srcRect/>
                    <a:stretch>
                      <a:fillRect/>
                    </a:stretch>
                  </pic:blipFill>
                  <pic:spPr bwMode="auto">
                    <a:xfrm>
                      <a:off x="0" y="0"/>
                      <a:ext cx="4166235" cy="8890"/>
                    </a:xfrm>
                    <a:prstGeom prst="rect">
                      <a:avLst/>
                    </a:prstGeom>
                    <a:noFill/>
                  </pic:spPr>
                </pic:pic>
              </a:graphicData>
            </a:graphic>
          </wp:anchor>
        </w:drawing>
      </w:r>
    </w:p>
    <w:p>
      <w:pPr>
        <w:spacing w:after="0" w:line="57"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John E. Geller, Jr.</w:t>
      </w:r>
    </w:p>
    <w:p>
      <w:pPr>
        <w:spacing w:after="0" w:line="63"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Executive Vice President and Chief Financial and Administrative Officer</w:t>
      </w:r>
    </w:p>
    <w:p>
      <w:pPr>
        <w:spacing w:after="0" w:line="63"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240"/>
          </w:cols>
          <w:pgMar w:left="320" w:top="553" w:right="339" w:bottom="1440" w:gutter="0" w:footer="0" w:header="0"/>
        </w:sectPr>
      </w:pPr>
    </w:p>
    <w:bookmarkStart w:id="71" w:name="page72"/>
    <w:bookmarkEnd w:id="71"/>
    <w:p>
      <w:pPr>
        <w:jc w:val="right"/>
        <w:spacing w:after="0"/>
        <w:rPr>
          <w:sz w:val="20"/>
          <w:szCs w:val="20"/>
          <w:color w:val="auto"/>
        </w:rPr>
      </w:pPr>
      <w:r>
        <w:rPr>
          <w:rFonts w:ascii="Arial" w:cs="Arial" w:eastAsia="Arial" w:hAnsi="Arial"/>
          <w:sz w:val="18"/>
          <w:szCs w:val="18"/>
          <w:b w:val="1"/>
          <w:bCs w:val="1"/>
          <w:color w:val="auto"/>
        </w:rPr>
        <w:t>Exhibit 32.1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13a-14(b) and Section 906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Sections 1350(a) and (b))</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Stephen P. Weisz, President and Chief Executive Officer of Marriott Vacations Worldwide Corporation (the “Company”) certify that:</w:t>
      </w:r>
    </w:p>
    <w:p>
      <w:pPr>
        <w:spacing w:after="0" w:line="117" w:lineRule="exact"/>
        <w:rPr>
          <w:sz w:val="20"/>
          <w:szCs w:val="20"/>
          <w:color w:val="auto"/>
        </w:rPr>
      </w:pPr>
    </w:p>
    <w:p>
      <w:pPr>
        <w:ind w:left="660" w:right="560" w:hanging="652"/>
        <w:spacing w:after="0" w:line="308" w:lineRule="auto"/>
        <w:tabs>
          <w:tab w:leader="none" w:pos="6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Quarterly Report on Form 10-Q of the Company for the period ended March 31, 2020 (the “Quarterly Report”), fully complies with the requirements of section 13(a) or 15(d) of the Securities Exchange Act of 1934 (15 U.S.C. 78m or 78o(d)); and</w:t>
      </w:r>
    </w:p>
    <w:p>
      <w:pPr>
        <w:spacing w:after="0" w:line="38" w:lineRule="exact"/>
        <w:rPr>
          <w:rFonts w:ascii="Arial" w:cs="Arial" w:eastAsia="Arial" w:hAnsi="Arial"/>
          <w:sz w:val="17"/>
          <w:szCs w:val="17"/>
          <w:color w:val="auto"/>
        </w:rPr>
      </w:pPr>
    </w:p>
    <w:p>
      <w:pPr>
        <w:ind w:left="660" w:right="240" w:hanging="652"/>
        <w:spacing w:after="0" w:line="277"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information contained in the Quarterly Report fairly presents, in all material respects, the financial condition and results of operations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May 22, 2020</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/s/ Stephen P. Weisz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3048000</wp:posOffset>
            </wp:positionH>
            <wp:positionV relativeFrom="paragraph">
              <wp:posOffset>31750</wp:posOffset>
            </wp:positionV>
            <wp:extent cx="345440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5">
                      <a:extLst>
                        <a:ext uri="{28A0092B-C50C-407E-A947-70E740481C1C}"/>
                      </a:extLst>
                    </a:blip>
                    <a:srcRect/>
                    <a:stretch>
                      <a:fillRect/>
                    </a:stretch>
                  </pic:blipFill>
                  <pic:spPr bwMode="auto">
                    <a:xfrm>
                      <a:off x="0" y="0"/>
                      <a:ext cx="3454400" cy="8255"/>
                    </a:xfrm>
                    <a:prstGeom prst="rect">
                      <a:avLst/>
                    </a:prstGeom>
                    <a:noFill/>
                  </pic:spPr>
                </pic:pic>
              </a:graphicData>
            </a:graphic>
          </wp:anchor>
        </w:drawing>
      </w:r>
    </w:p>
    <w:p>
      <w:pPr>
        <w:spacing w:after="0" w:line="57"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Stephen P. Weisz</w:t>
      </w:r>
    </w:p>
    <w:p>
      <w:pPr>
        <w:spacing w:after="0" w:line="63"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President and Chief Executive Officer</w:t>
      </w:r>
    </w:p>
    <w:p>
      <w:pPr>
        <w:spacing w:after="0" w:line="63"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553" w:right="339" w:bottom="1440" w:gutter="0" w:footer="0" w:header="0"/>
        </w:sectPr>
      </w:pPr>
    </w:p>
    <w:bookmarkStart w:id="72" w:name="page73"/>
    <w:bookmarkEnd w:id="72"/>
    <w:p>
      <w:pPr>
        <w:jc w:val="right"/>
        <w:spacing w:after="0"/>
        <w:rPr>
          <w:sz w:val="20"/>
          <w:szCs w:val="20"/>
          <w:color w:val="auto"/>
        </w:rPr>
      </w:pPr>
      <w:r>
        <w:rPr>
          <w:rFonts w:ascii="Arial" w:cs="Arial" w:eastAsia="Arial" w:hAnsi="Arial"/>
          <w:sz w:val="18"/>
          <w:szCs w:val="18"/>
          <w:b w:val="1"/>
          <w:bCs w:val="1"/>
          <w:color w:val="auto"/>
        </w:rPr>
        <w:t>Exhibit 32.2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13a-14(b) and Section 906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Sections 1350(a) and (b))</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I, John E. Geller, Jr., Executive Vice President and Chief Financial Officer of Marriott Vacations Worldwide Corporation (the “Company”) certify that:</w:t>
      </w:r>
    </w:p>
    <w:p>
      <w:pPr>
        <w:spacing w:after="0" w:line="129" w:lineRule="exact"/>
        <w:rPr>
          <w:sz w:val="20"/>
          <w:szCs w:val="20"/>
          <w:color w:val="auto"/>
        </w:rPr>
      </w:pPr>
    </w:p>
    <w:p>
      <w:pPr>
        <w:ind w:left="660" w:right="560" w:hanging="652"/>
        <w:spacing w:after="0" w:line="308" w:lineRule="auto"/>
        <w:tabs>
          <w:tab w:leader="none" w:pos="6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Quarterly Report on Form 10-Q of the Company for the period ended March 31, 2020 (the “Quarterly Report”), fully complies with the requirements of section 13(a) or 15(d) of the Securities Exchange Act of 1934 (15 U.S.C. 78m or 78o(d)); and</w:t>
      </w:r>
    </w:p>
    <w:p>
      <w:pPr>
        <w:spacing w:after="0" w:line="38" w:lineRule="exact"/>
        <w:rPr>
          <w:rFonts w:ascii="Arial" w:cs="Arial" w:eastAsia="Arial" w:hAnsi="Arial"/>
          <w:sz w:val="17"/>
          <w:szCs w:val="17"/>
          <w:color w:val="auto"/>
        </w:rPr>
      </w:pPr>
    </w:p>
    <w:p>
      <w:pPr>
        <w:ind w:left="660" w:right="240" w:hanging="652"/>
        <w:spacing w:after="0" w:line="277"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information contained in the Quarterly Report fairly presents, in all material respects, the financial condition and results of operations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May 22, 2020</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/s/ John E. Geller,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31750</wp:posOffset>
            </wp:positionV>
            <wp:extent cx="340360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46">
                      <a:extLst>
                        <a:ext uri="{28A0092B-C50C-407E-A947-70E740481C1C}"/>
                      </a:extLst>
                    </a:blip>
                    <a:srcRect/>
                    <a:stretch>
                      <a:fillRect/>
                    </a:stretch>
                  </pic:blipFill>
                  <pic:spPr bwMode="auto">
                    <a:xfrm>
                      <a:off x="0" y="0"/>
                      <a:ext cx="3403600" cy="8255"/>
                    </a:xfrm>
                    <a:prstGeom prst="rect">
                      <a:avLst/>
                    </a:prstGeom>
                    <a:noFill/>
                  </pic:spPr>
                </pic:pic>
              </a:graphicData>
            </a:graphic>
          </wp:anchor>
        </w:drawing>
      </w:r>
    </w:p>
    <w:p>
      <w:pPr>
        <w:spacing w:after="0" w:line="57"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John E. Geller, Jr.</w:t>
      </w:r>
    </w:p>
    <w:p>
      <w:pPr>
        <w:spacing w:after="0" w:line="6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Executive Vice President and Chief Financial and Administrative Officer</w:t>
      </w:r>
    </w:p>
    <w:p>
      <w:pPr>
        <w:spacing w:after="0" w:line="6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(Principal Financial Officer)</w:t>
      </w:r>
    </w:p>
    <w:sectPr>
      <w:pgSz w:w="11900" w:h="16838" w:orient="portrait"/>
      <w:cols w:equalWidth="0" w:num="1">
        <w:col w:w="11240"/>
      </w:cols>
      <w:pgMar w:left="320" w:top="55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F2DBA31"/>
    <w:multiLevelType w:val="hybridMultilevel"/>
    <w:lvl w:ilvl="0">
      <w:lvlJc w:val="left"/>
      <w:lvlText w:val="☒"/>
      <w:numFmt w:val="bullet"/>
      <w:start w:val="1"/>
    </w:lvl>
  </w:abstractNum>
  <w:abstractNum w:abstractNumId="1">
    <w:nsid w:val="7C83E458"/>
    <w:multiLevelType w:val="hybridMultilevel"/>
    <w:lvl w:ilvl="0">
      <w:lvlJc w:val="left"/>
      <w:lvlText w:val="☐"/>
      <w:numFmt w:val="bullet"/>
      <w:start w:val="1"/>
    </w:lvl>
  </w:abstractNum>
  <w:abstractNum w:abstractNumId="2">
    <w:nsid w:val="257130A3"/>
    <w:multiLevelType w:val="hybridMultilevel"/>
    <w:lvl w:ilvl="0">
      <w:lvlJc w:val="left"/>
      <w:lvlText w:val="%1."/>
      <w:numFmt w:val="decimal"/>
      <w:start w:val="1"/>
    </w:lvl>
  </w:abstractNum>
  <w:abstractNum w:abstractNumId="3">
    <w:nsid w:val="62BBD95A"/>
    <w:multiLevelType w:val="hybridMultilevel"/>
    <w:lvl w:ilvl="0">
      <w:lvlJc w:val="left"/>
      <w:lvlText w:val="%1."/>
      <w:numFmt w:val="decimal"/>
      <w:start w:val="2"/>
    </w:lvl>
  </w:abstractNum>
  <w:abstractNum w:abstractNumId="4">
    <w:nsid w:val="436C6125"/>
    <w:multiLevelType w:val="hybridMultilevel"/>
    <w:lvl w:ilvl="0">
      <w:lvlJc w:val="left"/>
      <w:lvlText w:val="%1."/>
      <w:numFmt w:val="decimal"/>
      <w:start w:val="3"/>
    </w:lvl>
  </w:abstractNum>
  <w:abstractNum w:abstractNumId="5">
    <w:nsid w:val="628C895D"/>
    <w:multiLevelType w:val="hybridMultilevel"/>
    <w:lvl w:ilvl="0">
      <w:lvlJc w:val="left"/>
      <w:lvlText w:val="%1."/>
      <w:numFmt w:val="decimal"/>
      <w:start w:val="4"/>
    </w:lvl>
  </w:abstractNum>
  <w:abstractNum w:abstractNumId="6">
    <w:nsid w:val="333AB105"/>
    <w:multiLevelType w:val="hybridMultilevel"/>
    <w:lvl w:ilvl="0">
      <w:lvlJc w:val="left"/>
      <w:lvlText w:val="%1."/>
      <w:numFmt w:val="decimal"/>
      <w:start w:val="5"/>
    </w:lvl>
  </w:abstractNum>
  <w:abstractNum w:abstractNumId="7">
    <w:nsid w:val="721DA317"/>
    <w:multiLevelType w:val="hybridMultilevel"/>
    <w:lvl w:ilvl="0">
      <w:lvlJc w:val="left"/>
      <w:lvlText w:val="%1."/>
      <w:numFmt w:val="decimal"/>
      <w:start w:val="6"/>
    </w:lvl>
  </w:abstractNum>
  <w:abstractNum w:abstractNumId="8">
    <w:nsid w:val="2443A858"/>
    <w:multiLevelType w:val="hybridMultilevel"/>
    <w:lvl w:ilvl="0">
      <w:lvlJc w:val="left"/>
      <w:lvlText w:val="(%1)"/>
      <w:numFmt w:val="decimal"/>
      <w:start w:val="1"/>
    </w:lvl>
  </w:abstractNum>
  <w:abstractNum w:abstractNumId="9">
    <w:nsid w:val="2D1D5AE9"/>
    <w:multiLevelType w:val="hybridMultilevel"/>
    <w:lvl w:ilvl="0">
      <w:lvlJc w:val="left"/>
      <w:lvlText w:val="(%1)"/>
      <w:numFmt w:val="decimal"/>
      <w:start w:val="1"/>
    </w:lvl>
  </w:abstractNum>
  <w:abstractNum w:abstractNumId="10">
    <w:nsid w:val="6763845E"/>
    <w:multiLevelType w:val="hybridMultilevel"/>
    <w:lvl w:ilvl="0">
      <w:lvlJc w:val="left"/>
      <w:lvlText w:val="(%1)"/>
      <w:numFmt w:val="decimal"/>
      <w:start w:val="1"/>
    </w:lvl>
  </w:abstractNum>
  <w:abstractNum w:abstractNumId="11">
    <w:nsid w:val="75A2A8D4"/>
    <w:multiLevelType w:val="hybridMultilevel"/>
    <w:lvl w:ilvl="0">
      <w:lvlJc w:val="left"/>
      <w:lvlText w:val="%1."/>
      <w:numFmt w:val="decimal"/>
      <w:start w:val="7"/>
    </w:lvl>
  </w:abstractNum>
  <w:abstractNum w:abstractNumId="12">
    <w:nsid w:val="8EDBDAB"/>
    <w:multiLevelType w:val="hybridMultilevel"/>
    <w:lvl w:ilvl="0">
      <w:lvlJc w:val="left"/>
      <w:lvlText w:val="%1."/>
      <w:numFmt w:val="decimal"/>
      <w:start w:val="8"/>
    </w:lvl>
  </w:abstractNum>
  <w:abstractNum w:abstractNumId="13">
    <w:nsid w:val="79838CB2"/>
    <w:multiLevelType w:val="hybridMultilevel"/>
    <w:lvl w:ilvl="0">
      <w:lvlJc w:val="left"/>
      <w:lvlText w:val="(%1)"/>
      <w:numFmt w:val="decimal"/>
      <w:start w:val="1"/>
    </w:lvl>
  </w:abstractNum>
  <w:abstractNum w:abstractNumId="14">
    <w:nsid w:val="4353D0CD"/>
    <w:multiLevelType w:val="hybridMultilevel"/>
    <w:lvl w:ilvl="0">
      <w:lvlJc w:val="left"/>
      <w:lvlText w:val="(%1)"/>
      <w:numFmt w:val="decimal"/>
      <w:start w:val="1"/>
    </w:lvl>
  </w:abstractNum>
  <w:abstractNum w:abstractNumId="15">
    <w:nsid w:val="B03E0C6"/>
    <w:multiLevelType w:val="hybridMultilevel"/>
    <w:lvl w:ilvl="0">
      <w:lvlJc w:val="left"/>
      <w:lvlText w:val="•"/>
      <w:numFmt w:val="bullet"/>
      <w:start w:val="1"/>
    </w:lvl>
  </w:abstractNum>
  <w:abstractNum w:abstractNumId="16">
    <w:nsid w:val="189A769B"/>
    <w:multiLevelType w:val="hybridMultilevel"/>
    <w:lvl w:ilvl="0">
      <w:lvlJc w:val="left"/>
      <w:lvlText w:val="(%1)"/>
      <w:numFmt w:val="decimal"/>
      <w:start w:val="1"/>
    </w:lvl>
  </w:abstractNum>
  <w:abstractNum w:abstractNumId="17">
    <w:nsid w:val="54E49EB4"/>
    <w:multiLevelType w:val="hybridMultilevel"/>
    <w:lvl w:ilvl="0">
      <w:lvlJc w:val="left"/>
      <w:lvlText w:val="•"/>
      <w:numFmt w:val="bullet"/>
      <w:start w:val="1"/>
    </w:lvl>
  </w:abstractNum>
  <w:abstractNum w:abstractNumId="18">
    <w:nsid w:val="71F32454"/>
    <w:multiLevelType w:val="hybridMultilevel"/>
    <w:lvl w:ilvl="0">
      <w:lvlJc w:val="left"/>
      <w:lvlText w:val="%1."/>
      <w:numFmt w:val="decimal"/>
      <w:start w:val="17"/>
    </w:lvl>
  </w:abstractNum>
  <w:abstractNum w:abstractNumId="19">
    <w:nsid w:val="2CA88611"/>
    <w:multiLevelType w:val="hybridMultilevel"/>
    <w:lvl w:ilvl="0">
      <w:lvlJc w:val="left"/>
      <w:lvlText w:val="•"/>
      <w:numFmt w:val="bullet"/>
      <w:start w:val="1"/>
    </w:lvl>
  </w:abstractNum>
  <w:abstractNum w:abstractNumId="20">
    <w:nsid w:val="836C40E"/>
    <w:multiLevelType w:val="hybridMultilevel"/>
    <w:lvl w:ilvl="0">
      <w:lvlJc w:val="left"/>
      <w:lvlText w:val="•"/>
      <w:numFmt w:val="bullet"/>
      <w:start w:val="1"/>
    </w:lvl>
  </w:abstractNum>
  <w:abstractNum w:abstractNumId="21">
    <w:nsid w:val="2901D82"/>
    <w:multiLevelType w:val="hybridMultilevel"/>
    <w:lvl w:ilvl="0">
      <w:lvlJc w:val="left"/>
      <w:lvlText w:val="•"/>
      <w:numFmt w:val="bullet"/>
      <w:start w:val="1"/>
    </w:lvl>
    <w:lvl w:ilvl="1">
      <w:lvlJc w:val="left"/>
      <w:lvlText w:val="•"/>
      <w:numFmt w:val="bullet"/>
      <w:start w:val="1"/>
    </w:lvl>
  </w:abstractNum>
  <w:abstractNum w:abstractNumId="22">
    <w:nsid w:val="3A95F874"/>
    <w:multiLevelType w:val="hybridMultilevel"/>
    <w:lvl w:ilvl="0">
      <w:lvlJc w:val="left"/>
      <w:lvlText w:val="•"/>
      <w:numFmt w:val="bullet"/>
      <w:start w:val="1"/>
    </w:lvl>
    <w:lvl w:ilvl="1">
      <w:lvlJc w:val="left"/>
      <w:lvlText w:val="•"/>
      <w:numFmt w:val="bullet"/>
      <w:start w:val="1"/>
    </w:lvl>
  </w:abstractNum>
  <w:abstractNum w:abstractNumId="23">
    <w:nsid w:val="8138641"/>
    <w:multiLevelType w:val="hybridMultilevel"/>
    <w:lvl w:ilvl="0">
      <w:lvlJc w:val="left"/>
      <w:lvlText w:val="(%1)"/>
      <w:numFmt w:val="decimal"/>
      <w:start w:val="1"/>
    </w:lvl>
  </w:abstractNum>
  <w:abstractNum w:abstractNumId="24">
    <w:nsid w:val="1E7FF521"/>
    <w:multiLevelType w:val="hybridMultilevel"/>
    <w:lvl w:ilvl="0">
      <w:lvlJc w:val="left"/>
      <w:lvlText w:val="(%1)"/>
      <w:numFmt w:val="decimal"/>
      <w:start w:val="1"/>
    </w:lvl>
  </w:abstractNum>
  <w:abstractNum w:abstractNumId="25">
    <w:nsid w:val="7C3DBD3D"/>
    <w:multiLevelType w:val="hybridMultilevel"/>
    <w:lvl w:ilvl="0">
      <w:lvlJc w:val="left"/>
      <w:lvlText w:val="(%1)"/>
      <w:numFmt w:val="decimal"/>
      <w:start w:val="1"/>
    </w:lvl>
  </w:abstractNum>
  <w:abstractNum w:abstractNumId="26">
    <w:nsid w:val="737B8DDC"/>
    <w:multiLevelType w:val="hybridMultilevel"/>
    <w:lvl w:ilvl="0">
      <w:lvlJc w:val="left"/>
      <w:lvlText w:val="◦"/>
      <w:numFmt w:val="bullet"/>
      <w:start w:val="1"/>
    </w:lvl>
  </w:abstractNum>
  <w:abstractNum w:abstractNumId="27">
    <w:nsid w:val="6CEAF087"/>
    <w:multiLevelType w:val="hybridMultilevel"/>
    <w:lvl w:ilvl="0">
      <w:lvlJc w:val="left"/>
      <w:lvlText w:val="(%1)"/>
      <w:numFmt w:val="decimal"/>
      <w:start w:val="1"/>
    </w:lvl>
  </w:abstractNum>
  <w:abstractNum w:abstractNumId="28">
    <w:nsid w:val="22221A70"/>
    <w:multiLevelType w:val="hybridMultilevel"/>
    <w:lvl w:ilvl="0">
      <w:lvlJc w:val="left"/>
      <w:lvlText w:val="(%1)"/>
      <w:numFmt w:val="decimal"/>
      <w:start w:val="1"/>
    </w:lvl>
  </w:abstractNum>
  <w:abstractNum w:abstractNumId="29">
    <w:nsid w:val="4516DDE9"/>
    <w:multiLevelType w:val="hybridMultilevel"/>
    <w:lvl w:ilvl="0">
      <w:lvlJc w:val="left"/>
      <w:lvlText w:val="%1"/>
      <w:numFmt w:val="decimal"/>
      <w:start w:val="101"/>
    </w:lvl>
  </w:abstractNum>
  <w:abstractNum w:abstractNumId="30">
    <w:nsid w:val="3006C83E"/>
    <w:multiLevelType w:val="hybridMultilevel"/>
    <w:lvl w:ilvl="0">
      <w:lvlJc w:val="left"/>
      <w:lvlText w:val="%1"/>
      <w:numFmt w:val="decimal"/>
      <w:start w:val="104"/>
    </w:lvl>
  </w:abstractNum>
  <w:abstractNum w:abstractNumId="31">
    <w:nsid w:val="614FD4A1"/>
    <w:multiLevelType w:val="hybridMultilevel"/>
    <w:lvl w:ilvl="0">
      <w:lvlJc w:val="left"/>
      <w:lvlText w:val="*"/>
      <w:numFmt w:val="bullet"/>
      <w:start w:val="1"/>
    </w:lvl>
  </w:abstractNum>
  <w:abstractNum w:abstractNumId="32">
    <w:nsid w:val="419AC241"/>
    <w:multiLevelType w:val="hybridMultilevel"/>
    <w:lvl w:ilvl="0">
      <w:lvlJc w:val="left"/>
      <w:lvlText w:val="%1."/>
      <w:numFmt w:val="decimal"/>
      <w:start w:val="1"/>
    </w:lvl>
    <w:lvl w:ilvl="1">
      <w:lvlJc w:val="left"/>
      <w:lvlText w:val="(%2)"/>
      <w:numFmt w:val="lowerLetter"/>
      <w:start w:val="1"/>
    </w:lvl>
  </w:abstractNum>
  <w:abstractNum w:abstractNumId="33">
    <w:nsid w:val="5577F8E1"/>
    <w:multiLevelType w:val="hybridMultilevel"/>
    <w:lvl w:ilvl="0">
      <w:lvlJc w:val="left"/>
      <w:lvlText w:val="%1."/>
      <w:numFmt w:val="decimal"/>
      <w:start w:val="1"/>
    </w:lvl>
    <w:lvl w:ilvl="1">
      <w:lvlJc w:val="left"/>
      <w:lvlText w:val="(%2)"/>
      <w:numFmt w:val="lowerLetter"/>
      <w:start w:val="1"/>
    </w:lvl>
  </w:abstractNum>
  <w:abstractNum w:abstractNumId="34">
    <w:nsid w:val="440BADFC"/>
    <w:multiLevelType w:val="hybridMultilevel"/>
    <w:lvl w:ilvl="0">
      <w:lvlJc w:val="left"/>
      <w:lvlText w:val="%1."/>
      <w:numFmt w:val="decimal"/>
      <w:start w:val="1"/>
    </w:lvl>
  </w:abstractNum>
  <w:abstractNum w:abstractNumId="35">
    <w:nsid w:val="507236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37" Type="http://schemas.openxmlformats.org/officeDocument/2006/relationships/image" Target="media/image15.png"/><Relationship Id="rId42" Type="http://schemas.openxmlformats.org/officeDocument/2006/relationships/image" Target="media/image16.png"/><Relationship Id="rId43" Type="http://schemas.openxmlformats.org/officeDocument/2006/relationships/image" Target="media/image17.png"/><Relationship Id="rId44" Type="http://schemas.openxmlformats.org/officeDocument/2006/relationships/image" Target="media/image18.png"/><Relationship Id="rId45" Type="http://schemas.openxmlformats.org/officeDocument/2006/relationships/image" Target="media/image19.png"/><Relationship Id="rId46" Type="http://schemas.openxmlformats.org/officeDocument/2006/relationships/image" Target="media/image20.png"/><Relationship Id="rId22" Type="http://schemas.openxmlformats.org/officeDocument/2006/relationships/hyperlink" Target="http://www.sec.gov/Archives/edgar/data/1524358/000119312518144431/d577638dex21.htm" TargetMode="External"/><Relationship Id="rId23" Type="http://schemas.openxmlformats.org/officeDocument/2006/relationships/hyperlink" Target="http://www.sec.gov/Archives/edgar/data/1524358/000119312511320045/d256766dex31.htm" TargetMode="External"/><Relationship Id="rId24" Type="http://schemas.openxmlformats.org/officeDocument/2006/relationships/hyperlink" Target="http://www.sec.gov/Archives/edgar/data/1524358/000119312511320045/d256766dex32.htm" TargetMode="External"/><Relationship Id="rId25" Type="http://schemas.openxmlformats.org/officeDocument/2006/relationships/hyperlink" Target="http://www.sec.gov/Archives/edgar/data/1524358/000119312511271851/d197736dex41.htm" TargetMode="External"/><Relationship Id="rId26" Type="http://schemas.openxmlformats.org/officeDocument/2006/relationships/hyperlink" Target="http://www.sec.gov/Archives/edgar/data/1524358/000152435817000036/q3201710-qexhibit41xindent.htm" TargetMode="External"/><Relationship Id="rId27" Type="http://schemas.openxmlformats.org/officeDocument/2006/relationships/hyperlink" Target="http://www.sec.gov/Archives/edgar/data/1524358/000152435817000036/q3201710-qexhibit41xindent.htm#s5A3ABC734649FE299B9DF361BE642613" TargetMode="External"/><Relationship Id="rId28" Type="http://schemas.openxmlformats.org/officeDocument/2006/relationships/hyperlink" Target="http://www.sec.gov/Archives/edgar/data/1524358/000119312518256374/d608569dex41.htm" TargetMode="External"/><Relationship Id="rId29" Type="http://schemas.openxmlformats.org/officeDocument/2006/relationships/hyperlink" Target="http://www.sec.gov/Archives/edgar/data/1524358/000119312518266807/d597652dex47.htm" TargetMode="External"/><Relationship Id="rId30" Type="http://schemas.openxmlformats.org/officeDocument/2006/relationships/hyperlink" Target="http://www.sec.gov/Archives/edgar/data/1524358/000152435820000011/a201910-kex46xsecondsu.htm" TargetMode="External"/><Relationship Id="rId31" Type="http://schemas.openxmlformats.org/officeDocument/2006/relationships/hyperlink" Target="http://www.sec.gov/Archives/edgar/data/1524358/000152435820000011/a201910-kex47thirdsupp.htm" TargetMode="External"/><Relationship Id="rId32" Type="http://schemas.openxmlformats.org/officeDocument/2006/relationships/hyperlink" Target="http://www.sec.gov/Archives/edgar/data/1524358/000119312518256374/d608569dex43.htm" TargetMode="External"/><Relationship Id="rId33" Type="http://schemas.openxmlformats.org/officeDocument/2006/relationships/hyperlink" Target="http://www.sec.gov/Archives/edgar/data/1524358/000119312518266807/d597652dex48.htm" TargetMode="External"/><Relationship Id="rId34" Type="http://schemas.openxmlformats.org/officeDocument/2006/relationships/hyperlink" Target="http://www.sec.gov/Archives/edgar/data/1524358/000119312519259964/d812229dex41.htm" TargetMode="External"/><Relationship Id="rId35" Type="http://schemas.openxmlformats.org/officeDocument/2006/relationships/hyperlink" Target="http://www.sec.gov/Archives/edgar/data/1524358/000152435820000011/a201910-kex412suppleme.htm" TargetMode="External"/><Relationship Id="rId36" Type="http://schemas.openxmlformats.org/officeDocument/2006/relationships/hyperlink" Target="http://www.sec.gov/Archives/edgar/data/1524358/000152435820000011/a201910-kex413xseconds.htm" TargetMode="External"/><Relationship Id="rId38" Type="http://schemas.openxmlformats.org/officeDocument/2006/relationships/hyperlink" Target="http://www.sec.gov/Archives/edgar/data/1524358/000119312519259964/d812229dex43.htm" TargetMode="External"/><Relationship Id="rId39" Type="http://schemas.openxmlformats.org/officeDocument/2006/relationships/hyperlink" Target="http://www.sec.gov/Archives/edgar/data/1524358/000119312520143993/d931016dex41.htm" TargetMode="External"/><Relationship Id="rId40" Type="http://schemas.openxmlformats.org/officeDocument/2006/relationships/hyperlink" Target="http://www.sec.gov/Archives/edgar/data/1524358/000119312520143993/d931016dex43.htm" TargetMode="External"/><Relationship Id="rId41" Type="http://schemas.openxmlformats.org/officeDocument/2006/relationships/hyperlink" Target="http://www.sec.gov/Archives/edgar/data/1524358/000152435820000011/a201910-kex416descript.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2020-05-22T15:58:51Z</dcterms:created>
  <dcterms:modified xsi:type="dcterms:W3CDTF">2020-05-22T15:58:51Z</dcterms:modified>
</cp:coreProperties>
</file>