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15, 2012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4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6320" w:type="dxa"/>
            <w:vAlign w:val="bottom"/>
          </w:tcPr>
          <w:p>
            <w:pPr>
              <w:jc w:val="center"/>
              <w:ind w:right="4023"/>
              <w:spacing w:after="0"/>
              <w:rPr>
                <w:sz w:val="20"/>
                <w:szCs w:val="20"/>
                <w:color w:val="auto"/>
              </w:rPr>
            </w:pPr>
            <w:r>
              <w:rPr>
                <w:rFonts w:ascii="Arial" w:cs="Arial" w:eastAsia="Arial" w:hAnsi="Arial"/>
                <w:sz w:val="18"/>
                <w:szCs w:val="18"/>
                <w:b w:val="1"/>
                <w:bCs w:val="1"/>
                <w:color w:val="auto"/>
                <w:w w:val="88"/>
              </w:rPr>
              <w:t>Delaware</w:t>
            </w:r>
          </w:p>
        </w:tc>
        <w:tc>
          <w:tcPr>
            <w:tcW w:w="1080" w:type="dxa"/>
            <w:vAlign w:val="bottom"/>
          </w:tcPr>
          <w:p>
            <w:pPr>
              <w:jc w:val="right"/>
              <w:ind w:right="24"/>
              <w:spacing w:after="0"/>
              <w:rPr>
                <w:sz w:val="20"/>
                <w:szCs w:val="20"/>
                <w:color w:val="auto"/>
              </w:rPr>
            </w:pPr>
            <w:r>
              <w:rPr>
                <w:rFonts w:ascii="Arial" w:cs="Arial" w:eastAsia="Arial" w:hAnsi="Arial"/>
                <w:sz w:val="18"/>
                <w:szCs w:val="18"/>
                <w:b w:val="1"/>
                <w:bCs w:val="1"/>
                <w:color w:val="auto"/>
                <w:w w:val="99"/>
              </w:rPr>
              <w:t>45-2598330</w:t>
            </w:r>
          </w:p>
        </w:tc>
      </w:tr>
      <w:tr>
        <w:trPr>
          <w:trHeight w:val="149"/>
        </w:trPr>
        <w:tc>
          <w:tcPr>
            <w:tcW w:w="6320" w:type="dxa"/>
            <w:vAlign w:val="bottom"/>
          </w:tcPr>
          <w:p>
            <w:pPr>
              <w:jc w:val="center"/>
              <w:ind w:right="4023"/>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20" w:type="dxa"/>
            <w:vAlign w:val="bottom"/>
          </w:tcPr>
          <w:p>
            <w:pPr>
              <w:jc w:val="center"/>
              <w:ind w:right="4003"/>
              <w:spacing w:after="0"/>
              <w:rPr>
                <w:sz w:val="20"/>
                <w:szCs w:val="20"/>
                <w:color w:val="auto"/>
              </w:rPr>
            </w:pPr>
            <w:r>
              <w:rPr>
                <w:rFonts w:ascii="Arial" w:cs="Arial" w:eastAsia="Arial" w:hAnsi="Arial"/>
                <w:sz w:val="14"/>
                <w:szCs w:val="14"/>
                <w:b w:val="1"/>
                <w:bCs w:val="1"/>
                <w:color w:val="auto"/>
                <w:w w:val="88"/>
              </w:rPr>
              <w:t>incorporation or organization)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320" w:type="dxa"/>
            <w:vAlign w:val="bottom"/>
          </w:tcPr>
          <w:p>
            <w:pPr>
              <w:jc w:val="center"/>
              <w:ind w:right="4023"/>
              <w:spacing w:after="0"/>
              <w:rPr>
                <w:sz w:val="20"/>
                <w:szCs w:val="20"/>
                <w:color w:val="auto"/>
              </w:rPr>
            </w:pPr>
            <w:r>
              <w:rPr>
                <w:rFonts w:ascii="Arial" w:cs="Arial" w:eastAsia="Arial" w:hAnsi="Arial"/>
                <w:sz w:val="18"/>
                <w:szCs w:val="18"/>
                <w:b w:val="1"/>
                <w:bCs w:val="1"/>
                <w:color w:val="auto"/>
                <w:w w:val="87"/>
              </w:rPr>
              <w:t>6649 Westwood Blvd.</w:t>
            </w:r>
          </w:p>
        </w:tc>
        <w:tc>
          <w:tcPr>
            <w:tcW w:w="1080" w:type="dxa"/>
            <w:vAlign w:val="bottom"/>
          </w:tcPr>
          <w:p>
            <w:pPr>
              <w:spacing w:after="0"/>
              <w:rPr>
                <w:sz w:val="24"/>
                <w:szCs w:val="24"/>
                <w:color w:val="auto"/>
              </w:rPr>
            </w:pPr>
          </w:p>
        </w:tc>
      </w:tr>
      <w:tr>
        <w:trPr>
          <w:trHeight w:val="231"/>
        </w:trPr>
        <w:tc>
          <w:tcPr>
            <w:tcW w:w="6320" w:type="dxa"/>
            <w:vAlign w:val="bottom"/>
          </w:tcPr>
          <w:p>
            <w:pPr>
              <w:jc w:val="center"/>
              <w:ind w:right="4023"/>
              <w:spacing w:after="0"/>
              <w:rPr>
                <w:sz w:val="20"/>
                <w:szCs w:val="20"/>
                <w:color w:val="auto"/>
              </w:rPr>
            </w:pPr>
            <w:r>
              <w:rPr>
                <w:rFonts w:ascii="Arial" w:cs="Arial" w:eastAsia="Arial" w:hAnsi="Arial"/>
                <w:sz w:val="18"/>
                <w:szCs w:val="18"/>
                <w:b w:val="1"/>
                <w:bCs w:val="1"/>
                <w:color w:val="auto"/>
                <w:w w:val="93"/>
              </w:rPr>
              <w:t>Orlando, FL</w:t>
            </w:r>
          </w:p>
        </w:tc>
        <w:tc>
          <w:tcPr>
            <w:tcW w:w="1080" w:type="dxa"/>
            <w:vAlign w:val="bottom"/>
          </w:tcPr>
          <w:p>
            <w:pPr>
              <w:jc w:val="right"/>
              <w:ind w:right="224"/>
              <w:spacing w:after="0"/>
              <w:rPr>
                <w:sz w:val="20"/>
                <w:szCs w:val="20"/>
                <w:color w:val="auto"/>
              </w:rPr>
            </w:pPr>
            <w:r>
              <w:rPr>
                <w:rFonts w:ascii="Arial" w:cs="Arial" w:eastAsia="Arial" w:hAnsi="Arial"/>
                <w:sz w:val="18"/>
                <w:szCs w:val="18"/>
                <w:b w:val="1"/>
                <w:bCs w:val="1"/>
                <w:color w:val="auto"/>
              </w:rPr>
              <w:t>32821</w:t>
            </w:r>
          </w:p>
        </w:tc>
      </w:tr>
      <w:tr>
        <w:trPr>
          <w:trHeight w:val="174"/>
        </w:trPr>
        <w:tc>
          <w:tcPr>
            <w:tcW w:w="6320" w:type="dxa"/>
            <w:vAlign w:val="bottom"/>
          </w:tcPr>
          <w:p>
            <w:pPr>
              <w:jc w:val="center"/>
              <w:ind w:right="4023"/>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20" w:type="dxa"/>
            <w:vAlign w:val="bottom"/>
          </w:tcPr>
          <w:p>
            <w:pPr>
              <w:jc w:val="center"/>
              <w:ind w:left="1463"/>
              <w:spacing w:after="0"/>
              <w:rPr>
                <w:sz w:val="20"/>
                <w:szCs w:val="20"/>
                <w:color w:val="auto"/>
              </w:rPr>
            </w:pPr>
            <w:r>
              <w:rPr>
                <w:rFonts w:ascii="Arial" w:cs="Arial" w:eastAsia="Arial" w:hAnsi="Arial"/>
                <w:sz w:val="18"/>
                <w:szCs w:val="18"/>
                <w:b w:val="1"/>
                <w:bCs w:val="1"/>
                <w:color w:val="auto"/>
                <w:w w:val="89"/>
              </w:rPr>
              <w:t>(407) 206-6000</w:t>
            </w:r>
          </w:p>
        </w:tc>
        <w:tc>
          <w:tcPr>
            <w:tcW w:w="1080" w:type="dxa"/>
            <w:vAlign w:val="bottom"/>
          </w:tcPr>
          <w:p>
            <w:pPr>
              <w:spacing w:after="0"/>
              <w:rPr>
                <w:sz w:val="24"/>
                <w:szCs w:val="24"/>
                <w:color w:val="auto"/>
              </w:rPr>
            </w:pPr>
          </w:p>
        </w:tc>
      </w:tr>
      <w:tr>
        <w:trPr>
          <w:trHeight w:val="174"/>
        </w:trPr>
        <w:tc>
          <w:tcPr>
            <w:tcW w:w="6320" w:type="dxa"/>
            <w:vAlign w:val="bottom"/>
          </w:tcPr>
          <w:p>
            <w:pPr>
              <w:jc w:val="center"/>
              <w:ind w:left="1463"/>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080" w:type="dxa"/>
            <w:vAlign w:val="bottom"/>
          </w:tcPr>
          <w:p>
            <w:pPr>
              <w:spacing w:after="0"/>
              <w:rPr>
                <w:sz w:val="15"/>
                <w:szCs w:val="15"/>
                <w:color w:val="auto"/>
              </w:rPr>
            </w:pPr>
          </w:p>
        </w:tc>
      </w:tr>
      <w:tr>
        <w:trPr>
          <w:trHeight w:val="311"/>
        </w:trPr>
        <w:tc>
          <w:tcPr>
            <w:tcW w:w="6320" w:type="dxa"/>
            <w:vAlign w:val="bottom"/>
          </w:tcPr>
          <w:p>
            <w:pPr>
              <w:jc w:val="center"/>
              <w:ind w:left="1463"/>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0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4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8440" w:space="220"/>
            <w:col w:w="240" w:space="140"/>
            <w:col w:w="160" w:space="220"/>
            <w:col w:w="220" w:space="120"/>
            <w:col w:w="166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The number of shares outstanding of the issuer’s common stock, par value $0.01 per share, as of July 20, 2012 was 34,365,263.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00" w:type="dxa"/>
            <w:vAlign w:val="bottom"/>
            <w:gridSpan w:val="2"/>
          </w:tcPr>
          <w:p>
            <w:pPr>
              <w:ind w:left="300"/>
              <w:spacing w:after="0"/>
              <w:rPr>
                <w:sz w:val="20"/>
                <w:szCs w:val="20"/>
                <w:color w:val="auto"/>
              </w:rPr>
            </w:pPr>
            <w:r>
              <w:rPr>
                <w:rFonts w:ascii="Arial" w:cs="Arial" w:eastAsia="Arial" w:hAnsi="Arial"/>
                <w:sz w:val="18"/>
                <w:szCs w:val="18"/>
                <w:b w:val="1"/>
                <w:bCs w:val="1"/>
                <w:color w:val="auto"/>
              </w:rPr>
              <w:t>INDEX</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8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10160" w:type="dxa"/>
            <w:vAlign w:val="bottom"/>
            <w:gridSpan w:val="2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 (UNAUDITED)</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10160" w:type="dxa"/>
            <w:vAlign w:val="bottom"/>
            <w:gridSpan w:val="20"/>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560" w:type="dxa"/>
            <w:vAlign w:val="bottom"/>
            <w:tcBorders>
              <w:top w:val="single" w:sz="8" w:color="0000EE"/>
            </w:tcBorders>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Consolidated Financial Statements</w:t>
              </w:r>
            </w:hyperlink>
          </w:p>
        </w:tc>
        <w:tc>
          <w:tcPr>
            <w:tcW w:w="660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33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Interim Consolidated Statements of Operations</w:t>
              </w:r>
            </w:hyperlink>
          </w:p>
        </w:tc>
        <w:tc>
          <w:tcPr>
            <w:tcW w:w="684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42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Interim Consolidated Statements of Comprehensive Income</w:t>
              </w:r>
            </w:hyperlink>
          </w:p>
        </w:tc>
        <w:tc>
          <w:tcPr>
            <w:tcW w:w="59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Interim Consolidated 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Interim 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36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Interim Consolidated Financial Statements</w:t>
              </w:r>
            </w:hyperlink>
          </w:p>
        </w:tc>
        <w:tc>
          <w:tcPr>
            <w:tcW w:w="65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16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46">
              <w:r>
                <w:rPr>
                  <w:rFonts w:ascii="Arial" w:cs="Arial" w:eastAsia="Arial" w:hAnsi="Arial"/>
                  <w:sz w:val="18"/>
                  <w:szCs w:val="18"/>
                  <w:color w:val="0000EE"/>
                  <w:w w:val="87"/>
                </w:rPr>
                <w:t>Controls and Procedures</w:t>
              </w:r>
            </w:hyperlink>
          </w:p>
        </w:tc>
        <w:tc>
          <w:tcPr>
            <w:tcW w:w="840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OTHER INFORMATION</w:t>
              </w:r>
            </w:hyperlink>
          </w:p>
        </w:tc>
        <w:tc>
          <w:tcPr>
            <w:tcW w:w="818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016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886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16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8"/>
          </w:tcPr>
          <w:p>
            <w:pPr>
              <w:spacing w:after="0"/>
              <w:rPr>
                <w:sz w:val="24"/>
                <w:szCs w:val="24"/>
                <w:color w:val="auto"/>
              </w:rPr>
            </w:pPr>
          </w:p>
        </w:tc>
        <w:tc>
          <w:tcPr>
            <w:tcW w:w="59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Mine Safety Disclosures</w:t>
              </w:r>
            </w:hyperlink>
          </w:p>
        </w:tc>
        <w:tc>
          <w:tcPr>
            <w:tcW w:w="842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016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24"/>
                <w:szCs w:val="24"/>
                <w:color w:val="auto"/>
              </w:rPr>
            </w:pPr>
          </w:p>
        </w:tc>
        <w:tc>
          <w:tcPr>
            <w:tcW w:w="888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11040" w:type="dxa"/>
            <w:vAlign w:val="bottom"/>
            <w:gridSpan w:val="2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88"/>
              </w:rPr>
              <w:t>Twelve Weeks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0"/>
              </w:rPr>
              <w:t>Twenty-Four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June 15,</w:t>
            </w: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17,</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June 15,</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5"/>
              </w:rPr>
              <w:t>June 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2012</w:t>
            </w: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Sale of vacation ownership products</w:t>
            </w:r>
          </w:p>
        </w:tc>
        <w:tc>
          <w:tcPr>
            <w:tcW w:w="1940" w:type="dxa"/>
            <w:vAlign w:val="bottom"/>
            <w:gridSpan w:val="2"/>
          </w:tcPr>
          <w:p>
            <w:pPr>
              <w:ind w:left="18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145</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Financing</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REVENUES</w:t>
            </w: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383</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755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Cost of vacation ownership products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Resort management and other services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Financing</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Rental</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Royalty fee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EXPENSES</w:t>
            </w: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373</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Impairment reversals on equity investment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2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gridSpan w:val="2"/>
            <w:vMerge w:val="continue"/>
          </w:tcPr>
          <w:p>
            <w:pPr>
              <w:spacing w:after="0"/>
              <w:rPr>
                <w:sz w:val="19"/>
                <w:szCs w:val="19"/>
                <w:color w:val="auto"/>
              </w:rPr>
            </w:pPr>
          </w:p>
        </w:tc>
        <w:tc>
          <w:tcPr>
            <w:tcW w:w="1940" w:type="dxa"/>
            <w:vAlign w:val="bottom"/>
            <w:gridSpan w:val="2"/>
          </w:tcPr>
          <w:p>
            <w:pPr>
              <w:ind w:left="18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9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basic earnings per share</w:t>
            </w: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34.3</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9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diluted earnings per share</w:t>
            </w: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52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36.1</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ind w:left="140"/>
              <w:spacing w:after="0"/>
              <w:rPr>
                <w:sz w:val="20"/>
                <w:szCs w:val="20"/>
                <w:color w:val="auto"/>
              </w:rPr>
            </w:pPr>
            <w:r>
              <w:rPr>
                <w:rFonts w:ascii="Arial" w:cs="Arial" w:eastAsia="Arial" w:hAnsi="Arial"/>
                <w:sz w:val="14"/>
                <w:szCs w:val="14"/>
                <w:b w:val="1"/>
                <w:bCs w:val="1"/>
                <w:color w:val="auto"/>
              </w:rPr>
              <w:t>Twelve Weeks Ended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60" w:type="dxa"/>
            <w:vAlign w:val="bottom"/>
            <w:tcBorders>
              <w:top w:val="single" w:sz="8" w:color="auto"/>
            </w:tcBorders>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85"/>
              </w:rPr>
              <w:t>June 15,</w:t>
            </w:r>
          </w:p>
        </w:tc>
        <w:tc>
          <w:tcPr>
            <w:tcW w:w="3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17,</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85"/>
              </w:rPr>
              <w:t>June 15,</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9"/>
              </w:rPr>
              <w:t>2012</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Total other comprehensive income, net of tax</w:t>
            </w: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gridSpan w:val="2"/>
            <w:vMerge w:val="continue"/>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7"/>
              </w:rPr>
              <w:t>(Unaudited)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82"/>
              </w:rPr>
              <w:t>June 15,</w:t>
            </w:r>
          </w:p>
        </w:tc>
        <w:tc>
          <w:tcPr>
            <w:tcW w:w="6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(including $50 and $42 from VIEs, respectively)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Accounts and contracts receivable (including $5 and $0 from VIEs, respectively)</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(including $772 and $910 from VIEs, respectively)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(including $0 and $6 from VIEs, respectively)</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Advance deposits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(including $3 and $0 from VIEs, respectively)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liability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Liability for Marriott Rewards loyalty program</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Debt (including $711 and $847 from VIEs, respectively)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(including $0 and $2 from VIEs, respectively)</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1,493</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 (Note 8)</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Preferred stock—$.01 par value; 2,000,000 shares authorized; none issued or outstanding</w:t>
            </w:r>
          </w:p>
        </w:tc>
        <w:tc>
          <w:tcPr>
            <w:tcW w:w="1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Common stock—$.01 par value; 100,000,000 shares authorized; 34,334,887 and 33,845,700 shares issued and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respectively</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2,647</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abbreviation VIEs above means Variable Interest Entities.</w:t>
      </w:r>
    </w:p>
    <w:p>
      <w:pPr>
        <w:spacing w:after="0" w:line="16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8"/>
              </w:rPr>
              <w:t>Twenty-Four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13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June 15,</w:t>
            </w:r>
          </w:p>
        </w:tc>
        <w:tc>
          <w:tcPr>
            <w:tcW w:w="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June 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3"/>
              </w:rPr>
              <w:t>2012</w:t>
            </w: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reversals on equity investment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Net change in assets and liabilities: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and contracts receivable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Notes receivable originations</w:t>
            </w:r>
          </w:p>
        </w:tc>
        <w:tc>
          <w:tcPr>
            <w:tcW w:w="10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receivable collections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Accounts payable, advance deposits and accrued liabilities</w:t>
            </w:r>
          </w:p>
        </w:tc>
        <w:tc>
          <w:tcPr>
            <w:tcW w:w="10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Liability for Marriott Rewards loyalty program</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Payroll and benefit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Deferred compensation liability</w:t>
            </w:r>
          </w:p>
        </w:tc>
        <w:tc>
          <w:tcPr>
            <w:tcW w:w="10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10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Decrease (increase) in restricted cash</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debt related to securitizations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Borrowings on Revolving Corporate Credit Facility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Revolving Corporate Credit Facility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Repayment of third party debt</w:t>
            </w:r>
          </w:p>
        </w:tc>
        <w:tc>
          <w:tcPr>
            <w:tcW w:w="100" w:type="dxa"/>
            <w:vAlign w:val="bottom"/>
          </w:tcPr>
          <w:p>
            <w:pPr>
              <w:spacing w:after="0"/>
              <w:rPr>
                <w:sz w:val="18"/>
                <w:szCs w:val="18"/>
                <w:color w:val="auto"/>
              </w:rPr>
            </w:pPr>
          </w:p>
        </w:tc>
        <w:tc>
          <w:tcPr>
            <w:tcW w:w="12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 exercises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0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distribution to Marriott International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changes in exchange rates on 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c>
          <w:tcPr>
            <w:tcW w:w="8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159" w:lineRule="exact"/>
        <w:rPr>
          <w:sz w:val="20"/>
          <w:szCs w:val="20"/>
          <w:color w:val="auto"/>
        </w:rPr>
      </w:pPr>
    </w:p>
    <w:p>
      <w:pPr>
        <w:ind w:right="666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Our Business</w:t>
      </w:r>
    </w:p>
    <w:p>
      <w:pPr>
        <w:spacing w:after="0" w:line="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(“Ritz-Carlton”), a subsidiary of Marriott International, Inc. (“Marriott International”) generally provides on-site management for Ritz-Carlton branded properties.</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business is grouped into four reportable segments: North America, Luxury, Europe and Asia Pacific. We operate 64 properties in the United States and eight other countries and territories.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generate most of our revenues from four primary sources: selling vacation ownership products, managing our resorts, financing consumer purchases, and renting vacation ownership inventory.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Spin-Off from Marriott International, Inc.</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October 25, 2011, the board of directors of Marriott International approved the spin-off of its vacation ownership division into an independent public company, Marriott Vacations Worldwide, through the distribution of 100 percent of the outstanding shares of Marriott Vacations Worldwide common stock to the shareholders of Marriott International (the “Spin-Off”). On November 21, 2011, the Spin-Off of Marriott Vacations Worldwide was completed pursuant to a Separation and Distribution Agreement (the “Separation and Distribution Agreement”) between Marriott Vacations Worldwide and Marriott International.</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Prior to the Spin-Off, Marriott International completed an internal reorganization to contribute its non-U.S. and U.S. subsidiaries that conducted its vacation ownership business to Marriott Vacations Worldwide, a newly formed wholly owned subsidiary of Marriott International; the contributed subsidiaries included Marriott Ownership Resorts, Inc., which does business under the name Marriott Vacation Club International. The distribution of Marriott Vacations Worldwide common stock was made on November 21, 2011, with Marriott International shareholders receiving one share of Marriott Vacations Worldwide common stock for every ten shares of Marriott International common stock held as of the close of business Eastern time on the record date of November 10, 2011. Fractional shares of Marriott Vacations Worldwide common stock were not distributed; any fractional share of Marriott Vacations Worldwide common stock otherwise issuable to a Marriott International shareholder was sold in the open market on such shareholder’s behalf, with such shareholder receiving a cash payment in lieu of such fractional share.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Spin-Off, we entered into the Separation and Distribution Agreement and several other agreements which govern the ongoing relationship between Marriott Vacations Worldwide and Marriott International. See Footnote No. 13 “Related Party Transactions,” for further information on the ongoing relationship with Marriott International.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9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the consolidation accounting guidance. Through the date of the Spin-Off, these interim financial statements present the historical consolidated results of operations, financial position and cash flows of the Marriott Vacations Worldwide business that now comprises our operations. Intercompany accounts and transactions between consolidated companies have been eliminated in consolidation.</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Through the date of the Spin-Off, the interim consolidated financial statements presented herein, and discussed below, were prepared on a stand-alone basis and were derived from the interim consolidated financial statements and accounting records of Marriott International. These interim consolidated financial statements were prepared as if the reorganization described under “Our Spin-Off from Marriott International, Inc.” above had taken place as of the earliest period presented. The interim consolidated financial statements reflect our historical financial position, results of operations and cash flows as we have historically operated, in conformity with United States Generally Accepted Accounting Principles (“GAAP”). All significant intracompany transactions and accounts within these interim consolidated financial statements have been eliminated.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Prior to the Spin-Off, Marriott Vacations Worldwide was a subsidiary of Marriott International. The financial information included herein may not necessarily reflect our financial position, results of operations and cash flows in the future or what our financial position, results of operations and cash flows would have been had we been an independent, publicly traded company during all of the periods presented.</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refer to (i) our Interim Consolidated Financial Statements as our “Financial Statements,” (ii) our Interim Consolidated Statements of Operations as our “Statements of Operations,” (iii) our Interim Consolidated Balance Sheets as our “Balance Sheets” and (iv) our Interim Consolidated Statements of Cash Flows as our “Cash Flows.”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Unless otherwise specified, each reference to a particular quarter in these Financial Statements means the quarter ended on the date shown in the following table, rather than the corresponding calendar quarter:</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Fiscal Year</w:t>
            </w:r>
          </w:p>
        </w:tc>
        <w:tc>
          <w:tcPr>
            <w:tcW w:w="58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Quarter-End Date</w:t>
            </w:r>
          </w:p>
        </w:tc>
      </w:tr>
      <w:tr>
        <w:trPr>
          <w:trHeight w:val="203"/>
        </w:trPr>
        <w:tc>
          <w:tcPr>
            <w:tcW w:w="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84"/>
              </w:rPr>
              <w:t>2012</w:t>
            </w:r>
          </w:p>
        </w:tc>
        <w:tc>
          <w:tcPr>
            <w:tcW w:w="6140" w:type="dxa"/>
            <w:vAlign w:val="bottom"/>
            <w:tcBorders>
              <w:top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Second Quarter</w:t>
            </w:r>
          </w:p>
        </w:tc>
        <w:tc>
          <w:tcPr>
            <w:tcW w:w="1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June 15, 2012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2012</w:t>
            </w:r>
          </w:p>
        </w:tc>
        <w:tc>
          <w:tcPr>
            <w:tcW w:w="6140" w:type="dxa"/>
            <w:vAlign w:val="bottom"/>
            <w:gridSpan w:val="2"/>
          </w:tcPr>
          <w:p>
            <w:pPr>
              <w:ind w:left="40"/>
              <w:spacing w:after="0"/>
              <w:rPr>
                <w:sz w:val="20"/>
                <w:szCs w:val="20"/>
                <w:color w:val="auto"/>
              </w:rPr>
            </w:pPr>
            <w:r>
              <w:rPr>
                <w:rFonts w:ascii="Arial" w:cs="Arial" w:eastAsia="Arial" w:hAnsi="Arial"/>
                <w:sz w:val="18"/>
                <w:szCs w:val="18"/>
                <w:color w:val="auto"/>
              </w:rPr>
              <w:t>First Quarter</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March 23, 2012</w:t>
            </w: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2011</w:t>
            </w:r>
          </w:p>
        </w:tc>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June 17, 2011</w:t>
            </w:r>
          </w:p>
        </w:tc>
      </w:tr>
      <w:tr>
        <w:trPr>
          <w:trHeight w:val="222"/>
        </w:trPr>
        <w:tc>
          <w:tcPr>
            <w:tcW w:w="360" w:type="dxa"/>
            <w:vAlign w:val="bottom"/>
          </w:tcPr>
          <w:p>
            <w:pPr>
              <w:spacing w:after="0"/>
              <w:rPr>
                <w:sz w:val="20"/>
                <w:szCs w:val="20"/>
                <w:color w:val="auto"/>
              </w:rPr>
            </w:pPr>
            <w:r>
              <w:rPr>
                <w:rFonts w:ascii="Arial" w:cs="Arial" w:eastAsia="Arial" w:hAnsi="Arial"/>
                <w:sz w:val="18"/>
                <w:szCs w:val="18"/>
                <w:color w:val="auto"/>
                <w:w w:val="84"/>
              </w:rPr>
              <w:t>2011</w:t>
            </w: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First Quarter</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March 25, 2011</w:t>
            </w:r>
          </w:p>
        </w:tc>
      </w:tr>
    </w:tbl>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w:t>
      </w:r>
    </w:p>
    <w:p>
      <w:pPr>
        <w:spacing w:after="0" w:line="140" w:lineRule="exact"/>
        <w:rPr>
          <w:sz w:val="20"/>
          <w:szCs w:val="20"/>
          <w:color w:val="auto"/>
        </w:rPr>
      </w:pPr>
    </w:p>
    <w:p>
      <w:pPr>
        <w:jc w:val="both"/>
        <w:ind w:right="440" w:firstLine="456"/>
        <w:spacing w:after="0" w:line="298" w:lineRule="auto"/>
        <w:rPr>
          <w:sz w:val="20"/>
          <w:szCs w:val="20"/>
          <w:color w:val="auto"/>
        </w:rPr>
      </w:pPr>
      <w:r>
        <w:rPr>
          <w:rFonts w:ascii="Arial" w:cs="Arial" w:eastAsia="Arial" w:hAnsi="Arial"/>
          <w:sz w:val="16"/>
          <w:szCs w:val="16"/>
          <w:color w:val="auto"/>
        </w:rPr>
        <w:t>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you should read these interim Financial Statements in conjunction with the audited annual Consolidated Financial Statements and notes to those Consolidated Financial Statements included in our Annual Report on Form 10-K for the fiscal year ended December 30, 2011.</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significant transactions between us and Marriott International have been included in these Financial Statements. The total net effect of the settlement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these intercompany transactions prior to the Spin-Off is reflected in the Cash Flows as a financing activity. In connection with the Spin-Off, we completed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transactions with Marriott International related to our separation from Marriott International, which resulted in a net reduction to our equity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million. These transactions primarily consisted of the reversal of our deferred tax assets, which were retained by Marriott International following the Spin-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 and establishment of deferred tax liabilities. Retained earnings represents the results of operations subsequent to November 20, 2011.</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Through the date of the Spin-Off our Financial Statements include costs for services provided by Marriott International including, but not limited to, information technology support, systems maintenance, telecommunications, accounts payable, payroll and benefits, human resources, self-insurance and other shared services. Historically, these costs were charged to us based on specific identification or on a basis determined by Marriott International to reflect a reasonable allocation to us of the actual costs incurred to perform these services. Marriott International allocated indirect general and administrative costs to us for certain functions provided by Marriott International. The services provided to us included, but were not limited to, executive office, legal, tax, finance, government and public relations, internal audit, treasury, investor relations, human resources and other administrative support, which were allocated to us primarily on the basis of our proportion of Marriott International’s overall revenue. We consider the basis on which the expenses have been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might have been incurred had we been a stand-alone company would depend on a number of factors, including the chosen organizational structure, what functions we might have performed ourselves or outsourced and strategic decisions we might have made in areas such as information technology and infrastructure. Following the Spin-Off, we perform these functions using our own resources or purchased services from either Marriott International or third parties. For an interim period some of these functions will continue to be provided by Marriott International under Transition Services Agreements (“TSAs”). In addition to the TSAs, we entered into a number of commercial agreements with Marriott International in connection with the Spin-Off, many of which have terms longer than one year. These agreements may not have existed prior to the Spin-Off, or may be on different terms than the terms of agreements that existed prior to Spin-Off.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Marriott International uses a centralized approach to U.S. domestic cash management and financing of its operations. Prior to the Spin-Off, the majority of our domestic cash was transferred to Marriott International daily and Marriott International funded our operating and investing activities as needed. Accordingly, the cash and cash equivalents held by Marriott International at the corporate level were not allocated to us for any of the periods prior to the Spin-Off presented. Prior to the Spin-Off, cash and cash equivalents in our Balance Sheets primarily represented cash held locally by international entities included in our Financial Statements. We included debt incurred from our limited direct financing and historical notes receivable securitizations on our Balance Sheets, as this debt is specific to our business. Marriott International did not allocate a portion of its external senior debt interest cost to us since none of the external senior debt recorded by Marriott International was directly related to our business. We also did not include any interest expense for cash advances from Marriott International since historically Marriott International did not allocate any interest expense related to intercompany advances to any of the historical Marriott International divisions.</w:t>
      </w:r>
    </w:p>
    <w:p>
      <w:pPr>
        <w:spacing w:after="0" w:line="12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Marriott International maintains self-insurance programs at a corporate level. Marriott International allocated a portion of expenses associated with these programs to us as part of the historical costs for services Marriott International provided. In connection with the Spin-Off, Marriott International did not allocate any portion of the related reserves as these reserves represent obligations of Marriott International which are not transferable.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inventory valuation, property and equipment valuation, loan loss reserves, Marriott Rewards customer loyalty program liabilities, equity-based compensation, income taxes and loss contingencies. Actual amounts may differ from these estimated amounts.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reclassified certain prior year amounts to conform to our 2012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 of Prior Year Cash Flow Activity Classification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While preparing our Cash Flows for the year ended December 30, 2011, we discovered errors in the presentation of certain items within our prior periods. Consequently, we have restated the accompanying Cash Flows for twenty-four weeks ended June 17, 2011, appearing herein, from amounts previously reported to correct the prior period misstatements for these classification errors. Based on our evaluation of relevant quantitative and qualitative factors, we determined the identified misstatements are immaterial to our individual prior period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summarize the effect of the restatement of the previously reported Cash Flow activities for the twenty-four weeks ended June 17, 2011.</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w w:val="88"/>
              </w:rPr>
              <w:t>For the Twenty-Four Weeks Ended June 17, 2011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740" w:type="dxa"/>
            <w:vAlign w:val="bottom"/>
          </w:tcPr>
          <w:p>
            <w:pPr>
              <w:spacing w:after="0"/>
              <w:rPr>
                <w:sz w:val="11"/>
                <w:szCs w:val="11"/>
                <w:color w:val="auto"/>
              </w:rPr>
            </w:pPr>
          </w:p>
        </w:tc>
        <w:tc>
          <w:tcPr>
            <w:tcW w:w="12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As Previously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ind w:right="94"/>
              <w:spacing w:after="0" w:line="129" w:lineRule="exact"/>
              <w:rPr>
                <w:sz w:val="20"/>
                <w:szCs w:val="20"/>
                <w:color w:val="auto"/>
              </w:rPr>
            </w:pPr>
            <w:r>
              <w:rPr>
                <w:rFonts w:ascii="Arial" w:cs="Arial" w:eastAsia="Arial" w:hAnsi="Arial"/>
                <w:sz w:val="14"/>
                <w:szCs w:val="14"/>
                <w:b w:val="1"/>
                <w:bCs w:val="1"/>
                <w:color w:val="auto"/>
              </w:rPr>
              <w:t>As</w:t>
            </w:r>
          </w:p>
        </w:tc>
        <w:tc>
          <w:tcPr>
            <w:tcW w:w="100" w:type="dxa"/>
            <w:vAlign w:val="bottom"/>
          </w:tcPr>
          <w:p>
            <w:pPr>
              <w:spacing w:after="0"/>
              <w:rPr>
                <w:sz w:val="11"/>
                <w:szCs w:val="11"/>
                <w:color w:val="auto"/>
              </w:rPr>
            </w:pPr>
          </w:p>
        </w:tc>
      </w:tr>
      <w:tr>
        <w:trPr>
          <w:trHeight w:val="161"/>
        </w:trPr>
        <w:tc>
          <w:tcPr>
            <w:tcW w:w="57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7"/>
              </w:rPr>
              <w:t>Reported</w:t>
            </w:r>
          </w:p>
        </w:tc>
        <w:tc>
          <w:tcPr>
            <w:tcW w:w="40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Restated</w:t>
            </w: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8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 including working capital changes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22"/>
        </w:trPr>
        <w:tc>
          <w:tcPr>
            <w:tcW w:w="5740" w:type="dxa"/>
            <w:vAlign w:val="bottom"/>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152</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8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102"/>
        </w:trPr>
        <w:tc>
          <w:tcPr>
            <w:tcW w:w="5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Decrease in restricted cash</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323"/>
        </w:trPr>
        <w:tc>
          <w:tcPr>
            <w:tcW w:w="57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distribution to Marriott International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Repayment of debt related to securitizations</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(121)</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(122)</w:t>
            </w: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(144)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90" w:lineRule="exact"/>
        <w:rPr>
          <w:sz w:val="20"/>
          <w:szCs w:val="20"/>
          <w:color w:val="auto"/>
        </w:rPr>
      </w:pPr>
    </w:p>
    <w:p>
      <w:pPr>
        <w:ind w:left="240" w:right="780"/>
        <w:spacing w:after="0" w:line="268" w:lineRule="auto"/>
        <w:rPr>
          <w:sz w:val="20"/>
          <w:szCs w:val="20"/>
          <w:color w:val="auto"/>
        </w:rPr>
      </w:pPr>
      <w:r>
        <w:rPr>
          <w:rFonts w:ascii="Arial" w:cs="Arial" w:eastAsia="Arial" w:hAnsi="Arial"/>
          <w:sz w:val="18"/>
          <w:szCs w:val="18"/>
          <w:i w:val="1"/>
          <w:iCs w:val="1"/>
          <w:u w:val="single" w:color="auto"/>
          <w:color w:val="auto"/>
        </w:rPr>
        <w:t>Accounting Standards Update No. 2011-04—“Fair Value Measurement (Topic 820): Amendments to Achieve Common Fair Value Measurement and Disclosure Requirements in U.S. GAAP and IFRSs” (“ASU No. 2011-04”)</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ASU No. 2011-04 generally provides a uniform framework for fair value measurements and related disclosures between GAAP and International Financial Reporting Standards (“IFRS”). Additional disclosure requirements in the update include: (1) for Level 3 fair value measurements, quantitative information about unobservable inputs used, a description of the valuation processes used by the entity, and a qualitative discussion about the sensitivity of the measurements to changes in the unobservable inputs; (2) for an entity’s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use of a nonfinancial asset that is different from the asset’s highest and best use, the reason for the difference; (3) for financial instruments not measured at fair value but for which disclosure of fair value is required, the fair value hierarchy level in which the fair value measurements were determined; and (4) the disclosure of all transfers between Level 1 and Level 2 of the fair value hierarchy. ASU No. 2011-04 became effective during our first quarter of 2012. The adoption of this update did not have a material impact on our Financial Statements.</w:t>
      </w:r>
    </w:p>
    <w:p>
      <w:pPr>
        <w:spacing w:after="0" w:line="113" w:lineRule="exact"/>
        <w:rPr>
          <w:sz w:val="20"/>
          <w:szCs w:val="20"/>
          <w:color w:val="auto"/>
        </w:rPr>
      </w:pPr>
    </w:p>
    <w:p>
      <w:pPr>
        <w:ind w:left="240" w:right="460"/>
        <w:spacing w:after="0" w:line="306" w:lineRule="auto"/>
        <w:rPr>
          <w:sz w:val="20"/>
          <w:szCs w:val="20"/>
          <w:color w:val="auto"/>
        </w:rPr>
      </w:pPr>
      <w:r>
        <w:rPr>
          <w:rFonts w:ascii="Arial" w:cs="Arial" w:eastAsia="Arial" w:hAnsi="Arial"/>
          <w:sz w:val="16"/>
          <w:szCs w:val="16"/>
          <w:i w:val="1"/>
          <w:iCs w:val="1"/>
          <w:u w:val="single" w:color="auto"/>
          <w:color w:val="auto"/>
        </w:rPr>
        <w:t>Accounting Standards Update No. 2011-05—“Comprehensive Income (Topic 220): Presentation of Comprehensive Income” (“ASU No. 2011-05”) and Accounting Standards Update No. 2011-12 – “Comprehensive Income (Topic 220): Deferral of the Effective Date for Amendments to the Presentation of Reclassifications of Items Out of Accumulated Other Comprehensive Income in ASU 2011-05” (“ASU No. 2011-12”)</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ASU No. 2011-05 amends existing guidance by allowing only two options for presenting the components of net income and other comprehensive income:</w:t>
      </w:r>
    </w:p>
    <w:p>
      <w:pPr>
        <w:spacing w:after="0" w:line="38" w:lineRule="exact"/>
        <w:rPr>
          <w:sz w:val="20"/>
          <w:szCs w:val="20"/>
          <w:color w:val="auto"/>
        </w:rPr>
      </w:pPr>
    </w:p>
    <w:p>
      <w:pPr>
        <w:ind w:right="20" w:firstLine="8"/>
        <w:spacing w:after="0" w:line="252"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 single continuous statement of comprehensive income, or (2) in two separate but consecutive financial statements, consisting of an income statement followed by a separate statement of other comprehensive income. ASU No. 2011-12 defers until further notice ASU No. 2011-05’s requirement that items that are reclassified from other comprehensive income to net income be presented on the face of the financial statements. ASU No. 2011-05 requires retrospective application, and both ASU No. 2011-05 and ASU No. 2011-12 became effective during our first quarter of 2012. The adoption of these updates changed the order in which certain financial statements are presented and has required us to provide additional detail on those financial statements, but did not have any substantive impact on our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the Spin-Off, our operating results were included in Marriott International’s combined U.S. federal and state income tax returns and in many of Marriott International’s tax filings for non-U.S. jurisdictions. Subsequent to the Spin-Off, Marriott Vacations Worldwide files its own U.S. consolidated federal and state tax returns, as well as separate tax filings for non-U.S. jurisdictions. For periods prior to the Spin-Off, we determined our provision for income taxes and our contribution to Marriott International’s tax losses and tax credits on a separate return basis and included each in these Financial Statements. Our separate return basis tax loss and tax credit carry backs may not reflect the tax positions taken or to be taken by Marriott International for tax losses occurring prior to the Spin-Off. In many cases tax losses and tax credits generated by us prior to Spin-Off have been available for use by Marriott International and will largely continue to be available to Marriott International in the future.</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November 21, 2011, we entered into a Tax Sharing and Indemnification Agreement with Marriott International (the “Tax Sharing and Indemnification Agreement”), which governs the allocation of responsibility for federal, state, local and foreign income and other taxes related to taxable periods prior to and subsequent to the Spin-Off between Marriott International and Marriott Vacations Worldwide. Under this agreement, if any part of the Spin-Off fails to qualify for the tax treatment stated in the ruling Marriott International received from the U.S. Internal Revenue Service (the “IRS”) in connection with the Spin-Off, taxes imposed will be allocated between Marriott International and Marriott Vacations Worldwide and each will indemnify and hold harmless the other from and against the taxes so allocated.</w:t>
      </w:r>
    </w:p>
    <w:p>
      <w:pPr>
        <w:spacing w:after="0" w:line="144"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In addition, under the Tax Sharing and Indemnification Agreement, Marriott International is allocated the responsibility for payment of taxes for our taxable income prior to Spin-Off and we are allocated the responsibility for payment of taxes for our taxable income subsequent to Spin-Off.</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had potential unrecognized tax benefits of $2 million at June 15, 2012 and at December 30, 2011 relating to contested tax assessments, that, if realized, would have impacted our effective tax rate.</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a large taxpayer, Marriott International is continuously under audit by the IRS and other taxing authorities. Marriott Vacations Worldwide has joined in the Marriott International U.S. Federal tax consolidated filing for all years prior to 2011 and a portion of 2011 up to the date of the Spin-Off. The IRS has examined Marriott International’s federal income tax returns, and it has settled all issues for the tax years through 2009. Marriott International participated in the IRS Compliance Assurance Program for the 2011 and 2010 tax years. Although we do not anticipate that a significant impact to our unrecognized tax benefit balance will occur during the next fiscal year as a result of these audits, it remains possible that the amount of our liability for unrecognized tax benefits could change over that time period. Pursuant to the Tax Sharing and Indemnification Agreement, Marriott International is liable and shall pay the relevant tax authority for all taxes related to the taxable income prior to the Spin-Off. Our tax years subsequent to the Spin-Off are subject to examination by relevant tax authorities.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NOTES RECEIVABLE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June 15,</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30,</w:t>
            </w:r>
          </w:p>
        </w:tc>
      </w:t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2012</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Vacation ownership notes receivable—securitized</w:t>
            </w:r>
          </w:p>
        </w:tc>
        <w:tc>
          <w:tcPr>
            <w:tcW w:w="1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Vacation ownership notes receivable—non-securitized</w:t>
            </w:r>
          </w:p>
        </w:tc>
        <w:tc>
          <w:tcPr>
            <w:tcW w:w="1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vacation ownership notes receivable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1,076</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securitized and non-securitized vacation ownership notes receivable: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88"/>
              </w:rPr>
              <w:t>Non-Securitized</w:t>
            </w:r>
          </w:p>
        </w:tc>
        <w:tc>
          <w:tcPr>
            <w:tcW w:w="80" w:type="dxa"/>
            <w:vAlign w:val="bottom"/>
          </w:tcPr>
          <w:p>
            <w:pPr>
              <w:spacing w:after="0"/>
              <w:rPr>
                <w:sz w:val="14"/>
                <w:szCs w:val="14"/>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Securitized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210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82"/>
              </w:rPr>
              <w:t>Notes Receivable</w:t>
            </w:r>
          </w:p>
        </w:tc>
        <w:tc>
          <w:tcPr>
            <w:tcW w:w="80" w:type="dxa"/>
            <w:vAlign w:val="bottom"/>
          </w:tcPr>
          <w:p>
            <w:pPr>
              <w:spacing w:after="0"/>
              <w:rPr>
                <w:sz w:val="14"/>
                <w:szCs w:val="14"/>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4"/>
              </w:rPr>
              <w:t>Notes Receivable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15, 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Weighted average stated interest rate at June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20"/>
              <w:spacing w:after="0"/>
              <w:rPr>
                <w:sz w:val="20"/>
                <w:szCs w:val="20"/>
                <w:color w:val="auto"/>
              </w:rPr>
            </w:pPr>
            <w:r>
              <w:rPr>
                <w:rFonts w:ascii="Arial" w:cs="Arial" w:eastAsia="Arial" w:hAnsi="Arial"/>
                <w:sz w:val="18"/>
                <w:szCs w:val="18"/>
                <w:color w:val="auto"/>
              </w:rPr>
              <w:t>15, 2012</w:t>
            </w:r>
          </w:p>
        </w:tc>
        <w:tc>
          <w:tcPr>
            <w:tcW w:w="100" w:type="dxa"/>
            <w:vAlign w:val="bottom"/>
          </w:tcPr>
          <w:p>
            <w:pPr>
              <w:spacing w:after="0"/>
              <w:rPr>
                <w:sz w:val="19"/>
                <w:szCs w:val="19"/>
                <w:color w:val="auto"/>
              </w:rPr>
            </w:pPr>
          </w:p>
        </w:tc>
        <w:tc>
          <w:tcPr>
            <w:tcW w:w="2100" w:type="dxa"/>
            <w:vAlign w:val="bottom"/>
            <w:gridSpan w:val="2"/>
          </w:tcPr>
          <w:p>
            <w:pPr>
              <w:jc w:val="right"/>
              <w:ind w:right="86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Range of stated interest rates at June 15,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0.0% to 19.5%</w:t>
            </w:r>
          </w:p>
        </w:tc>
        <w:tc>
          <w:tcPr>
            <w:tcW w:w="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 to 19.5%</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0.0% to 19.5%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reflect interest income associated with vacation ownership notes receivable in our Statements of Operations in the Financing revenues caption. The following table summarizes interest income associated with vacation ownership notes receivable: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w w:val="97"/>
              </w:rPr>
              <w:t>Twelve Weeks Ended</w:t>
            </w:r>
          </w:p>
        </w:tc>
        <w:tc>
          <w:tcPr>
            <w:tcW w:w="1760" w:type="dxa"/>
            <w:vAlign w:val="bottom"/>
            <w:gridSpan w:val="7"/>
          </w:tcPr>
          <w:p>
            <w:pPr>
              <w:ind w:left="40"/>
              <w:spacing w:after="0"/>
              <w:rPr>
                <w:sz w:val="20"/>
                <w:szCs w:val="20"/>
                <w:color w:val="auto"/>
              </w:rPr>
            </w:pPr>
            <w:r>
              <w:rPr>
                <w:rFonts w:ascii="Arial" w:cs="Arial" w:eastAsia="Arial" w:hAnsi="Arial"/>
                <w:sz w:val="14"/>
                <w:szCs w:val="14"/>
                <w:b w:val="1"/>
                <w:bCs w:val="1"/>
                <w:color w:val="auto"/>
                <w:w w:val="94"/>
              </w:rPr>
              <w:t>Twenty-Four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June 15,</w:t>
            </w:r>
          </w:p>
        </w:tc>
        <w:tc>
          <w:tcPr>
            <w:tcW w:w="7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17,</w:t>
            </w:r>
          </w:p>
        </w:tc>
        <w:tc>
          <w:tcPr>
            <w:tcW w:w="72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82"/>
              </w:rPr>
              <w:t>June 15,</w:t>
            </w:r>
          </w:p>
        </w:tc>
        <w:tc>
          <w:tcPr>
            <w:tcW w:w="3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June 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420" w:type="dxa"/>
            <w:vAlign w:val="bottom"/>
          </w:tcPr>
          <w:p>
            <w:pPr>
              <w:jc w:val="right"/>
              <w:ind w:right="40"/>
              <w:spacing w:after="0"/>
              <w:rPr>
                <w:sz w:val="20"/>
                <w:szCs w:val="20"/>
                <w:color w:val="auto"/>
              </w:rPr>
            </w:pPr>
            <w:r>
              <w:rPr>
                <w:rFonts w:ascii="Arial" w:cs="Arial" w:eastAsia="Arial" w:hAnsi="Arial"/>
                <w:sz w:val="14"/>
                <w:szCs w:val="14"/>
                <w:b w:val="1"/>
                <w:bCs w:val="1"/>
                <w:color w:val="auto"/>
                <w:w w:val="89"/>
              </w:rPr>
              <w:t>2012</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2011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2012</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Interest income associated with vacation ownership notes receivable—</w:t>
            </w: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securitized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Interest income associated with vacation ownership notes receivable—non-</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securitized</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 associated with vacation ownership notes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collectability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related to our vacation ownership notes receivable reserve for the twenty-four weeks ended June 15, 2012:</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8"/>
              </w:rPr>
              <w:t>Non-Securitized</w:t>
            </w:r>
          </w:p>
        </w:tc>
        <w:tc>
          <w:tcPr>
            <w:tcW w:w="100" w:type="dxa"/>
            <w:vAlign w:val="bottom"/>
          </w:tcPr>
          <w:p>
            <w:pPr>
              <w:spacing w:after="0"/>
              <w:rPr>
                <w:sz w:val="14"/>
                <w:szCs w:val="14"/>
                <w:color w:val="auto"/>
              </w:rPr>
            </w:pPr>
          </w:p>
        </w:tc>
        <w:tc>
          <w:tcPr>
            <w:tcW w:w="200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Securitized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900" w:type="dxa"/>
            <w:vAlign w:val="bottom"/>
          </w:tcPr>
          <w:p>
            <w:pPr>
              <w:spacing w:after="0"/>
              <w:rPr>
                <w:sz w:val="12"/>
                <w:szCs w:val="12"/>
                <w:color w:val="auto"/>
              </w:rPr>
            </w:pPr>
          </w:p>
        </w:tc>
        <w:tc>
          <w:tcPr>
            <w:tcW w:w="2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Vacation Ownership</w:t>
            </w:r>
          </w:p>
        </w:tc>
        <w:tc>
          <w:tcPr>
            <w:tcW w:w="2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9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20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4"/>
              </w:rPr>
              <w:t>Notes Receivable</w:t>
            </w:r>
          </w:p>
        </w:tc>
        <w:tc>
          <w:tcPr>
            <w:tcW w:w="100" w:type="dxa"/>
            <w:vAlign w:val="bottom"/>
          </w:tcPr>
          <w:p>
            <w:pPr>
              <w:spacing w:after="0"/>
              <w:rPr>
                <w:sz w:val="14"/>
                <w:szCs w:val="14"/>
                <w:color w:val="auto"/>
              </w:rPr>
            </w:pPr>
          </w:p>
        </w:tc>
        <w:tc>
          <w:tcPr>
            <w:tcW w:w="200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82"/>
              </w:rPr>
              <w:t>Notes Receivable</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year-end 2011</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9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900"/>
              <w:spacing w:after="0"/>
              <w:rPr>
                <w:sz w:val="20"/>
                <w:szCs w:val="20"/>
                <w:color w:val="auto"/>
              </w:rPr>
            </w:pPr>
            <w:r>
              <w:rPr>
                <w:rFonts w:ascii="Arial" w:cs="Arial" w:eastAsia="Arial" w:hAnsi="Arial"/>
                <w:sz w:val="18"/>
                <w:szCs w:val="18"/>
                <w:color w:val="auto"/>
              </w:rPr>
              <w:t>9</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Clean-up calls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Write-offs</w:t>
            </w:r>
          </w:p>
        </w:tc>
        <w:tc>
          <w:tcPr>
            <w:tcW w:w="100" w:type="dxa"/>
            <w:vAlign w:val="bottom"/>
          </w:tcPr>
          <w:p>
            <w:pPr>
              <w:spacing w:after="0"/>
              <w:rPr>
                <w:sz w:val="18"/>
                <w:szCs w:val="18"/>
                <w:color w:val="auto"/>
              </w:rPr>
            </w:pPr>
          </w:p>
        </w:tc>
        <w:tc>
          <w:tcPr>
            <w:tcW w:w="2000" w:type="dxa"/>
            <w:vAlign w:val="bottom"/>
            <w:gridSpan w:val="2"/>
          </w:tcPr>
          <w:p>
            <w:pPr>
              <w:jc w:val="right"/>
              <w:ind w:right="8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200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Defaulted notes receivable repurchase activity </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(18)</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Balance at June 15, 2012</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9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9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164</w:t>
            </w:r>
          </w:p>
        </w:tc>
        <w:tc>
          <w:tcPr>
            <w:tcW w:w="1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700" w:hanging="452"/>
        <w:spacing w:after="0" w:line="228"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Refers to our voluntary repurchase of previously securitized non-defaulted vacation ownership notes receivable to retire previous notes receivable securitizations.</w:t>
      </w:r>
    </w:p>
    <w:p>
      <w:pPr>
        <w:spacing w:after="0" w:line="1" w:lineRule="exact"/>
        <w:rPr>
          <w:rFonts w:ascii="Arial" w:cs="Arial" w:eastAsia="Arial" w:hAnsi="Arial"/>
          <w:sz w:val="22"/>
          <w:szCs w:val="22"/>
          <w:color w:val="auto"/>
          <w:vertAlign w:val="superscript"/>
        </w:rPr>
      </w:pPr>
    </w:p>
    <w:p>
      <w:pPr>
        <w:ind w:left="460" w:right="480" w:hanging="452"/>
        <w:spacing w:after="0" w:line="237" w:lineRule="auto"/>
        <w:tabs>
          <w:tab w:leader="none" w:pos="460" w:val="left"/>
        </w:tabs>
        <w:numPr>
          <w:ilvl w:val="0"/>
          <w:numId w:val="5"/>
        </w:numPr>
        <w:rPr>
          <w:rFonts w:ascii="Arial" w:cs="Arial" w:eastAsia="Arial" w:hAnsi="Arial"/>
          <w:sz w:val="21"/>
          <w:szCs w:val="21"/>
          <w:color w:val="auto"/>
          <w:vertAlign w:val="superscript"/>
        </w:rPr>
      </w:pPr>
      <w:r>
        <w:rPr>
          <w:rFonts w:ascii="Arial" w:cs="Arial" w:eastAsia="Arial" w:hAnsi="Arial"/>
          <w:sz w:val="17"/>
          <w:szCs w:val="17"/>
          <w:color w:val="auto"/>
        </w:rPr>
        <w:t>Decrease in securitized vacation ownership notes receivable reserve and increase in non-securitized vacation ownership notes receivable reserve was attributable to the transfer of the reserve when we voluntarily repurchased the vacation ownership notes receivable.</w:t>
      </w:r>
    </w:p>
    <w:p>
      <w:pPr>
        <w:spacing w:after="0" w:line="15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principal, interest, fees and penalties owed and fully reinstate the note. We write off uncollectible vacation ownership notes receivable against the reserve once we receive title of the vacation ownership products through the foreclosure or deed-in-lieu process or in Europe or Asia Pacific, when revocation is complete. For both non-securitized and securitized vacation ownership notes receivable, we estimated average remaining default rates of 7.86 percent and 7.71 percent as of June 15, 2012 and December 30, 2011, respectively. A 0.5 percentage point increase in the estimated default rate would have resulted in an increase in our allowance for credit losses of $6 million as of June 15, 2012 and December 30, 2011.</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6"/>
              </w:rPr>
              <w:t>Non-Securitized</w:t>
            </w:r>
          </w:p>
        </w:tc>
        <w:tc>
          <w:tcPr>
            <w:tcW w:w="100" w:type="dxa"/>
            <w:vAlign w:val="bottom"/>
          </w:tcPr>
          <w:p>
            <w:pPr>
              <w:spacing w:after="0"/>
              <w:rPr>
                <w:sz w:val="14"/>
                <w:szCs w:val="14"/>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Securitized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6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4"/>
              </w:rPr>
              <w:t>Notes Receivable</w:t>
            </w:r>
          </w:p>
        </w:tc>
        <w:tc>
          <w:tcPr>
            <w:tcW w:w="100" w:type="dxa"/>
            <w:vAlign w:val="bottom"/>
          </w:tcPr>
          <w:p>
            <w:pPr>
              <w:spacing w:after="0"/>
              <w:rPr>
                <w:sz w:val="14"/>
                <w:szCs w:val="14"/>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Notes Receivable</w:t>
            </w:r>
          </w:p>
        </w:tc>
        <w:tc>
          <w:tcPr>
            <w:tcW w:w="42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r>
      <w:tr>
        <w:trPr>
          <w:trHeight w:val="188"/>
        </w:trPr>
        <w:tc>
          <w:tcPr>
            <w:tcW w:w="46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Investment in notes receivable on non-accrual status at</w:t>
            </w: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June 15, 2012</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r>
      <w:tr>
        <w:trPr>
          <w:trHeight w:val="208"/>
        </w:trPr>
        <w:tc>
          <w:tcPr>
            <w:tcW w:w="4640" w:type="dxa"/>
            <w:vAlign w:val="bottom"/>
          </w:tcPr>
          <w:p>
            <w:pPr>
              <w:spacing w:after="0"/>
              <w:rPr>
                <w:sz w:val="20"/>
                <w:szCs w:val="20"/>
                <w:color w:val="auto"/>
              </w:rPr>
            </w:pPr>
            <w:r>
              <w:rPr>
                <w:rFonts w:ascii="Arial" w:cs="Arial" w:eastAsia="Arial" w:hAnsi="Arial"/>
                <w:sz w:val="18"/>
                <w:szCs w:val="18"/>
                <w:color w:val="auto"/>
                <w:w w:val="95"/>
              </w:rPr>
              <w:t>Investment in notes receivable on non-accrual status at year-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640" w:type="dxa"/>
            <w:vAlign w:val="bottom"/>
          </w:tcPr>
          <w:p>
            <w:pPr>
              <w:ind w:left="220"/>
              <w:spacing w:after="0"/>
              <w:rPr>
                <w:sz w:val="20"/>
                <w:szCs w:val="20"/>
                <w:color w:val="auto"/>
              </w:rPr>
            </w:pPr>
            <w:r>
              <w:rPr>
                <w:rFonts w:ascii="Arial" w:cs="Arial" w:eastAsia="Arial" w:hAnsi="Arial"/>
                <w:sz w:val="18"/>
                <w:szCs w:val="18"/>
                <w:color w:val="auto"/>
              </w:rPr>
              <w:t>end 2011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101</w:t>
            </w:r>
          </w:p>
        </w:tc>
        <w:tc>
          <w:tcPr>
            <w:tcW w:w="100" w:type="dxa"/>
            <w:vAlign w:val="bottom"/>
          </w:tcPr>
          <w:p>
            <w:pPr>
              <w:spacing w:after="0"/>
              <w:rPr>
                <w:sz w:val="19"/>
                <w:szCs w:val="19"/>
                <w:color w:val="auto"/>
              </w:rPr>
            </w:pPr>
          </w:p>
        </w:tc>
      </w:tr>
      <w:tr>
        <w:trPr>
          <w:trHeight w:val="209"/>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Average investment in notes receivable on non-accrual</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status during the twenty-four weeks ended June 15, 2012</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r>
      <w:tr>
        <w:trPr>
          <w:trHeight w:val="208"/>
        </w:trPr>
        <w:tc>
          <w:tcPr>
            <w:tcW w:w="4640" w:type="dxa"/>
            <w:vAlign w:val="bottom"/>
          </w:tcPr>
          <w:p>
            <w:pPr>
              <w:spacing w:after="0"/>
              <w:rPr>
                <w:sz w:val="20"/>
                <w:szCs w:val="20"/>
                <w:color w:val="auto"/>
              </w:rPr>
            </w:pPr>
            <w:r>
              <w:rPr>
                <w:rFonts w:ascii="Arial" w:cs="Arial" w:eastAsia="Arial" w:hAnsi="Arial"/>
                <w:sz w:val="18"/>
                <w:szCs w:val="18"/>
                <w:color w:val="auto"/>
              </w:rPr>
              <w:t>Average investment in notes receivable on non-accrual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640" w:type="dxa"/>
            <w:vAlign w:val="bottom"/>
          </w:tcPr>
          <w:p>
            <w:pPr>
              <w:ind w:left="220"/>
              <w:spacing w:after="0"/>
              <w:rPr>
                <w:sz w:val="20"/>
                <w:szCs w:val="20"/>
                <w:color w:val="auto"/>
              </w:rPr>
            </w:pPr>
            <w:r>
              <w:rPr>
                <w:rFonts w:ascii="Arial" w:cs="Arial" w:eastAsia="Arial" w:hAnsi="Arial"/>
                <w:sz w:val="18"/>
                <w:szCs w:val="18"/>
                <w:color w:val="auto"/>
                <w:w w:val="96"/>
              </w:rPr>
              <w:t>status during the twenty-four weeks ended June 17, 2011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124</w:t>
            </w:r>
          </w:p>
        </w:tc>
        <w:tc>
          <w:tcPr>
            <w:tcW w:w="100" w:type="dxa"/>
            <w:vAlign w:val="bottom"/>
          </w:tcPr>
          <w:p>
            <w:pPr>
              <w:spacing w:after="0"/>
              <w:rPr>
                <w:sz w:val="19"/>
                <w:szCs w:val="19"/>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June 15, 2012:</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88"/>
              </w:rPr>
              <w:t>Non-Securitized</w:t>
            </w:r>
          </w:p>
        </w:tc>
        <w:tc>
          <w:tcPr>
            <w:tcW w:w="100" w:type="dxa"/>
            <w:vAlign w:val="bottom"/>
          </w:tcPr>
          <w:p>
            <w:pPr>
              <w:spacing w:after="0"/>
              <w:rPr>
                <w:sz w:val="14"/>
                <w:szCs w:val="14"/>
                <w:color w:val="auto"/>
              </w:rPr>
            </w:pPr>
          </w:p>
        </w:tc>
        <w:tc>
          <w:tcPr>
            <w:tcW w:w="1080" w:type="dxa"/>
            <w:vAlign w:val="bottom"/>
          </w:tcPr>
          <w:p>
            <w:pPr>
              <w:jc w:val="right"/>
              <w:ind w:right="177"/>
              <w:spacing w:after="0"/>
              <w:rPr>
                <w:sz w:val="20"/>
                <w:szCs w:val="20"/>
                <w:color w:val="auto"/>
              </w:rPr>
            </w:pPr>
            <w:r>
              <w:rPr>
                <w:rFonts w:ascii="Arial" w:cs="Arial" w:eastAsia="Arial" w:hAnsi="Arial"/>
                <w:sz w:val="14"/>
                <w:szCs w:val="14"/>
                <w:b w:val="1"/>
                <w:bCs w:val="1"/>
                <w:color w:val="auto"/>
              </w:rPr>
              <w:t>Securitized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Vacation Ownership</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2"/>
              </w:rPr>
              <w:t>Notes Receivable</w:t>
            </w:r>
          </w:p>
        </w:tc>
        <w:tc>
          <w:tcPr>
            <w:tcW w:w="100" w:type="dxa"/>
            <w:vAlign w:val="bottom"/>
          </w:tcPr>
          <w:p>
            <w:pPr>
              <w:spacing w:after="0"/>
              <w:rPr>
                <w:sz w:val="14"/>
                <w:szCs w:val="14"/>
                <w:color w:val="auto"/>
              </w:rPr>
            </w:pPr>
          </w:p>
        </w:tc>
        <w:tc>
          <w:tcPr>
            <w:tcW w:w="1080" w:type="dxa"/>
            <w:vAlign w:val="bottom"/>
          </w:tcPr>
          <w:p>
            <w:pPr>
              <w:jc w:val="right"/>
              <w:ind w:right="17"/>
              <w:spacing w:after="0"/>
              <w:rPr>
                <w:sz w:val="20"/>
                <w:szCs w:val="20"/>
                <w:color w:val="auto"/>
              </w:rPr>
            </w:pPr>
            <w:r>
              <w:rPr>
                <w:rFonts w:ascii="Arial" w:cs="Arial" w:eastAsia="Arial" w:hAnsi="Arial"/>
                <w:sz w:val="14"/>
                <w:szCs w:val="14"/>
                <w:b w:val="1"/>
                <w:bCs w:val="1"/>
                <w:color w:val="auto"/>
                <w:w w:val="82"/>
              </w:rPr>
              <w:t>Notes Receivable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31–90 days past due</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91–150 days past due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Total past due</w:t>
            </w: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Total vacation ownership notes receivable</w:t>
            </w: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40" w:type="dxa"/>
            <w:vAlign w:val="bottom"/>
            <w:vMerge w:val="continue"/>
          </w:tcPr>
          <w:p>
            <w:pPr>
              <w:spacing w:after="0"/>
              <w:rPr>
                <w:sz w:val="19"/>
                <w:szCs w:val="19"/>
                <w:color w:val="auto"/>
              </w:rPr>
            </w:pPr>
          </w:p>
        </w:tc>
        <w:tc>
          <w:tcPr>
            <w:tcW w:w="1160" w:type="dxa"/>
            <w:vAlign w:val="bottom"/>
            <w:gridSpan w:val="2"/>
          </w:tcPr>
          <w:p>
            <w:pPr>
              <w:ind w:left="1060"/>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829</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December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8"/>
              </w:rPr>
              <w:t>Non-Securitized</w:t>
            </w:r>
          </w:p>
        </w:tc>
        <w:tc>
          <w:tcPr>
            <w:tcW w:w="100" w:type="dxa"/>
            <w:vAlign w:val="bottom"/>
          </w:tcPr>
          <w:p>
            <w:pPr>
              <w:spacing w:after="0"/>
              <w:rPr>
                <w:sz w:val="14"/>
                <w:szCs w:val="14"/>
                <w:color w:val="auto"/>
              </w:rPr>
            </w:pPr>
          </w:p>
        </w:tc>
        <w:tc>
          <w:tcPr>
            <w:tcW w:w="1080" w:type="dxa"/>
            <w:vAlign w:val="bottom"/>
          </w:tcPr>
          <w:p>
            <w:pPr>
              <w:jc w:val="right"/>
              <w:ind w:right="177"/>
              <w:spacing w:after="0"/>
              <w:rPr>
                <w:sz w:val="20"/>
                <w:szCs w:val="20"/>
                <w:color w:val="auto"/>
              </w:rPr>
            </w:pPr>
            <w:r>
              <w:rPr>
                <w:rFonts w:ascii="Arial" w:cs="Arial" w:eastAsia="Arial" w:hAnsi="Arial"/>
                <w:sz w:val="14"/>
                <w:szCs w:val="14"/>
                <w:b w:val="1"/>
                <w:bCs w:val="1"/>
                <w:color w:val="auto"/>
              </w:rPr>
              <w:t>Securitized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Vacation Ownership</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9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4"/>
              </w:rPr>
              <w:t>Notes Receivable</w:t>
            </w:r>
          </w:p>
        </w:tc>
        <w:tc>
          <w:tcPr>
            <w:tcW w:w="100" w:type="dxa"/>
            <w:vAlign w:val="bottom"/>
          </w:tcPr>
          <w:p>
            <w:pPr>
              <w:spacing w:after="0"/>
              <w:rPr>
                <w:sz w:val="14"/>
                <w:szCs w:val="14"/>
                <w:color w:val="auto"/>
              </w:rPr>
            </w:pPr>
          </w:p>
        </w:tc>
        <w:tc>
          <w:tcPr>
            <w:tcW w:w="1080" w:type="dxa"/>
            <w:vAlign w:val="bottom"/>
          </w:tcPr>
          <w:p>
            <w:pPr>
              <w:jc w:val="right"/>
              <w:ind w:right="17"/>
              <w:spacing w:after="0"/>
              <w:rPr>
                <w:sz w:val="20"/>
                <w:szCs w:val="20"/>
                <w:color w:val="auto"/>
              </w:rPr>
            </w:pPr>
            <w:r>
              <w:rPr>
                <w:rFonts w:ascii="Arial" w:cs="Arial" w:eastAsia="Arial" w:hAnsi="Arial"/>
                <w:sz w:val="14"/>
                <w:szCs w:val="14"/>
                <w:b w:val="1"/>
                <w:bCs w:val="1"/>
                <w:color w:val="auto"/>
                <w:w w:val="82"/>
              </w:rPr>
              <w:t>Notes Receivable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4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31–90 days past due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91–150 days past due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Total past due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r>
      <w:tr>
        <w:trPr>
          <w:trHeight w:val="21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1,184</w:t>
            </w:r>
          </w:p>
        </w:tc>
        <w:tc>
          <w:tcPr>
            <w:tcW w:w="100" w:type="dxa"/>
            <w:vAlign w:val="bottom"/>
            <w:shd w:val="clear" w:color="auto" w:fill="CCEEFF"/>
          </w:tcPr>
          <w:p>
            <w:pPr>
              <w:spacing w:after="0"/>
              <w:rPr>
                <w:sz w:val="18"/>
                <w:szCs w:val="18"/>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8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977</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1,320</w:t>
            </w:r>
          </w:p>
        </w:tc>
        <w:tc>
          <w:tcPr>
            <w:tcW w:w="1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table shows the carrying values and the estimated fair values of financial assets and liabilities that qualify as financial instruments, determined in accordance with current guidance for disclosures on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and Accounts payable, which had fair values approximating their carrying amounts due to the short maturities and liquidity of these instruments.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At June 15, 2012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8"/>
              </w:rPr>
              <w:t>At December 30, 2011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2"/>
                <w:szCs w:val="12"/>
                <w:b w:val="1"/>
                <w:bCs w:val="1"/>
                <w:color w:val="auto"/>
              </w:rPr>
              <w:t>Carrying</w:t>
            </w: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75"/>
              <w:spacing w:after="0" w:line="115" w:lineRule="exact"/>
              <w:rPr>
                <w:sz w:val="20"/>
                <w:szCs w:val="20"/>
                <w:color w:val="auto"/>
              </w:rPr>
            </w:pPr>
            <w:r>
              <w:rPr>
                <w:rFonts w:ascii="Arial" w:cs="Arial" w:eastAsia="Arial" w:hAnsi="Arial"/>
                <w:sz w:val="12"/>
                <w:szCs w:val="12"/>
                <w:b w:val="1"/>
                <w:bCs w:val="1"/>
                <w:color w:val="auto"/>
              </w:rPr>
              <w:t>Fair</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Borders>
              <w:top w:val="single" w:sz="8" w:color="auto"/>
            </w:tcBorders>
            <w:gridSpan w:val="3"/>
          </w:tcPr>
          <w:p>
            <w:pPr>
              <w:ind w:left="20"/>
              <w:spacing w:after="0" w:line="115" w:lineRule="exact"/>
              <w:rPr>
                <w:sz w:val="20"/>
                <w:szCs w:val="20"/>
                <w:color w:val="auto"/>
              </w:rPr>
            </w:pPr>
            <w:r>
              <w:rPr>
                <w:rFonts w:ascii="Arial" w:cs="Arial" w:eastAsia="Arial" w:hAnsi="Arial"/>
                <w:sz w:val="12"/>
                <w:szCs w:val="12"/>
                <w:b w:val="1"/>
                <w:bCs w:val="1"/>
                <w:color w:val="auto"/>
              </w:rPr>
              <w:t>Carrying</w:t>
            </w: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75"/>
              <w:spacing w:after="0" w:line="115" w:lineRule="exact"/>
              <w:rPr>
                <w:sz w:val="20"/>
                <w:szCs w:val="20"/>
                <w:color w:val="auto"/>
              </w:rPr>
            </w:pPr>
            <w:r>
              <w:rPr>
                <w:rFonts w:ascii="Arial" w:cs="Arial" w:eastAsia="Arial" w:hAnsi="Arial"/>
                <w:sz w:val="12"/>
                <w:szCs w:val="12"/>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5"/>
                <w:szCs w:val="15"/>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6"/>
              </w:rPr>
              <w:t>Amount</w:t>
            </w:r>
          </w:p>
        </w:tc>
        <w:tc>
          <w:tcPr>
            <w:tcW w:w="800" w:type="dxa"/>
            <w:vAlign w:val="bottom"/>
            <w:gridSpan w:val="3"/>
          </w:tcPr>
          <w:p>
            <w:pPr>
              <w:jc w:val="right"/>
              <w:ind w:right="280"/>
              <w:spacing w:after="0" w:line="176" w:lineRule="exact"/>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20"/>
                <w:szCs w:val="20"/>
                <w:b w:val="1"/>
                <w:bCs w:val="1"/>
                <w:color w:val="auto"/>
                <w:w w:val="97"/>
                <w:vertAlign w:val="superscript"/>
              </w:rPr>
              <w:t>(1)</w:t>
            </w:r>
          </w:p>
        </w:tc>
        <w:tc>
          <w:tcPr>
            <w:tcW w:w="160" w:type="dxa"/>
            <w:vAlign w:val="bottom"/>
          </w:tcPr>
          <w:p>
            <w:pPr>
              <w:spacing w:after="0"/>
              <w:rPr>
                <w:sz w:val="15"/>
                <w:szCs w:val="15"/>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gridSpan w:val="3"/>
          </w:tcPr>
          <w:p>
            <w:pPr>
              <w:jc w:val="right"/>
              <w:ind w:right="160"/>
              <w:spacing w:after="0" w:line="176" w:lineRule="exact"/>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20"/>
                <w:szCs w:val="20"/>
                <w:b w:val="1"/>
                <w:bCs w:val="1"/>
                <w:color w:val="auto"/>
                <w:w w:val="97"/>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Vacation ownership notes receivable—securitized</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Vacation ownership notes receivable—non-securitized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1,149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Non-recourse debt associated with securitized notes receivable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60" w:type="dxa"/>
            <w:vAlign w:val="bottom"/>
            <w:gridSpan w:val="2"/>
            <w:vMerge w:val="continue"/>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(608)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(645)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Warehouse credit facility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Liability for Marriott Rewards loyalty program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Total financial liabilities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gridSpan w:val="2"/>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(978)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(1,010)</w:t>
            </w: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(1,144)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Fair value of financial instruments has been determined using Level 3 inputs.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determines the fair value of the underlying notes receivable.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bifurcate our non-securitized vacation ownership notes receivable into two pools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1"/>
              </w:rPr>
              <w:t>At June 15, 2012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ind w:left="40"/>
              <w:spacing w:after="0"/>
              <w:rPr>
                <w:sz w:val="20"/>
                <w:szCs w:val="20"/>
                <w:color w:val="auto"/>
              </w:rPr>
            </w:pPr>
            <w:r>
              <w:rPr>
                <w:rFonts w:ascii="Arial" w:cs="Arial" w:eastAsia="Arial" w:hAnsi="Arial"/>
                <w:sz w:val="14"/>
                <w:szCs w:val="14"/>
                <w:b w:val="1"/>
                <w:bCs w:val="1"/>
                <w:color w:val="auto"/>
              </w:rPr>
              <w:t>At December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Carrying</w:t>
            </w:r>
          </w:p>
        </w:tc>
        <w:tc>
          <w:tcPr>
            <w:tcW w:w="4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Borders>
              <w:top w:val="single" w:sz="8" w:color="auto"/>
            </w:tcBorders>
            <w:gridSpan w:val="3"/>
          </w:tcPr>
          <w:p>
            <w:pPr>
              <w:jc w:val="center"/>
              <w:ind w:right="480"/>
              <w:spacing w:after="0" w:line="129" w:lineRule="exact"/>
              <w:rPr>
                <w:sz w:val="20"/>
                <w:szCs w:val="20"/>
                <w:color w:val="auto"/>
              </w:rPr>
            </w:pPr>
            <w:r>
              <w:rPr>
                <w:rFonts w:ascii="Arial" w:cs="Arial" w:eastAsia="Arial" w:hAnsi="Arial"/>
                <w:sz w:val="14"/>
                <w:szCs w:val="14"/>
                <w:b w:val="1"/>
                <w:bCs w:val="1"/>
                <w:color w:val="auto"/>
                <w:w w:val="90"/>
              </w:rPr>
              <w:t>Carrying</w:t>
            </w: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w w:val="85"/>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Value</w:t>
            </w:r>
          </w:p>
        </w:tc>
        <w:tc>
          <w:tcPr>
            <w:tcW w:w="240" w:type="dxa"/>
            <w:vAlign w:val="bottom"/>
          </w:tcPr>
          <w:p>
            <w:pPr>
              <w:spacing w:after="0"/>
              <w:rPr>
                <w:sz w:val="14"/>
                <w:szCs w:val="14"/>
                <w:color w:val="auto"/>
              </w:rPr>
            </w:pPr>
          </w:p>
        </w:tc>
        <w:tc>
          <w:tcPr>
            <w:tcW w:w="11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Amount</w:t>
            </w:r>
          </w:p>
        </w:tc>
        <w:tc>
          <w:tcPr>
            <w:tcW w:w="54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Vacation ownership notes receivable—eligible for securitization</w:t>
            </w:r>
          </w:p>
        </w:tc>
        <w:tc>
          <w:tcPr>
            <w:tcW w:w="1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Vacation ownership notes receivable—not eligible for securitization</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183</w:t>
            </w:r>
          </w:p>
        </w:tc>
        <w:tc>
          <w:tcPr>
            <w:tcW w:w="48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vacation ownership notes receivable—non-securitized</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estimate the fair value of a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and loan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Notes Receivable</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internally generate cash flow estimates by modeling all bond tranches for our active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timeshare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internally generate cash flow estimates by modeling all funding activity for our $300 million, non-recourse warehouse credit facility (the “Warehouse Credit Facility”) with consideration given to the collateral pledged to date. The key drivers in our analysis include default rates, prepayment rates, bond interest rates and structural factors, which we use to estimate the projected cash flows. The discount rate used to calculate the fair value of these cash flows is composed of the market swap rate for the specific average life of the cash flows plus a credit spread. Because the Warehouse Credit Facility debt is not traded in the market, we use a credit spread which is the average of indicative credit spreads obtained from investment banks on our securitized debt for the particular rating that the Warehouse Credit Facility is structured to achieve.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Mandatorily Redeemable Preferred Stock of Consolidated Subsidiary</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for Marriott Rewards Loyalty Program</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determine the carrying value of the future redemption obligation of our liability for the Marriott Rewards loyalty program based on statistical formulas that project the timing of future point redemption based on historical levels, including estimates of the points that will eventually be redeemed and the “breakage” for points that will never be redeemed. We estimate the fair value of the future redemption obligation by adjusting the contractual discount rate to an estimate of that of a market participant with similar nonperformance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estimate the fair value of our other liabilities that are financial instruments using expected future payments discounted at risk-adjusted rates. These liabilities represent guarantee costs and reserves and deposit liabilities. The carrying values of our guarantee costs and reserves approximate their fair values. We estimate the fair value of our deposit liabilities primarily by discounting future payments at a risk-adjusted 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9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Basic earnings per common share is calculated by dividing net income attributable to Marriott Vacations Worldwide common shareholders by the weighted average number of shares of common stock issued and outstanding during the reporting period.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November 21, 2011, we ceased to be a subsidiary of Marriott International and became an independent publicly traded company. On November 21, 2011, Marriott International distributed 33.7 million shares of $.01 par value Marriott Vacations Worldwide common stock to Marriott International’s shareholders of record as of the close of business Eastern time on the record date of November 10, 2011. This share amount is utilized for the calculation of basic earnings per common share for the second quarter of 2011 because all 100 shares of our common stock outstanding prior to November 21, 2011 were held by Marriott International. For the second quarter of 2011, the same number of shares is used for diluted earnings per common share and for basic earnings per common share as no dilutive securities were outstanding for such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illustrates the reconciliation of the earnings and number of shares used in our calculation of basic and diluted earnings per share.</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93"/>
              </w:rPr>
              <w:t>Twelve Weeks Ended</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89"/>
              </w:rPr>
              <w:t>Twenty-Four Weeks Ended</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9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20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June 15, 2012</w:t>
            </w:r>
          </w:p>
        </w:tc>
        <w:tc>
          <w:tcPr>
            <w:tcW w:w="380" w:type="dxa"/>
            <w:vAlign w:val="bottom"/>
          </w:tcPr>
          <w:p>
            <w:pPr>
              <w:spacing w:after="0"/>
              <w:rPr>
                <w:sz w:val="10"/>
                <w:szCs w:val="10"/>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17, 2011</w:t>
            </w:r>
          </w:p>
        </w:tc>
        <w:tc>
          <w:tcPr>
            <w:tcW w:w="380" w:type="dxa"/>
            <w:vAlign w:val="bottom"/>
          </w:tcPr>
          <w:p>
            <w:pPr>
              <w:spacing w:after="0"/>
              <w:rPr>
                <w:sz w:val="10"/>
                <w:szCs w:val="10"/>
                <w:color w:val="auto"/>
              </w:rPr>
            </w:pPr>
          </w:p>
        </w:tc>
        <w:tc>
          <w:tcPr>
            <w:tcW w:w="158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June 15, 2012</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June 17, 2011</w:t>
            </w:r>
          </w:p>
        </w:tc>
        <w:tc>
          <w:tcPr>
            <w:tcW w:w="0" w:type="dxa"/>
            <w:vAlign w:val="bottom"/>
          </w:tcPr>
          <w:p>
            <w:pPr>
              <w:spacing w:after="0"/>
              <w:rPr>
                <w:sz w:val="1"/>
                <w:szCs w:val="1"/>
                <w:color w:val="auto"/>
              </w:rPr>
            </w:pPr>
          </w:p>
        </w:tc>
      </w:tr>
      <w:tr>
        <w:trPr>
          <w:trHeight w:val="149"/>
        </w:trPr>
        <w:tc>
          <w:tcPr>
            <w:tcW w:w="4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257"/>
              <w:spacing w:after="0"/>
              <w:rPr>
                <w:sz w:val="20"/>
                <w:szCs w:val="20"/>
                <w:color w:val="auto"/>
              </w:rPr>
            </w:pPr>
            <w:r>
              <w:rPr>
                <w:rFonts w:ascii="Arial" w:cs="Arial" w:eastAsia="Arial" w:hAnsi="Arial"/>
                <w:sz w:val="11"/>
                <w:szCs w:val="11"/>
                <w:b w:val="1"/>
                <w:bCs w:val="1"/>
                <w:color w:val="auto"/>
              </w:rPr>
              <w:t>(1)</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257"/>
              <w:spacing w:after="0"/>
              <w:rPr>
                <w:sz w:val="20"/>
                <w:szCs w:val="20"/>
                <w:color w:val="auto"/>
              </w:rPr>
            </w:pPr>
            <w:r>
              <w:rPr>
                <w:rFonts w:ascii="Arial" w:cs="Arial" w:eastAsia="Arial" w:hAnsi="Arial"/>
                <w:sz w:val="11"/>
                <w:szCs w:val="11"/>
                <w:b w:val="1"/>
                <w:bCs w:val="1"/>
                <w:color w:val="auto"/>
              </w:rPr>
              <w:t>(1)</w:t>
            </w:r>
          </w:p>
        </w:tc>
        <w:tc>
          <w:tcPr>
            <w:tcW w:w="7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Computation of Basic Earnings Per Share</w:t>
            </w: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7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0.25</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0.47</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0.50</w:t>
            </w:r>
          </w:p>
        </w:tc>
        <w:tc>
          <w:tcPr>
            <w:tcW w:w="7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Computation of Diluted Earnings Per Share</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7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Employee stock option and SARs</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ind w:left="880"/>
              <w:spacing w:after="0"/>
              <w:rPr>
                <w:sz w:val="20"/>
                <w:szCs w:val="20"/>
                <w:color w:val="auto"/>
              </w:rPr>
            </w:pPr>
            <w:r>
              <w:rPr>
                <w:rFonts w:ascii="Arial" w:cs="Arial" w:eastAsia="Arial" w:hAnsi="Arial"/>
                <w:sz w:val="18"/>
                <w:szCs w:val="18"/>
                <w:color w:val="auto"/>
              </w:rPr>
              <w:t>Restricted stock units</w:t>
            </w:r>
          </w:p>
        </w:tc>
        <w:tc>
          <w:tcPr>
            <w:tcW w:w="2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Shares for diluted earnings per share</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tcPr>
          <w:p>
            <w:pPr>
              <w:ind w:left="44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0.24</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0.47</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0.48</w:t>
            </w:r>
          </w:p>
        </w:tc>
        <w:tc>
          <w:tcPr>
            <w:tcW w:w="76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40" w:hanging="452"/>
        <w:spacing w:after="0" w:line="252" w:lineRule="auto"/>
        <w:tabs>
          <w:tab w:leader="none" w:pos="460" w:val="left"/>
        </w:tabs>
        <w:numPr>
          <w:ilvl w:val="0"/>
          <w:numId w:val="7"/>
        </w:numPr>
        <w:rPr>
          <w:rFonts w:ascii="Arial" w:cs="Arial" w:eastAsia="Arial" w:hAnsi="Arial"/>
          <w:sz w:val="21"/>
          <w:szCs w:val="21"/>
          <w:color w:val="auto"/>
          <w:vertAlign w:val="superscript"/>
        </w:rPr>
      </w:pPr>
      <w:r>
        <w:rPr>
          <w:rFonts w:ascii="Arial" w:cs="Arial" w:eastAsia="Arial" w:hAnsi="Arial"/>
          <w:sz w:val="17"/>
          <w:szCs w:val="17"/>
          <w:color w:val="auto"/>
        </w:rPr>
        <w:t>Approximately 84,433 shares of common stock issuable upon the vesting of certain performance-based awards were not included in the computations of diluted earnings per share for the second quarter of 2012 and for the twenty-four weeks ended June 15, 2012, respectively, because the performance conditions required for such shares to vest were not achieved by the end of the reporting period.</w:t>
      </w:r>
    </w:p>
    <w:p>
      <w:pPr>
        <w:spacing w:after="0" w:line="14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compute the effect of dilutive securities using the treasury stock method and average market prices during the period. We determine dilution based on earnings.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accordance with the applicable accounting guidance for calculating earnings per share, we have excluded 40,086 options and SARs with exercise prices ranging from $26.37 to $28.19 in our calculation of diluted earnings per share for the twenty-four week period ended June 15, 2012, because those exercise prices were greater than the average market prices for the applicable period.</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For the twelve week period ended June 15, 2012, we have not excluded any options or SARs from our calculation of diluted earnings per share as no exercise prices were greater than the average market prices for the applicable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88"/>
              </w:rPr>
              <w:t>At June 15,</w:t>
            </w:r>
          </w:p>
        </w:tc>
        <w:tc>
          <w:tcPr>
            <w:tcW w:w="1940" w:type="dxa"/>
            <w:vAlign w:val="bottom"/>
            <w:gridSpan w:val="4"/>
          </w:tcPr>
          <w:p>
            <w:pPr>
              <w:ind w:left="860"/>
              <w:spacing w:after="0"/>
              <w:rPr>
                <w:sz w:val="20"/>
                <w:szCs w:val="20"/>
                <w:color w:val="auto"/>
              </w:rPr>
            </w:pPr>
            <w:r>
              <w:rPr>
                <w:rFonts w:ascii="Arial" w:cs="Arial" w:eastAsia="Arial" w:hAnsi="Arial"/>
                <w:sz w:val="14"/>
                <w:szCs w:val="14"/>
                <w:b w:val="1"/>
                <w:bCs w:val="1"/>
                <w:color w:val="auto"/>
                <w:w w:val="96"/>
              </w:rPr>
              <w:t>At December 30,</w:t>
            </w:r>
          </w:p>
        </w:tc>
      </w:tr>
      <w:tr>
        <w:trPr>
          <w:trHeight w:val="161"/>
        </w:trPr>
        <w:tc>
          <w:tcPr>
            <w:tcW w:w="60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2012</w:t>
            </w:r>
          </w:p>
        </w:tc>
        <w:tc>
          <w:tcPr>
            <w:tcW w:w="8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Work-in-progress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Land and infrastructure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r>
      <w:tr>
        <w:trPr>
          <w:trHeight w:val="221"/>
        </w:trPr>
        <w:tc>
          <w:tcPr>
            <w:tcW w:w="6060" w:type="dxa"/>
            <w:vAlign w:val="bottom"/>
          </w:tcPr>
          <w:p>
            <w:pPr>
              <w:ind w:left="440"/>
              <w:spacing w:after="0"/>
              <w:rPr>
                <w:sz w:val="20"/>
                <w:szCs w:val="20"/>
                <w:color w:val="auto"/>
              </w:rPr>
            </w:pPr>
            <w:r>
              <w:rPr>
                <w:rFonts w:ascii="Arial" w:cs="Arial" w:eastAsia="Arial" w:hAnsi="Arial"/>
                <w:sz w:val="18"/>
                <w:szCs w:val="18"/>
                <w:color w:val="auto"/>
              </w:rPr>
              <w:t>Real estate inventory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901</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r>
      <w:tr>
        <w:trPr>
          <w:trHeight w:val="218"/>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supplies and retail inventory</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22"/>
        </w:trPr>
        <w:tc>
          <w:tcPr>
            <w:tcW w:w="606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907</w:t>
            </w: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market value.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composition of our property and equipment balances: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780" w:type="dxa"/>
            <w:vAlign w:val="bottom"/>
            <w:gridSpan w:val="4"/>
          </w:tcPr>
          <w:p>
            <w:pPr>
              <w:ind w:left="1620"/>
              <w:spacing w:after="0"/>
              <w:rPr>
                <w:sz w:val="20"/>
                <w:szCs w:val="20"/>
                <w:color w:val="auto"/>
              </w:rPr>
            </w:pPr>
            <w:r>
              <w:rPr>
                <w:rFonts w:ascii="Arial" w:cs="Arial" w:eastAsia="Arial" w:hAnsi="Arial"/>
                <w:sz w:val="14"/>
                <w:szCs w:val="14"/>
                <w:b w:val="1"/>
                <w:bCs w:val="1"/>
                <w:color w:val="auto"/>
              </w:rPr>
              <w:t>At June 15,</w:t>
            </w:r>
          </w:p>
        </w:tc>
        <w:tc>
          <w:tcPr>
            <w:tcW w:w="15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At December 30,</w:t>
            </w:r>
          </w:p>
        </w:tc>
      </w:tr>
      <w:tr>
        <w:trPr>
          <w:trHeight w:val="161"/>
        </w:trPr>
        <w:tc>
          <w:tcPr>
            <w:tcW w:w="43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2012</w:t>
            </w:r>
          </w:p>
        </w:tc>
        <w:tc>
          <w:tcPr>
            <w:tcW w:w="4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221</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8"/>
                <w:szCs w:val="18"/>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16"/>
        </w:trPr>
        <w:tc>
          <w:tcPr>
            <w:tcW w:w="4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(381)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(374)</w:t>
            </w:r>
          </w:p>
        </w:tc>
      </w:tr>
      <w:tr>
        <w:trPr>
          <w:trHeight w:val="27"/>
        </w:trPr>
        <w:tc>
          <w:tcPr>
            <w:tcW w:w="4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860" w:firstLine="8"/>
        <w:spacing w:after="0" w:line="347" w:lineRule="auto"/>
        <w:tabs>
          <w:tab w:leader="none" w:pos="17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CONTINGENCIES AND COMMITMENTS </w:t>
      </w:r>
      <w:r>
        <w:rPr>
          <w:rFonts w:ascii="Arial" w:cs="Arial" w:eastAsia="Arial" w:hAnsi="Arial"/>
          <w:sz w:val="18"/>
          <w:szCs w:val="18"/>
          <w:i w:val="1"/>
          <w:iCs w:val="1"/>
          <w:color w:val="auto"/>
        </w:rPr>
        <w:t>Guarantees</w:t>
      </w:r>
    </w:p>
    <w:p>
      <w:pPr>
        <w:spacing w:after="0" w:line="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issue guarantees to certain lenders in connection with the provision of third-party financing for our sales of vacation ownership products for the Luxury and Asia Pacific segments. The terms of guarantees to lenders generally require us to fund if the purchaser fails to pay under the term of its note payable. Prior to the Spin-Off, Marriott International guaranteed our performance under these arrangements. Subsequent to the Spin-Off, Marriott International continues to hold a standby letter of credit related to the Asia Pacific segment guarantee. If Marriott International is required to fund any draws by lenders under this letter of credit it would seek recourse from us. Marriott International no longer guarantees our performance with respect to third-party financing for sales of products in the Luxury segment. We are entitled to recover any funding to third-party lenders related to these guarantees through reacquisition and resale of the vacation ownership product. Our commitments under these guarantees expire as notes mature or are repaid. The terms of the underlying notes extend to 2022.</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shows the maximum potential amount of future fundings for financing guarantees where we are the primary obligor and the carrying amount of the liability for expected future fundings.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180"/>
              <w:spacing w:after="0"/>
              <w:rPr>
                <w:sz w:val="20"/>
                <w:szCs w:val="20"/>
                <w:color w:val="auto"/>
              </w:rPr>
            </w:pPr>
            <w:r>
              <w:rPr>
                <w:rFonts w:ascii="Arial" w:cs="Arial" w:eastAsia="Arial" w:hAnsi="Arial"/>
                <w:sz w:val="14"/>
                <w:szCs w:val="14"/>
                <w:b w:val="1"/>
                <w:bCs w:val="1"/>
                <w:color w:val="auto"/>
                <w:w w:val="94"/>
              </w:rPr>
              <w:t>Maximum Potential</w:t>
            </w:r>
          </w:p>
        </w:tc>
        <w:tc>
          <w:tcPr>
            <w:tcW w:w="25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Liability for Expected</w:t>
            </w:r>
          </w:p>
        </w:tc>
        <w:tc>
          <w:tcPr>
            <w:tcW w:w="0" w:type="dxa"/>
            <w:vAlign w:val="bottom"/>
          </w:tcPr>
          <w:p>
            <w:pPr>
              <w:spacing w:after="0"/>
              <w:rPr>
                <w:sz w:val="1"/>
                <w:szCs w:val="1"/>
                <w:color w:val="auto"/>
              </w:rPr>
            </w:pPr>
          </w:p>
        </w:tc>
      </w:tr>
      <w:tr>
        <w:trPr>
          <w:trHeight w:val="135"/>
        </w:trPr>
        <w:tc>
          <w:tcPr>
            <w:tcW w:w="3780" w:type="dxa"/>
            <w:vAlign w:val="bottom"/>
            <w:gridSpan w:val="2"/>
            <w:vMerge w:val="continue"/>
          </w:tcPr>
          <w:p>
            <w:pPr>
              <w:spacing w:after="0"/>
              <w:rPr>
                <w:sz w:val="11"/>
                <w:szCs w:val="11"/>
                <w:color w:val="auto"/>
              </w:rPr>
            </w:pPr>
          </w:p>
        </w:tc>
        <w:tc>
          <w:tcPr>
            <w:tcW w:w="2320" w:type="dxa"/>
            <w:vAlign w:val="bottom"/>
            <w:gridSpan w:val="3"/>
          </w:tcPr>
          <w:p>
            <w:pPr>
              <w:ind w:left="680"/>
              <w:spacing w:after="0" w:line="135" w:lineRule="exact"/>
              <w:rPr>
                <w:sz w:val="20"/>
                <w:szCs w:val="20"/>
                <w:color w:val="auto"/>
              </w:rPr>
            </w:pPr>
            <w:r>
              <w:rPr>
                <w:rFonts w:ascii="Arial" w:cs="Arial" w:eastAsia="Arial" w:hAnsi="Arial"/>
                <w:sz w:val="14"/>
                <w:szCs w:val="14"/>
                <w:b w:val="1"/>
                <w:bCs w:val="1"/>
                <w:color w:val="auto"/>
                <w:w w:val="87"/>
              </w:rPr>
              <w:t>Amount of Future Fundings</w:t>
            </w:r>
          </w:p>
        </w:tc>
        <w:tc>
          <w:tcPr>
            <w:tcW w:w="1220" w:type="dxa"/>
            <w:vAlign w:val="bottom"/>
          </w:tcPr>
          <w:p>
            <w:pPr>
              <w:spacing w:after="0"/>
              <w:rPr>
                <w:sz w:val="11"/>
                <w:szCs w:val="11"/>
                <w:color w:val="auto"/>
              </w:rPr>
            </w:pPr>
          </w:p>
        </w:tc>
        <w:tc>
          <w:tcPr>
            <w:tcW w:w="13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Future Fundings at</w:t>
            </w:r>
          </w:p>
        </w:tc>
        <w:tc>
          <w:tcPr>
            <w:tcW w:w="0" w:type="dxa"/>
            <w:vAlign w:val="bottom"/>
          </w:tcPr>
          <w:p>
            <w:pPr>
              <w:spacing w:after="0"/>
              <w:rPr>
                <w:sz w:val="1"/>
                <w:szCs w:val="1"/>
                <w:color w:val="auto"/>
              </w:rPr>
            </w:pPr>
          </w:p>
        </w:tc>
      </w:tr>
      <w:tr>
        <w:trPr>
          <w:trHeight w:val="175"/>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ind w:right="280"/>
              <w:spacing w:after="0"/>
              <w:rPr>
                <w:sz w:val="20"/>
                <w:szCs w:val="20"/>
                <w:color w:val="auto"/>
              </w:rPr>
            </w:pPr>
            <w:r>
              <w:rPr>
                <w:rFonts w:ascii="Arial" w:cs="Arial" w:eastAsia="Arial" w:hAnsi="Arial"/>
                <w:sz w:val="14"/>
                <w:szCs w:val="14"/>
                <w:b w:val="1"/>
                <w:bCs w:val="1"/>
                <w:color w:val="auto"/>
              </w:rPr>
              <w:t>at June 15, 2012</w:t>
            </w: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June 15,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Asia Pacific</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Luxury</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financing guarantees where we are the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primary obligor</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3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included our liability for expected future fundings of the financing guarantees in our Balance Sheets in the Other caption within Liabilities.</w:t>
      </w:r>
    </w:p>
    <w:p>
      <w:pPr>
        <w:spacing w:after="0" w:line="194"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Prior to the Spin-Off, Marriott International also guaranteed our performance using letters of credit under certain agreements necessary to operate our Europe segment. Subsequent to the Spin-Off, Marriott International continues to hold $2 million (€1 million) of standby letters of credit related to these guarantees. If Marriott International is required to fund any draws under these letters of credit it would seek recourse from us.</w:t>
      </w:r>
    </w:p>
    <w:p>
      <w:pPr>
        <w:spacing w:after="0" w:line="10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addition to the guarantees we describe in the preceding paragraphs, in conjunction with financing obtained for specific projects or properties owned by joint ventures in which we are a party, we may provide industry standard indemnifications to the lender for loss, liability or damage occurring as a result of the actions of the other joint venture owners or our own 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guarantees we note in the preceding paragraphs, as of June 15, 2012, we had the following commitments:</w:t>
      </w:r>
    </w:p>
    <w:p>
      <w:pPr>
        <w:spacing w:after="0" w:line="90" w:lineRule="exact"/>
        <w:rPr>
          <w:sz w:val="20"/>
          <w:szCs w:val="20"/>
          <w:color w:val="auto"/>
        </w:rPr>
      </w:pPr>
    </w:p>
    <w:p>
      <w:pPr>
        <w:ind w:left="900" w:right="2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 million (€1 million) of other purchase commitments that we expect to fund over the next two years, as follows: $1 million in each of 2013 and 2014.</w:t>
      </w:r>
    </w:p>
    <w:p>
      <w:pPr>
        <w:spacing w:after="0" w:line="50" w:lineRule="exact"/>
        <w:rPr>
          <w:rFonts w:ascii="Arial" w:cs="Arial" w:eastAsia="Arial" w:hAnsi="Arial"/>
          <w:sz w:val="18"/>
          <w:szCs w:val="18"/>
          <w:color w:val="auto"/>
        </w:rPr>
      </w:pPr>
    </w:p>
    <w:p>
      <w:pPr>
        <w:ind w:left="900" w:right="8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commitments under these contracts were $2 million, which we expect will be paid in 2012.</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Commitments to subsidize vacation ownership associations were $4 million, which we expect will be paid in 2012.</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Surety bonds issued as of June 15, 2012 totaled $93 million, the majority of which were requested by federal, state or local governments related to our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Additionally, as of June 15, 2012, we had $5 million of letters of credit outstanding under our four-year $200 million revolving credit facility (the “Revolving Corporate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Certain of our subsidiaries are defendants in a lawsuit in the Superior Court of California, County of San Francisco in which the plaintiffs, 11 owners at our Ritz-Carlton Club and Residences, San Francisco property, question the adequacy of disclosures made regarding bonds issued for the project under California’s Mello-Roos Community Facilities Act of 1982 and their payment obligations with respect to such bonds. In June 2012, the trial judge issued a tentative decision on phase one of the proceeding in favor of the plaintiffs, concluding on the basis of several theories that the plaintiffs are entitled to, among other relief, rescission of their purchase contracts and punitive damages in an amount to be determined. The decision is not yet final, and the total amounts that we may be required to pay to the plaintiffs in this matter are not estimable at this time due to the current procedural status of the case, as well as the uncertainties with respect to the Court’s conclusion and assessment of damages, if any. If the decision does become final, we intend to vigorously appeal the decision. Two other lawsuits are pending in which 11 other owners assert similar claims. To date, we have accrued approximately $7 million for these matters based on amounts that are currently estimable, of which we accrued $2 million in the second quarter of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estimate the cash outflow associated with completing the phases of our existing portfolio of vacation ownership projects currently under development will be approximately $156 million, of which $14 million is included within liabilities on our Balance Sheet. This estimate is based on our current development plans, which remain subject to change, and we expect the phases currently under development will be completed by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 on our debt balances:</w:t>
      </w:r>
    </w:p>
    <w:p>
      <w:pPr>
        <w:spacing w:after="0" w:line="2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8"/>
              <w:spacing w:after="0"/>
              <w:rPr>
                <w:sz w:val="20"/>
                <w:szCs w:val="20"/>
                <w:color w:val="auto"/>
              </w:rPr>
            </w:pPr>
            <w:r>
              <w:rPr>
                <w:rFonts w:ascii="Arial" w:cs="Arial" w:eastAsia="Arial" w:hAnsi="Arial"/>
                <w:sz w:val="14"/>
                <w:szCs w:val="14"/>
                <w:b w:val="1"/>
                <w:bCs w:val="1"/>
                <w:color w:val="auto"/>
                <w:w w:val="90"/>
              </w:rPr>
              <w:t>At June 15,</w:t>
            </w:r>
          </w:p>
        </w:tc>
        <w:tc>
          <w:tcPr>
            <w:tcW w:w="1920" w:type="dxa"/>
            <w:vAlign w:val="bottom"/>
            <w:gridSpan w:val="4"/>
          </w:tcPr>
          <w:p>
            <w:pPr>
              <w:ind w:left="840"/>
              <w:spacing w:after="0"/>
              <w:rPr>
                <w:sz w:val="20"/>
                <w:szCs w:val="20"/>
                <w:color w:val="auto"/>
              </w:rPr>
            </w:pPr>
            <w:r>
              <w:rPr>
                <w:rFonts w:ascii="Arial" w:cs="Arial" w:eastAsia="Arial" w:hAnsi="Arial"/>
                <w:sz w:val="14"/>
                <w:szCs w:val="14"/>
                <w:b w:val="1"/>
                <w:bCs w:val="1"/>
                <w:color w:val="auto"/>
                <w:w w:val="96"/>
              </w:rPr>
              <w:t>At December 30,</w:t>
            </w:r>
          </w:p>
        </w:tc>
      </w:tr>
      <w:tr>
        <w:trPr>
          <w:trHeight w:val="161"/>
        </w:trPr>
        <w:tc>
          <w:tcPr>
            <w:tcW w:w="54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88"/>
        </w:trPr>
        <w:tc>
          <w:tcPr>
            <w:tcW w:w="540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3"/>
              </w:rPr>
              <w:t>Non-recourse debt associated with securitized notes receivable, interest</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rates ranging from 3.64% to 7.20% (weighted average interest rate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of 5.14%) </w:t>
            </w:r>
            <w:r>
              <w:rPr>
                <w:rFonts w:ascii="Arial" w:cs="Arial" w:eastAsia="Arial" w:hAnsi="Arial"/>
                <w:sz w:val="11"/>
                <w:szCs w:val="11"/>
                <w:color w:val="auto"/>
              </w:rPr>
              <w:t>(1)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 xml:space="preserve">Warehouse credit facility (effective interest rate of 2.08%) </w:t>
            </w:r>
            <w:r>
              <w:rPr>
                <w:rFonts w:ascii="Arial" w:cs="Arial" w:eastAsia="Arial" w:hAnsi="Arial"/>
                <w:sz w:val="11"/>
                <w:szCs w:val="11"/>
                <w:color w:val="auto"/>
              </w:rPr>
              <w:t>(1)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Revolving corporate credit facility</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(1)</w:t>
            </w:r>
          </w:p>
        </w:tc>
        <w:tc>
          <w:tcPr>
            <w:tcW w:w="2760" w:type="dxa"/>
            <w:vAlign w:val="bottom"/>
            <w:vMerge w:val="restart"/>
          </w:tcPr>
          <w:p>
            <w:pPr>
              <w:ind w:left="160"/>
              <w:spacing w:after="0"/>
              <w:rPr>
                <w:sz w:val="20"/>
                <w:szCs w:val="20"/>
                <w:color w:val="auto"/>
              </w:rPr>
            </w:pPr>
            <w:r>
              <w:rPr>
                <w:rFonts w:ascii="Arial" w:cs="Arial" w:eastAsia="Arial" w:hAnsi="Arial"/>
                <w:sz w:val="18"/>
                <w:szCs w:val="18"/>
                <w:color w:val="auto"/>
                <w:w w:val="84"/>
              </w:rPr>
              <w:t>Interest rates are as of June 15, 2012.</w:t>
            </w:r>
          </w:p>
        </w:tc>
        <w:tc>
          <w:tcPr>
            <w:tcW w:w="0" w:type="dxa"/>
            <w:vAlign w:val="bottom"/>
          </w:tcPr>
          <w:p>
            <w:pPr>
              <w:spacing w:after="0"/>
              <w:rPr>
                <w:sz w:val="1"/>
                <w:szCs w:val="1"/>
                <w:color w:val="auto"/>
              </w:rPr>
            </w:pPr>
          </w:p>
        </w:tc>
      </w:tr>
      <w:tr>
        <w:trPr>
          <w:trHeight w:val="101"/>
        </w:trPr>
        <w:tc>
          <w:tcPr>
            <w:tcW w:w="30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See Footnote No. 12, “Variable Interest Entities,” for a discussion of the collateral for the non-recourse debt associated with the securitized vacation ownership notes receivable and the Warehouse Credit Facility. All of our other debt was, and to the extent currently outstanding is, recourse to us but is unsecured. Although no cash borrowings were outstanding as of June 15, 2012 under our Revolving Corporate Credit Facility, any amounts that are borrowed under that facility, as well as obligations with respect to letters of credit issued pursuant to that facility, are secured by a perfected first priority security interest in substantially all of our assets and the assets of the guarantors of that facility, in each case including inventory, subject to certain exceptions.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scheduled future principal payments for our debt:</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1"/>
              </w:rPr>
              <w:t>Non-Recourse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55"/>
              <w:spacing w:after="0"/>
              <w:rPr>
                <w:sz w:val="20"/>
                <w:szCs w:val="20"/>
                <w:color w:val="auto"/>
              </w:rPr>
            </w:pPr>
            <w:r>
              <w:rPr>
                <w:rFonts w:ascii="Arial" w:cs="Arial" w:eastAsia="Arial" w:hAnsi="Arial"/>
                <w:sz w:val="14"/>
                <w:szCs w:val="14"/>
                <w:b w:val="1"/>
                <w:bCs w:val="1"/>
                <w:color w:val="auto"/>
                <w:w w:val="84"/>
              </w:rPr>
              <w:t>Warehouse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860" w:type="dxa"/>
            <w:vAlign w:val="bottom"/>
          </w:tcPr>
          <w:p>
            <w:pPr>
              <w:spacing w:after="0"/>
              <w:rPr>
                <w:sz w:val="20"/>
                <w:szCs w:val="20"/>
                <w:color w:val="auto"/>
              </w:rPr>
            </w:pPr>
            <w:r>
              <w:rPr>
                <w:rFonts w:ascii="Arial" w:cs="Arial" w:eastAsia="Arial" w:hAnsi="Arial"/>
                <w:sz w:val="14"/>
                <w:szCs w:val="14"/>
                <w:b w:val="1"/>
                <w:bCs w:val="1"/>
                <w:color w:val="auto"/>
              </w:rPr>
              <w:t>Debt Principal Payments Year</w:t>
            </w:r>
          </w:p>
        </w:tc>
        <w:tc>
          <w:tcPr>
            <w:tcW w:w="220" w:type="dxa"/>
            <w:vAlign w:val="bottom"/>
          </w:tcPr>
          <w:p>
            <w:pPr>
              <w:spacing w:after="0"/>
              <w:rPr>
                <w:sz w:val="15"/>
                <w:szCs w:val="15"/>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Debt</w:t>
            </w:r>
          </w:p>
        </w:tc>
        <w:tc>
          <w:tcPr>
            <w:tcW w:w="28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Credit Facility</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4"/>
                <w:szCs w:val="14"/>
                <w:b w:val="1"/>
                <w:bCs w:val="1"/>
                <w:color w:val="auto"/>
                <w:w w:val="99"/>
              </w:rPr>
              <w:t>Other Debt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10"/>
        </w:trPr>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gridSpan w:val="2"/>
          </w:tcPr>
          <w:p>
            <w:pPr>
              <w:jc w:val="right"/>
              <w:ind w:right="280"/>
              <w:spacing w:after="0"/>
              <w:rPr>
                <w:sz w:val="20"/>
                <w:szCs w:val="20"/>
                <w:color w:val="auto"/>
              </w:rPr>
            </w:pPr>
            <w:r>
              <w:rPr>
                <w:rFonts w:ascii="Arial" w:cs="Arial" w:eastAsia="Arial" w:hAnsi="Arial"/>
                <w:sz w:val="15"/>
                <w:szCs w:val="15"/>
                <w:color w:val="auto"/>
                <w:w w:val="71"/>
              </w:rPr>
              <w:t>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r>
      <w:tr>
        <w:trPr>
          <w:trHeight w:val="27"/>
        </w:trPr>
        <w:tc>
          <w:tcPr>
            <w:tcW w:w="4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June 15, 2012</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103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71"/>
              </w:rPr>
              <w:t>3</w:t>
            </w:r>
          </w:p>
        </w:tc>
        <w:tc>
          <w:tcPr>
            <w:tcW w:w="4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60" w:firstLine="456"/>
        <w:spacing w:after="0" w:line="268" w:lineRule="auto"/>
        <w:rPr>
          <w:sz w:val="20"/>
          <w:szCs w:val="20"/>
          <w:color w:val="auto"/>
        </w:rPr>
      </w:pPr>
      <w:r>
        <w:rPr>
          <w:rFonts w:ascii="Arial" w:cs="Arial" w:eastAsia="Arial" w:hAnsi="Arial"/>
          <w:sz w:val="18"/>
          <w:szCs w:val="18"/>
          <w:color w:val="auto"/>
        </w:rPr>
        <w:t>As the contractual terms of the underlying securitized notes receivable determine the maturities of the non-recourse debt associated with them, actual maturities may occur earlier than shown above due to prepayments by the notes receivable obligors.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paid cash for interest, net of amounts capitalized, of $21 million in the twenty-four weeks ended June 15, 2012 and $20 million in the twenty-four weeks ended June 17,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Notes Receivable</w:t>
      </w:r>
    </w:p>
    <w:p>
      <w:pPr>
        <w:spacing w:after="0" w:line="90"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Each of our securitized vacation ownership notes receivable pools is subject to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(related to the interests we retained) to accelerate the principal payments to investors based on the subordination of the different tranches until the performance trigger is cured. At the end of the second quarter of 2012, no pools were out of compliance. As a result of performance triggers, a total of $1 million in cash of excess spread was redirected to accelerate principal payments to investors during the twenty-four weeks ended June 15, 2012. As of June 15, 2012, we had 9 securitized vacation ownership notes receivable pools outstanding (excluding the Warehouse Credit Facility).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 to Footnote No. 16, “Subsequent Events”, for information on the securitization of vacation ownership notes receivable subsequent to June 15, 2012.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MANDATORILY REDEEMABLE PREFERRED STOCK OF CONSOLIDATED SUBSIDIARY</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October 2011, our subsidiary, MVW US Holdings, Inc. (“MVW US Holdings”) issued $40 million of its mandatorily redeemable Series A (non-voting) preferred stock to Marriott International as part of Marriott International’s internal reorganization prior to the Spin-Off. Subsequently Marriott International sold all of this preferred stock to third-party investors. For the first five years after issuance, the Series A preferred stock will pay an annual cash dividend equal to the five-year U.S. Treasury Rate as of October 19, 2011, plus a spread of 10.958 percent, for a total annual cash dividend rate of 12 percent. On the fifth anniversary of issuance,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The Series A preferred stock has an aggregate liquidation preference of $40 million plus any accrued and unpaid dividends and an additional premium if liquidation occurs during the first five years after the issuance of the preferred stock. As of June 15, 2012,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total of 6 million shares are authorized for issuance under the Marriott Vacations Worldwide Corporation Stock and Cash Incentive Plan (the “Marriott Vacations Worldwide Stock Plan”). As of June 15, 2012, approximately 2 million shares were available for grants under the Marriott Vacations Worldwide Stock Plan.</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For share-based awards with service-only vesting conditions, we measure compensation expense related to share-based payment transactions with our employees and non-employee directors at fair value on the grant date and recognize this expense in the Statement of Operations over the vesting period during which the employees provide service in exchange for the award. For share-based arrangements with performance conditions as a prerequisite to vesting, we recognize compensation expense once it is probable that the corresponding performance condition will be achieved.</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recorded share-based compensation expense related to award grants to our officers, directors and employees of $3 million and $2 million for the twelve weeks ended June 15, 2012 and June 17, 2011, respectively, and $6 million and $4 million for the twenty-four weeks ended June 15, 2012 and June 17, 2011, respectively. Our deferred compensation liability related to unvested awards held by our employees totaled $20 million and $19 million at June 15, 2012 and December 30, 2011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granted 215,109 RSUs during the twenty-four weeks ended June 15, 2012 to our employees, and those RSUs generally vest over four year periods in annual installments commencing one year after the date of grant. RSUs granted in the twenty-four weeks ended June 15, 2012 had a weighted average grant-date fair value of $23.</w:t>
      </w:r>
    </w:p>
    <w:p>
      <w:pPr>
        <w:spacing w:after="0" w:line="14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During the twenty-four weeks ended June 15, 2012, we granted RSUs with performance-based vesting criteria to key members of management. The number of RSUs earned, if any, will be determined following the end of a three-year performance period based upon our cumulative achievement over that period of specific quantitative operating financial measures. The maximum amount of RSUs that may vest under the performance-based RSUs is approximately 170,000.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 (“SARs”)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granted 2,778 SARs to a non-employee director in lieu of annual cash retainers during the twenty-four weeks ended June 15, 2012. SARs generally expire ten years after the date of grant and both vest and may be exercised in cumulative installments of one quarter of the number of SARs granted at the end of each of the first four years following the date of grant. These SARs vested immediately and had a weighted average grant-date fair value of $14 and a weighted average exercise price of $28.</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use the Black-Scholes model to estimate the fair value of the stock options or SARs granted. For SARs granted under the Marriott Vacations Worldwide Stock Plan in the twenty-four weeks ended June 15, 2012, the expected stock price volatility was calculated based on the historical volatility from the stock prices of a group of identified peer companies. The average expected life was calculated based on the simplified method. The risk-free interest rate was calculated based on U.S. Treasury zero-coupon issues with a remaining term equal to the expected life assumed at the date of grant. The expected annual dividend per share was $0 based on our expected dividend rate.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outlines the assumptions used to estimate the fair value of grants during the twenty-four weeks ended June 15, 2012:</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Dividend yield</w:t>
            </w:r>
          </w:p>
        </w:tc>
        <w:tc>
          <w:tcPr>
            <w:tcW w:w="332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320" w:type="dxa"/>
            <w:vAlign w:val="bottom"/>
          </w:tcPr>
          <w:p>
            <w:pPr>
              <w:jc w:val="right"/>
              <w:ind w:right="132"/>
              <w:spacing w:after="0"/>
              <w:rPr>
                <w:sz w:val="20"/>
                <w:szCs w:val="20"/>
                <w:color w:val="auto"/>
              </w:rPr>
            </w:pPr>
            <w:r>
              <w:rPr>
                <w:rFonts w:ascii="Arial" w:cs="Arial" w:eastAsia="Arial" w:hAnsi="Arial"/>
                <w:sz w:val="18"/>
                <w:szCs w:val="18"/>
                <w:color w:val="auto"/>
              </w:rPr>
              <w:t>6.25</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VARIABLE INTEREST ENTITIES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as its primary beneficiary.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loans to third parties. In a vacation ownership notes receivable securitization, various classes of debt securities that the special purpose entities issue are generally collateralized by a single tranche of transferred assets, which consist of vacation ownership notes receivable. We service the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may consolidate them.</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shows consolidated assets, that are collateral for the obligations of these variable interest entities, and consolidated liabilities included in our Balance Sheet at June 15,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Vacation Ownership</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Warehouse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Notes Receivable</w:t>
            </w:r>
          </w:p>
        </w:tc>
        <w:tc>
          <w:tcPr>
            <w:tcW w:w="10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3"/>
              </w:rPr>
              <w:t>Credit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5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8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4"/>
              </w:rPr>
              <w:t>Securitizations</w:t>
            </w:r>
          </w:p>
        </w:tc>
        <w:tc>
          <w:tcPr>
            <w:tcW w:w="10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Facility</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Assets:</w:t>
            </w: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Notes receivable, net of reserves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78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119</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7"/>
        </w:trPr>
        <w:tc>
          <w:tcPr>
            <w:tcW w:w="5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8"/>
                <w:szCs w:val="18"/>
                <w:color w:val="auto"/>
              </w:rPr>
            </w:pPr>
          </w:p>
        </w:tc>
      </w:tr>
      <w:tr>
        <w:trPr>
          <w:trHeight w:val="222"/>
        </w:trPr>
        <w:tc>
          <w:tcPr>
            <w:tcW w:w="5540" w:type="dxa"/>
            <w:vAlign w:val="bottom"/>
          </w:tcPr>
          <w:p>
            <w:pPr>
              <w:spacing w:after="0"/>
              <w:rPr>
                <w:sz w:val="20"/>
                <w:szCs w:val="20"/>
                <w:color w:val="auto"/>
              </w:rPr>
            </w:pPr>
            <w:r>
              <w:rPr>
                <w:rFonts w:ascii="Arial" w:cs="Arial" w:eastAsia="Arial" w:hAnsi="Arial"/>
                <w:sz w:val="18"/>
                <w:szCs w:val="18"/>
                <w:b w:val="1"/>
                <w:bCs w:val="1"/>
                <w:color w:val="auto"/>
              </w:rPr>
              <w:t>Consolidated Liabilities:</w:t>
            </w: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8"/>
                <w:szCs w:val="18"/>
                <w:color w:val="auto"/>
              </w:rPr>
            </w:pPr>
          </w:p>
        </w:tc>
      </w:tr>
      <w:tr>
        <w:trPr>
          <w:trHeight w:val="27"/>
        </w:trPr>
        <w:tc>
          <w:tcPr>
            <w:tcW w:w="5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twelve weeks ended June 15,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Vacation Ownership</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Warehouse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82"/>
              </w:rPr>
              <w:t>Notes Receivable</w:t>
            </w:r>
          </w:p>
        </w:tc>
        <w:tc>
          <w:tcPr>
            <w:tcW w:w="80" w:type="dxa"/>
            <w:vAlign w:val="bottom"/>
          </w:tcPr>
          <w:p>
            <w:pPr>
              <w:spacing w:after="0"/>
              <w:rPr>
                <w:sz w:val="12"/>
                <w:szCs w:val="12"/>
                <w:color w:val="auto"/>
              </w:rPr>
            </w:pPr>
          </w:p>
        </w:tc>
        <w:tc>
          <w:tcPr>
            <w:tcW w:w="132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98"/>
              </w:rPr>
              <w:t>Credit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0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0"/>
              </w:rPr>
              <w:t>Securitizations</w:t>
            </w:r>
          </w:p>
        </w:tc>
        <w:tc>
          <w:tcPr>
            <w:tcW w:w="80" w:type="dxa"/>
            <w:vAlign w:val="bottom"/>
          </w:tcPr>
          <w:p>
            <w:pPr>
              <w:spacing w:after="0"/>
              <w:rPr>
                <w:sz w:val="14"/>
                <w:szCs w:val="14"/>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1"/>
              </w:rPr>
              <w:t>Facility</w:t>
            </w:r>
          </w:p>
        </w:tc>
        <w:tc>
          <w:tcPr>
            <w:tcW w:w="4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1900" w:type="dxa"/>
            <w:vAlign w:val="bottom"/>
            <w:gridSpan w:val="2"/>
          </w:tcPr>
          <w:p>
            <w:pPr>
              <w:ind w:left="1800"/>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19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twenty-four weeks ended June 15,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Vacation Ownership</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Warehouse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4"/>
              </w:rPr>
              <w:t>Notes Receivable</w:t>
            </w:r>
          </w:p>
        </w:tc>
        <w:tc>
          <w:tcPr>
            <w:tcW w:w="100" w:type="dxa"/>
            <w:vAlign w:val="bottom"/>
          </w:tcPr>
          <w:p>
            <w:pPr>
              <w:spacing w:after="0"/>
              <w:rPr>
                <w:sz w:val="12"/>
                <w:szCs w:val="12"/>
                <w:color w:val="auto"/>
              </w:rPr>
            </w:pPr>
          </w:p>
        </w:tc>
        <w:tc>
          <w:tcPr>
            <w:tcW w:w="13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3"/>
              </w:rPr>
              <w:t>Credit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6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9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6"/>
              </w:rPr>
              <w:t>Securitizations</w:t>
            </w:r>
          </w:p>
        </w:tc>
        <w:tc>
          <w:tcPr>
            <w:tcW w:w="100" w:type="dxa"/>
            <w:vAlign w:val="bottom"/>
          </w:tcPr>
          <w:p>
            <w:pPr>
              <w:spacing w:after="0"/>
              <w:rPr>
                <w:sz w:val="14"/>
                <w:szCs w:val="14"/>
                <w:color w:val="auto"/>
              </w:rPr>
            </w:pPr>
          </w:p>
        </w:tc>
        <w:tc>
          <w:tcPr>
            <w:tcW w:w="13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6"/>
              </w:rPr>
              <w:t>Facility</w:t>
            </w:r>
          </w:p>
        </w:tc>
        <w:tc>
          <w:tcPr>
            <w:tcW w:w="4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r>
      <w:tr>
        <w:trPr>
          <w:trHeight w:val="210"/>
        </w:trPr>
        <w:tc>
          <w:tcPr>
            <w:tcW w:w="5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18</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7"/>
              </w:rPr>
              <w:t>Twelve Weeks Ended</w:t>
            </w:r>
          </w:p>
        </w:tc>
        <w:tc>
          <w:tcPr>
            <w:tcW w:w="320" w:type="dxa"/>
            <w:vAlign w:val="bottom"/>
          </w:tcPr>
          <w:p>
            <w:pPr>
              <w:spacing w:after="0"/>
              <w:rPr>
                <w:sz w:val="14"/>
                <w:szCs w:val="14"/>
                <w:color w:val="auto"/>
              </w:rPr>
            </w:pPr>
          </w:p>
        </w:tc>
        <w:tc>
          <w:tcPr>
            <w:tcW w:w="178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89"/>
              </w:rPr>
              <w:t>Twenty-Four Weeks Ended</w:t>
            </w:r>
          </w:p>
        </w:tc>
        <w:tc>
          <w:tcPr>
            <w:tcW w:w="0" w:type="dxa"/>
            <w:vAlign w:val="bottom"/>
          </w:tcPr>
          <w:p>
            <w:pPr>
              <w:spacing w:after="0"/>
              <w:rPr>
                <w:sz w:val="1"/>
                <w:szCs w:val="1"/>
                <w:color w:val="auto"/>
              </w:rPr>
            </w:pPr>
          </w:p>
        </w:tc>
      </w:tr>
      <w:tr>
        <w:trPr>
          <w:trHeight w:val="129"/>
        </w:trPr>
        <w:tc>
          <w:tcPr>
            <w:tcW w:w="4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15,</w:t>
            </w: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17,</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15,</w:t>
            </w:r>
          </w:p>
        </w:tc>
        <w:tc>
          <w:tcPr>
            <w:tcW w:w="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June 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9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2011</w:t>
            </w:r>
          </w:p>
        </w:tc>
        <w:tc>
          <w:tcPr>
            <w:tcW w:w="3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2012</w:t>
            </w: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proceeds from notes receivable securitization</w:t>
            </w:r>
          </w:p>
        </w:tc>
        <w:tc>
          <w:tcPr>
            <w:tcW w:w="2020" w:type="dxa"/>
            <w:vAlign w:val="bottom"/>
            <w:gridSpan w:val="2"/>
          </w:tcPr>
          <w:p>
            <w:pPr>
              <w:ind w:left="19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Interest receipts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1"/>
        </w:trPr>
        <w:tc>
          <w:tcPr>
            <w:tcW w:w="4320" w:type="dxa"/>
            <w:vAlign w:val="bottom"/>
          </w:tcPr>
          <w:p>
            <w:pPr>
              <w:spacing w:after="0"/>
              <w:rPr>
                <w:sz w:val="20"/>
                <w:szCs w:val="20"/>
                <w:color w:val="auto"/>
              </w:rPr>
            </w:pPr>
            <w:r>
              <w:rPr>
                <w:rFonts w:ascii="Arial" w:cs="Arial" w:eastAsia="Arial" w:hAnsi="Arial"/>
                <w:sz w:val="18"/>
                <w:szCs w:val="18"/>
                <w:b w:val="1"/>
                <w:bCs w:val="1"/>
                <w:color w:val="auto"/>
              </w:rPr>
              <w:t>Cash outflows:</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Principal to investors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Voluntary repurchases of defaulted notes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Voluntary clean-up call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Interest to investors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(136)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Net Cash Flows</w:t>
            </w: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vMerge w:val="continue"/>
          </w:tcPr>
          <w:p>
            <w:pPr>
              <w:spacing w:after="0"/>
              <w:rPr>
                <w:sz w:val="19"/>
                <w:szCs w:val="19"/>
                <w:color w:val="auto"/>
              </w:rPr>
            </w:pPr>
          </w:p>
        </w:tc>
        <w:tc>
          <w:tcPr>
            <w:tcW w:w="2020" w:type="dxa"/>
            <w:vAlign w:val="bottom"/>
            <w:gridSpan w:val="2"/>
          </w:tcPr>
          <w:p>
            <w:pPr>
              <w:ind w:left="19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920" w:type="dxa"/>
            <w:vAlign w:val="bottom"/>
            <w:vMerge w:val="restart"/>
          </w:tcPr>
          <w:p>
            <w:pPr>
              <w:jc w:val="right"/>
              <w:ind w:right="812"/>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cash flows between us and the Warehouse Credit Facility variable interest entity:</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ind w:left="140"/>
              <w:spacing w:after="0"/>
              <w:rPr>
                <w:sz w:val="20"/>
                <w:szCs w:val="20"/>
                <w:color w:val="auto"/>
              </w:rPr>
            </w:pPr>
            <w:r>
              <w:rPr>
                <w:rFonts w:ascii="Arial" w:cs="Arial" w:eastAsia="Arial" w:hAnsi="Arial"/>
                <w:sz w:val="14"/>
                <w:szCs w:val="14"/>
                <w:b w:val="1"/>
                <w:bCs w:val="1"/>
                <w:color w:val="auto"/>
              </w:rPr>
              <w:t>Twelve Weeks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ind w:left="12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June 15,</w:t>
            </w:r>
          </w:p>
        </w:tc>
        <w:tc>
          <w:tcPr>
            <w:tcW w:w="5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June 17,</w:t>
            </w:r>
          </w:p>
        </w:tc>
        <w:tc>
          <w:tcPr>
            <w:tcW w:w="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w w:val="82"/>
              </w:rPr>
              <w:t>June 15,</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9"/>
              </w:rPr>
              <w:t>June 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56"/>
              <w:spacing w:after="0"/>
              <w:rPr>
                <w:sz w:val="20"/>
                <w:szCs w:val="20"/>
                <w:color w:val="auto"/>
              </w:rPr>
            </w:pPr>
            <w:r>
              <w:rPr>
                <w:rFonts w:ascii="Arial" w:cs="Arial" w:eastAsia="Arial" w:hAnsi="Arial"/>
                <w:sz w:val="14"/>
                <w:szCs w:val="14"/>
                <w:b w:val="1"/>
                <w:bCs w:val="1"/>
                <w:color w:val="auto"/>
                <w:w w:val="83"/>
              </w:rPr>
              <w:t>2012</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proceeds from notes receivable securitization</w:t>
            </w:r>
          </w:p>
        </w:tc>
        <w:tc>
          <w:tcPr>
            <w:tcW w:w="1400" w:type="dxa"/>
            <w:vAlign w:val="bottom"/>
            <w:gridSpan w:val="2"/>
          </w:tcPr>
          <w:p>
            <w:pPr>
              <w:ind w:left="13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Interest receipts</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Cash outflows: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Principal to investors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Voluntary repurchases of defaulted notes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to investors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Under the terms of our vacation ownership notes receivable securitizations, we have the right at our option to repurchase defaulted mortgage notes at the outstanding principal balance. The transaction documents typically limit such repurchases to 15 to 20 percent of the transaction’s initial mortgage balance. Our maximum exposure to loss relating to the entities that own these vacation ownership notes receivable is the overcollateralization amount (the difference between the loan collateral balance and the balance on the outstanding notes receivable), plus cash reserves and any residual interest in future cash flows from collateral.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have an equity investment in and a note receivable due from a variable interest entity that develops and markets vacation ownership and residential products in Hawaii pursuant to a joint venture arrangement. We concluded that the entity is a variable interest entity because the equity investment at risk is not sufficient to permit the entity to finance its activities without additional support from other venture parties. We determined that we are not the primary beneficiary of this entity, as power to direct the activities that most significantly impact the entity’s economic performance is shared among the variable interest holders and, therefore, we do not consolidate the entity. We provided a completion guarantee in favor of the project lenders for which the joint venture has delivered a completed operational project. Although we have not received a release of the guarantee from the lenders, we do not believe we have any exposure for funding. In 2009, we fully impaired our equity investment in the entity and in certain notes receivable due from the entity. In 2010, the continued application of equity losses to our investment in the remaining outstanding notes receivable balance reduced its carrying value to zero. In addition, the venture was unable to pay promissory notes that matured on December 31, 2010 and August 1, 2011. Subsequently, the lenders issued a notice of default to the venture. The venture continues to seek to negotiate a consensual resolution, but no resolution has been reached to date and the lenders have initiated foreclosure proceedings with respect to unsold interests in the project. We have given notice of breach or termination of various agreements, including management agreements with the owners’ associations at the project, marketing and sales agreements with the venture, and other agreements pursuant to which we provide services to the venture, with termination effective September 10, 2012. During the second quarter of 2012, we reversed $2 million of our previously recorded impairment of this equity investment because the actual costs incurred to suspend the marketing and sales operations were lower than previously estimated. We have a remaining accrual of $10 million for potential future funding included in other liabilities on our Balance Sheet, representing our remaining expected exposure to loss related to our involvement with this entity. In addition, several owners at the project have filed suit against several parties involved in the project, including two of our subsidiaries, which could result in additional exposures which are not estimable at this time.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upon the completion of the Spin-Off, Marriott Vacations Worldwide ceased to be a related party of Marriott International.</w:t>
      </w:r>
    </w:p>
    <w:p>
      <w:pPr>
        <w:spacing w:after="0" w:line="17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Through November 21, 2011 (the effective date of the Spin-Off), our expenses included allocations from Marriott International of costs associated with services provided by Marriott International to us including, but not limited to, information technology support, systems maintenance, telecommunications, accounts payable, payroll and benefits, human resources, self-insurance and other shared services. Historically, these costs were charged to us based on specific identification or on a basis determined by Marriott International to reflect a reasonable allocation to us of the actual costs incurred to perform these services. These allocated costs were $6 million and $14 million for the twelve and twenty-four weeks ended June 17, 2011,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Marriott International allocated indirect general and administrative costs to us for certain functions and services provided to us by Marriott International, including, but not limited to, executive office, legal, tax, finance, government and public relations, internal audit, treasury, investor relations, human resources and other administrative support primarily on the basis of our proportion of Marriott International’s overall revenue. Accordingly, we were allocated $4 million and $7 million for the twelve and twenty-four weeks ended June 17, 2011, respectively, of Marriott International’s indirect general and corporate overhead expenses and have included these expenses in General and administrative expenses on our Statements of Operations.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Marriott International ceased allocating expenses to us after the Spin-Off on November 21, 2011. We determined that our relative revenue was a reasonable reflection of Marriott International time dedicated to the oversight of our historical business. The allocations may not, however, reflect the expense we would have incurred as an independent, publicly traded company for the periods presented.</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All significant intercompany transactions between us and Marriott International were included in our historical financial statements and are considered to be effectively settled as of the time of the Spin-Off. The total net effect of the settlement of these intercompany transactions is reflected in the Statements of Cash Flows as a financing activity.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SHAREHOLDERS’ EQUITY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changes in shareholders’ equity during the twenty-four weeks ended June 15,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3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3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Retained</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9"/>
              </w:rPr>
              <w:t>Paid-In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32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(Deficit)</w:t>
            </w:r>
          </w:p>
        </w:tc>
        <w:tc>
          <w:tcPr>
            <w:tcW w:w="32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Capital</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Income</w:t>
            </w:r>
          </w:p>
        </w:tc>
        <w:tc>
          <w:tcPr>
            <w:tcW w:w="3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3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year-end 2011</w:t>
            </w:r>
          </w:p>
        </w:tc>
        <w:tc>
          <w:tcPr>
            <w:tcW w:w="1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34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Amounts related to share-based compensation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15, 2012</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in four reportable business segments:</w:t>
      </w:r>
    </w:p>
    <w:p>
      <w:pPr>
        <w:spacing w:after="0" w:line="90" w:lineRule="exact"/>
        <w:rPr>
          <w:sz w:val="20"/>
          <w:szCs w:val="20"/>
          <w:color w:val="auto"/>
        </w:rPr>
      </w:pPr>
    </w:p>
    <w:p>
      <w:pPr>
        <w:ind w:left="900" w:right="6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our North America segment, we develop, market, sell and manage vacation ownership products under the Marriott Vacation Club and Grand Residences by Marriott brands in the United States and the Caribbean. We also develop, market, sell and manage resort residential real estate located within our vacation ownership developments under the Grand Residences by Marriott brand.</w:t>
      </w:r>
    </w:p>
    <w:p>
      <w:pPr>
        <w:spacing w:after="0" w:line="59"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our Luxury segment, we develop, market, sell and manage luxury vacation ownership products under the Ritz-Carlton Destination Club brand. We also sell whole ownership luxury residential real estate under the Ritz-Carlton Residences brand.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our Europe segment, we develop, market, sell and manage vacation ownership products in several locations in Europe.</w:t>
      </w:r>
    </w:p>
    <w:p>
      <w:pPr>
        <w:spacing w:after="0" w:line="90"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our Asia Pacific segment, we operate Marriott Vacation Club, Asia Pacific, a right-to-use points program we introduced in 2006 that we specifically designed to appeal to vacation preferences of the Asian market, as well as a weeks-based right-to-use product originally introduced in 2001.</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evaluate the performance of our segments based primarily on the results of the segment without allocating corporate expenses, income taxes or indirect general and administrative expenses. We do not allocate corporate interest expense or other financing expenses to our segments. We include interest income specific to segment activities within the appropriate segment. We allocate other gains and losses, equity in earnings or losses from our joint ventures and general and administrative expenses to each of our segments. Corporate and other represents that portion of our revenues, general, administrative and other expenses, equity in earnings or losses, and other gains or losses that are not allocable to our segments.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w w:val="94"/>
              </w:rPr>
              <w:t>Twelve Weeks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10"/>
          </w:tcPr>
          <w:p>
            <w:pPr>
              <w:jc w:val="right"/>
              <w:ind w:right="320"/>
              <w:spacing w:after="0"/>
              <w:rPr>
                <w:sz w:val="20"/>
                <w:szCs w:val="20"/>
                <w:color w:val="auto"/>
              </w:rPr>
            </w:pPr>
            <w:r>
              <w:rPr>
                <w:rFonts w:ascii="Arial" w:cs="Arial" w:eastAsia="Arial" w:hAnsi="Arial"/>
                <w:sz w:val="14"/>
                <w:szCs w:val="14"/>
                <w:b w:val="1"/>
                <w:bCs w:val="1"/>
                <w:color w:val="auto"/>
                <w:w w:val="93"/>
              </w:rPr>
              <w:t>Twenty-Four Weeks Ended</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June 15,</w:t>
            </w: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85"/>
              </w:rPr>
              <w:t>June 17,</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June 15,</w:t>
            </w: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40" w:type="dxa"/>
            <w:vAlign w:val="bottom"/>
            <w:gridSpan w:val="3"/>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2012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w w:val="76"/>
              </w:rPr>
              <w:t>2011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Luxury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segment revenues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383</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755</w:t>
            </w:r>
          </w:p>
        </w:tc>
        <w:tc>
          <w:tcPr>
            <w:tcW w:w="72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3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7"/>
          </w:tcPr>
          <w:p>
            <w:pPr>
              <w:ind w:left="20"/>
              <w:spacing w:after="0"/>
              <w:rPr>
                <w:sz w:val="20"/>
                <w:szCs w:val="20"/>
                <w:color w:val="auto"/>
              </w:rPr>
            </w:pPr>
            <w:r>
              <w:rPr>
                <w:rFonts w:ascii="Arial" w:cs="Arial" w:eastAsia="Arial" w:hAnsi="Arial"/>
                <w:sz w:val="14"/>
                <w:szCs w:val="14"/>
                <w:b w:val="1"/>
                <w:bCs w:val="1"/>
                <w:color w:val="auto"/>
                <w:w w:val="86"/>
              </w:rPr>
              <w:t>Twelve Weeks Ended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10"/>
          </w:tcPr>
          <w:p>
            <w:pPr>
              <w:jc w:val="right"/>
              <w:ind w:right="360"/>
              <w:spacing w:after="0"/>
              <w:rPr>
                <w:sz w:val="20"/>
                <w:szCs w:val="20"/>
                <w:color w:val="auto"/>
              </w:rPr>
            </w:pPr>
            <w:r>
              <w:rPr>
                <w:rFonts w:ascii="Arial" w:cs="Arial" w:eastAsia="Arial" w:hAnsi="Arial"/>
                <w:sz w:val="14"/>
                <w:szCs w:val="14"/>
                <w:b w:val="1"/>
                <w:bCs w:val="1"/>
                <w:color w:val="auto"/>
                <w:w w:val="91"/>
              </w:rPr>
              <w:t>Twenty-Four Weeks Ended</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960" w:type="dxa"/>
            <w:vAlign w:val="bottom"/>
            <w:tcBorders>
              <w:top w:val="single" w:sz="8" w:color="auto"/>
            </w:tcBorders>
            <w:gridSpan w:val="6"/>
          </w:tcPr>
          <w:p>
            <w:pPr>
              <w:ind w:left="20"/>
              <w:spacing w:after="0" w:line="129" w:lineRule="exact"/>
              <w:rPr>
                <w:sz w:val="20"/>
                <w:szCs w:val="20"/>
                <w:color w:val="auto"/>
              </w:rPr>
            </w:pPr>
            <w:r>
              <w:rPr>
                <w:rFonts w:ascii="Arial" w:cs="Arial" w:eastAsia="Arial" w:hAnsi="Arial"/>
                <w:sz w:val="14"/>
                <w:szCs w:val="14"/>
                <w:b w:val="1"/>
                <w:bCs w:val="1"/>
                <w:color w:val="auto"/>
              </w:rPr>
              <w:t>June 15,</w:t>
            </w: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85"/>
              </w:rPr>
              <w:t>June 17,</w:t>
            </w:r>
          </w:p>
        </w:tc>
        <w:tc>
          <w:tcPr>
            <w:tcW w:w="44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rPr>
              <w:t>June 15,</w:t>
            </w: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36"/>
              <w:spacing w:after="0" w:line="129" w:lineRule="exact"/>
              <w:rPr>
                <w:sz w:val="20"/>
                <w:szCs w:val="20"/>
                <w:color w:val="auto"/>
              </w:rPr>
            </w:pPr>
            <w:r>
              <w:rPr>
                <w:rFonts w:ascii="Arial" w:cs="Arial" w:eastAsia="Arial" w:hAnsi="Arial"/>
                <w:sz w:val="14"/>
                <w:szCs w:val="14"/>
                <w:b w:val="1"/>
                <w:bCs w:val="1"/>
                <w:color w:val="auto"/>
                <w:w w:val="85"/>
              </w:rPr>
              <w:t>June 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40" w:type="dxa"/>
            <w:vAlign w:val="bottom"/>
            <w:gridSpan w:val="3"/>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42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w w:val="89"/>
              </w:rPr>
              <w:t>2012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Luxury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7"/>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7"/>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segment financial results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7"/>
              <w:spacing w:after="0"/>
              <w:rPr>
                <w:sz w:val="20"/>
                <w:szCs w:val="20"/>
                <w:color w:val="auto"/>
              </w:rPr>
            </w:pPr>
            <w:r>
              <w:rPr>
                <w:rFonts w:ascii="Arial" w:cs="Arial" w:eastAsia="Arial" w:hAnsi="Arial"/>
                <w:sz w:val="18"/>
                <w:szCs w:val="18"/>
                <w:color w:val="auto"/>
                <w:w w:val="87"/>
              </w:rPr>
              <w:t>(36)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87"/>
              </w:rPr>
              <w:t>(12)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0" w:type="dxa"/>
            <w:vAlign w:val="bottom"/>
            <w:gridSpan w:val="2"/>
          </w:tcPr>
          <w:p>
            <w:pPr>
              <w:jc w:val="right"/>
              <w:ind w:right="77"/>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3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At Period-End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71"/>
              </w:rPr>
              <w:t>June 15,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5"/>
          </w:tcPr>
          <w:p>
            <w:pPr>
              <w:ind w:left="220"/>
              <w:spacing w:after="0" w:line="129" w:lineRule="exact"/>
              <w:rPr>
                <w:sz w:val="20"/>
                <w:szCs w:val="20"/>
                <w:color w:val="auto"/>
              </w:rPr>
            </w:pPr>
            <w:r>
              <w:rPr>
                <w:rFonts w:ascii="Arial" w:cs="Arial" w:eastAsia="Arial" w:hAnsi="Arial"/>
                <w:sz w:val="14"/>
                <w:szCs w:val="14"/>
                <w:b w:val="1"/>
                <w:bCs w:val="1"/>
                <w:color w:val="auto"/>
                <w:w w:val="85"/>
              </w:rPr>
              <w:t>December 30,</w:t>
            </w:r>
          </w:p>
        </w:tc>
        <w:tc>
          <w:tcPr>
            <w:tcW w:w="300" w:type="dxa"/>
            <w:vAlign w:val="bottom"/>
            <w:gridSpan w:val="3"/>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880" w:type="dxa"/>
            <w:vAlign w:val="bottom"/>
            <w:gridSpan w:val="2"/>
          </w:tcPr>
          <w:p>
            <w:pPr>
              <w:ind w:left="920"/>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5"/>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2"/>
              </w:rPr>
              <w:t>$2,133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Luxury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Asia Pacific</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segment 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2,591</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2,846</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June 28, 2012, we completed a securitization involving the transfer of a pool of approximately $250 million in vacation ownership notes receivable (the “Loans”) to Marriott Vacation Club Owner Trust 2012-1 (the “2012-1 Trust”), including $122 million of Loans that were previously securitized in the Warehouse Credit Facility. Simultaneous with the securitization of the Loans to the 2012-1 Trust, investors purchased approximately $238 million in Timeshare Loan Backed Notes (the “Notes”) from the 2012-1 Trust in a private placement. Two classes of Notes were issued by the 2012-1 Trust: approximately $210 million of Class A Notes and approximately $28 million of Class B Notes. The Class A Notes have an interest rate of 2.51% and the Class B Notes have an interest rate of 3.50%, for an overall weighted average interest rate of 2.625%. As consideration for the securitization of the Loans, we received initial gross cash proceeds (before transaction expenses and required reserves) of approximately $238 million ($233 million after transaction expenses and required reserves), and a subordinated residual interest in the 2012-1 Trust through which we expect to realize the remaining value of the Loans over time. Of this amount, approximately $101 million was used to repay amounts previously drawn under the Warehouse Credit Facility, and the remainder will be used for general corporate purposes. We will account for the securitization as a secured borrowing and therefore, will not recognize a gain or loss in the third quarter of 2012 as a result of this transaction. The results of operations of the 2012-1 Trust will be consolidated within our results of operations as the Trust is a variable interest entity for which we are the primary beneficiary.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 and can be identified by the use of forward-looking terminology such as the words “believe,” “expect,” “plan,” “intend,” “anticipate,” “estimate,” “predict,” “potential,” “continue,” “may,” “might,” “should,” “could” or the negative of these terms or similar expressions.</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except as required by law.</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risk factors discussed in “Risk Factors” in our most recent Annual Report on Form 10-K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Financial Statements (as defined below), which we discuss below, reflect our historical financial condition, results of operations and cash flows. The financial information discussed below and included in this Quarterly Report on Form 10-Q, however, may not necessarily reflect what our financial condition, results of operations or cash flows would have been had we been operated as a separate, independent entity during the periods prior to the Spin-Off (defined below) that are presented, or what our financial condition, results of operations and cash flows may be in the future.</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refer to (i) our Interim Consolidated Financial Statements as our “Financial Statements,” (ii) our Interim Consolidated Statements of Operations as our “Statements of Operations,” and (iii) our Interim Consolidated Statements of Cash Flows as our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November 21, 2011, the spin-off of our company (the “Spin-Off”) from Marriott International, Inc. (“Marriott International”) was completed. In the Spin-Off, Marriott International’s vacation ownership operations and related residential business were separated from Marriott International through a special tax-free dividend to Marriott International’s shareholders of all of the issued and outstanding common stock of our company. On the date of the Spin-Off, Marriott International shareholders of record as of the close of business on November 10, 2011 received one share of Marriott Vacations Worldwide common stock for every ten shares of Marriott International common stock. Following the Spin-Off, we are an independent company, and our common stock is listed on the New York Stock Exchange under the symbol “VAC”.</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Prior to the Spin-Off, our business was owned by Marriott International. In connection with the Spin-Off, we and Marriott International entered into material agreements that govern the ongoing relationships between our two companies after the Spin-Off, provide for an orderly transition to our status as an independent, publicly owned company, relate to the provision by each company to the other of certain services and rights following the Spin-Off, and provide for each company to indemnify the other against certain liabilities arising from our respective businesses. Following the Spin-Off, we and Marriott International have operated independently, and neither company has any ownership interest in the other.</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described in Footnote No. 1, “Summary of Significant Accounting Policies,” in the Notes to our Financial Statements, through the date of the Spin-Off, the Financial Statements discussed below were prepared on a stand-alone basis and were derived from the consolidated financial statements and accounting records of Marriott International. These Financial Statements have been prepared as if the Spin-Off had taken place as of the earliest period presented. The Financial Statements reflect our historical financial position, results of operations and cash flows as we have historically operated, in conformity with United States Generally Accepted Accounting Principles (“GAAP”). All significant intracompany transactions and accounts within these Financial Statements have been eliminated. Beginning November 22, 2011, for periods following the completion of the Spin-Off, our financial results also include the impact of the royalty fee payable under the license agreements with Marriott International and The Ritz-Carlton Hotel Company, L.L.C. that we entered into in connection with the Spin-Off (the “License Agreements”) and the dividend payable on the mandatorily redeemable preferred stock of our consolidated subsidiary (included in interest expense).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Overview</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generally provides on-site management for Ritz-Carlton branded properties.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business is grouped into four reportable segments: North America, Luxury, Europe and Asia Pacific. We operate 64 properties in the United States and eight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significant accounting policies used in our business that will be used in describing our results of operations.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 revenues from the sale of vacation ownership products when all of the following conditions exist:</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binding sales contract has been executed;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statutory rescission period has expired;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receivable is deemed collectible;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criteria for percentage of completion accounting are met;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remainder of our obligations are substantially completed.</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Sale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generally within one year from the date of issuance. All sales incentives are only awarded if the sale is closed.</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As a result of the down 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notes receivable (also known as a notes receivable reserve) from vacation ownership purchases as a reduction of revenues from the sale of vacation ownership products at the time we recognize revenues from a sale.</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report, on a supplemental basis, contract sales for each of our four segments. Contract sales represent the total amount of vacation ownership product sales from purchase agreements signed during the period where we have received a down payment of at least ten percent of the contract price, reduced by actual rescissions during the period. Contract sales differ from revenues from the sale of vacation ownership products that we report in our Statements of Operations due to the requirements for revenue recognition described above. We consider contract sales to be an important operating measure because it reflects the pace of sales in our business.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Total contract sales include sales from company-owned projects and prior to 2012, also include sales generated under a marketing and sales arrangement with a joint venture. Prior to 2011, we established cancellation allowances for previously reported contract sales in anticipation that a portion of these contract sales would not be realized due to contract cancellations prior to closing. These cancellation allowances related mainly to our Luxury segment where we were selling vacation ownership products well in advance of completion of construction. Given the significant amount of time between the date of the purchase agreement and ultimate closings of sales, as well as the significant weakness in the overall economic environment and, in particular, the luxury real estate markets during 2010, 2009 and 2008, many customers decided not to complete their purchases. As we do not have any luxury products under construction, we do not anticipate having significant additional cancellation allowances in the future.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Cost of vacation ownership products includes costs to develop and construct the project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to the cost of vacation ownership products in our Statements of Operations to true-up costs in that period to those that would have been recorded historically if the revised estimates had been used. These true-ups, which we refer to as product cost true-up activity, will have a positive or negative impact on our Statements of Operations.</w:t>
      </w:r>
    </w:p>
    <w:p>
      <w:pPr>
        <w:spacing w:after="0" w:line="120"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resort management and other services revenues includes revenues we earn for managing our resorts, providing ancillary offerings including food and beverage, retail, and golf and spa offerings, and for providing other services to our guests.</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We provide day-to-day-management services, including housekeeping services, operation of reservation systems, maintenance, and certain accounting and administrative services for property owners’ associations. We receive compensation for such management services which is generally based on either a percentage of total costs to operate the resorts or a fixed fee arrangement. We earn these fees regardless of usage or occupancy. In connection with the Marriott Vacation Club Destinations </w:t>
      </w:r>
      <w:r>
        <w:rPr>
          <w:rFonts w:ascii="Arial" w:cs="Arial" w:eastAsia="Arial" w:hAnsi="Arial"/>
          <w:sz w:val="11"/>
          <w:szCs w:val="11"/>
          <w:color w:val="auto"/>
        </w:rPr>
        <w:t>TM</w:t>
      </w:r>
      <w:r>
        <w:rPr>
          <w:rFonts w:ascii="Arial" w:cs="Arial" w:eastAsia="Arial" w:hAnsi="Arial"/>
          <w:sz w:val="18"/>
          <w:szCs w:val="18"/>
          <w:color w:val="auto"/>
        </w:rPr>
        <w:t xml:space="preserve"> (“MVCD”) program, we also receive annual club dues and certain transaction based fees charged to owners and other third parties for services.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Resort management and other services expenses include costs to operate the food and beverage and other ancillary operations and overall customer support services, including reservations.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80" w:type="dxa"/>
            <w:vAlign w:val="bottom"/>
            <w:gridSpan w:val="4"/>
          </w:tcPr>
          <w:p>
            <w:pPr>
              <w:ind w:left="100"/>
              <w:spacing w:after="0"/>
              <w:rPr>
                <w:sz w:val="20"/>
                <w:szCs w:val="20"/>
                <w:color w:val="auto"/>
              </w:rPr>
            </w:pPr>
            <w:r>
              <w:rPr>
                <w:rFonts w:ascii="Arial" w:cs="Arial" w:eastAsia="Arial" w:hAnsi="Arial"/>
                <w:sz w:val="14"/>
                <w:szCs w:val="14"/>
                <w:b w:val="1"/>
                <w:bCs w:val="1"/>
                <w:color w:val="auto"/>
                <w:w w:val="98"/>
              </w:rPr>
              <w:t>Twenty-Four Weeks Ended</w:t>
            </w:r>
          </w:p>
        </w:tc>
      </w:tr>
      <w:tr>
        <w:trPr>
          <w:trHeight w:val="129"/>
        </w:trPr>
        <w:tc>
          <w:tcPr>
            <w:tcW w:w="41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June 15,</w:t>
            </w:r>
          </w:p>
        </w:tc>
        <w:tc>
          <w:tcPr>
            <w:tcW w:w="13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June 17,</w:t>
            </w:r>
          </w:p>
        </w:tc>
        <w:tc>
          <w:tcPr>
            <w:tcW w:w="100" w:type="dxa"/>
            <w:vAlign w:val="bottom"/>
          </w:tcPr>
          <w:p>
            <w:pPr>
              <w:spacing w:after="0"/>
              <w:rPr>
                <w:sz w:val="11"/>
                <w:szCs w:val="11"/>
                <w:color w:val="auto"/>
              </w:rPr>
            </w:pPr>
          </w:p>
        </w:tc>
      </w:tr>
      <w:tr>
        <w:trPr>
          <w:trHeight w:val="161"/>
        </w:trPr>
        <w:tc>
          <w:tcPr>
            <w:tcW w:w="4120" w:type="dxa"/>
            <w:vAlign w:val="bottom"/>
          </w:tcPr>
          <w:p>
            <w:pPr>
              <w:spacing w:after="0"/>
              <w:rPr>
                <w:sz w:val="14"/>
                <w:szCs w:val="14"/>
                <w:color w:val="auto"/>
              </w:rPr>
            </w:pPr>
          </w:p>
        </w:tc>
        <w:tc>
          <w:tcPr>
            <w:tcW w:w="3160" w:type="dxa"/>
            <w:vAlign w:val="bottom"/>
            <w:gridSpan w:val="2"/>
          </w:tcPr>
          <w:p>
            <w:pPr>
              <w:ind w:left="2780"/>
              <w:spacing w:after="0"/>
              <w:rPr>
                <w:sz w:val="20"/>
                <w:szCs w:val="20"/>
                <w:color w:val="auto"/>
              </w:rPr>
            </w:pPr>
            <w:r>
              <w:rPr>
                <w:rFonts w:ascii="Arial" w:cs="Arial" w:eastAsia="Arial" w:hAnsi="Arial"/>
                <w:sz w:val="14"/>
                <w:szCs w:val="14"/>
                <w:b w:val="1"/>
                <w:bCs w:val="1"/>
                <w:color w:val="auto"/>
              </w:rPr>
              <w:t>2012</w:t>
            </w:r>
          </w:p>
        </w:tc>
        <w:tc>
          <w:tcPr>
            <w:tcW w:w="13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Average FICO score</w:t>
            </w:r>
          </w:p>
        </w:tc>
        <w:tc>
          <w:tcPr>
            <w:tcW w:w="26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8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note receivable, which is generally ten years. The interest income earned from the financing arrangements is earned on an accrual basis on the principal balance outstanding over the life of the arrangement and is recorded as financing revenues on our Statements of Operations.</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Financing revenues include interest income earned on notes receivable as well as fees earned from servicing the existing note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Due to weakened economic conditions, the number of customers choosing to finance their vacation ownership purchase with us (which we refer to as “financing propensity”) declined significantly over the last several years, due in part to our elimination of financing incentive programs. As a result, we expect that interest income will continue to decline over the next few years until new originations outpace the decline in principal amount of the existing note portfolio.</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event of a default, we generally have the right to foreclose on or revoke the vacation ownership interest. We typically return interests that we reacquire through foreclosure or revocation back to real estate inventory. As discussed above, we record a notes receivable reserve at the time of sale and classify the reserve as a reduction to revenues from the sale of vacation ownership products in our Statements of Operations. Historical default rates, which represent defaults as a percentage of each year’s beginning gross notes receivable balance, were 2.6% for each of the twenty-four weeks ended June 15, 2012 and June 17, 2011.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Rental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obtain rental inventory from:</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Unsold inventory;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Inventory we control because owners have elected various usage options.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Rental revenues are primarily the revenues we earn from renting this inventory. We also recognize rental revenue from the utilization of plus points issued under the MVCD program when those points are redeemed for rental stays at one of our resorts or upon expiration.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Rental expenses include:</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to provide alternate usage options, including Marriott Rewards Points, for owners who elect to exchange their inventory;</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Subsidy payments to property owners’ associations at resorts that are in the early phases of construction where maintenance fees collected from the owners are not sufficient to support operating costs of the resort;</w:t>
      </w:r>
    </w:p>
    <w:p>
      <w:pPr>
        <w:spacing w:after="0" w:line="5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(e.g., housekeeping, credit card expenses and reservation services);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our MVCD program.</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Rental metrics, including the average daily transient rate or the number of transient keys rented, may not be comparable between periods given fluctuation in available occupancy by location, unit size (e.g., two bedroom, one bedroom or studio unit), and owner use and exchange behavior. Further, as our ability to rent certain inventory in our Luxury and Asia Pacific segments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night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also record other revenues which are primarily comprised of fees received from our external exchange company and settlement fees from the sale of vacation ownership products.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Reimbursements</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Cost reimbursements revenues include direct and indirect costs that property owners’ associations and joint ventures in which we participate reimburse to us. In accordance with the accounting guidance for “gross versus net” presentation, we record these revenues on a gross basis. We recognize cost reimbursements revenue when we incur the related reimbursable costs. These costs primarily consist of payroll and payroll related costs for management of the property owners’ associations and other services we provide where we are the employer, and for development and marketing and sales services that joint ventures contract with us to perform. Cost reimbursements are based upon actual expenses with no added margin.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refer to interest expense associated with the debt from our $300 million, non-recourse warehouse credit facility (the “Warehouse Credit Facility”) and from the securitization of our notes receivable in the term asset-backed securities (“ABS”) market as consumer financing interest expense. We distinguish consumer financing interest expense from all other interest expense (referred to as non-consumer financing interest expense) because the debt associated with the consumer financing interest expense is secured by notes receivable that have been sold to bankruptcy remote special purpose entities and is generally non-recourse to us.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Items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30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Volume per guest (“VPG”), which we calculate by dividing contract sales, excluding telesales and other sales that are not attributed to a tour at a sales location, by the number of sales tours in a given period. We believe that this operating metric is valuable in evaluating the effectiveness of the sales process as it combines the impact of average contract price with the number of touring guests who make a purchase.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discussion presents an analysis of results of our operations for the twelve and twenty-four weeks ended June 15, 2012, compared to the twelve and twenty-four weeks ended June 17,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3"/>
              </w:rPr>
              <w:t>Twelve Weeks Ended</w:t>
            </w:r>
          </w:p>
        </w:tc>
        <w:tc>
          <w:tcPr>
            <w:tcW w:w="260" w:type="dxa"/>
            <w:vAlign w:val="bottom"/>
          </w:tcPr>
          <w:p>
            <w:pPr>
              <w:spacing w:after="0"/>
              <w:rPr>
                <w:sz w:val="14"/>
                <w:szCs w:val="14"/>
                <w:color w:val="auto"/>
              </w:rPr>
            </w:pPr>
          </w:p>
        </w:tc>
        <w:tc>
          <w:tcPr>
            <w:tcW w:w="1840" w:type="dxa"/>
            <w:vAlign w:val="bottom"/>
            <w:gridSpan w:val="6"/>
          </w:tcPr>
          <w:p>
            <w:pPr>
              <w:ind w:left="40"/>
              <w:spacing w:after="0"/>
              <w:rPr>
                <w:sz w:val="20"/>
                <w:szCs w:val="20"/>
                <w:color w:val="auto"/>
              </w:rPr>
            </w:pPr>
            <w:r>
              <w:rPr>
                <w:rFonts w:ascii="Arial" w:cs="Arial" w:eastAsia="Arial" w:hAnsi="Arial"/>
                <w:sz w:val="14"/>
                <w:szCs w:val="14"/>
                <w:b w:val="1"/>
                <w:bCs w:val="1"/>
                <w:color w:val="auto"/>
                <w:w w:val="99"/>
              </w:rPr>
              <w:t>Twenty-Four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1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June 15,</w:t>
            </w:r>
          </w:p>
        </w:tc>
        <w:tc>
          <w:tcPr>
            <w:tcW w:w="5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June 17,</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15,</w:t>
            </w:r>
          </w:p>
        </w:tc>
        <w:tc>
          <w:tcPr>
            <w:tcW w:w="4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2"/>
              </w:rPr>
              <w:t>June 17,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2012</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2011</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2012</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33"/>
              <w:spacing w:after="0"/>
              <w:rPr>
                <w:sz w:val="20"/>
                <w:szCs w:val="20"/>
                <w:color w:val="auto"/>
              </w:rPr>
            </w:pPr>
            <w:r>
              <w:rPr>
                <w:rFonts w:ascii="Arial" w:cs="Arial" w:eastAsia="Arial" w:hAnsi="Arial"/>
                <w:sz w:val="14"/>
                <w:szCs w:val="14"/>
                <w:b w:val="1"/>
                <w:bCs w:val="1"/>
                <w:color w:val="auto"/>
                <w:w w:val="76"/>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Sale of vacation ownership products</w:t>
            </w:r>
          </w:p>
        </w:tc>
        <w:tc>
          <w:tcPr>
            <w:tcW w:w="2640" w:type="dxa"/>
            <w:vAlign w:val="bottom"/>
            <w:gridSpan w:val="2"/>
          </w:tcPr>
          <w:p>
            <w:pPr>
              <w:ind w:left="25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40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279</w:t>
            </w:r>
          </w:p>
        </w:tc>
        <w:tc>
          <w:tcPr>
            <w:tcW w:w="6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Financing</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Other</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2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280"/>
              <w:spacing w:after="0"/>
              <w:rPr>
                <w:sz w:val="20"/>
                <w:szCs w:val="20"/>
                <w:color w:val="auto"/>
              </w:rPr>
            </w:pPr>
            <w:r>
              <w:rPr>
                <w:rFonts w:ascii="Arial" w:cs="Arial" w:eastAsia="Arial" w:hAnsi="Arial"/>
                <w:sz w:val="18"/>
                <w:szCs w:val="18"/>
                <w:color w:val="auto"/>
              </w:rPr>
              <w:t>Total revenues</w:t>
            </w: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755</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Cost of vacation ownership products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Resort management and other services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Financing</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Rental</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Royalty fee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2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280"/>
              <w:spacing w:after="0"/>
              <w:rPr>
                <w:sz w:val="20"/>
                <w:szCs w:val="20"/>
                <w:color w:val="auto"/>
              </w:rPr>
            </w:pPr>
            <w:r>
              <w:rPr>
                <w:rFonts w:ascii="Arial" w:cs="Arial" w:eastAsia="Arial" w:hAnsi="Arial"/>
                <w:sz w:val="18"/>
                <w:szCs w:val="18"/>
                <w:color w:val="auto"/>
              </w:rPr>
              <w:t>Total expenses</w:t>
            </w:r>
          </w:p>
        </w:tc>
        <w:tc>
          <w:tcPr>
            <w:tcW w:w="2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Impairment reversals on equity investment</w:t>
            </w:r>
          </w:p>
        </w:tc>
        <w:tc>
          <w:tcPr>
            <w:tcW w:w="2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tcPr>
          <w:p>
            <w:pPr>
              <w:ind w:left="1280"/>
              <w:spacing w:after="0"/>
              <w:rPr>
                <w:sz w:val="20"/>
                <w:szCs w:val="20"/>
                <w:color w:val="auto"/>
              </w:rPr>
            </w:pPr>
            <w:r>
              <w:rPr>
                <w:rFonts w:ascii="Arial" w:cs="Arial" w:eastAsia="Arial" w:hAnsi="Arial"/>
                <w:sz w:val="18"/>
                <w:szCs w:val="18"/>
                <w:color w:val="auto"/>
              </w:rPr>
              <w:t>Income before income taxes</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1280"/>
              <w:spacing w:after="0"/>
              <w:rPr>
                <w:sz w:val="20"/>
                <w:szCs w:val="20"/>
                <w:color w:val="auto"/>
              </w:rPr>
            </w:pPr>
            <w:r>
              <w:rPr>
                <w:rFonts w:ascii="Arial" w:cs="Arial" w:eastAsia="Arial" w:hAnsi="Arial"/>
                <w:sz w:val="18"/>
                <w:szCs w:val="18"/>
                <w:color w:val="auto"/>
              </w:rPr>
              <w:t>Net income</w:t>
            </w:r>
          </w:p>
        </w:tc>
        <w:tc>
          <w:tcPr>
            <w:tcW w:w="2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Development margin percentage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Contract Sales</w:t>
            </w: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Company-Owned</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Vacation ownership</w:t>
            </w:r>
          </w:p>
        </w:tc>
        <w:tc>
          <w:tcPr>
            <w:tcW w:w="2640" w:type="dxa"/>
            <w:vAlign w:val="bottom"/>
            <w:gridSpan w:val="2"/>
          </w:tcPr>
          <w:p>
            <w:pPr>
              <w:ind w:left="25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159</w:t>
            </w:r>
          </w:p>
        </w:tc>
        <w:tc>
          <w:tcPr>
            <w:tcW w:w="40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322</w:t>
            </w:r>
          </w:p>
        </w:tc>
        <w:tc>
          <w:tcPr>
            <w:tcW w:w="6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products</w:t>
            </w:r>
          </w:p>
        </w:tc>
        <w:tc>
          <w:tcPr>
            <w:tcW w:w="2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1280"/>
              <w:spacing w:after="0"/>
              <w:rPr>
                <w:sz w:val="20"/>
                <w:szCs w:val="20"/>
                <w:color w:val="auto"/>
              </w:rPr>
            </w:pPr>
            <w:r>
              <w:rPr>
                <w:rFonts w:ascii="Arial" w:cs="Arial" w:eastAsia="Arial" w:hAnsi="Arial"/>
                <w:sz w:val="18"/>
                <w:szCs w:val="18"/>
                <w:color w:val="auto"/>
              </w:rPr>
              <w:t>Subtotal</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161</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322</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Cancellation reversal</w:t>
            </w:r>
          </w:p>
        </w:tc>
        <w:tc>
          <w:tcPr>
            <w:tcW w:w="2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280"/>
              <w:spacing w:after="0"/>
              <w:rPr>
                <w:sz w:val="20"/>
                <w:szCs w:val="20"/>
                <w:color w:val="auto"/>
              </w:rPr>
            </w:pPr>
            <w:r>
              <w:rPr>
                <w:rFonts w:ascii="Arial" w:cs="Arial" w:eastAsia="Arial" w:hAnsi="Arial"/>
                <w:sz w:val="18"/>
                <w:szCs w:val="18"/>
                <w:color w:val="auto"/>
              </w:rPr>
              <w:t>Total company-owned contract sales</w:t>
            </w:r>
          </w:p>
        </w:tc>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161</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322</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Joint Venture</w:t>
            </w:r>
          </w:p>
        </w:tc>
        <w:tc>
          <w:tcPr>
            <w:tcW w:w="2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Vacation ownership</w:t>
            </w:r>
          </w:p>
        </w:tc>
        <w:tc>
          <w:tcPr>
            <w:tcW w:w="2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joint venture contract sales</w:t>
            </w:r>
          </w:p>
        </w:tc>
        <w:tc>
          <w:tcPr>
            <w:tcW w:w="2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gridSpan w:val="2"/>
          </w:tcPr>
          <w:p>
            <w:pPr>
              <w:spacing w:after="0"/>
              <w:rPr>
                <w:sz w:val="20"/>
                <w:szCs w:val="20"/>
                <w:color w:val="auto"/>
              </w:rPr>
            </w:pPr>
            <w:r>
              <w:rPr>
                <w:rFonts w:ascii="Arial" w:cs="Arial" w:eastAsia="Arial" w:hAnsi="Arial"/>
                <w:sz w:val="18"/>
                <w:szCs w:val="18"/>
                <w:color w:val="auto"/>
              </w:rPr>
              <w:t>Total contract sales</w:t>
            </w:r>
          </w:p>
        </w:tc>
        <w:tc>
          <w:tcPr>
            <w:tcW w:w="2640" w:type="dxa"/>
            <w:vAlign w:val="bottom"/>
            <w:gridSpan w:val="2"/>
          </w:tcPr>
          <w:p>
            <w:pPr>
              <w:ind w:left="25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322</w:t>
            </w:r>
          </w:p>
        </w:tc>
        <w:tc>
          <w:tcPr>
            <w:tcW w:w="6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540" w:type="dxa"/>
            <w:vAlign w:val="bottom"/>
            <w:vMerge w:val="restart"/>
          </w:tcPr>
          <w:p>
            <w:pPr>
              <w:jc w:val="right"/>
              <w:ind w:right="1392"/>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2012 highlights include:</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North America segment contract sales increased 10 percent to $141 million; volume per guest (VPG) increased 14 percent year-over-year to $2,968.</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gross contract sales increased 3 percent to $168 million;</w:t>
      </w:r>
    </w:p>
    <w:p>
      <w:pPr>
        <w:spacing w:after="0" w:line="90" w:lineRule="exact"/>
        <w:rPr>
          <w:rFonts w:ascii="Arial" w:cs="Arial" w:eastAsia="Arial" w:hAnsi="Arial"/>
          <w:sz w:val="18"/>
          <w:szCs w:val="18"/>
          <w:color w:val="auto"/>
        </w:rPr>
      </w:pPr>
    </w:p>
    <w:p>
      <w:pPr>
        <w:ind w:left="900" w:right="56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Total company development margin increased to 11 percent in the second quarter of 2012 from 6 percent in the second quarter of 2011; North America development margin increased to 15 percent in the second quarter of 2012 from 9 percent in the second quarter of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15, 2012</w:t>
      </w:r>
    </w:p>
    <w:p>
      <w:pPr>
        <w:spacing w:after="0" w:line="171"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Revenues increased $3 million over the prior year comparable period, reflecting $8 million of higher rental revenues, $5 million of higher resort management and other services revenues and $2 million of higher cost reimbursements, partially offset by $7 million of lower sale of vacation ownership products and $4 million of lower financing revenues.</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While company-owned gross contract sales increased $7 million in the second quarter of 2012, revenues from the sale of vacation ownership products decreased $7 million compared to the second quarter of 2011 as a result of $7 million of lower revenue reportability and $7 million of higher vacation ownership notes receivable reserve activity primarily due to higher sales volume and the fact that our results for the second quarter of 2011 reflected a true-up for lower than estimated default and delinquency activity in the Luxury segment. The $7 million of lower revenue reportability resulted from $9 million of unfavorable revenue reportability in the second quarter of 2012 compared to $2 million of unfavorable revenue reportability in the second quarter of 2011. Revenue reportability was impacted unfavorably in the second quarter of 2012 because certain financed sales did not meet the down payment requirement for revenue recognition purposes prior to the end of the period.</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Total company-owned gross contract sales increased $7 million (4 percent) over the prior year comparable period. This increase was driven by $13 million of higher contract sales in our key North America segment, partially offset by an aggregate of $5 million of lower contract sales in our Europe and Luxury segments as we continued to sell through existing inventory, and $1 million of lower contract sales in our Asia Pacific segment. Total contract sales increased $5 million (3 percent) to $168 million in the second quarter of 2012 from $163 million in the second quarter of 2011, reflecting the $7 million increase in company-owned gross contract sales, partially offset by the fact that there were $2 million of joint venture contract sales in the second quarter of 2011 with no comparable activity in the second quarter of 2012.</w:t>
      </w:r>
    </w:p>
    <w:p>
      <w:pPr>
        <w:spacing w:after="0" w:line="14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$13 million (10 percent) increase in contract sales in our North America segment reflected a 14 percent increase in VPG to $2,968 in the second quarter of 2012 from $2,607 in the second quarter of 2011. This increase in contract sales in the second quarter of 2012 was due to a 2 percent increase in closing efficiency resulting from improved marketing and sales execution and a three percent price increase.</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Resort management and other services revenues increased $5 million (9 percent) over the prior year comparable period, reflecting $2 million of additional annual club dues earned in connection with the MVCD program, $2 million of higher management fees (which increased from $14 million to $16 million) resulting from the cumulative increase in the number of vacation ownership products sold and higher operating costs across the system, and $1 million of higher ancillary revenues from food and beverage and golf offerings.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Financing revenues decreased $4 million (10 percent) from the prior year comparable period, due to a lower outstanding notes receivable balance, reflecting our continued collection of existing mortgage notes receivable at a faster pace than our origination of new mortgage notes receivable. The average gross notes receivable balance decreased $140 million compared to the second quarter of 2011. In the second quarter of 2012, 38 percent of purchasers financed their vacation ownership purchase with us, compared to 41 percent in the second quarter of 2011.</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Rental revenues increased $8 million (17 percent) over the prior year comparable period, reflecting a nearly $5 million increase related to a company-wide 11 percent increase in transient keys rented (over 23,000 additional keys) primarily sourced from 20,000 additional available keys (5 percent) due to more owners choosing to exchange their vacation ownership interests for alternative usage options, the recognition of $2 million of additional plus points revenue (upon utilization of plus points for stays at our resorts or upon expiration) and a $1 million increase in revenue from a company-wide 2 percent increase in average transient rate driven by stronger consumer demand. Resort occupancy, which includes owner and rental occupancy, remained constant at 90 percent in the second quarter of each of 2012 and 2011.</w:t>
      </w:r>
    </w:p>
    <w:p>
      <w:pPr>
        <w:spacing w:after="0" w:line="14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Cost reimbursements increased $2 million (3 percent) over the prior year comparable period, reflecting higher costs and the impact of growth across the system.</w:t>
      </w:r>
    </w:p>
    <w:p>
      <w:pPr>
        <w:spacing w:after="0" w:line="132"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Total revenues net of total expenses decreased $18 million from the prior year comparable period. Results reflected $14 million of royalty fee expenses (due under the License Agreements for periods subsequent to the Spin-Off), $7 million of higher general and administrative expenses, $4 million of higher interest expense, $4 million of lower financing revenues net of expenses, and $1 million of lower other revenues net of expenses. These declines were partially offset by $6 million of higher development margin, $3 million of higher rental revenues net of expenses, and $3 million of higher resort management and other services revenues net of expenses.</w:t>
      </w:r>
    </w:p>
    <w:p>
      <w:pPr>
        <w:sectPr>
          <w:pgSz w:w="11900" w:h="16838" w:orient="portrait"/>
          <w:cols w:equalWidth="0" w:num="1">
            <w:col w:w="11420"/>
          </w:cols>
          <w:pgMar w:left="240" w:top="459" w:right="239"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Development margin increased $6 million over the prior year comparable period. Results reflected a $10 million increase from higher sales volume net of direct variable expenses (cost of vacation ownership products and marketing and sales costs) and $5 million of favorable product cost true-ups. These increases were partially offset by $5 million of higher notes receivable reserve activity and a $4 million impact from unfavorable revenue reportability year-over-year.</w:t>
      </w:r>
    </w:p>
    <w:p>
      <w:pPr>
        <w:spacing w:after="0" w:line="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Development margin percentage improved 5 percentage points to 11 percent in the second quarter of 2012 over the prior year comparable period. The improvement in the development margin reflects a 5 percentage point increase from lower cost of vacation ownership products due to favorable product cost true-ups and favorable mix of lower cost real estate inventory sold and a 3 percentage point increase from efficiencies in marketing and sales spending. These increases were partially offset by a 3 percentage point decline due to unfavorable revenue reportability and higher notes receivable reserve activity in the second quarter of 2012.</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Resort management and other services revenues net of expenses increased $3 million over the prior year comparable period, reflecting a $2 million increase in management fees, nearly $1 million of additional annual club dues earned in connection with the MVCD program net of expenses and lower variable enrollment costs due to fewer enrollments in the second quarter of 2012 compared to the second quarter of 2011, and nearly $1 million of higher ancillary revenues net of expenses.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$4 million decrease in financing revenues net of expenses from the prior year comparable period reflected $4 million of lower interest income on a declining notes receivable portfolio.</w:t>
      </w:r>
    </w:p>
    <w:p>
      <w:pPr>
        <w:spacing w:after="0" w:line="132"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Rental revenues net of expenses increased $3 million over the prior year comparable period. Results reflected $2 million of higher rental revenues net of higher direct variable expenses (such as housekeeping) and expenses incurred due to owners choosing alternative usage options, as well as $1 million of lower maintenance fees on unsold inventory ($14 million in the second quarter of 2012 compared to $15 million in the second quarter of 2011).</w:t>
      </w:r>
    </w:p>
    <w:p>
      <w:pPr>
        <w:spacing w:after="0" w:line="10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General and administrative expenses increased $7 million over the prior year comparable period, due to $4 million of organizational and separation related costs, $2 million for claims asserted related to one of our Luxury projects and $1 million of incremental stand-alone public company costs.</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Interest expense increased $4 million over the prior year comparable period, due to $4 million of higher non-consumer financing interest expense. The $4 million of higher non-consumer financing interest expense primarily includes $2 million of expense associated with the liability for the Marriott Rewards guest loyalty program under the Marriott Rewards Agreement which we entered into in connection with the Spin-Off, $1 million of lower capitalized interest costs, $1 million related to dividends associated with the preferred stock issued in connection with the Spin-Off, and $1 million of amortized costs associated with our four-year $200 million revolving credit facility (the “Revolving Corporate Credit Facility”) which we entered into in connection with the Spin-Off. There was no change in consumer financing interest expense as the lower interest expense from the lower outstanding debt balances related to the securitized vacation ownership notes receivable was offset by interest expense and amortized costs associated with the Warehouse Credit Facility which we entered into in connection with the Spin-Off.</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15, 2012</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Revenues increased $4 million over the prior year comparable period, primarily reflecting $15 million of higher rental revenues, $8 million of higher resort management and other services revenues and $7 million of higher cost reimbursements, partially offset by $16 million of lower sale of vacation ownership products and $9 million of lower financing revenues.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total company-owned gross contract sales (before cancellation reversals) increased $20 million in the twenty-four weeks ended June 15, 2012, revenues from the sale of vacation ownership products decreased $16 million from the prior year comparable period, as a result of $27 million of lower revenue reportability and $9 million of higher vacation ownership notes receivable reserve activity due to higher sales volume and the fact that our results for the twenty-four weeks ended June 17, 2011 reflected a true-up for lower than estimated default and delinquency activity in the Luxury segment. The $27 million of lower revenue reportability resulted from $20 million of unfavorable revenue reportability in the twenty-four weeks compared to June 15, 2012 compared to $7 million of favorable revenue reportability in the twenty-four weeks ended June 15, 2011. Revenue reportability was impacted unfavorably in the twenty-four weeks ended June 15, 2012 because certain financed sales did not meet the down payment requirement for revenue recognition purposes.</w:t>
      </w:r>
    </w:p>
    <w:p>
      <w:pPr>
        <w:spacing w:after="0" w:line="118"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Total company-owned gross contract sales (before cancellation reversals) increased $20 million (7 percent) over the prior year comparable period. This increase was driven by $33 million of higher contract sales in our key North America segment, partially offset by an aggregate of $10 million of lower contract sales in our Europe and Luxury segments as we continued to sell through existing inventory, and $3 million of lower contract sales in our Asia Pacific segment. Total contract sales, including cancellation reversals, increased by $13 million (4 percent) over the prior year comparable period, due to the $20 million increase in company-owned gross contract sales, partially offset by the fact that there were $6 million of joint venture contract sales in the second quarter of 2011 and $1 million of cancellation reversals in the twenty-four weeks ended June 17, 2011 with no contract sales or cancellation reversals in the 2012 comparable period.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$33 million (14 percent) increase in contract sales in our North America segment over the prior year comparable period, reflected a 16 percent increase in VPG to $2,955 in the twenty-four weeks ended June 15, 2012 from $2,553 in the twenty-four weeks ended June 17, 2011. This increase in contract sales during the twenty-four weeks ended June 15, 2012 was due to a 2 percent increase in closing efficiency resulting from improved marketing and sales execution and a one percent price increase.</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Resort management and other services revenues increased $8 million (7 percent) over the prior year comparable period, reflecting $3 million of higher management fees (which increased from $28 million to $31 million) resulting from the cumulative increase in the number of vacation ownership products sold and higher operating costs across the system, $3 million of additional annual club dues earned in connection with the MVCD program, and $2 million of higher ancillary revenues from food and beverage and golf offerings.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Financing revenues decreased $9 million (11 percent) from the prior year comparable period, due to a lower outstanding notes receivable balance, reflecting our continued collection of existing mortgage notes receivable at a faster pace than our origination of new mortgage notes receivable. The average gross notes receivable balance decreased $144 million compared to the twenty-four weeks ended June 17, 2011. In each of the twenty-four weeks ended June 15, 2012 and June 17, 2011, 40 percent of purchasers financed their vacation ownership purchase with us.</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Rental revenues increased $15 million (16 percent) over the prior year comparable period, as a result of the recognition of $8 million of additional plus points revenue (upon utilization of plus points for stays at our resorts or upon expiration) and nearly $7 million from a company-wide 7 percent increase in transient keys rented (nearly 31,000 additional keys) driven by stronger consumer demand and an increase in available keys due to more owners choosing to exchange their vacation ownership interests for alternative usage options. The company-wide average transient rate declined by less than 1 percent driven by lower transient rates at our ski resorts in the first quarter of 2012 due to below average ski conditions, partially offset by stronger consumer demand in the second quarter of 2012 compared to the second quarter of 2011. Resort occupancy, which includes owner and rental occupancy, improved by 1 percentage point to 89 percent in the twenty-four weeks ended June 15, 2012 from 88 percent in the 2011 comparable period.</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Cost reimbursements increased $7 million (4 percent) over the prior year comparable period, reflecting higher costs and the impact of growth across the system in the twenty-four weeks ended June 15, 2012.</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Total revenues net of total expenses decreased $34 million from the prior year comparable period. Results reflected $27 million of royalty fee expenses (due under the License Agreements for periods subsequent to the Spin-Off), $9 million of lower financing revenues net of expenses, $9 million of higher general and administrative expenses, $5 million of higher interest expense and $2 million of lower other revenues net of expenses. These declines were partially offset by $9 million of higher rental revenues net of expenses, $6 million of higher resort management and other services revenues net of expenses, and $3 million of higher development margin.</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Development margin increased $3 million over the prior year comparable period. Results reflected a $15 million increase from higher sales volume net of direct variable expenses (cost of vacation ownership products and marketing and sales costs), $7 million of favorable product cost true-ups and $2 million of higher loss contingency accruals and severance costs in the twenty-four weeks ended June 17, 2011. These increases were partially offset by a $15 million decrease due to unfavorable revenue reportability and a $6 million decrease from higher notes receivable reserve activity.</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Development margin percentage improved 2 percentage points to 10 percent compared to the twenty-four weeks ended June 17, 2011. The improvement in the development margin reflects a 4 percentage point increase from lower cost of vacation ownership products due to favorable product cost true-ups and favorable mix of lower cost real estate inventory sold and a 4 percentage point increase from efficiencies in marketing and sales spending. These increases were partially offset by a 6 percentage point decline due to unfavorable revenue reportability and higher notes receivable reserve activity in the twenty-four weeks ended June 15, 2012.</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Resort management and other services revenues net of expenses increased $6 million over the prior year comparable period, reflecting a $3 million increase in management fees, over $2 million of additional annual club dues earned in connection with the MVCD program, net of expenses and lower variable enrollment costs due to fewer enrollments in the twenty-four weeks ended June 15, 2012 than the 2011 comparable period, and $1 million of higher ancillary revenues net of expenses.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$9 million decrease in financing revenues net of expenses from the prior year comparable period, reflected $9 million of lower interest income on a declining notes receivable portfolio.</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Rental revenues net of expenses increased $9 million over the twenty-four weeks ended June 17, 2011. Results reflected $6 million of higher rental revenues net of higher direct variable expenses (such as housekeeping) and expenses incurred due to owners choosing alternative usage options, as well as a $3 million decrease in maintenance fees on unsold inventory ($27 million in the twenty-four weeks ended June 15, 2012 compared to $30 million in the twenty-four weeks ended June 17, 2011).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Other revenues net of expenses decreased $2 million from the twenty-four weeks ended June 17, 2011, primarily due to a $2 million favorable true-up in the twenty-four weeks ended June 17, 2011 of the 2010 bonus accrual following final bonus payouts totaling less than the amount accrued.</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General and administrative expenses increased $9 million over the prior year comparable period, due to $6 million of organizational and separation related costs incurred in the twenty-four weeks ended June 15, 2012, $2 million of incremental stand-alone public company costs, and $2 million for claims asserted related to one of our Luxury projects, partially offset by $1 million of cost savings initiatives.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Interest expense increased $5 million over the prior year comparable period, due to $7 million of higher non-consumer financing interest expense, offset partially by $2 million of lower consumer financing interest expense. The higher non-consumer financing interest expense primarily includes $4 million of expense associated with the liability for the Marriott Rewards guest loyalty program under the Marriott Rewards Agreement which we entered into in connection with the Spin-Off, $2 million for dividends associated with the preferred stock issued in connection with the Spin-Off, $1 million of lower capitalized interest costs, and $1 million of amortized costs associated with the Revolving Corporate Credit Facility which we entered into in connection with the Spin-Off. Lower consumer financing interest expense reflects lower outstanding debt balances related to the securitized vacation ownership notes receivable, partially offset by interest expense and amortized costs associated with the Warehouse Credit Facility which we entered into in connection with the Spin-Off.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Reversals on Equity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and Twenty-Four Weeks Ended June 15, 2012</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second quarter of 2012, we reversed $2 million of our previously recorded impairment of an equity investment because the actual costs incurred to suspend the marketing and sales operations were lower than previously estimated.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15, 2012</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Income tax expense decreased by $8 million from the prior year comparable period. The decrease in income tax expense is primarily related to a decrease in 2012 pretax income attributable to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15, 2012</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Income tax expense decreased by $14 million from the prior year comparable period. The decrease in income tax expense is primarily related to a decrease in 2012 pretax income attributable to the United States.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EBITDA, a financial measure which is not prescribed or authorized by GAAP, reflects earnings excluding the impact of interest expense, provision for income taxes, depreciation and amortization. We consider EBITDA to be an indicator of operating performance, and we use it to measure our ability to service debt, fund capital expenditures and expand our business. We also use EBITDA,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10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also evaluate Adjusted EBITDA, another non-GAAP financial measure, as an indicator of performance. Our Adjusted EBITDA excludes the impact of the impairment reversals on equity investment and includes the impact of interest expense associated with the debt from the Warehouse Credit Facility and from the securitization of our notes receivable in the term ABS market, which together we refer to as consumer financing interest expense. We deduct consumer financing interest expense in determining Adjusted EBITDA since the debt is secured by notes receivable that have been sold to bankruptcy remote special purpose entities and is generally non-recourse to us. We evaluate Adjusted EBITDA, which adjusts for this item, to allow for period-over-period comparisons of our ongoing core operations. Adjusted EBITDA is also useful in measuring our ability to service our non-securitized debt. Together, EBITDA and Adjusted EBITDA facilitate our comparison of results from our ongoing operations with results from other vacation ownership companies.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EBITDA and Adjusted EBITDA have limitations and should not be considered in isolation or as a substitute for performance measures calculated in accordance with GAAP. In addition, other companies in our industry may calculate Adjusted EBITDA differently than we do or may not calculate it at all, limiting Adjusted EBITDA’s usefulness as a comparative measure. The table below shows our EBITDA and Adjusted EBITDA calculations and reconciles those measures with Net Income.</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w w:val="94"/>
              </w:rPr>
              <w:t>Twelve Weeks Ended</w:t>
            </w:r>
          </w:p>
        </w:tc>
        <w:tc>
          <w:tcPr>
            <w:tcW w:w="80" w:type="dxa"/>
            <w:vAlign w:val="bottom"/>
          </w:tcPr>
          <w:p>
            <w:pPr>
              <w:spacing w:after="0"/>
              <w:rPr>
                <w:sz w:val="14"/>
                <w:szCs w:val="14"/>
                <w:color w:val="auto"/>
              </w:rPr>
            </w:pPr>
          </w:p>
        </w:tc>
        <w:tc>
          <w:tcPr>
            <w:tcW w:w="21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6"/>
              </w:rPr>
              <w:t>Twenty-Four Weeks Ended</w:t>
            </w:r>
          </w:p>
        </w:tc>
      </w:tr>
      <w:tr>
        <w:trPr>
          <w:trHeight w:val="129"/>
        </w:trPr>
        <w:tc>
          <w:tcPr>
            <w:tcW w:w="4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June 15,</w:t>
            </w:r>
          </w:p>
        </w:tc>
        <w:tc>
          <w:tcPr>
            <w:tcW w:w="3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17,</w:t>
            </w:r>
          </w:p>
        </w:tc>
        <w:tc>
          <w:tcPr>
            <w:tcW w:w="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June 15,</w:t>
            </w: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5"/>
              </w:rPr>
              <w:t>June 17,</w:t>
            </w:r>
          </w:p>
        </w:tc>
        <w:tc>
          <w:tcPr>
            <w:tcW w:w="100" w:type="dxa"/>
            <w:vAlign w:val="bottom"/>
          </w:tcPr>
          <w:p>
            <w:pPr>
              <w:spacing w:after="0"/>
              <w:rPr>
                <w:sz w:val="11"/>
                <w:szCs w:val="11"/>
                <w:color w:val="auto"/>
              </w:rPr>
            </w:pPr>
          </w:p>
        </w:tc>
      </w:tr>
      <w:tr>
        <w:trPr>
          <w:trHeight w:val="161"/>
        </w:trPr>
        <w:tc>
          <w:tcPr>
            <w:tcW w:w="46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3"/>
              </w:rPr>
              <w:t>2011</w:t>
            </w: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Interest Expense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Tax provision, continuing operations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7"/>
        </w:trPr>
        <w:tc>
          <w:tcPr>
            <w:tcW w:w="4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EBITDA</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Impairment charges:</w:t>
            </w:r>
          </w:p>
        </w:tc>
        <w:tc>
          <w:tcPr>
            <w:tcW w:w="1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reversals on equity investment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Consumer financing interest expense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7"/>
        </w:trPr>
        <w:tc>
          <w:tcPr>
            <w:tcW w:w="4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Adjusted EBITDA</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0"/>
        </w:trPr>
        <w:tc>
          <w:tcPr>
            <w:tcW w:w="4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business is grouped into four reportable business segments: North America, Luxury, Europe and Asia Pacific. See Footnote No. 15, “Business Segments,” of the Notes to our Financial Statements for further information on our segments.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end of the second quarter of 2012, we operated the following 64 properties by segment:</w:t>
      </w:r>
    </w:p>
    <w:p>
      <w:pPr>
        <w:spacing w:after="0" w:line="116"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72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75"/>
              </w:rPr>
              <w:t>U.S.</w:t>
            </w:r>
            <w:r>
              <w:rPr>
                <w:rFonts w:ascii="Arial" w:cs="Arial" w:eastAsia="Arial" w:hAnsi="Arial"/>
                <w:sz w:val="22"/>
                <w:szCs w:val="22"/>
                <w:b w:val="1"/>
                <w:bCs w:val="1"/>
                <w:color w:val="auto"/>
                <w:w w:val="75"/>
                <w:vertAlign w:val="superscript"/>
              </w:rPr>
              <w:t>(1)</w:t>
            </w:r>
          </w:p>
        </w:tc>
        <w:tc>
          <w:tcPr>
            <w:tcW w:w="5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4"/>
              </w:rPr>
              <w:t>Non-U.S.</w:t>
            </w:r>
          </w:p>
        </w:tc>
        <w:tc>
          <w:tcPr>
            <w:tcW w:w="52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r>
      <w:tr>
        <w:trPr>
          <w:trHeight w:val="210"/>
        </w:trPr>
        <w:tc>
          <w:tcPr>
            <w:tcW w:w="7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Luxury</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(1)</w:t>
            </w:r>
          </w:p>
        </w:tc>
        <w:tc>
          <w:tcPr>
            <w:tcW w:w="5500" w:type="dxa"/>
            <w:vAlign w:val="bottom"/>
            <w:vMerge w:val="restart"/>
          </w:tcPr>
          <w:p>
            <w:pPr>
              <w:jc w:val="right"/>
              <w:ind w:right="3532"/>
              <w:spacing w:after="0"/>
              <w:rPr>
                <w:sz w:val="20"/>
                <w:szCs w:val="20"/>
                <w:color w:val="auto"/>
              </w:rPr>
            </w:pPr>
            <w:r>
              <w:rPr>
                <w:rFonts w:ascii="Arial" w:cs="Arial" w:eastAsia="Arial" w:hAnsi="Arial"/>
                <w:sz w:val="18"/>
                <w:szCs w:val="18"/>
                <w:color w:val="auto"/>
                <w:w w:val="96"/>
              </w:rPr>
              <w:t>Includes U.S. territories.</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5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55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North America</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4"/>
              </w:rPr>
              <w:t>Twelve Weeks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0"/>
              </w:rPr>
              <w:t>Twenty-Four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60" w:type="dxa"/>
            <w:vAlign w:val="bottom"/>
            <w:tcBorders>
              <w:top w:val="single" w:sz="8" w:color="auto"/>
            </w:tcBorders>
            <w:gridSpan w:val="3"/>
          </w:tcPr>
          <w:p>
            <w:pPr>
              <w:jc w:val="right"/>
              <w:ind w:right="640"/>
              <w:spacing w:after="0" w:line="129" w:lineRule="exact"/>
              <w:rPr>
                <w:sz w:val="20"/>
                <w:szCs w:val="20"/>
                <w:color w:val="auto"/>
              </w:rPr>
            </w:pPr>
            <w:r>
              <w:rPr>
                <w:rFonts w:ascii="Arial" w:cs="Arial" w:eastAsia="Arial" w:hAnsi="Arial"/>
                <w:sz w:val="14"/>
                <w:szCs w:val="14"/>
                <w:b w:val="1"/>
                <w:bCs w:val="1"/>
                <w:color w:val="auto"/>
                <w:w w:val="89"/>
              </w:rPr>
              <w:t>June 15,</w:t>
            </w: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June 17,</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Borders>
              <w:top w:val="single" w:sz="8" w:color="auto"/>
            </w:tcBorders>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w w:val="92"/>
              </w:rPr>
              <w:t>June 15,</w:t>
            </w: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2"/>
              </w:rPr>
              <w:t>June 17,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2012</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w w:val="89"/>
              </w:rPr>
              <w:t>2011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2012</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Sale of vacation ownership products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122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117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233</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Financing</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860"/>
              <w:spacing w:after="0"/>
              <w:rPr>
                <w:sz w:val="20"/>
                <w:szCs w:val="20"/>
                <w:color w:val="auto"/>
              </w:rPr>
            </w:pPr>
            <w:r>
              <w:rPr>
                <w:rFonts w:ascii="Arial" w:cs="Arial" w:eastAsia="Arial" w:hAnsi="Arial"/>
                <w:sz w:val="18"/>
                <w:szCs w:val="18"/>
                <w:color w:val="auto"/>
              </w:rPr>
              <w:t>Total revenues</w:t>
            </w:r>
          </w:p>
        </w:tc>
        <w:tc>
          <w:tcPr>
            <w:tcW w:w="1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vMerge w:val="continue"/>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623</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Cost of vacation ownership products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Resort management and other services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Royalty fee</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860"/>
              <w:spacing w:after="0"/>
              <w:rPr>
                <w:sz w:val="20"/>
                <w:szCs w:val="20"/>
                <w:color w:val="auto"/>
              </w:rPr>
            </w:pPr>
            <w:r>
              <w:rPr>
                <w:rFonts w:ascii="Arial" w:cs="Arial" w:eastAsia="Arial" w:hAnsi="Arial"/>
                <w:sz w:val="18"/>
                <w:szCs w:val="18"/>
                <w:color w:val="auto"/>
              </w:rPr>
              <w:t>Total expenses</w:t>
            </w:r>
          </w:p>
        </w:tc>
        <w:tc>
          <w:tcPr>
            <w:tcW w:w="1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244</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Segment financial results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Development margin percentage</w:t>
            </w: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Volume per Guest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2,968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2,607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Contract sales (company-owned)</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Vacation ownership</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Residential products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contract sales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15, 2012</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$16 million (5 percent) increase in revenues over the prior year comparable period reflected $9 million of higher rental revenues, $5 million of higher revenues from the sale of vacation ownership products, $4 million of higher resort management and other services revenues, and $2 million of higher cost reimbursements, partially offset by $4 million of lower financing revenues.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While contract sales increased $13 million in the second quarter of 2012, revenues from the sale of vacation ownership products only increased $5 million to $122 million in the second quarter of 2012 as a result of $9 million of lower revenue reportability partially offset by $1 million of lower notes receivable reserve activity. The $9 million of lower revenue reportability resulted from $10 million of unfavorable revenue reportability in the second quarter of 2012 compared to $1 million of unfavorable revenue reportability in the second quarter of 2011. Revenue reportability was impacted unfavorably in the second quarter of 2012 because certain financed sales did not meet the down payment requirement for revenue recognition purposes.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$13 million (10 percent) increase in contract sales over the prior year comparable period reflected a 14 percent increase in VPG to $2,968 in the second quarter of 2012 from $2,607 in the second quarter of 2011. Contract sales increased in the second quarter of 2012 due to a three percent price increase compared to the prior year comparable period, increased experience in selling our MVCD points product, and improved marketing and sales execution.</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Resort management and other services revenues increased $4 million (9 percent) over the prior year comparable period, reflecting $2 million of additional annual club dues earned in connection with the MVCD program, $1 million of higher ancillary revenues from food and beverage and golf offerings and $1 million of higher management fees (which increased from $12 million to $13 million) resulting from the cumulative increase in the number of vacation ownership products sold and higher operating costs across the system.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Financing revenues decreased $4 million (11 percent) from the prior year comparable period, due to a lower outstanding notes receivable balance, reflecting our continued collection of existing mortgage notes receivable at a faster pace than our origination of new mortgage notes receivable. In the second quarter of 2012, 38 percent of purchasers financed their vacation ownership purchase with us, compared to 43 percent in the second quarter of 2011.</w:t>
      </w:r>
    </w:p>
    <w:p>
      <w:pPr>
        <w:spacing w:after="0" w:line="88"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Rental revenues increased $9 million (24 percent) over the prior year comparable period, primarily reflecting a nearly $5 million increase related to a 12 percent increase in transient keys rented (nearly 23,000 additional keys) primarily sourced from over 28,000 (8 percent) additional available keys due to more owners choosing to exchange their vacation ownership interests for alternative usage options, a nearly $2 million increase in revenue from a 3 percent increase in average transient rate driven by stronger demand, and the recognition of $2 million of additional plus points revenue (upon utilization of plus points for stays at our resorts or upon expiration). Resort occupancy, which includes owner and rental occupancy, was 91 percent in the second quarters of each of 2012 and 2011.</w:t>
      </w:r>
    </w:p>
    <w:p>
      <w:pPr>
        <w:spacing w:after="0" w:line="10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Cost reimbursements increased $2 million (4 percent) over the prior year comparable period, primarily reflecting higher operating costs and the impact of growth across the system.</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Segment financial results increased $4 million (6 percent) over the prior year comparable period, due to $6 million of higher development margin, $2 million of higher rental revenues net of expenses and $2 million of higher resort management and other services revenues net of expenses. These increases were partially offset by $4 million of lower financing revenues net of expenses from lower interest income and $2 million of higher royalty fee expenses.</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Development margin increased $6 million over the prior year comparable period. Results reflected a $5 million increase from the higher sales volume net of direct variable expenses (cost of vacation ownership products and marketing and sales costs), $4 million of favorable product cost true-ups and $1 million increase from the lower notes receivable reserve activity. These increases were partially offset by a $4 million decrease from unfavorable revenue reportability.</w:t>
      </w:r>
    </w:p>
    <w:p>
      <w:pPr>
        <w:spacing w:after="0" w:line="10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Development margin percentage improved 6 percentage points over the prior year comparable period. The improvement in the development margin reflects a 4 percentage point increase from lower cost of vacation ownership products due to the favorable product cost true-ups described above, a more favorable mix of low cost real estate inventory sold, a more than 3 percentage point increase from efficiencies in marketing and sales spending and a 1 percentage point increase from the favorable notes receivable reserve activity, partially offset by a nearly 3 percentage point decline driven by unfavorable revenue reportability.</w:t>
      </w:r>
    </w:p>
    <w:p>
      <w:pPr>
        <w:spacing w:after="0" w:line="9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Resort management and other services revenues net of expenses increased $2 million (20 percent) over the prior year comparable period, primarily reflecting $1 million of additional annual club dues earned in connection with the MVCD program net of expenses and lower variable enrollment costs due to fewer enrollments in the second quarter of 2012 compared to the second quarter of 2011, nearly $1 million of higher ancillary revenues net of expenses from food and beverage and golf offerings, and a $1 million increase in management fees.</w:t>
      </w:r>
    </w:p>
    <w:p>
      <w:pPr>
        <w:spacing w:after="0" w:line="143"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Rental revenues net of expenses increased $2 million (67 percent) over the prior year comparable period. Results reflected $1 million of higher rental revenues net of higher direct variable costs (such as housekeeping) and expenses incurred due to more owners choosing alternative usage options as well as a $1 million decrease in maintenance fees on unsold inventory ($9 million in the second quarter of 2012 compared to $10 million in the second quarter of 2011).</w:t>
      </w:r>
    </w:p>
    <w:p>
      <w:pPr>
        <w:spacing w:after="0" w:line="8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Royalty fee expense was $2 million in the second quarter of 2012 due to the variable component of the royalty fee due under the License Agreements payable for periods subsequent to the Spin-Off.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15, 2012</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$25 million (4 percent) increase in revenues over the prior year comparable period reflected $16 million of higher rental revenues, $7 million of higher resort management and other services revenues $6 million of higher cost reimbursements and $4 million of higher revenues from the sale of vacation ownership products, partially offset by $8 million of lower financing revenues.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While contract sales increased $33 million in the twenty-four weeks ended June 15, 2012, revenues from the sale of vacation ownership products only increased $4 million to $233 million in the twenty-four weeks ended June 15, 2012 from the prior year comparable period, as a result of $27 million of lower revenue reportability and $2 million of higher vacation ownership notes receivable reserve activity from higher sales volume. The $27 million of lower revenue reportability was the result of $21 million of unfavorable revenue reportability in the twenty-four weeks ended June 15, 2012 compared to $6 million of favorable revenue reportability in the twenty-four weeks ended June 17, 2011. Revenue reportability was impacted unfavorably in the twenty-four weeks ended June 15, 2012 because certain financed sales did not meet the down payment requirement for revenue recognition purposes.</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$33 million (14 percent) increase in contract sales over the prior year comparable period reflected a 16 percent increase in VPG to $2,955 in the twenty-four weeks ended June 15, 2012 from $2,553 in the 2011 comparable period. Contract sales increased in the twenty-four weeks ended June 15, 2012 due to a one percent price increase, increased experience in selling our MVCD points product, and improved marketing and sales execution.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Resort management and other services revenues increased $7 million (9 percent) over the prior year comparable period, reflecting $3 million of additional annual club dues earned in connection with the MVCD program, $2 million of higher ancillary revenues from food and beverage and golf offerings, and $2 million of higher management fees (which increased from $24 million to $26 million) resulting from the cumulative increase in the number of vacation ownership products sold and higher operating costs across the system.</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Financing revenues decreased $8 million (11 percent) from the prior year comparable period, due to a lower outstanding notes receivable balance, reflecting our continued collection of existing mortgage notes receivable at a faster pace than our origination of new mortgage notes receivable. In the twenty-four weeks ended June 15, 2012, 39 percent of purchasers financed their vacation ownership purchase with us, compared to 42 percent in the twenty-four weeks ended June 17, 2011.</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Rental revenues increased $16 million (20 percent) over the prior year comparable period, primarily reflecting the recognition of $8 million of additional plus points revenue (upon utilization of plus points for stays at our resorts or upon expiration) and nearly $7 million from an 8 percent increase in transient keys rented (over 30,000 additional keys) driven by an increase of over 32,000 (5 percent) available keys due to more owners choosing to exchange their vacation ownership interests for alternative usage options. There was no change in the transient rate from the twenty-four weeks ended June 17, 2011 to the twenty-four weeks ended June 15, 2012 as the impact of below average ski conditions in the first quarter of 2012 was offset by stronger consumer demand in the second quarter of 2012 compared to the second quarter of 2011. Resort occupancy, which includes owner and rental occupancy, was 90 percent in each of the twenty-four weeks ended June 15, 2012 and June 17, 2011.</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Cost reimbursements increased $6 million (5 percent) over the prior year comparable period, reflecting higher operating costs and the impact of growth across the system.</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Segment financial results increased $8 million (6 percent) over the prior year comparable period, due to $7 million of higher rental revenues net of expenses, $6 million of higher resort management and other services revenues net of expenses, $5 million of higher development margin and $1 million of higher other revenues net of expenses. These increases were partially offset by $8 million of lower financing revenues net of expenses from lower interest income and $3 million of royalty fee expenses.</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Development margin increased $5 million over the prior year comparable period. Results reflected a $14 million increase from the higher sales volume net of direct variable expenses (cost of vacation ownership products and marketing and sales costs) and $5 million of favorable product cost true-ups, partially offset by a $13 million decrease from the unfavorable revenue reportability described above and a $1 million decrease from the higher reserve activity.</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Development margin percentage improved 3 percentage points to almost 14 percent in the twenty-four weeks ended June 15, 2012 from 11 percent in the 2011 comparable period. The improvement in the development margin reflects a 3 percentage point increase from lower cost of vacation ownership products due to the favorable product cost true-ups described above and more favorable mix of low cost real estate inventory sold and a 4 percentage point increase from efficiencies in marketing and sales spending, partially offset by a 5 percentage point decline driven by unfavorable revenue reportability and higher notes receivable reserve activity described above.</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Resort management and other services revenues net of expenses increased $6 million (38 percent) over the prior year comparable period, reflecting $3 million of additional annual club dues earned in connection with the MVCD program net of expenses and lower variable enrollment costs due to fewer enrollments in the twenty-four weeks ended June 15, 2012 than the 2011 comparable period, $2 million of higher ancillary revenues net of expenses from food and beverage and golf offerings, and a $2 million increase in management fees.</w:t>
      </w:r>
    </w:p>
    <w:p>
      <w:pPr>
        <w:spacing w:after="0" w:line="14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Rental revenues net of expenses increased $7 million (58 percent) over the prior year comparable period. Results reflected the higher rental revenues net of direct variable costs (such as housekeeping) and expenses incurred due to owners choosing alternative usage options. Maintenance fees on unsold inventory were unchanged ($18 million in each of the twenty-four weeks ended June 15, 2012 and June 17, 2011).</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Royalty fee expense was $3 million in the twenty-four weeks ended June 15, 2012 due to the variable component of the royalty fee due under the License Agreements payable for periods subsequent to the Spin-Off.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Luxury</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ind w:left="140"/>
              <w:spacing w:after="0"/>
              <w:rPr>
                <w:sz w:val="20"/>
                <w:szCs w:val="20"/>
                <w:color w:val="auto"/>
              </w:rPr>
            </w:pPr>
            <w:r>
              <w:rPr>
                <w:rFonts w:ascii="Arial" w:cs="Arial" w:eastAsia="Arial" w:hAnsi="Arial"/>
                <w:sz w:val="14"/>
                <w:szCs w:val="14"/>
                <w:b w:val="1"/>
                <w:bCs w:val="1"/>
                <w:color w:val="auto"/>
              </w:rPr>
              <w:t>Twelve Weeks Ended</w:t>
            </w:r>
          </w:p>
        </w:tc>
        <w:tc>
          <w:tcPr>
            <w:tcW w:w="100" w:type="dxa"/>
            <w:vAlign w:val="bottom"/>
          </w:tcPr>
          <w:p>
            <w:pPr>
              <w:spacing w:after="0"/>
              <w:rPr>
                <w:sz w:val="14"/>
                <w:szCs w:val="14"/>
                <w:color w:val="auto"/>
              </w:rPr>
            </w:pPr>
          </w:p>
        </w:tc>
        <w:tc>
          <w:tcPr>
            <w:tcW w:w="20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Twenty-Four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8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June 15,</w:t>
            </w:r>
          </w:p>
        </w:tc>
        <w:tc>
          <w:tcPr>
            <w:tcW w:w="3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June 17,</w:t>
            </w:r>
          </w:p>
        </w:tc>
        <w:tc>
          <w:tcPr>
            <w:tcW w:w="6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82"/>
              </w:rPr>
              <w:t>June 15,</w:t>
            </w: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5"/>
              </w:rPr>
              <w:t>June 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2011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Sale of vacation ownership products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Financing</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17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Cost of vacation ownership products</w:t>
            </w:r>
          </w:p>
        </w:tc>
        <w:tc>
          <w:tcPr>
            <w:tcW w:w="10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Resort management and other services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172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Impairment reversals on equity investment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Segment financial results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Development margin percentage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Contract Sales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Company-Owned</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Vacation ownership</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products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172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Cancellation reversal</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1720"/>
              <w:spacing w:after="0"/>
              <w:rPr>
                <w:sz w:val="20"/>
                <w:szCs w:val="20"/>
                <w:color w:val="auto"/>
              </w:rPr>
            </w:pPr>
            <w:r>
              <w:rPr>
                <w:rFonts w:ascii="Arial" w:cs="Arial" w:eastAsia="Arial" w:hAnsi="Arial"/>
                <w:sz w:val="18"/>
                <w:szCs w:val="18"/>
                <w:color w:val="auto"/>
              </w:rPr>
              <w:t>Total company-owned contract sales</w:t>
            </w: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Joint Venture</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60"/>
              <w:spacing w:after="0"/>
              <w:rPr>
                <w:sz w:val="20"/>
                <w:szCs w:val="20"/>
                <w:color w:val="auto"/>
              </w:rPr>
            </w:pPr>
            <w:r>
              <w:rPr>
                <w:rFonts w:ascii="Arial" w:cs="Arial" w:eastAsia="Arial" w:hAnsi="Arial"/>
                <w:sz w:val="18"/>
                <w:szCs w:val="18"/>
                <w:color w:val="auto"/>
              </w:rPr>
              <w:t>Vacation ownership</w:t>
            </w: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joint venture contract sales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1280"/>
              <w:spacing w:after="0"/>
              <w:rPr>
                <w:sz w:val="20"/>
                <w:szCs w:val="20"/>
                <w:color w:val="auto"/>
              </w:rPr>
            </w:pPr>
            <w:r>
              <w:rPr>
                <w:rFonts w:ascii="Arial" w:cs="Arial" w:eastAsia="Arial" w:hAnsi="Arial"/>
                <w:sz w:val="18"/>
                <w:szCs w:val="18"/>
                <w:color w:val="auto"/>
              </w:rPr>
              <w:t>Total contract sales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significantly scaled back our development of luxury vacation ownership products. We do not have any luxury projects under construction nor do we have any current plans for new development in this segment. We expect to continue to evaluate opportunities for bulk sales of excess Luxury inventory and the disposition of undeveloped land as well as further opportunities to sell Luxury inventory as part of the MVCD program. Consistent with this strategy, inventory from one of our Luxury properties was recently added to the MVCD program, and we intend to place most of our remaining Luxury inventory into the MVCD program. We have also repositioned our Luxury sales centers to sell the MVCD points product. We believe this strategy will allow us to sell the inventory faster, thereby reducing our near term real estate inventory spending needs and accelerating the reduction of maintenance fees on unsold inventory. We also believe this strategy, coupled with our recent decision to provide owners of our Luxury fractional product access to the MVCD program, provides our owners with significantly more vacation options from which to choose, including expanded Luxury offerings. In the Luxury segment, we also recently made the decision to remove The Ritz-Carlton brand from one of our Luxury properties, The Abaco Club at Winding Bay in the Bahamas, after concluding that global economic conditions have rendered the property unsustainable under the brand from a business perspective. Our plan, consistent with our overall strategy to sell excess Luxury inventory, is to pursue a bulk sale of the entire asset.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15, 2012</w:t>
      </w:r>
    </w:p>
    <w:p>
      <w:pPr>
        <w:spacing w:after="0" w:line="171"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Revenues decreased $8 million (31 percent) from the prior year comparable period, primarily reflecting $7 million of lower revenues from the sale of vacation ownership products, $1 million of lower other revenues and $1 million of lower cost reimbursements, partially offset by $1 million of higher resort management and other services revenues.</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Revenue from the sale of vacation ownership products decreased $7 million (88 percent) from the prior year comparable period, primarily reflecting $2 million of lower company-owned gross contract sales and $6 million of higher notes receivable reserve activity primarily due to the fact that our results for the second quarter of 2011 reflected a true-up for lower than estimated default and delinquency activity, partially offset by $1 million of unfavorable revenue reportability in the second quarter of 2011.</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Company-owned contract sales decreased $2 million due to a $1 million decrease in sales of company-owned vacation ownership products due to weakened demand for these products and limited availability of certain types of inventory and a decrease of $1 million in sales of company-owned residential products. Total contract sales decreased $4 million from the prior year comparable period reflecting the $2 million decrease in sales of company-owned vacation ownership products and a $2 million decrease in joint venture contract sales in the second quarter of 2011 compared to no activity in the second quarter of 2012.</w:t>
      </w:r>
    </w:p>
    <w:p>
      <w:pPr>
        <w:spacing w:after="0" w:line="9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Resort management and other services revenues increased nearly $1 million (20 percent) over the prior year comparable period, reflecting nominal increases in management fees, ancillary revenues and other revenues. Management fees were less than $1 million in each of the second quarters of 2012 and 2011.</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Cost reimbursements decreased $1 million (10 percent) from the prior year comparable period, reflecting lower joint venture cost reimbursements in the second quarter of 2012.</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Segment financial results increased $1 million to a loss of $2 million in the second quarter of 2012 from a loss of $3 million in the second quarter of 2011, primarily reflecting a $2 million impairment reversal on an equity investment in one Luxury project, $1 million of higher rental revenue net of expenses and $1 million of higher resort management and other services net of expenses, partially offset by $2 million of lower development margin and $1 million of lower other revenues net of expenses.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Development margin decreased $2 million to a loss of $1 million in the second quarter of 2012 from a profit of $1 million in the second quarter of 2011, primarily reflecting a $4 million decrease from higher notes receivable reserve activity, offset by a $1 million increase in revenues net of direct variable expenses (cost of vacation ownership products and marketing and sales costs) primarily driven by lower marketing and sales costs resulting from having fewer sales centers open in the second quarter of 2012 compared to the second quarter of 2011 and a $1 million increase from unfavorable revenue reportability in the second quarter of 2011.</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$1 million increase in rental revenue net of expenses resulted from a $1 million decrease in maintenance fees on unsold inventory ($3 million in the second quarter of 2012 compared to $4 million in the second quarter of 2011) due to the continued sale of completed inventory and the bulk sale of excess inventory at one Luxury project in 2011.</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second quarter of 2012, we reversed $2 million of our previously recorded impairment of an equity investment because the actual costs incurred to suspend the marketing and sales operations were lower than previously estimated.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15, 2012</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Revenues decreased $11 million (20 percent) from the prior year comparable period, primarily reflecting $10 million of lower revenues from the sale of vacation ownership products, $1 million of lower financing revenues and $1 million of lower other revenues, partially offset by $1 million of higher resort management and other services revenues.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Revenue from the sale of vacation ownership products decreased $10 million (71 percent) from the prior year comparable period, primarily reflecting $4 million of lower company-owned gross contract sales (before cancellation allowances) and $6 million of higher notes receivable reserve activity primarily due to the fact that our results for the twenty-four weeks ended June 17, 2011 reflected a true-up for lower than estimated default and delinquency activity.</w:t>
      </w:r>
    </w:p>
    <w:p>
      <w:pPr>
        <w:spacing w:after="0" w:line="107"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Gross company-owned contract sales (before cancellation allowances) decreased $4 million due to lower sales of company-owned vacation ownership products due to weakened demand for these products and limited availability of certain types of inventory and a decrease of $1 million in sales of company-owned residential products. Total contract sales, net of cancellation allowances, decreased $11 million from the prior year comparable period, reflecting the $4 million decrease in sales of company-owned products and a $6 million decrease in joint venture contract sales, and the reversal of a $1 million cancellation allowance in the twenty-four weeks ended June 17, 2011.</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Resort management and other services revenues increased $1 million (8 percent) over the prior year comparable period, reflecting nominal increases in management fees, ancillary revenues and other revenues. Management fees were $1 million in each of the twenty-four weeks ended June 15, 2012 and June 17, 2011.</w:t>
      </w:r>
    </w:p>
    <w:p>
      <w:pPr>
        <w:spacing w:after="0" w:line="140" w:lineRule="exact"/>
        <w:rPr>
          <w:sz w:val="20"/>
          <w:szCs w:val="20"/>
          <w:color w:val="auto"/>
        </w:rPr>
      </w:pPr>
    </w:p>
    <w:p>
      <w:pPr>
        <w:jc w:val="both"/>
        <w:ind w:right="740" w:firstLine="456"/>
        <w:spacing w:after="0" w:line="259" w:lineRule="auto"/>
        <w:rPr>
          <w:sz w:val="20"/>
          <w:szCs w:val="20"/>
          <w:color w:val="auto"/>
        </w:rPr>
      </w:pPr>
      <w:r>
        <w:rPr>
          <w:rFonts w:ascii="Arial" w:cs="Arial" w:eastAsia="Arial" w:hAnsi="Arial"/>
          <w:sz w:val="18"/>
          <w:szCs w:val="18"/>
          <w:color w:val="auto"/>
        </w:rPr>
        <w:t>Financing revenues decreased $1 million (33 percent) from the prior year comparable period, reflecting lower interest income driven by a lower outstanding vacation ownership notes receivable balance due to our continued collection of existing mortgage notes receivable at a faster pace than our origination of new mortgage notes receivable.</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Segment financial results increased $3 million to a loss of $6 million in the twenty-four weeks ended June 15, 2012 from a loss of $9 million in the 2011 comparable period, primarily reflecting $2 million of higher rental revenue net of expenses and a $2 million impairment reversal on an equity investment in one Luxury project, partially offset by $1 million of lower development margin.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Development margin decreased $1 million to a loss of $1 million in the twenty-four weeks ended June 15, 2012 from breakeven in the 2011 comparable period, primarily reflecting a $4 million decrease from higher notes receivable reserve activity, partially offset by a $2 million related to a loss contingency accrual and severance costs in the twenty-four weeks ended June 17, 2011 that were not incurred in the 2012 comparable period and $1 million of lower marketing and sales costs resulting from having fewer sales centers open in the twenty-four weeks ended June 15, 2012 compared to the 2011 comparable period.</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 million increase in rental revenue net of expenses resulted from a $2 million decrease in maintenance fees on unsold inventory ($6 million in the twenty-four weeks ended June 15, 2012 compared to $8 million in 2011 comparable period) due to the continued sale of completed inventory and the bulk sale of excess inventory at one Luxury project in 2011.</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the twenty-four weeks ended June 15, 2012, we reversed $2 million of our previously recorded impairment of an equity investment because the actual costs incurred to suspend the marketing and sales operations were lower than previously estimated.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w w:val="97"/>
              </w:rPr>
              <w:t>Twelve Weeks Ended</w:t>
            </w:r>
          </w:p>
        </w:tc>
        <w:tc>
          <w:tcPr>
            <w:tcW w:w="100" w:type="dxa"/>
            <w:vAlign w:val="bottom"/>
          </w:tcPr>
          <w:p>
            <w:pPr>
              <w:spacing w:after="0"/>
              <w:rPr>
                <w:sz w:val="14"/>
                <w:szCs w:val="14"/>
                <w:color w:val="auto"/>
              </w:rPr>
            </w:pPr>
          </w:p>
        </w:tc>
        <w:tc>
          <w:tcPr>
            <w:tcW w:w="18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7"/>
              </w:rPr>
              <w:t>Twenty-Four Weeks Ended</w:t>
            </w:r>
          </w:p>
        </w:tc>
        <w:tc>
          <w:tcPr>
            <w:tcW w:w="0" w:type="dxa"/>
            <w:vAlign w:val="bottom"/>
          </w:tcPr>
          <w:p>
            <w:pPr>
              <w:spacing w:after="0"/>
              <w:rPr>
                <w:sz w:val="1"/>
                <w:szCs w:val="1"/>
                <w:color w:val="auto"/>
              </w:rPr>
            </w:pPr>
          </w:p>
        </w:tc>
      </w:tr>
      <w:tr>
        <w:trPr>
          <w:trHeight w:val="129"/>
        </w:trPr>
        <w:tc>
          <w:tcPr>
            <w:tcW w:w="598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15,</w:t>
            </w:r>
          </w:p>
        </w:tc>
        <w:tc>
          <w:tcPr>
            <w:tcW w:w="3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2"/>
              </w:rPr>
              <w:t>June 17,</w:t>
            </w:r>
          </w:p>
        </w:tc>
        <w:tc>
          <w:tcPr>
            <w:tcW w:w="760" w:type="dxa"/>
            <w:vAlign w:val="bottom"/>
          </w:tcPr>
          <w:p>
            <w:pPr>
              <w:spacing w:after="0"/>
              <w:rPr>
                <w:sz w:val="11"/>
                <w:szCs w:val="11"/>
                <w:color w:val="auto"/>
              </w:rPr>
            </w:pPr>
          </w:p>
        </w:tc>
        <w:tc>
          <w:tcPr>
            <w:tcW w:w="9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15,</w:t>
            </w:r>
          </w:p>
        </w:tc>
        <w:tc>
          <w:tcPr>
            <w:tcW w:w="3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2"/>
              </w:rPr>
              <w:t>June 17,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2012</w:t>
            </w:r>
          </w:p>
        </w:tc>
        <w:tc>
          <w:tcPr>
            <w:tcW w:w="5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76"/>
              </w:rPr>
              <w:t>2011</w:t>
            </w: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2012</w:t>
            </w:r>
          </w:p>
        </w:tc>
        <w:tc>
          <w:tcPr>
            <w:tcW w:w="5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76"/>
              </w:rPr>
              <w:t>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Sale of vacation ownership products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Financing</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440"/>
              <w:spacing w:after="0"/>
              <w:rPr>
                <w:sz w:val="20"/>
                <w:szCs w:val="20"/>
                <w:color w:val="auto"/>
              </w:rPr>
            </w:pPr>
            <w:r>
              <w:rPr>
                <w:rFonts w:ascii="Arial" w:cs="Arial" w:eastAsia="Arial" w:hAnsi="Arial"/>
                <w:sz w:val="18"/>
                <w:szCs w:val="18"/>
                <w:color w:val="auto"/>
              </w:rPr>
              <w:t>Cost reimbursements</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vacation ownership products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Marketing and sales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Rental</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440"/>
              <w:spacing w:after="0"/>
              <w:rPr>
                <w:sz w:val="20"/>
                <w:szCs w:val="20"/>
                <w:color w:val="auto"/>
              </w:rPr>
            </w:pPr>
            <w:r>
              <w:rPr>
                <w:rFonts w:ascii="Arial" w:cs="Arial" w:eastAsia="Arial" w:hAnsi="Arial"/>
                <w:sz w:val="18"/>
                <w:szCs w:val="18"/>
                <w:color w:val="auto"/>
              </w:rPr>
              <w:t>Cost reimbursements</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80" w:type="dxa"/>
            <w:vAlign w:val="bottom"/>
          </w:tcPr>
          <w:p>
            <w:pPr>
              <w:ind w:left="440"/>
              <w:spacing w:after="0"/>
              <w:rPr>
                <w:sz w:val="20"/>
                <w:szCs w:val="20"/>
                <w:color w:val="auto"/>
              </w:rPr>
            </w:pPr>
            <w:r>
              <w:rPr>
                <w:rFonts w:ascii="Arial" w:cs="Arial" w:eastAsia="Arial" w:hAnsi="Arial"/>
                <w:sz w:val="18"/>
                <w:szCs w:val="18"/>
                <w:color w:val="auto"/>
              </w:rPr>
              <w:t>Segment financial results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Development margin percentage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Contract sales (company-owned)</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Vacation ownership</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880"/>
              <w:spacing w:after="0"/>
              <w:rPr>
                <w:sz w:val="20"/>
                <w:szCs w:val="20"/>
                <w:color w:val="auto"/>
              </w:rPr>
            </w:pPr>
            <w:r>
              <w:rPr>
                <w:rFonts w:ascii="Arial" w:cs="Arial" w:eastAsia="Arial" w:hAnsi="Arial"/>
                <w:sz w:val="18"/>
                <w:szCs w:val="18"/>
                <w:color w:val="auto"/>
              </w:rPr>
              <w:t>Total contract sales</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In our Europe segment, we are focusing on selling our existing projects and managing existing resorts. We do not have any current plans for new development in this segment.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15, 2012</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Revenues decreased $4 million (12 percent) from the prior year comparable period, reflecting $4 million of lower revenues from the sale of vacation ownership products as a result of a $3 million decrease in contract sales and $1 million of higher notes receivable reserve activity due to higher estimated default and delinquency activity. Management fees were $2 million in the second quarter of each of 2012 and 2011.</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Segment financial results decreased $3 million to breakeven in the second quarter of 2012 from a profit of $3 million in the second quarter of 2011, reflecting $2 million of lower development margin resulting from the decline in contract sales net of direct variable expenses (cost of vacation ownership products and marketing and sales costs) and the higher notes receivable reserve activity, $1 million of lower resort management and other services revenues net of expenses due to start-up costs incurred in the second quarter of 2012 associated with the expansion of the MVCD exchange program to our European owners, and $1 million of lower rental revenue net of expenses. These decreases were partially offset by $1 million of lower general and administrative expenses. Maintenance fees on unsold inventory were $1 million in the second quarter of each of 2012 and 2011.</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15, 2012</w:t>
      </w:r>
    </w:p>
    <w:p>
      <w:pPr>
        <w:spacing w:after="0" w:line="171" w:lineRule="exact"/>
        <w:rPr>
          <w:sz w:val="20"/>
          <w:szCs w:val="20"/>
          <w:color w:val="auto"/>
        </w:rPr>
      </w:pPr>
    </w:p>
    <w:p>
      <w:pPr>
        <w:ind w:right="360" w:firstLine="456"/>
        <w:spacing w:after="0" w:line="318" w:lineRule="auto"/>
        <w:rPr>
          <w:sz w:val="20"/>
          <w:szCs w:val="20"/>
          <w:color w:val="auto"/>
        </w:rPr>
      </w:pPr>
      <w:r>
        <w:rPr>
          <w:rFonts w:ascii="Arial" w:cs="Arial" w:eastAsia="Arial" w:hAnsi="Arial"/>
          <w:sz w:val="15"/>
          <w:szCs w:val="15"/>
          <w:color w:val="auto"/>
        </w:rPr>
        <w:t>Revenues decreased $7 million (13 percent) from the prior year comparable period, reflecting $6 million of lower revenues from the sale of vacation ownership products and $1 million of lower resort management and other services revenues due to lower ancillary revenues from food and beverage and golf offerings and lower customer service revenues. The $6 million decline in revenues from the sale of vacation ownership products was driven by $6 million of lower contract sales and $1 million of higher notes receivable reserve activity due to higher estimated default and delinquency activity, partially offset by $1 million of favorable revenue reportability. Management fees were $3 million in each of the twenty-four weeks ended June 15, 2012 and June 17, 2011.</w:t>
      </w:r>
    </w:p>
    <w:p>
      <w:pPr>
        <w:spacing w:after="0" w:line="10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Segment financial results decreased $4 million to breakeven in the twenty-four weeks ended June 15, 2012 from a profit of $4 million in the 2011 comparable period, primarily reflecting $3 million of lower development margin and $2 million of lower resort management and other services revenues net of expenses due to the decline in revenues and start-up costs incurred in the twenty-four weeks ended June 15, 2012 associated with the expansion of the MVCD exchange program to our European owners. The $3 million of lower development margin resulted from the decline in contract sales net of direct variable expenses (cost of vacation ownership products and marketing and sales costs) and the higher notes receivable reserve activity.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Asia Pacific</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w w:val="96"/>
              </w:rPr>
              <w:t>Twelve Weeks Ended</w:t>
            </w:r>
          </w:p>
        </w:tc>
        <w:tc>
          <w:tcPr>
            <w:tcW w:w="1940" w:type="dxa"/>
            <w:vAlign w:val="bottom"/>
            <w:gridSpan w:val="7"/>
          </w:tcPr>
          <w:p>
            <w:pPr>
              <w:ind w:left="80"/>
              <w:spacing w:after="0"/>
              <w:rPr>
                <w:sz w:val="20"/>
                <w:szCs w:val="20"/>
                <w:color w:val="auto"/>
              </w:rPr>
            </w:pPr>
            <w:r>
              <w:rPr>
                <w:rFonts w:ascii="Arial" w:cs="Arial" w:eastAsia="Arial" w:hAnsi="Arial"/>
                <w:sz w:val="14"/>
                <w:szCs w:val="14"/>
                <w:b w:val="1"/>
                <w:bCs w:val="1"/>
                <w:color w:val="auto"/>
              </w:rPr>
              <w:t>Twenty-Four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15,</w:t>
            </w:r>
          </w:p>
        </w:tc>
        <w:tc>
          <w:tcPr>
            <w:tcW w:w="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June 17,</w:t>
            </w:r>
          </w:p>
        </w:tc>
        <w:tc>
          <w:tcPr>
            <w:tcW w:w="800" w:type="dxa"/>
            <w:vAlign w:val="bottom"/>
          </w:tcPr>
          <w:p>
            <w:pPr>
              <w:spacing w:after="0"/>
              <w:rPr>
                <w:sz w:val="11"/>
                <w:szCs w:val="11"/>
                <w:color w:val="auto"/>
              </w:rPr>
            </w:pPr>
          </w:p>
        </w:tc>
        <w:tc>
          <w:tcPr>
            <w:tcW w:w="9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June 15,</w:t>
            </w:r>
          </w:p>
        </w:tc>
        <w:tc>
          <w:tcPr>
            <w:tcW w:w="3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2"/>
              </w:rPr>
              <w:t>June 17,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2012</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2011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2012</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33"/>
              <w:spacing w:after="0"/>
              <w:rPr>
                <w:sz w:val="20"/>
                <w:szCs w:val="20"/>
                <w:color w:val="auto"/>
              </w:rPr>
            </w:pPr>
            <w:r>
              <w:rPr>
                <w:rFonts w:ascii="Arial" w:cs="Arial" w:eastAsia="Arial" w:hAnsi="Arial"/>
                <w:sz w:val="14"/>
                <w:szCs w:val="14"/>
                <w:b w:val="1"/>
                <w:bCs w:val="1"/>
                <w:color w:val="auto"/>
                <w:w w:val="76"/>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Sale of vacation ownership products</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Financing</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Cost reimbursements</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vacation ownership products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Marketing and sales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Rental</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Royalty fee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860"/>
              <w:spacing w:after="0"/>
              <w:rPr>
                <w:sz w:val="20"/>
                <w:szCs w:val="20"/>
                <w:color w:val="auto"/>
              </w:rPr>
            </w:pPr>
            <w:r>
              <w:rPr>
                <w:rFonts w:ascii="Arial" w:cs="Arial" w:eastAsia="Arial" w:hAnsi="Arial"/>
                <w:sz w:val="18"/>
                <w:szCs w:val="18"/>
                <w:color w:val="auto"/>
              </w:rPr>
              <w:t>Total expenses</w:t>
            </w:r>
          </w:p>
        </w:tc>
        <w:tc>
          <w:tcPr>
            <w:tcW w:w="1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Segment financial results</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Development margin percentage</w:t>
            </w: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6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sales (company-owned)</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Vacation ownership</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7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28</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contract sales</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60" w:type="dxa"/>
            <w:vAlign w:val="bottom"/>
            <w:vMerge w:val="restart"/>
          </w:tcPr>
          <w:p>
            <w:pPr>
              <w:ind w:left="1000"/>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15, 2012</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Revenues declined $1 million (5 percent) from the prior year comparable period, primarily reflecting $1 million of lower revenues from the sale of vacation ownership products. Management fees were less than $1 million in the second quarter of each of 2012 and 2011.</w:t>
      </w:r>
    </w:p>
    <w:p>
      <w:pPr>
        <w:spacing w:after="0" w:line="13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Revenue from the sale of vacation ownership products decreased $1 million (7 percent) from the prior year comparable period, reflecting $1 million of lower company-owned contract sales and $1 million of higher vacation ownership notes receivable reserve activity due to higher estimated default and delinquency activity, partially offset by $1 million of favorable revenue reportability.</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Contract sales decreased $1 million (6 percent) from the prior year comparable period, reflecting the impact of 17 percent fewer tours as a result of having fewer sales centers in the second quarter of 2012 compared to the second quarter of 2011, partially offset by a $260 increase in VPG.</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Segment financial results increased $4 million to $1 million in the second quarter of 2012 from a loss of $3 million in the second quarter of 2011, reflecting $4 million of higher development margin driven mainly by $2 million from the lower revenues net of favorable changes in the direct variable expenses (cost of vacation ownership products and marketing and sales costs) and $2 million of favorable product cost true-ups. The product cost true-ups includes $1 million of favorable true-ups in the second quarter of 2012 and $1 million of unfavorable true-ups in the second quarter of 2011.</w:t>
      </w:r>
    </w:p>
    <w:p>
      <w:pPr>
        <w:spacing w:after="0" w:line="11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Development margin percentage improved 21 percentage points over the prior year comparable period. The improvement in the development margin reflects the impact of lower cost of vacation ownership products due to the favorable product cost true-ups and efficiencies in marketing and sales spending. The impact of the favorable revenue reportability is offset by the impact of the higher notes receivable reserve activity.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15, 2012</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Revenues declined $3 million (7 percent) from the prior year comparable period, reflecting $4 million of lower revenues from the sale of vacation ownership products and $1 million of lower rental revenue, partially offset by $1 million of higher resort management and other services revenues due to increases in management fees and other customer service revenues and $1 million of higher cost reimbursements. Management fees were $1 million in each of the twenty-four weeks ended June 15, 2012 and June 17, 2011.</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Revenue from the sale of vacation ownership products decreased $4 million (13 percent) from the prior year comparable period, reflecting $3 million of lower company-owned contract sales and $1 million of higher vacation ownership notes receivable reserve activity due to higher estimated default and delinquency activity.</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Contract sales decreased $3 million (10 percent) from the prior year comparable period, reflecting the impact of 13 percent fewer tours as a result of having fewer sales centers in the twenty-four weeks ended June 15, 2012 compared to the twenty-four weeks ended June 17, 2011, partially offset by an $82 increase in VPG.</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Segment financial results increased $2 million to $2 million in the twenty-four weeks ended June 15, 2012 from breakeven in the twenty-four weeks ended June 17, 2011, reflecting $3 million of higher development margin and $1 million of higher resort management and other services net of expenses due to the increase in revenues. These increases were partially offset by $1 million of royalty fees in the twenty-four weeks ended June 15, 2012 due to the variable component of the royalty fee due under the License Agreements payable in periods subsequent to the Spin-Off and $1 million of higher general and administrative costs in the twenty-four weeks ended June 15, 2012. The $3 million of higher development margin was driven mainly by $2 million of favorable product cost true-up activity and $1 million from improved marketing and sales spending efficiency. The favorable product cost true-up activity includes $1 million of favorable true-up activity in the twenty-four weeks ended June 15, 2012 and $1 million of unfavorable true-up activity in the 2011 comparable period.</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Development margin percentage improved 7 percentage points to 7 percent in the twenty-four weeks ended June 15, 2012 from breakeven in the 2011 comparable period. The improvement in the development margin reflects the impact of the favorable product cost true-up activity and efficiencies in marketing and sales spending described above despite the lower contract sales volume. The impact of the favorable revenue reportability is offset by the impact of the higher notes receivable reserve activity.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320" w:type="dxa"/>
            <w:vAlign w:val="bottom"/>
            <w:gridSpan w:val="5"/>
          </w:tcPr>
          <w:p>
            <w:pPr>
              <w:ind w:left="240"/>
              <w:spacing w:after="0"/>
              <w:rPr>
                <w:sz w:val="20"/>
                <w:szCs w:val="20"/>
                <w:color w:val="auto"/>
              </w:rPr>
            </w:pPr>
            <w:r>
              <w:rPr>
                <w:rFonts w:ascii="Arial" w:cs="Arial" w:eastAsia="Arial" w:hAnsi="Arial"/>
                <w:sz w:val="14"/>
                <w:szCs w:val="14"/>
                <w:b w:val="1"/>
                <w:bCs w:val="1"/>
                <w:color w:val="auto"/>
              </w:rPr>
              <w:t>Twelve Weeks Ended</w:t>
            </w:r>
          </w:p>
        </w:tc>
        <w:tc>
          <w:tcPr>
            <w:tcW w:w="80" w:type="dxa"/>
            <w:vAlign w:val="bottom"/>
          </w:tcPr>
          <w:p>
            <w:pPr>
              <w:spacing w:after="0"/>
              <w:rPr>
                <w:sz w:val="14"/>
                <w:szCs w:val="14"/>
                <w:color w:val="auto"/>
              </w:rPr>
            </w:pPr>
          </w:p>
        </w:tc>
        <w:tc>
          <w:tcPr>
            <w:tcW w:w="20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Twenty-Four Weeks Ended</w:t>
            </w:r>
          </w:p>
        </w:tc>
      </w:tr>
      <w:tr>
        <w:trPr>
          <w:trHeight w:val="129"/>
        </w:trPr>
        <w:tc>
          <w:tcPr>
            <w:tcW w:w="6080" w:type="dxa"/>
            <w:vAlign w:val="bottom"/>
          </w:tcPr>
          <w:p>
            <w:pPr>
              <w:spacing w:after="0"/>
              <w:rPr>
                <w:sz w:val="11"/>
                <w:szCs w:val="11"/>
                <w:color w:val="auto"/>
              </w:rPr>
            </w:pPr>
          </w:p>
        </w:tc>
        <w:tc>
          <w:tcPr>
            <w:tcW w:w="8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June 15,</w:t>
            </w:r>
          </w:p>
        </w:tc>
        <w:tc>
          <w:tcPr>
            <w:tcW w:w="3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17,</w:t>
            </w:r>
          </w:p>
        </w:tc>
        <w:tc>
          <w:tcPr>
            <w:tcW w:w="6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5"/>
              </w:rPr>
              <w:t>June 15,</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w w:val="85"/>
              </w:rPr>
              <w:t>June 17,</w:t>
            </w:r>
          </w:p>
        </w:tc>
        <w:tc>
          <w:tcPr>
            <w:tcW w:w="100" w:type="dxa"/>
            <w:vAlign w:val="bottom"/>
          </w:tcPr>
          <w:p>
            <w:pPr>
              <w:spacing w:after="0"/>
              <w:rPr>
                <w:sz w:val="11"/>
                <w:szCs w:val="11"/>
                <w:color w:val="auto"/>
              </w:rPr>
            </w:pPr>
          </w:p>
        </w:tc>
      </w:tr>
      <w:tr>
        <w:trPr>
          <w:trHeight w:val="161"/>
        </w:trPr>
        <w:tc>
          <w:tcPr>
            <w:tcW w:w="60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520" w:type="dxa"/>
            <w:vAlign w:val="bottom"/>
          </w:tcPr>
          <w:p>
            <w:pPr>
              <w:jc w:val="right"/>
              <w:ind w:right="44"/>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88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24"/>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60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Corporate and Other captures information not specifically identifiable to an individual segment, including expenses in support of our financing operations, non-capitalizable development expenses supporting overall company development, company-wide general and administrative costs, the fixed royalty fee payable under the License Agreements and interest expense.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June 15, 2012</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Total expenses increased $22 million (61 percent) over the prior year comparable period. The $22 million increase was the result of $11 million of royalty fees in the second quarter of 2012, $7 million of higher general and administrative expenses, and $4 million of higher interest expense.</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$7 million increase in general and administrative expenses was due to $4 million of organizational and separation related costs incurred in the second quarter of 2012, $2 million for claims asserted related to one of our Luxury projects, and $1 million of incremental stand-alone public company costs.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$4 million increase in interest expense was due to $4 million of higher non-consumer financing interest expense, partially offset by $1 million of lower consumer financing interest expense. The $4 million of higher non-consumer financing interest expense primarily includes $2 million of expense associated with the liability for the Marriott Rewards guest loyalty program under the Marriott Rewards Agreement which we entered into in connection with the Spin-Off, $1 million of lower capitalized interest costs, $1 million related to dividends associated with the preferred stock issued in connection with the Spin-Off (no activity in prior year comparable period), and $1 million of amortized costs associated with the Revolving Corporate Credit Facility which we entered into in connection with the Spin-Off. There was no change in consumer financing interest expense as the lower interest expense from the lower outstanding debt balances related to the securitized vacation ownership notes receivable was offset by interest expense and amortized costs associated with the Warehouse Credit Facility which we entered into in connection with the Spin-Off.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Twenty-Four Weeks Ended June 15, 2012</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Total expenses increased $41 million (59 percent) over the prior year comparable period. The $41 million increase was the result of $23 million of royalty fees, $10 million of higher general and administrative expenses, $5 million of higher interest expense, and a $2 million favorable true-up in other expenses in the first quarter of 2011 related to the 2010 bonus accrual following final bonus payouts totaling less than the amount accrued.</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$10 million increase in general and administrative expenses was due to $6 million of organizational and separation related costs incurred in the second quarter of 2012, $2 million for claims asserted related to one of our Luxury projects and $2 million of incremental stand-alone public company costs.</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$5 million increase in interest expense was due to $7 million of higher non-consumer financing interest expense, offset partially by $2 million of lower consumer financing interest expense. Higher non-consumer financing interest expense primarily includes $4 million of expense associated with the liability for the Marriott Rewards guest loyalty program under the Marriott Rewards Agreement which we entered into in connection with the Spin-Off, $2 million of dividends associated with the preferred stock issued in connection with the Spin-Off, $1 million of lower capitalized interest costs and $1 million of amortized costs associated with the Revolving Corporate Credit Facility which we entered into in connection with the Spin-Off. Lower consumer financing interest expense reflects lower outstanding debt balances related to the securitized vacation ownership notes receivable, partially offset by interest expense and amortized costs associated with the Warehouse Credit Facility which we entered into in connection with the Spin-Off.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See Footnote No. 1 to our Financial Statements, “Summary of Significant Accounting Policies,” for information related to our adoption of new accounting standards in the twenty-four weeks ended June 15,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capital needs are supported by cash on hand ($83 million at the end of the second quarter of 2012), cash generated from operations, our ability to raise capital through securitizations in the ABS market, and to the extent necessary, funds available under the Warehouse Credit Facility and the Revolving Corporate Credit Facility. We believe these sources will be adequate to meet our short-term and long-term liquidity requirements, finance our long-term growth plans, meet debt service, and fulfill other cash requirements. At the end of the second quarter of 2012, $711 million of the $714 million of total debt outstanding is non-recourse debt associated with secured vacation ownership notes receivable, including debt outstanding under the Warehouse Credit Facility. See further discussion below regarding the securitization of outstanding vacation ownership notes receivable and related repayment of the Warehouse Credit Facility subsequent to the end of the second quarter of 2012.</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sufficient real estate inventory to meet expected demand for our vacation ownership products for the next several years. At the end of the second quarter of 2012, we had $901 million of real estate inventory on hand, comprised of $471 million of finished goods, $119 million of work-in-process, and $311 million of land and infrastructure. As a result, we expect our real estate inventory spending (discussed below) will be less than or in line with cost of sales for the next several years. We also expect to sell excess luxury inventory and dispose of undeveloped land, as well as to sell some of our Luxury inventory through the MVCD program, in order to generate incremental cash and reduce related carrying costs.</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Changes we have made to our vacation ownership product offerings also allow us to more efficiently utilize our real estate inventory. The majority of our sales are of a points-based product offering, which permits us to sell vacation ownership products at most of our sales locations, including those where little or no weeks-based inventory remains available for sale. Because we no longer need specific resort-based inventory at each sales location, we expect to have fewer resorts under construction at any given time and expect to better leverage successful sales locations at completed resorts. We expect that this will allow us to maintain long-term sales locations and minimize the need to develop and staff on-site sales locations at smaller projects in the future. We believe these points-based programs better position us to align our construction of real estate inventory with the pace of sales of vacation ownership products by slowing down or accelerating construction, as demand across our portfolio and market conditions dictate.</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During each of the twenty-four weeks ended June 15, 2012 and June 17, 2011, we had a net decrease in cash and cash equivalents of $27 million and $1 million, respectively, including distribution to Marriott International of $20 million in the twenty-four weeks ended June 17, 2011 prior to the Spin-Off. The following table summarizes such changes: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8"/>
              </w:rPr>
              <w:t>Twenty-Four Weeks Ended</w:t>
            </w:r>
          </w:p>
        </w:tc>
        <w:tc>
          <w:tcPr>
            <w:tcW w:w="0" w:type="dxa"/>
            <w:vAlign w:val="bottom"/>
          </w:tcPr>
          <w:p>
            <w:pPr>
              <w:spacing w:after="0"/>
              <w:rPr>
                <w:sz w:val="1"/>
                <w:szCs w:val="1"/>
                <w:color w:val="auto"/>
              </w:rPr>
            </w:pPr>
          </w:p>
        </w:tc>
      </w:tr>
      <w:tr>
        <w:trPr>
          <w:trHeight w:val="129"/>
        </w:trPr>
        <w:tc>
          <w:tcPr>
            <w:tcW w:w="6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15,</w:t>
            </w:r>
          </w:p>
        </w:tc>
        <w:tc>
          <w:tcPr>
            <w:tcW w:w="880" w:type="dxa"/>
            <w:vAlign w:val="bottom"/>
            <w:tcBorders>
              <w:top w:val="single" w:sz="8" w:color="auto"/>
            </w:tcBorders>
            <w:gridSpan w:val="3"/>
          </w:tcPr>
          <w:p>
            <w:pPr>
              <w:ind w:left="400"/>
              <w:spacing w:after="0" w:line="129" w:lineRule="exact"/>
              <w:rPr>
                <w:sz w:val="20"/>
                <w:szCs w:val="20"/>
                <w:color w:val="auto"/>
              </w:rPr>
            </w:pPr>
            <w:r>
              <w:rPr>
                <w:rFonts w:ascii="Arial" w:cs="Arial" w:eastAsia="Arial" w:hAnsi="Arial"/>
                <w:sz w:val="14"/>
                <w:szCs w:val="14"/>
                <w:b w:val="1"/>
                <w:bCs w:val="1"/>
                <w:color w:val="auto"/>
                <w:w w:val="82"/>
              </w:rPr>
              <w:t>June 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7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2012</w:t>
            </w:r>
          </w:p>
        </w:tc>
        <w:tc>
          <w:tcPr>
            <w:tcW w:w="4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76"/>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distribution to Marriott International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72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changes in exchange rates on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1300"/>
              <w:spacing w:after="0"/>
              <w:rPr>
                <w:sz w:val="20"/>
                <w:szCs w:val="20"/>
                <w:color w:val="auto"/>
              </w:rPr>
            </w:pPr>
            <w:r>
              <w:rPr>
                <w:rFonts w:ascii="Arial" w:cs="Arial" w:eastAsia="Arial" w:hAnsi="Arial"/>
                <w:sz w:val="18"/>
                <w:szCs w:val="18"/>
                <w:color w:val="auto"/>
              </w:rPr>
              <w:t>Net change in cash and cash equivalents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20" w:type="dxa"/>
            <w:vAlign w:val="bottom"/>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(27)</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Operating Activities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twenty-four weeks ended June 15, 2012, we generated $106 million of cash flows from operating activities, compared to $160 million in the 2011 comparable period. Our primary sources of funds from operations are (1) cash sales and down payments on financed sales, (2) cash from our financing operations, including principal and interest payments received on outstanding notes receivables and (3) net cash generated from our rental and resort management and other services operations. Outflows include spending for the development of new phases of existing resorts as well as funding our working capital needs. Additionally, in the twenty-four weeks ended June 15, 2012 we made a payment of $20 million to Marriott International in final settlement of expenses associated with the Spin-Off, and a payment of $20 million to property owners’ associations for maintenance fees collected on their behalf prior to the end of 2011 (these funds were held for the benefit of the applicable property owners’ associations in restricted cash at the end of 2011).</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minimize working capital needs through cash management, strict credit-granting policies, and disciplined collection efforts. We have greater working capital cash needs in the first two quarters of each year, given the timing of annual maintenance fees on unsold inventory we pay to property owners’ associations and certain annual compensation related outflows. In addition, our cash from operations varies due to the timing of our owners’ repayment of vacation ownership notes receivable, the closing of sales contracts for vacation ownership products, the rate at which owners finance their vacation ownership purchase with us, and cash outlays for real estate inventory development.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net income and adjustments for non-cash items, the following operating activities are key drivers of our cash from operating activities: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Real estate inventory spending less than cost of sales</w:t>
      </w:r>
    </w:p>
    <w:p>
      <w:pPr>
        <w:spacing w:after="0" w:line="2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ind w:left="240"/>
              <w:spacing w:after="0"/>
              <w:rPr>
                <w:sz w:val="20"/>
                <w:szCs w:val="20"/>
                <w:color w:val="auto"/>
              </w:rPr>
            </w:pPr>
            <w:r>
              <w:rPr>
                <w:rFonts w:ascii="Arial" w:cs="Arial" w:eastAsia="Arial" w:hAnsi="Arial"/>
                <w:sz w:val="14"/>
                <w:szCs w:val="14"/>
                <w:b w:val="1"/>
                <w:bCs w:val="1"/>
                <w:color w:val="auto"/>
              </w:rPr>
              <w:t>Twenty-Four Weeks Ended</w:t>
            </w:r>
          </w:p>
        </w:tc>
      </w:tr>
      <w:tr>
        <w:trPr>
          <w:trHeight w:val="129"/>
        </w:trPr>
        <w:tc>
          <w:tcPr>
            <w:tcW w:w="5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June 15,</w:t>
            </w: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w w:val="85"/>
              </w:rPr>
              <w:t>June 17,</w:t>
            </w:r>
          </w:p>
        </w:tc>
        <w:tc>
          <w:tcPr>
            <w:tcW w:w="120" w:type="dxa"/>
            <w:vAlign w:val="bottom"/>
          </w:tcPr>
          <w:p>
            <w:pPr>
              <w:spacing w:after="0"/>
              <w:rPr>
                <w:sz w:val="11"/>
                <w:szCs w:val="11"/>
                <w:color w:val="auto"/>
              </w:rPr>
            </w:pPr>
          </w:p>
        </w:tc>
      </w:tr>
      <w:tr>
        <w:trPr>
          <w:trHeight w:val="161"/>
        </w:trPr>
        <w:tc>
          <w:tcPr>
            <w:tcW w:w="52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Real estate inventory spending</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Real estate inventory costs</w:t>
            </w:r>
          </w:p>
        </w:tc>
        <w:tc>
          <w:tcPr>
            <w:tcW w:w="1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Real estate inventory spending less than cost of sales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in our Statements of Operations related to sale of vacation ownership products (a non-cash item).</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Given the significant level of completed real estate inventory on hand, as well as the capital efficiency resulting from the launch of our MVCD program, our real estate inventory spending continues to decline. Total spending was lower than our real estate inventory costs in each of the twenty-four weeks ended June 15, 2012 and June 17, 2011, and we expect this trend to continue in the near term. On a longer term basis, we expect this spending to remain in line with our projected real estate inventory costs.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 receivable collections in excess of new mortgages</w:t>
      </w:r>
    </w:p>
    <w:p>
      <w:pPr>
        <w:spacing w:after="0" w:line="2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Twenty-Four Weeks Ended</w:t>
            </w:r>
          </w:p>
        </w:tc>
        <w:tc>
          <w:tcPr>
            <w:tcW w:w="0" w:type="dxa"/>
            <w:vAlign w:val="bottom"/>
          </w:tcPr>
          <w:p>
            <w:pPr>
              <w:spacing w:after="0"/>
              <w:rPr>
                <w:sz w:val="1"/>
                <w:szCs w:val="1"/>
                <w:color w:val="auto"/>
              </w:rPr>
            </w:pPr>
          </w:p>
        </w:tc>
      </w:tr>
      <w:tr>
        <w:trPr>
          <w:trHeight w:val="129"/>
        </w:trPr>
        <w:tc>
          <w:tcPr>
            <w:tcW w:w="6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85"/>
              </w:rPr>
              <w:t>June 15,</w:t>
            </w: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w w:val="85"/>
              </w:rPr>
              <w:t>June 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Notes receivable collections (non-securitized vacation ownership notes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Notes receivable collections (securitized vacation ownership notes receivable)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New vacation ownership notes receivable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440"/>
              <w:spacing w:after="0"/>
              <w:rPr>
                <w:sz w:val="20"/>
                <w:szCs w:val="20"/>
                <w:color w:val="auto"/>
              </w:rPr>
            </w:pPr>
            <w:r>
              <w:rPr>
                <w:rFonts w:ascii="Arial" w:cs="Arial" w:eastAsia="Arial" w:hAnsi="Arial"/>
                <w:sz w:val="18"/>
                <w:szCs w:val="18"/>
                <w:color w:val="auto"/>
              </w:rPr>
              <w:t>Notes receivable collections in excess of new mortgages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Notes receivable collections include principal from non-securitized and securitized vacation ownership notes receivable for all periods reported. Collections declined in the twenty-four weeks ended June 15, 2012 due to the declining vacation ownership notes receivable balance. New vacation ownership notes receivable declined slightly in the twenty-four weeks ended June 15, 2012 compared to the twenty-four weeks ended June 17, 2011 due to a 3 percentage point decline in the financing propensity of purchasers in our North America segment (from 42 percent in the twenty-four weeks ended June 17, 2011 to 39 percent in the 2012 comparable period) and a reduction in the number of contract closings that occurred in the twenty-four weeks ended June 15, 2012 compared to the twenty-four weeks ended June 17, 2011.</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See Footnote No. 9, “Debt,” of the Notes to our Financial Statements for additional information regarding certain securitization pools which failed to perform within established parameters, resulting in the redirection of $1 million and $2 million of cash flows to investors during each of the twenty-four weeks ended June 15, 2012 and June 17, 2011. At June 15, 2012 no pools were out of compliance.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Investing Activities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1"/>
              </w:rPr>
              <w:t>Twenty-Four Weeks Ended</w:t>
            </w: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40" w:type="dxa"/>
            <w:vAlign w:val="bottom"/>
            <w:tcBorders>
              <w:top w:val="single" w:sz="8" w:color="auto"/>
            </w:tcBorders>
            <w:gridSpan w:val="3"/>
          </w:tcPr>
          <w:p>
            <w:pPr>
              <w:jc w:val="right"/>
              <w:ind w:right="520"/>
              <w:spacing w:after="0" w:line="129" w:lineRule="exact"/>
              <w:rPr>
                <w:sz w:val="20"/>
                <w:szCs w:val="20"/>
                <w:color w:val="auto"/>
              </w:rPr>
            </w:pPr>
            <w:r>
              <w:rPr>
                <w:rFonts w:ascii="Arial" w:cs="Arial" w:eastAsia="Arial" w:hAnsi="Arial"/>
                <w:sz w:val="14"/>
                <w:szCs w:val="14"/>
                <w:b w:val="1"/>
                <w:bCs w:val="1"/>
                <w:color w:val="auto"/>
                <w:w w:val="89"/>
              </w:rPr>
              <w:t>June 15,</w:t>
            </w:r>
          </w:p>
        </w:tc>
        <w:tc>
          <w:tcPr>
            <w:tcW w:w="4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4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 for property and equipment</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restricted cash</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440"/>
              <w:spacing w:after="0"/>
              <w:rPr>
                <w:sz w:val="20"/>
                <w:szCs w:val="20"/>
                <w:color w:val="auto"/>
              </w:rPr>
            </w:pPr>
            <w:r>
              <w:rPr>
                <w:rFonts w:ascii="Arial" w:cs="Arial" w:eastAsia="Arial" w:hAnsi="Arial"/>
                <w:sz w:val="18"/>
                <w:szCs w:val="18"/>
                <w:color w:val="auto"/>
                <w:w w:val="92"/>
              </w:rPr>
              <w:t>Net cash provided by (used in) investing activities</w:t>
            </w:r>
          </w:p>
        </w:tc>
        <w:tc>
          <w:tcPr>
            <w:tcW w:w="2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0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460" w:type="dxa"/>
            <w:vAlign w:val="bottom"/>
            <w:vMerge w:val="restart"/>
          </w:tcPr>
          <w:p>
            <w:pPr>
              <w:jc w:val="right"/>
              <w:ind w:right="2052"/>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Capital expenditures for property and equipment relates to spending for technology development, buildings and equipment used at sales locations, and ancillary offerings at resorts such as food and beverage locations.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the twenty-four weeks ended June 15, 2012, capital expenditures for property and equipment of $7 million included $5 million of spending to support normal business operations (such as sales locations and ancillary assets) and $2 million for technology spending.</w:t>
      </w:r>
    </w:p>
    <w:p>
      <w:pPr>
        <w:spacing w:after="0" w:line="132" w:lineRule="exact"/>
        <w:rPr>
          <w:sz w:val="20"/>
          <w:szCs w:val="20"/>
          <w:color w:val="auto"/>
        </w:rPr>
      </w:pPr>
    </w:p>
    <w:p>
      <w:pPr>
        <w:jc w:val="both"/>
        <w:ind w:right="60" w:firstLine="456"/>
        <w:spacing w:after="0" w:line="370" w:lineRule="auto"/>
        <w:rPr>
          <w:sz w:val="20"/>
          <w:szCs w:val="20"/>
          <w:color w:val="auto"/>
        </w:rPr>
      </w:pPr>
      <w:r>
        <w:rPr>
          <w:rFonts w:ascii="Arial" w:cs="Arial" w:eastAsia="Arial" w:hAnsi="Arial"/>
          <w:sz w:val="15"/>
          <w:szCs w:val="15"/>
          <w:color w:val="auto"/>
        </w:rPr>
        <w:t>In the twenty-four weeks ended June 17, 2011, capital expenditures for property and equipment of $8 million included $5 million for technology spending, related to systems enhancements supporting the MVCD program, with the remaining spending of $3 million related to the support of normal business operations.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Decrease (increase) in Restricted Cash</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Restricted cash primarily consists of cash held in a reserve account related to notes receivable securitizations, cash collected for maintenance fees to be remitted to property owners’ associations, and deposits received, primarily associated with vacation ownership products and residential sales that are held in escrow until the associated contract has closed or the period in which it can be rescinded has passed, depending on legal requirements. The decrease in restricted cash in the twenty-four weeks ended June 15, 2012 reflects payments to property owners’ associations for maintenance fees collected on their behalf prior to the end of 2011, partially offset by cash collected in connection with securitized vacation ownership notes receivable that was distributed to investors subsequent to the end of the second quarter of 2011. The increase in restricted cash in the twenty-four weeks ended June 17, 2011 reflects cash collected in connection with securitized vacation ownership notes receivable that was distributed to investors subsequent to the end of the second quarter of 2011.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Financing Activities</w:t>
      </w:r>
    </w:p>
    <w:p>
      <w:pPr>
        <w:spacing w:after="0" w:line="2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Twenty-Four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85"/>
              </w:rPr>
              <w:t>June 15,</w:t>
            </w: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5"/>
              </w:rPr>
              <w:t>June 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Repayment of debt related to securitizations</w:t>
            </w: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Bonds payable on securitized notes receivable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(122)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Warehouse Credit Facility</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840"/>
              <w:spacing w:after="0"/>
              <w:rPr>
                <w:sz w:val="20"/>
                <w:szCs w:val="20"/>
                <w:color w:val="auto"/>
              </w:rPr>
            </w:pPr>
            <w:r>
              <w:rPr>
                <w:rFonts w:ascii="Arial" w:cs="Arial" w:eastAsia="Arial" w:hAnsi="Arial"/>
                <w:sz w:val="18"/>
                <w:szCs w:val="18"/>
                <w:color w:val="auto"/>
              </w:rPr>
              <w:t>Subtotal</w:t>
            </w:r>
          </w:p>
        </w:tc>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(136)</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Corporate Credit Facility</w:t>
            </w:r>
          </w:p>
        </w:tc>
        <w:tc>
          <w:tcPr>
            <w:tcW w:w="9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Repayment of Revolving Corporate Credit Facility</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Repayment of third party debt</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Proceeds from stock option exercises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Payment of withholding taxes on vesting of restricted stock units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distribution to Marriott International</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Repayments of debt related to securitizations</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Repayments on the non-recourse debt associated with our securitized vacation ownership notes receivable totaled $136 million (including $30 million for voluntary retirement clean-up calls) and $122 million in each of the twenty-four weeks ended June 15, 2012 and June 17, 2011, respectively.</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June 28, 2012, we completed a securitization involving the transfer of a pool of approximately $250 million in vacation ownership notes receivable (the “Loans”) to Marriott Vacation Club Owner Trust 2012-1 (the “2012-1 Trust”), including $122 million of Loans that were previously securitized in the Warehouse Credit Facility. Simultaneous with the securitization of the Loans to the 2012-1 Trust, investors purchased approximately $238 million in Timeshare Loan Backed Notes (the “Notes”) from the 2012-1 Trust in a private placement. Two classes of Notes were issued by the 2012-1 Trust: approximately $210 million of Class A Notes and approximately $28 million of Class B Notes. The Class A Notes have an interest rate of 2.51% and the Class B Notes have an interest rate of 3.50%, for an overall weighted average interest rate of 2.625%. As consideration for the securitization of the Loans, we received initial gross cash proceeds (before transaction expenses and required reserves) of approximately $238 million ($233 million after transaction expenses and required reserves), and a subordinated residual interest in the 2012-1 Trust through which we expect to realize the remaining value of the Loans over time. Of this amount, approximately $101 million was used to repay amounts previously drawn under the Warehouse Credit Facility, and the remainder will be used for general corporate purposes. We will account for the securitization as a secured borrowing and therefore will not recognize a gain or loss in the third quarter of 2012 as a result of this transaction. The results of operations of the 2012-1 Trust will be consolidated within our results of operations as the Trust is a variable interest entity for which we are the primary beneficiary.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There have been no significant changes to our “Contractual Obligations and Off-Balance Sheet Arrangements” as reported in “Management’s Discussion and Analysis of Financial Condition and Results of Operations,” in our Annual Report on Form 10-K for the year ended December 30, 2011, other than those resulting from changes in the amount of debt outstanding. As of the end of the second quarter of 2012, debt decreased by $136 million to $714 million compared to $850 million at year-end 2011, all of which related to a decrease in non-recourse debt associated with previously securitized notes and the Warehouse Credit Facility. At the end of the second quarter of 2012, future debt payments to be paid out of collections from our mortgage notes receivable, including principal and interest, totaled $930 million and are due as follows: $87 million in 2012; $235 million in 2013; $139 million in 2014; $128 million in 2015; $100 million in 2016; and $241 million thereafter.</w:t>
      </w:r>
    </w:p>
    <w:p>
      <w:pPr>
        <w:spacing w:after="0" w:line="11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have provided guarantees to certain lenders in connection with the provision of third-party financing for our vacation ownership product sales, which guarantees generally have a stated maximum amount of funding and a term of five to ten years. The terms of the guarantees require us to fund if the purchaser fails to pay under the terms of the note payable. We are then entitled to repossess the property and retain the proceeds from its resale. Our commitments under these guarantees diminish as principal payments are made by the purchaser to the third-party lender. Our current exposure under such guarantees as of the end of the second quarter of 2012 in the Asia Pacific and Luxury segments is $20 million and $3 million, respectively, and underlying debt to third-party lenders will mature between 2012 and 2022.</w:t>
      </w:r>
    </w:p>
    <w:p>
      <w:pPr>
        <w:spacing w:after="0" w:line="144"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Additionally, related to an equity method investment, we provided a completion guarantee in favor of the project lenders for which the joint venture has delivered a completed operational project. Although we have not received a release of our guarantee from the lenders, we do not believe we have any exposure for funding.</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additional information on these guarantees and the circumstances under which they were entered into, see the “Guarantees” caption within Footnote No. 8, “Contingencies and Commitments,” of the Notes to our Financial Statements.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exposure to market risk has not changed materially from that disclosed in the Annual Report on Form 10-K for the year ended December 30, 2011.</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Disclosure Controls and Procedures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(the “Exchange Act”)), and management necessarily applied its judgment in assessing the costs and benefits of such controls and procedures, which by their nature, can provide only reasonable assurance about management’s control objectives.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Historically, we relied on financial controls and resources of Marriott International to manage certain aspects of our business and report our results. Since the Spin-Off, several areas of internal control over financial reporting have changed. New corporate and oversight functions have been implemented, such as investor relations, payroll and benefits accounting and reporting, stock administration, external financial reporting, Board of Directors, and Internal Audit. Existing functions such as external communications, tax, legal, human resources, and treasury, including insurance and risk management, have also been enhanced to include corporate-level activities previously performed by Marriott International and to meet all regulatory requirements for a stand-alone company. Controls and procedures related to these new functions have been, or are in the process of being, implemented. Lastly, we have refined policies as needed, implemented a stand-alone instance of the previously used general ledger system, and entered into agreements with Marriott International pursuant to which Marriott International will provide us use of certain other financial applications such as those for payroll, accounts payable, fixed assets, and project costing.</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than those noted above or included in our Annual Report on Form 10-K for the year ended December 30, 2011, there were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From time to time, we are subject to certain legal proceedings and claims in the ordinary course of business, including adjustments proposed during governmental examinations of the various tax returns we file.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There have been no material changes from the risk factors disclosed in Part I, Item 1A of our Annual Report on Form 10-K for the fiscal year ended December 30,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Exhibits filed or furnished as a part of this Quarterly Report on Form 10-Q are listed on the Index to Exhibits on page E-1, which is incorporated by reference herein.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24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20" w:type="dxa"/>
            <w:vAlign w:val="bottom"/>
          </w:tcPr>
          <w:p>
            <w:pPr>
              <w:spacing w:after="0"/>
              <w:rPr>
                <w:sz w:val="19"/>
                <w:szCs w:val="19"/>
                <w:color w:val="auto"/>
              </w:rPr>
            </w:pPr>
          </w:p>
        </w:tc>
        <w:tc>
          <w:tcPr>
            <w:tcW w:w="6100" w:type="dxa"/>
            <w:vAlign w:val="bottom"/>
          </w:tcPr>
          <w:p>
            <w:pPr>
              <w:ind w:left="40"/>
              <w:spacing w:after="0"/>
              <w:rPr>
                <w:sz w:val="20"/>
                <w:szCs w:val="20"/>
                <w:color w:val="auto"/>
              </w:rPr>
            </w:pPr>
            <w:r>
              <w:rPr>
                <w:rFonts w:ascii="Arial" w:cs="Arial" w:eastAsia="Arial" w:hAnsi="Arial"/>
                <w:sz w:val="18"/>
                <w:szCs w:val="18"/>
                <w:color w:val="auto"/>
              </w:rPr>
              <w:t>MARRIOTT VACATIONS WORLDWIDE CORPORATION</w:t>
            </w:r>
          </w:p>
        </w:tc>
      </w:tr>
      <w:tr>
        <w:trPr>
          <w:trHeight w:val="433"/>
        </w:trPr>
        <w:tc>
          <w:tcPr>
            <w:tcW w:w="5320" w:type="dxa"/>
            <w:vAlign w:val="bottom"/>
          </w:tcPr>
          <w:p>
            <w:pPr>
              <w:spacing w:after="0"/>
              <w:rPr>
                <w:sz w:val="20"/>
                <w:szCs w:val="20"/>
                <w:color w:val="auto"/>
              </w:rPr>
            </w:pPr>
            <w:r>
              <w:rPr>
                <w:rFonts w:ascii="Arial" w:cs="Arial" w:eastAsia="Arial" w:hAnsi="Arial"/>
                <w:sz w:val="18"/>
                <w:szCs w:val="18"/>
                <w:color w:val="auto"/>
              </w:rPr>
              <w:t>July 26, 2012</w:t>
            </w:r>
          </w:p>
        </w:tc>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Stephen P. Weisz</w:t>
            </w:r>
          </w:p>
        </w:tc>
      </w:tr>
      <w:tr>
        <w:trPr>
          <w:trHeight w:val="202"/>
        </w:trPr>
        <w:tc>
          <w:tcPr>
            <w:tcW w:w="5320" w:type="dxa"/>
            <w:vAlign w:val="bottom"/>
          </w:tcPr>
          <w:p>
            <w:pPr>
              <w:spacing w:after="0"/>
              <w:rPr>
                <w:sz w:val="17"/>
                <w:szCs w:val="17"/>
                <w:color w:val="auto"/>
              </w:rPr>
            </w:pPr>
          </w:p>
        </w:tc>
        <w:tc>
          <w:tcPr>
            <w:tcW w:w="6100" w:type="dxa"/>
            <w:vAlign w:val="bottom"/>
          </w:tcPr>
          <w:p>
            <w:pPr>
              <w:ind w:left="40"/>
              <w:spacing w:after="0" w:line="202" w:lineRule="exact"/>
              <w:rPr>
                <w:sz w:val="20"/>
                <w:szCs w:val="20"/>
                <w:color w:val="auto"/>
              </w:rPr>
            </w:pPr>
            <w:r>
              <w:rPr>
                <w:rFonts w:ascii="Arial" w:cs="Arial" w:eastAsia="Arial" w:hAnsi="Arial"/>
                <w:sz w:val="18"/>
                <w:szCs w:val="18"/>
                <w:color w:val="auto"/>
              </w:rPr>
              <w:t>Stephen P. Weisz</w:t>
            </w:r>
          </w:p>
        </w:tc>
      </w:tr>
      <w:tr>
        <w:trPr>
          <w:trHeight w:val="222"/>
        </w:trPr>
        <w:tc>
          <w:tcPr>
            <w:tcW w:w="5320" w:type="dxa"/>
            <w:vAlign w:val="bottom"/>
          </w:tcPr>
          <w:p>
            <w:pPr>
              <w:spacing w:after="0"/>
              <w:rPr>
                <w:sz w:val="19"/>
                <w:szCs w:val="19"/>
                <w:color w:val="auto"/>
              </w:rPr>
            </w:pPr>
          </w:p>
        </w:tc>
        <w:tc>
          <w:tcPr>
            <w:tcW w:w="610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433"/>
        </w:trPr>
        <w:tc>
          <w:tcPr>
            <w:tcW w:w="5320" w:type="dxa"/>
            <w:vAlign w:val="bottom"/>
          </w:tcPr>
          <w:p>
            <w:pPr>
              <w:spacing w:after="0"/>
              <w:rPr>
                <w:sz w:val="24"/>
                <w:szCs w:val="24"/>
                <w:color w:val="auto"/>
              </w:rPr>
            </w:pPr>
          </w:p>
        </w:tc>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E. Geller, Jr.</w:t>
            </w:r>
          </w:p>
        </w:tc>
      </w:tr>
      <w:tr>
        <w:trPr>
          <w:trHeight w:val="202"/>
        </w:trPr>
        <w:tc>
          <w:tcPr>
            <w:tcW w:w="5320" w:type="dxa"/>
            <w:vAlign w:val="bottom"/>
          </w:tcPr>
          <w:p>
            <w:pPr>
              <w:spacing w:after="0"/>
              <w:rPr>
                <w:sz w:val="17"/>
                <w:szCs w:val="17"/>
                <w:color w:val="auto"/>
              </w:rPr>
            </w:pPr>
          </w:p>
        </w:tc>
        <w:tc>
          <w:tcPr>
            <w:tcW w:w="6100" w:type="dxa"/>
            <w:vAlign w:val="bottom"/>
          </w:tcPr>
          <w:p>
            <w:pPr>
              <w:ind w:left="40"/>
              <w:spacing w:after="0" w:line="202" w:lineRule="exact"/>
              <w:rPr>
                <w:sz w:val="20"/>
                <w:szCs w:val="20"/>
                <w:color w:val="auto"/>
              </w:rPr>
            </w:pPr>
            <w:r>
              <w:rPr>
                <w:rFonts w:ascii="Arial" w:cs="Arial" w:eastAsia="Arial" w:hAnsi="Arial"/>
                <w:sz w:val="18"/>
                <w:szCs w:val="18"/>
                <w:color w:val="auto"/>
              </w:rPr>
              <w:t>John E. Geller, Jr.</w:t>
            </w:r>
          </w:p>
        </w:tc>
      </w:tr>
      <w:tr>
        <w:trPr>
          <w:trHeight w:val="222"/>
        </w:trPr>
        <w:tc>
          <w:tcPr>
            <w:tcW w:w="5320" w:type="dxa"/>
            <w:vAlign w:val="bottom"/>
          </w:tcPr>
          <w:p>
            <w:pPr>
              <w:spacing w:after="0"/>
              <w:rPr>
                <w:sz w:val="19"/>
                <w:szCs w:val="19"/>
                <w:color w:val="auto"/>
              </w:rPr>
            </w:pPr>
          </w:p>
        </w:tc>
        <w:tc>
          <w:tcPr>
            <w:tcW w:w="610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513"/>
        </w:trPr>
        <w:tc>
          <w:tcPr>
            <w:tcW w:w="5320" w:type="dxa"/>
            <w:vAlign w:val="bottom"/>
          </w:tcPr>
          <w:p>
            <w:pPr>
              <w:spacing w:after="0"/>
              <w:rPr>
                <w:sz w:val="24"/>
                <w:szCs w:val="24"/>
                <w:color w:val="auto"/>
              </w:rPr>
            </w:pPr>
          </w:p>
        </w:tc>
        <w:tc>
          <w:tcPr>
            <w:tcW w:w="6100" w:type="dxa"/>
            <w:vAlign w:val="bottom"/>
          </w:tcPr>
          <w:p>
            <w:pPr>
              <w:ind w:left="30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40" w:type="dxa"/>
            <w:vAlign w:val="bottom"/>
          </w:tcPr>
          <w:p>
            <w:pPr>
              <w:ind w:left="288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Exhibit</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4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440" w:type="dxa"/>
            <w:vAlign w:val="bottom"/>
          </w:tcPr>
          <w:p>
            <w:pPr>
              <w:spacing w:after="0"/>
              <w:rPr>
                <w:sz w:val="14"/>
                <w:szCs w:val="14"/>
                <w:color w:val="auto"/>
              </w:rPr>
            </w:pPr>
          </w:p>
        </w:tc>
      </w:tr>
      <w:tr>
        <w:trPr>
          <w:trHeight w:val="309"/>
        </w:trPr>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3.1</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90"/>
              </w:rPr>
              <w:t>Restated Certificate of Incorporation of Marriott Vacations Worldwide Corporation, incorporated by reference to Exhibit 3.1 of the Company’s</w:t>
            </w:r>
          </w:p>
        </w:tc>
      </w:tr>
      <w:tr>
        <w:trPr>
          <w:trHeight w:val="222"/>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rPr>
              <w:t>Current Report on Form 8-K filed on November 22, 2011.</w:t>
            </w:r>
          </w:p>
        </w:tc>
      </w:tr>
      <w:tr>
        <w:trPr>
          <w:trHeight w:val="318"/>
        </w:trPr>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3.2</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91"/>
              </w:rPr>
              <w:t>Restated Bylaws of Marriott Vacations Worldwide Corporation, incorporated by reference to Exhibit 3.2 of the Company’s Current Report on</w:t>
            </w:r>
          </w:p>
        </w:tc>
      </w:tr>
      <w:tr>
        <w:trPr>
          <w:trHeight w:val="222"/>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rPr>
              <w:t>Form 8-K filed on November 22, 2011.</w:t>
            </w:r>
          </w:p>
        </w:tc>
      </w:tr>
      <w:tr>
        <w:trPr>
          <w:trHeight w:val="318"/>
        </w:trPr>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10.1</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90"/>
              </w:rPr>
              <w:t>Third Amendment, dated as of May 21, 2012, among Marriott Vacations Worldwide Corporation, Marriott Ownership Resorts, Inc., JPMorgan</w:t>
            </w:r>
          </w:p>
        </w:tc>
      </w:tr>
      <w:tr>
        <w:trPr>
          <w:trHeight w:val="216"/>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88"/>
              </w:rPr>
              <w:t>Chase Bank, N.A., as administrative agent, and the other financial institutions set forth therein, to the Credit Agreement, dated as of October 20,</w:t>
            </w:r>
          </w:p>
        </w:tc>
      </w:tr>
      <w:tr>
        <w:trPr>
          <w:trHeight w:val="216"/>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92"/>
              </w:rPr>
              <w:t>2011, among Marriott Vacations Worldwide Corporation, Marriott Ownership Resorts, Inc., JPMorgan Chase Bank, N.A., as administrative</w:t>
            </w:r>
          </w:p>
        </w:tc>
      </w:tr>
      <w:tr>
        <w:trPr>
          <w:trHeight w:val="222"/>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rPr>
              <w:t>agent, and the other financial institutions set forth in the agreement (the “Credit Agreement”).</w:t>
            </w:r>
          </w:p>
        </w:tc>
      </w:tr>
      <w:tr>
        <w:trPr>
          <w:trHeight w:val="318"/>
        </w:trPr>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10.2</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89"/>
              </w:rPr>
              <w:t>Fourth Amendment, dated as of June 27, 2012, among Marriott Vacations Worldwide Corporation, Marriott Ownership Resorts, Inc., JPMorgan</w:t>
            </w:r>
          </w:p>
        </w:tc>
      </w:tr>
      <w:tr>
        <w:trPr>
          <w:trHeight w:val="222"/>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rPr>
              <w:t>Chase Bank, N.A., as administrative agent, and the other financial institutions set forth therein, to the Credit Agreement.</w:t>
            </w:r>
          </w:p>
        </w:tc>
      </w:tr>
      <w:tr>
        <w:trPr>
          <w:trHeight w:val="318"/>
        </w:trPr>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10.3</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93"/>
              </w:rPr>
              <w:t>Omnibus Amendment, dated as of June 28, 2012, among Marriott Ownership Resorts, Inc., MORI SPC Series Corp., Marriott Vacations</w:t>
            </w:r>
          </w:p>
        </w:tc>
      </w:tr>
      <w:tr>
        <w:trPr>
          <w:trHeight w:val="216"/>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92"/>
              </w:rPr>
              <w:t>Worldwide Owner Trust 2011-1, Wells Fargo Bank, National Association, as Indenture Trustee and Back-Up Servicer, and the noteholders</w:t>
            </w:r>
          </w:p>
        </w:tc>
      </w:tr>
      <w:tr>
        <w:trPr>
          <w:trHeight w:val="216"/>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89"/>
              </w:rPr>
              <w:t>named therein, to the Amended and Restated Indenture and Servicing Agreement, dated as of September 1, 2011, among Marriott Vacations</w:t>
            </w:r>
          </w:p>
        </w:tc>
      </w:tr>
      <w:tr>
        <w:trPr>
          <w:trHeight w:val="216"/>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91"/>
              </w:rPr>
              <w:t>Worldwide Owner Trust 2011-1, Marriott Ownership Resorts, Inc., and Wells Fargo Bank, National Association, and to the Sale Agreement,</w:t>
            </w:r>
          </w:p>
        </w:tc>
      </w:tr>
      <w:tr>
        <w:trPr>
          <w:trHeight w:val="222"/>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93"/>
              </w:rPr>
              <w:t>dated as of September 1, 2011, between MORI SPC Series Corp. and Marriott Vacations Worldwide Owner Trust 2011-1, as amended.</w:t>
            </w:r>
          </w:p>
        </w:tc>
      </w:tr>
      <w:tr>
        <w:trPr>
          <w:trHeight w:val="318"/>
        </w:trPr>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10.4</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92"/>
              </w:rPr>
              <w:t>Participation Agreement for Change in Control Severance Plan between Marriott Vacations Worldwide Corporation and Stephen P. Weisz,</w:t>
            </w:r>
          </w:p>
        </w:tc>
      </w:tr>
      <w:tr>
        <w:trPr>
          <w:trHeight w:val="216"/>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90"/>
              </w:rPr>
              <w:t>President and Chief Executive Officer, effective July 9, 2012. Each of the following executive officers has entered into an agreement effective</w:t>
            </w:r>
          </w:p>
        </w:tc>
      </w:tr>
      <w:tr>
        <w:trPr>
          <w:trHeight w:val="216"/>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89"/>
              </w:rPr>
              <w:t>as of such date with the same terms: John E. Geller, Jr., Executive Vice President and Chief Financial Officer; Robert A. Miller, Executive Vice</w:t>
            </w:r>
          </w:p>
        </w:tc>
      </w:tr>
      <w:tr>
        <w:trPr>
          <w:trHeight w:val="216"/>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89"/>
              </w:rPr>
              <w:t>President and Chief Operating Officer-International; R. Lee Cunningham, Executive Vice President and Chief Operating Officer-North America</w:t>
            </w:r>
          </w:p>
        </w:tc>
      </w:tr>
      <w:tr>
        <w:trPr>
          <w:trHeight w:val="216"/>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90"/>
              </w:rPr>
              <w:t>and Caribbean; Brian E. Miller, Executive Vice President and Chief Sales &amp; Marketing Officer; James H Hunter, IV, Executive Vice President</w:t>
            </w:r>
          </w:p>
        </w:tc>
      </w:tr>
      <w:tr>
        <w:trPr>
          <w:trHeight w:val="216"/>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92"/>
              </w:rPr>
              <w:t>and General Counsel; Lizabeth Kane-Hanan, Executive Vice President and Chief Growth &amp; Inventory Officer; Dwight D. Smith, Executive</w:t>
            </w:r>
          </w:p>
        </w:tc>
      </w:tr>
      <w:tr>
        <w:trPr>
          <w:trHeight w:val="222"/>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w w:val="96"/>
              </w:rPr>
              <w:t>Vice President and Chief Information Officer; and Michael E. Yonker, Executive Vice President and Chief Human Resources Officer.</w:t>
            </w:r>
          </w:p>
        </w:tc>
      </w:tr>
      <w:tr>
        <w:trPr>
          <w:trHeight w:val="324"/>
        </w:trPr>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31.1</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31.2</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24"/>
        </w:trPr>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32.1</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tc>
      </w:tr>
      <w:tr>
        <w:trPr>
          <w:trHeight w:val="324"/>
        </w:trPr>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32.2</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tc>
      </w:tr>
      <w:tr>
        <w:trPr>
          <w:trHeight w:val="324"/>
        </w:trPr>
        <w:tc>
          <w:tcPr>
            <w:tcW w:w="1000" w:type="dxa"/>
            <w:vAlign w:val="bottom"/>
            <w:gridSpan w:val="2"/>
          </w:tcPr>
          <w:p>
            <w:pPr>
              <w:ind w:left="100"/>
              <w:spacing w:after="0"/>
              <w:rPr>
                <w:sz w:val="20"/>
                <w:szCs w:val="20"/>
                <w:color w:val="auto"/>
              </w:rPr>
            </w:pPr>
            <w:r>
              <w:rPr>
                <w:rFonts w:ascii="Arial" w:cs="Arial" w:eastAsia="Arial" w:hAnsi="Arial"/>
                <w:sz w:val="18"/>
                <w:szCs w:val="18"/>
                <w:color w:val="auto"/>
              </w:rPr>
              <w:t>101.INS</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rPr>
              <w:t>XBRL Instance Document.</w:t>
            </w:r>
          </w:p>
        </w:tc>
      </w:tr>
      <w:tr>
        <w:trPr>
          <w:trHeight w:val="324"/>
        </w:trPr>
        <w:tc>
          <w:tcPr>
            <w:tcW w:w="1000" w:type="dxa"/>
            <w:vAlign w:val="bottom"/>
            <w:gridSpan w:val="2"/>
          </w:tcPr>
          <w:p>
            <w:pPr>
              <w:ind w:left="100"/>
              <w:spacing w:after="0"/>
              <w:rPr>
                <w:sz w:val="20"/>
                <w:szCs w:val="20"/>
                <w:color w:val="auto"/>
              </w:rPr>
            </w:pPr>
            <w:r>
              <w:rPr>
                <w:rFonts w:ascii="Arial" w:cs="Arial" w:eastAsia="Arial" w:hAnsi="Arial"/>
                <w:sz w:val="18"/>
                <w:szCs w:val="18"/>
                <w:color w:val="auto"/>
              </w:rPr>
              <w:t>101.SCH</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000" w:type="dxa"/>
            <w:vAlign w:val="bottom"/>
            <w:gridSpan w:val="2"/>
          </w:tcPr>
          <w:p>
            <w:pPr>
              <w:ind w:left="100"/>
              <w:spacing w:after="0"/>
              <w:rPr>
                <w:sz w:val="20"/>
                <w:szCs w:val="20"/>
                <w:color w:val="auto"/>
              </w:rPr>
            </w:pPr>
            <w:r>
              <w:rPr>
                <w:rFonts w:ascii="Arial" w:cs="Arial" w:eastAsia="Arial" w:hAnsi="Arial"/>
                <w:sz w:val="18"/>
                <w:szCs w:val="18"/>
                <w:color w:val="auto"/>
              </w:rPr>
              <w:t>101.CAL</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1000" w:type="dxa"/>
            <w:vAlign w:val="bottom"/>
            <w:gridSpan w:val="2"/>
          </w:tcPr>
          <w:p>
            <w:pPr>
              <w:ind w:left="100"/>
              <w:spacing w:after="0"/>
              <w:rPr>
                <w:sz w:val="20"/>
                <w:szCs w:val="20"/>
                <w:color w:val="auto"/>
              </w:rPr>
            </w:pPr>
            <w:r>
              <w:rPr>
                <w:rFonts w:ascii="Arial" w:cs="Arial" w:eastAsia="Arial" w:hAnsi="Arial"/>
                <w:sz w:val="18"/>
                <w:szCs w:val="18"/>
                <w:color w:val="auto"/>
              </w:rPr>
              <w:t>101.DEF</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000" w:type="dxa"/>
            <w:vAlign w:val="bottom"/>
            <w:gridSpan w:val="2"/>
          </w:tcPr>
          <w:p>
            <w:pPr>
              <w:ind w:left="100"/>
              <w:spacing w:after="0"/>
              <w:rPr>
                <w:sz w:val="20"/>
                <w:szCs w:val="20"/>
                <w:color w:val="auto"/>
              </w:rPr>
            </w:pPr>
            <w:r>
              <w:rPr>
                <w:rFonts w:ascii="Arial" w:cs="Arial" w:eastAsia="Arial" w:hAnsi="Arial"/>
                <w:sz w:val="18"/>
                <w:szCs w:val="18"/>
                <w:color w:val="auto"/>
              </w:rPr>
              <w:t>101.LAB</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1000" w:type="dxa"/>
            <w:vAlign w:val="bottom"/>
            <w:gridSpan w:val="2"/>
          </w:tcPr>
          <w:p>
            <w:pPr>
              <w:ind w:left="100"/>
              <w:spacing w:after="0"/>
              <w:rPr>
                <w:sz w:val="20"/>
                <w:szCs w:val="20"/>
                <w:color w:val="auto"/>
              </w:rPr>
            </w:pPr>
            <w:r>
              <w:rPr>
                <w:rFonts w:ascii="Arial" w:cs="Arial" w:eastAsia="Arial" w:hAnsi="Arial"/>
                <w:sz w:val="18"/>
                <w:szCs w:val="18"/>
                <w:color w:val="auto"/>
              </w:rPr>
              <w:t>101.PRE</w:t>
            </w:r>
          </w:p>
        </w:tc>
        <w:tc>
          <w:tcPr>
            <w:tcW w:w="10400" w:type="dxa"/>
            <w:vAlign w:val="bottom"/>
            <w:gridSpan w:val="3"/>
          </w:tcPr>
          <w:p>
            <w:pPr>
              <w:ind w:left="26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15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have attached the following documents formatted in XBRL (Extensible Business Reporting Language) as Exhibit 101 to this report: (i) the Interim Consolidated Statements of Income for the twelve and twenty-four weeks ended June 15, 2012, and June 17, 2011, respectively; (ii) the Interim Consolidated Statements of Comprehensive Income for the twelve and twenty-four weeks ended June 15, 2012, and June 17, 2011, respectively; (iii) the Interim Consolidated Balance Sheets at June 15, 2012, and December 30, 2011; and (iv) the Interim Consolidated Statements of Cash Flows for the twenty-four weeks ended June 15, 2012, and June 17, 2011, respectively. Pursuant to Rule 406T of Regulation S-T, the interactive data files in Exhibit 101 hereto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AMENDMENT</w:t>
      </w:r>
    </w:p>
    <w:p>
      <w:pPr>
        <w:spacing w:after="0" w:line="171"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THIRD AMENDMENT, dated as of May 21, 2012 (this “</w:t>
      </w:r>
      <w:r>
        <w:rPr>
          <w:rFonts w:ascii="Arial" w:cs="Arial" w:eastAsia="Arial" w:hAnsi="Arial"/>
          <w:sz w:val="16"/>
          <w:szCs w:val="16"/>
          <w:u w:val="single" w:color="auto"/>
          <w:color w:val="auto"/>
        </w:rPr>
        <w:t>Amendment</w:t>
      </w:r>
      <w:r>
        <w:rPr>
          <w:rFonts w:ascii="Arial" w:cs="Arial" w:eastAsia="Arial" w:hAnsi="Arial"/>
          <w:sz w:val="16"/>
          <w:szCs w:val="16"/>
          <w:color w:val="auto"/>
        </w:rPr>
        <w:t>”), to the Credit Agreement, dated as of October 20, 2011 (as amended by the First Amendment, dated as of November 17, 2011, as further amended by the Waiver and Second Amendment, dated as of November 18, 2011,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among Marriott Vacations Worldwide Corporation, a Delaware corporation (“</w:t>
      </w:r>
      <w:r>
        <w:rPr>
          <w:rFonts w:ascii="Arial" w:cs="Arial" w:eastAsia="Arial" w:hAnsi="Arial"/>
          <w:sz w:val="16"/>
          <w:szCs w:val="16"/>
          <w:u w:val="single" w:color="auto"/>
          <w:color w:val="auto"/>
        </w:rPr>
        <w:t>MVWC</w:t>
      </w:r>
      <w:r>
        <w:rPr>
          <w:rFonts w:ascii="Arial" w:cs="Arial" w:eastAsia="Arial" w:hAnsi="Arial"/>
          <w:sz w:val="16"/>
          <w:szCs w:val="16"/>
          <w:color w:val="auto"/>
        </w:rPr>
        <w:t>”), Marriott Ownership Resorts,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Bank of America, N.A. and Deutsche Bank Securities Inc., as co-documentation agents, Merrill Lynch, Pierce, Fenner &amp; Smith Incorporated and Deutsche Bank Securities Inc. as co-syndication agents and JPMorgan Chase Bank, N.A., as administrative agent.</w:t>
      </w:r>
    </w:p>
    <w:p>
      <w:pPr>
        <w:spacing w:after="0" w:line="282"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W I T N E S S E T H</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pursuant to the Credit Agreement, the Lenders have agreed to make certain loans and other extensions of credit to the Borrower;</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Borrower has further requested that the Credit Agreement be amended as set forth herein; 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Required Lenders are willing to agree to this Amendment on the terms set forth herein.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in consideration of the premises and mutual covenants contained herein, the parties hereto agree as follows: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Capitalized Terms</w:t>
      </w:r>
      <w:r>
        <w:rPr>
          <w:rFonts w:ascii="Arial" w:cs="Arial" w:eastAsia="Arial" w:hAnsi="Arial"/>
          <w:sz w:val="16"/>
          <w:szCs w:val="16"/>
          <w:color w:val="auto"/>
        </w:rPr>
        <w:t>. Capitalized terms used but not defined herein shall have the meanings assigned to such terms in the Credit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Amendments</w:t>
      </w:r>
      <w:r>
        <w:rPr>
          <w:rFonts w:ascii="Arial" w:cs="Arial" w:eastAsia="Arial" w:hAnsi="Arial"/>
          <w:sz w:val="16"/>
          <w:szCs w:val="16"/>
          <w:color w:val="auto"/>
        </w:rPr>
        <w:t>. The Credit Agreement shall be amended as of the Amendment Effective Date (as defined below) as set forth below.</w:t>
      </w:r>
    </w:p>
    <w:p>
      <w:pPr>
        <w:spacing w:after="0" w:line="194" w:lineRule="exact"/>
        <w:rPr>
          <w:sz w:val="20"/>
          <w:szCs w:val="20"/>
          <w:color w:val="auto"/>
        </w:rPr>
      </w:pPr>
    </w:p>
    <w:p>
      <w:pPr>
        <w:ind w:left="1160" w:hanging="239"/>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Amendments to Section 1.1 (Defined Terms)</w:t>
      </w:r>
      <w:r>
        <w:rPr>
          <w:rFonts w:ascii="Arial" w:cs="Arial" w:eastAsia="Arial" w:hAnsi="Arial"/>
          <w:sz w:val="18"/>
          <w:szCs w:val="18"/>
          <w:color w:val="auto"/>
        </w:rPr>
        <w:t>. Section 1.1 of the Credit Agreement is hereby amended as follows:</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 inserting the following definition in proper alphabetical order:</w:t>
      </w:r>
    </w:p>
    <w:p>
      <w:pPr>
        <w:spacing w:after="0" w:line="17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Amendment</w:t>
      </w:r>
      <w:r>
        <w:rPr>
          <w:rFonts w:ascii="Arial" w:cs="Arial" w:eastAsia="Arial" w:hAnsi="Arial"/>
          <w:sz w:val="18"/>
          <w:szCs w:val="18"/>
          <w:color w:val="auto"/>
        </w:rPr>
        <w:t>” means the Third Amendment to this Agreement dated May 21, 2012.</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Amendments to Section 7.9 (Investments)</w:t>
      </w:r>
      <w:r>
        <w:rPr>
          <w:rFonts w:ascii="Arial" w:cs="Arial" w:eastAsia="Arial" w:hAnsi="Arial"/>
          <w:sz w:val="18"/>
          <w:szCs w:val="18"/>
          <w:color w:val="auto"/>
        </w:rPr>
        <w:t>. Section 7.9 of the Credit Agreement is hereby amended as follows: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by deleting Section 7.9(f) in its entirety and replacing it with the following:</w:t>
      </w:r>
    </w:p>
    <w:p>
      <w:pPr>
        <w:spacing w:after="0" w:line="90" w:lineRule="exact"/>
        <w:rPr>
          <w:sz w:val="20"/>
          <w:szCs w:val="20"/>
          <w:color w:val="auto"/>
        </w:rPr>
      </w:pPr>
    </w:p>
    <w:p>
      <w:pPr>
        <w:ind w:left="460" w:right="380" w:firstLine="438"/>
        <w:spacing w:after="0" w:line="268" w:lineRule="auto"/>
        <w:rPr>
          <w:sz w:val="20"/>
          <w:szCs w:val="20"/>
          <w:color w:val="auto"/>
        </w:rPr>
      </w:pPr>
      <w:r>
        <w:rPr>
          <w:rFonts w:ascii="Arial" w:cs="Arial" w:eastAsia="Arial" w:hAnsi="Arial"/>
          <w:sz w:val="18"/>
          <w:szCs w:val="18"/>
          <w:color w:val="auto"/>
        </w:rPr>
        <w:t>“(f) (i) Investments by any Foreign Subsidiary in any Foreign Subsidiary that is, or after giving effect to such Investment will become, a Wholly Owned Subsidiary; and</w:t>
      </w:r>
    </w:p>
    <w:p>
      <w:pPr>
        <w:spacing w:after="0" w:line="51" w:lineRule="exact"/>
        <w:rPr>
          <w:sz w:val="20"/>
          <w:szCs w:val="20"/>
          <w:color w:val="auto"/>
        </w:rPr>
      </w:pPr>
    </w:p>
    <w:p>
      <w:pPr>
        <w:ind w:left="920" w:right="100" w:firstLine="421"/>
        <w:spacing w:after="0" w:line="268" w:lineRule="auto"/>
        <w:tabs>
          <w:tab w:leader="none" w:pos="15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Investments (not otherwise permitted by subsection 7.9(f)(i)) by any Group Member in any Foreign Subsidiary (or in any Person that after giving effect to such</w:t>
      </w:r>
    </w:p>
    <w:p>
      <w:pPr>
        <w:sectPr>
          <w:pgSz w:w="11900" w:h="16838" w:orient="portrait"/>
          <w:cols w:equalWidth="0" w:num="1">
            <w:col w:w="11420"/>
          </w:cols>
          <w:pgMar w:left="240" w:top="125" w:right="239" w:bottom="1440" w:gutter="0" w:footer="0" w:header="0"/>
        </w:sectPr>
      </w:pPr>
    </w:p>
    <w:bookmarkStart w:id="51" w:name="page52"/>
    <w:bookmarkEnd w:id="51"/>
    <w:p>
      <w:pPr>
        <w:ind w:left="9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Investment will become a Foreign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such Investment no Default or Event of Default will exist and the amount of any such Investment shall not exceed on the date such Investment is made, an amount equal to (1) $100,000,000 minus (2) the aggregate amount of Investments in Foreign Subsidiaries theretofore made in accordance with this subsection 7.9(f)(ii) after the Effective Date (including for such purpose the fair market value of any assets contributed to any Foreign Subsidiary (as determined in good faith by senior management of MVWC) pursuant to this Section 7.9(f)(ii), net of Indebtedness assigned to, and assumed by, the respective Foreign Subsidiary in connection therewith) it being understood and agreed that to the extent a Group Member (other than a Foreign Subsidiary) (after the respective Investment has been made) receives (A) a cash return from the respective Investment previously invested pursuant to this Section 7.9(f)(ii) (which cash return may be made by way of repayment of principal in the case of loans and cash equity returns (whether as a distribution, dividend or redemption or proceeds of a disposition) in the case of equity investments), (B) a reduction or termination of an Investment in the form of a guaranty made under this Section 7.9(f)(ii) or (C) a return in the form of an asset distribution in respect of the respective Investment previously invested pursuant to this Section 7.9(f)(ii), then the amount of such cash return of investment, such reduction or termination of a guaranty or the fair market value of such distributed asset (as determined in good faith by senior management of MVWC), as the case may be, shall be added back; provided that the aggregate amount of add-backs described above in respect of any Investment permitted by this subsection 7.9(f)(ii) shall not exceed the amount previously invested pursuant to this Section 7.9(f)(ii) in such Investment;”.</w:t>
      </w:r>
    </w:p>
    <w:p>
      <w:pPr>
        <w:spacing w:after="0" w:line="12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to Effectiveness of Amendment</w:t>
      </w:r>
      <w:r>
        <w:rPr>
          <w:rFonts w:ascii="Arial" w:cs="Arial" w:eastAsia="Arial" w:hAnsi="Arial"/>
          <w:sz w:val="18"/>
          <w:szCs w:val="18"/>
          <w:color w:val="auto"/>
        </w:rPr>
        <w:t>. This Amendment shall become effective on the date on which the following conditions precedent have been satisfied or waived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w:t>
      </w:r>
    </w:p>
    <w:p>
      <w:pPr>
        <w:spacing w:after="0" w:line="132" w:lineRule="exact"/>
        <w:rPr>
          <w:sz w:val="20"/>
          <w:szCs w:val="20"/>
          <w:color w:val="auto"/>
        </w:rPr>
      </w:pPr>
    </w:p>
    <w:p>
      <w:pPr>
        <w:ind w:left="1160" w:hanging="239"/>
        <w:spacing w:after="0"/>
        <w:tabs>
          <w:tab w:leader="none" w:pos="11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Administrative Agent shall have received a counterpart of this Amendment, executed and delivered by a duly authorized officer of each of</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Borrower and MVWC and (ii) the Required Lenders.</w:t>
      </w:r>
    </w:p>
    <w:p>
      <w:pPr>
        <w:spacing w:after="0" w:line="16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Each of the Borrower and MVWC hereby represents and warrants that (a) each of the representations and warranties contained in Section IV of the Credit Agreement are, after giving effect to this Amendment, true and correct in all material respects as if made on and as of the Amendment Effective Date (unless such representations and warranties are stated to relate to a specific earlier date, in which case such representations and warranties shall be true and correct in all material respects as of such earlier date); </w:t>
      </w:r>
      <w:r>
        <w:rPr>
          <w:rFonts w:ascii="Arial" w:cs="Arial" w:eastAsia="Arial" w:hAnsi="Arial"/>
          <w:sz w:val="18"/>
          <w:szCs w:val="18"/>
          <w:u w:val="single" w:color="auto"/>
          <w:color w:val="auto"/>
        </w:rPr>
        <w:t>provided</w:t>
      </w:r>
      <w:r>
        <w:rPr>
          <w:rFonts w:ascii="Arial" w:cs="Arial" w:eastAsia="Arial" w:hAnsi="Arial"/>
          <w:sz w:val="18"/>
          <w:szCs w:val="18"/>
          <w:color w:val="auto"/>
        </w:rPr>
        <w:t>, that each reference to the Credit Agreement therein shall be deemed to be a reference to the Credit Agreement after giving effect to this Amendment and (b) after giving effect to this Amendment, no Default or Event of Default has occurred and is continuing.</w:t>
      </w:r>
    </w:p>
    <w:p>
      <w:pPr>
        <w:spacing w:after="0" w:line="14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Effects on Credit Documents</w:t>
      </w:r>
      <w:r>
        <w:rPr>
          <w:rFonts w:ascii="Arial" w:cs="Arial" w:eastAsia="Arial" w:hAnsi="Arial"/>
          <w:sz w:val="18"/>
          <w:szCs w:val="18"/>
          <w:color w:val="auto"/>
        </w:rPr>
        <w:t>. (a) Except as specifically amended herein, all Loan Documents shall continue to be in full force and effect and are hereby in all respects ratified and confirmed.</w:t>
      </w:r>
    </w:p>
    <w:p>
      <w:pPr>
        <w:spacing w:after="0" w:line="132" w:lineRule="exact"/>
        <w:rPr>
          <w:sz w:val="20"/>
          <w:szCs w:val="20"/>
          <w:color w:val="auto"/>
        </w:rPr>
      </w:pPr>
    </w:p>
    <w:p>
      <w:pPr>
        <w:ind w:right="220" w:firstLine="921"/>
        <w:spacing w:after="0" w:line="268" w:lineRule="auto"/>
        <w:tabs>
          <w:tab w:leader="none" w:pos="11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any Lender or the Administrative Agent under any of the Loan Documents, nor constitute a waiver of any provision of the Loan Documents.</w:t>
      </w:r>
    </w:p>
    <w:p>
      <w:pPr>
        <w:spacing w:after="0" w:line="132"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Expenses</w:t>
      </w:r>
      <w:r>
        <w:rPr>
          <w:rFonts w:ascii="Arial" w:cs="Arial" w:eastAsia="Arial" w:hAnsi="Arial"/>
          <w:sz w:val="16"/>
          <w:szCs w:val="16"/>
          <w:color w:val="auto"/>
        </w:rPr>
        <w:t>. The Borrower agrees to pay and reimburse the Administrative Agent for all of its reasonable out-of-pocket costs and expenses incurred in connection with the preparation and delivery of this Amendment, and any other documents prepared in connection herewith and the transactions contemplated hereby, including, without limitation, the reasonable fees and disbursements of legal counsel.</w:t>
      </w:r>
    </w:p>
    <w:p>
      <w:pPr>
        <w:sectPr>
          <w:pgSz w:w="11900" w:h="16838" w:orient="portrait"/>
          <w:cols w:equalWidth="0" w:num="1">
            <w:col w:w="11380"/>
          </w:cols>
          <w:pgMar w:left="240" w:top="280" w:right="279" w:bottom="1440" w:gutter="0" w:footer="0" w:header="0"/>
        </w:sectPr>
      </w:pPr>
    </w:p>
    <w:bookmarkStart w:id="52" w:name="page53"/>
    <w:bookmarkEnd w:id="52"/>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Arial" w:cs="Arial" w:eastAsia="Arial" w:hAnsi="Arial"/>
          <w:sz w:val="18"/>
          <w:szCs w:val="18"/>
          <w:u w:val="single" w:color="auto"/>
          <w:color w:val="auto"/>
        </w:rPr>
        <w:t>GOVERNING LAW; WAIVER OF JURY TRIAL</w:t>
      </w:r>
      <w:r>
        <w:rPr>
          <w:rFonts w:ascii="Arial" w:cs="Arial" w:eastAsia="Arial" w:hAnsi="Arial"/>
          <w:sz w:val="18"/>
          <w:szCs w:val="18"/>
          <w:color w:val="auto"/>
        </w:rPr>
        <w:t>. THIS AMENDMENT AND THE RIGHTS AND OBLIGATIONS OF THE PARTIES HEREUNDER SHALL BE CONSTRUED IN ACCORDANCE WITH AND BE GOVERNED BY THE LAW OF THE STATE OF NEW YORK. EACH PARTY HERETO HEREBY AGREES AS SET FORTH FURTHER IN SECTION 10.16 OF THE CREDIT AGREEMENT AS IF SUCH SECTION WERE SET FORTH IN FULL HEREIN.</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Amendments; Execution in Counterparts</w:t>
      </w:r>
      <w:r>
        <w:rPr>
          <w:rFonts w:ascii="Arial" w:cs="Arial" w:eastAsia="Arial" w:hAnsi="Arial"/>
          <w:sz w:val="18"/>
          <w:szCs w:val="18"/>
          <w:color w:val="auto"/>
        </w:rPr>
        <w:t>. (a) This Amendment shall not constitute an amendment of any other provision of the Credit Agreement not referred to herein and shall not be construed as a waiver or consent to any further or future action on the part of the Loan Parties that would require a waiver or consent of the Required Lenders or the Administrative Agent. Except as expressly amended hereby, the provisions of the Credit Agreement are and shall remain in full force and effect.</w:t>
      </w:r>
    </w:p>
    <w:p>
      <w:pPr>
        <w:spacing w:after="0" w:line="143" w:lineRule="exact"/>
        <w:rPr>
          <w:sz w:val="20"/>
          <w:szCs w:val="20"/>
          <w:color w:val="auto"/>
        </w:rPr>
      </w:pPr>
    </w:p>
    <w:p>
      <w:pPr>
        <w:ind w:right="240" w:firstLine="921"/>
        <w:spacing w:after="0" w:line="256" w:lineRule="auto"/>
        <w:tabs>
          <w:tab w:leader="none" w:pos="116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Amendment may not be amended nor may any provision hereof be waived except pursuant to a writing signed by the Borrower, MVWC, the Administrative Agent and the Required Lenders. This Amendment may be executed in any number of counterparts and by the different parties hereto on separate counterparts, including by means of facsimile or electronic transmission, each of which when so executed and delivered shall be an original, but all of which shall together constitute one and the same instrument.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400"/>
          </w:cols>
          <w:pgMar w:left="240" w:top="280" w:right="259" w:bottom="1440" w:gutter="0" w:footer="0" w:header="0"/>
        </w:sectPr>
      </w:pPr>
    </w:p>
    <w:bookmarkStart w:id="53" w:name="page54"/>
    <w:bookmarkEnd w:id="53"/>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Amendment to be duly executed and delivered by their respective proper and duly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MARRIOTT VACATIONS WORLDWIDE CORPORATION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Joseph Bramuchi</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1200"/>
          </w:cols>
          <w:pgMar w:left="240" w:top="280" w:right="459" w:bottom="1440" w:gutter="0" w:footer="0" w:header="0"/>
        </w:sectPr>
      </w:pPr>
    </w:p>
    <w:bookmarkStart w:id="54" w:name="page55"/>
    <w:bookmarkEnd w:id="5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MARRIOTT OWNERSHIP RESORTS, INC.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Joseph Bramuchi</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80" w:right="1440" w:bottom="1440" w:gutter="0" w:footer="0" w:header="0"/>
        </w:sectPr>
      </w:pPr>
    </w:p>
    <w:bookmarkStart w:id="55" w:name="page56"/>
    <w:bookmarkEnd w:id="5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as Administrative Agent</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Marc Costantino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Marc Costantino</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10000"/>
          </w:cols>
          <w:pgMar w:left="1440" w:top="280" w:right="459" w:bottom="1440" w:gutter="0" w:footer="0" w:header="0"/>
        </w:sectPr>
      </w:pPr>
    </w:p>
    <w:bookmarkStart w:id="56" w:name="page57"/>
    <w:bookmarkEnd w:id="5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AMERICA,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Will T. Bowers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Will T. Bowers</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Senior Vice President</w:t>
      </w:r>
    </w:p>
    <w:p>
      <w:pPr>
        <w:sectPr>
          <w:pgSz w:w="11900" w:h="16838" w:orient="portrait"/>
          <w:cols w:equalWidth="0" w:num="1">
            <w:col w:w="9019"/>
          </w:cols>
          <w:pgMar w:left="1440" w:top="280" w:right="1440" w:bottom="1440" w:gutter="0" w:footer="0" w:header="0"/>
        </w:sectPr>
      </w:pPr>
    </w:p>
    <w:bookmarkStart w:id="57" w:name="page58"/>
    <w:bookmarkEnd w:id="5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Mary Kay Coyle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Marguerite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Marguerite Sutton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940"/>
          </w:cols>
          <w:pgMar w:left="1440" w:top="280" w:right="519" w:bottom="1440" w:gutter="0" w:footer="0" w:header="0"/>
        </w:sectPr>
      </w:pPr>
    </w:p>
    <w:bookmarkStart w:id="58" w:name="page59"/>
    <w:bookmarkEnd w:id="5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SUISSE AG, CAYMAN ISLANDS BRANCH, as</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Bill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Bill O’Daly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Tyler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Tyler R. Smith</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Associate</w:t>
      </w:r>
    </w:p>
    <w:p>
      <w:pPr>
        <w:sectPr>
          <w:pgSz w:w="11900" w:h="16838" w:orient="portrait"/>
          <w:cols w:equalWidth="0" w:num="1">
            <w:col w:w="9860"/>
          </w:cols>
          <w:pgMar w:left="1440" w:top="280" w:right="599" w:bottom="1440" w:gutter="0" w:footer="0" w:header="0"/>
        </w:sectPr>
      </w:pPr>
    </w:p>
    <w:bookmarkStart w:id="59" w:name="page60"/>
    <w:bookmarkEnd w:id="5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HAWAII,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Donovan Koki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Donovan Koki</w:t>
      </w:r>
    </w:p>
    <w:p>
      <w:pPr>
        <w:spacing w:after="0" w:line="15" w:lineRule="exact"/>
        <w:rPr>
          <w:sz w:val="20"/>
          <w:szCs w:val="20"/>
          <w:color w:val="auto"/>
        </w:rPr>
      </w:pPr>
    </w:p>
    <w:p>
      <w:pPr>
        <w:jc w:val="right"/>
        <w:ind w:right="1039"/>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9019"/>
          </w:cols>
          <w:pgMar w:left="1440" w:top="280" w:right="1440" w:bottom="1440" w:gutter="0" w:footer="0" w:header="0"/>
        </w:sectPr>
      </w:pPr>
    </w:p>
    <w:bookmarkStart w:id="60" w:name="page61"/>
    <w:bookmarkEnd w:id="60"/>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HAWAIIAN BANK,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Dawn Hofmann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Dawn Hofmann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80" w:right="1440" w:bottom="1440" w:gutter="0" w:footer="0" w:header="0"/>
        </w:sectPr>
      </w:pPr>
    </w:p>
    <w:bookmarkStart w:id="61" w:name="page62"/>
    <w:bookmarkEnd w:id="6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ROYAL BANK OF SCOTLAND,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Timothy J. McNaught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Timothy J. McNaught</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9200"/>
          </w:cols>
          <w:pgMar w:left="1440" w:top="280" w:right="1259" w:bottom="1440" w:gutter="0" w:footer="0" w:header="0"/>
        </w:sectPr>
      </w:pPr>
    </w:p>
    <w:bookmarkStart w:id="62" w:name="page63"/>
    <w:bookmarkEnd w:id="6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SUNTRUST BANK,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Johnetta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Johnetta Bush</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80"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FOURTH AMENDMENT</w:t>
      </w:r>
    </w:p>
    <w:p>
      <w:pPr>
        <w:spacing w:after="0" w:line="171"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FOURTH AMENDMENT, dated as of June 27, 2012 (this “</w:t>
      </w:r>
      <w:r>
        <w:rPr>
          <w:rFonts w:ascii="Arial" w:cs="Arial" w:eastAsia="Arial" w:hAnsi="Arial"/>
          <w:sz w:val="16"/>
          <w:szCs w:val="16"/>
          <w:u w:val="single" w:color="auto"/>
          <w:color w:val="auto"/>
        </w:rPr>
        <w:t>Amendment</w:t>
      </w:r>
      <w:r>
        <w:rPr>
          <w:rFonts w:ascii="Arial" w:cs="Arial" w:eastAsia="Arial" w:hAnsi="Arial"/>
          <w:sz w:val="16"/>
          <w:szCs w:val="16"/>
          <w:color w:val="auto"/>
        </w:rPr>
        <w:t>”), to the Credit Agreement, dated as of October 20, 2011 (as amended by the First Amendment, dated as of November 17, 2011, as further amended by the Waiver and Second Amendment, dated as of November 18, 2011, as further amended by the Third Amendment, dated as of May 21, 2012,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Marriott Vacations Worldwide Corporation, a Delaware corporation (“</w:t>
      </w:r>
      <w:r>
        <w:rPr>
          <w:rFonts w:ascii="Arial" w:cs="Arial" w:eastAsia="Arial" w:hAnsi="Arial"/>
          <w:sz w:val="16"/>
          <w:szCs w:val="16"/>
          <w:u w:val="single" w:color="auto"/>
          <w:color w:val="auto"/>
        </w:rPr>
        <w:t>MVWC</w:t>
      </w:r>
      <w:r>
        <w:rPr>
          <w:rFonts w:ascii="Arial" w:cs="Arial" w:eastAsia="Arial" w:hAnsi="Arial"/>
          <w:sz w:val="16"/>
          <w:szCs w:val="16"/>
          <w:color w:val="auto"/>
        </w:rPr>
        <w:t>”), Marriott Ownership Resorts,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Bank of America, N.A. and Deutsche Bank Securities Inc., as co-documentation agents, Merrill Lynch, Pierce, Fenner &amp; Smith Incorporated and Deutsche Bank Securities Inc. as co-syndication agents and JPMorgan Chase Bank, N.A., as administrative agent.</w:t>
      </w:r>
    </w:p>
    <w:p>
      <w:pPr>
        <w:spacing w:after="0" w:line="282"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W I T N E S S E T H</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pursuant to the Credit Agreement, the Lenders have agreed to make certain loans and other extensions of credit to the Borrower;</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Borrower has further requested that the Credit Agreement be amended as set forth herein; 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Required Lenders are willing to agree to this Amendment on the terms set forth herein.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in consideration of the premises and mutual covenants contained herein, the parties hereto agree as follows: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Capitalized Terms</w:t>
      </w:r>
      <w:r>
        <w:rPr>
          <w:rFonts w:ascii="Arial" w:cs="Arial" w:eastAsia="Arial" w:hAnsi="Arial"/>
          <w:sz w:val="16"/>
          <w:szCs w:val="16"/>
          <w:color w:val="auto"/>
        </w:rPr>
        <w:t>. Capitalized terms used but not defined herein shall have the meanings assigned to such terms in the Credit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Amendments</w:t>
      </w:r>
      <w:r>
        <w:rPr>
          <w:rFonts w:ascii="Arial" w:cs="Arial" w:eastAsia="Arial" w:hAnsi="Arial"/>
          <w:sz w:val="16"/>
          <w:szCs w:val="16"/>
          <w:color w:val="auto"/>
        </w:rPr>
        <w:t>. The Credit Agreement shall be amended as of the Amendment Effective Date (as defined below) as set forth below.</w:t>
      </w:r>
    </w:p>
    <w:p>
      <w:pPr>
        <w:spacing w:after="0" w:line="194" w:lineRule="exact"/>
        <w:rPr>
          <w:sz w:val="20"/>
          <w:szCs w:val="20"/>
          <w:color w:val="auto"/>
        </w:rPr>
      </w:pPr>
    </w:p>
    <w:p>
      <w:pPr>
        <w:ind w:left="1160" w:hanging="239"/>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Amendments to Section 1.1 (Defined Terms)</w:t>
      </w:r>
      <w:r>
        <w:rPr>
          <w:rFonts w:ascii="Arial" w:cs="Arial" w:eastAsia="Arial" w:hAnsi="Arial"/>
          <w:sz w:val="18"/>
          <w:szCs w:val="18"/>
          <w:color w:val="auto"/>
        </w:rPr>
        <w:t>. Section 1.1 of the Credit Agreement is hereby amended as follows:</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inserting the following definition in proper alphabetical order:</w:t>
      </w:r>
    </w:p>
    <w:p>
      <w:pPr>
        <w:spacing w:after="0" w:line="17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Fourth Amendment</w:t>
      </w:r>
      <w:r>
        <w:rPr>
          <w:rFonts w:ascii="Arial" w:cs="Arial" w:eastAsia="Arial" w:hAnsi="Arial"/>
          <w:sz w:val="18"/>
          <w:szCs w:val="18"/>
          <w:color w:val="auto"/>
        </w:rPr>
        <w:t>” means the Fourth Amendment to this Agreement dated June 27, 2012.</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by deleting the definition of “Wholly Owned Subsidiary” in its entirety and replacing it with the following:</w:t>
      </w:r>
    </w:p>
    <w:p>
      <w:pPr>
        <w:spacing w:after="0" w:line="17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xml:space="preserve">”: as to any Person, any other Person all of the Capital Stock of which (other than directors’ qualifying shares required by law) is owned by such Person directly and/or through other Wholly Owned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Capital Stock constituting Preferred Stock of MVW US Holdings, Inc. shall be disregarded for purposes of this definition.</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to Effectiveness of Amendment</w:t>
      </w:r>
      <w:r>
        <w:rPr>
          <w:rFonts w:ascii="Arial" w:cs="Arial" w:eastAsia="Arial" w:hAnsi="Arial"/>
          <w:sz w:val="18"/>
          <w:szCs w:val="18"/>
          <w:color w:val="auto"/>
        </w:rPr>
        <w:t>. This Amendment shall become effective on the date on which the following conditions precedent have been satisfied or waived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w:t>
      </w:r>
    </w:p>
    <w:p>
      <w:pPr>
        <w:spacing w:after="0" w:line="132" w:lineRule="exact"/>
        <w:rPr>
          <w:sz w:val="20"/>
          <w:szCs w:val="20"/>
          <w:color w:val="auto"/>
        </w:rPr>
      </w:pPr>
    </w:p>
    <w:p>
      <w:pPr>
        <w:ind w:left="1160" w:hanging="239"/>
        <w:spacing w:after="0"/>
        <w:tabs>
          <w:tab w:leader="none" w:pos="11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Administrative Agent shall have received a counterpart of this Amendment, executed and delivered by a duly authorized officer of each of</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Borrower and MVWC and (ii) the Required Lenders.</w:t>
      </w:r>
    </w:p>
    <w:p>
      <w:pPr>
        <w:sectPr>
          <w:pgSz w:w="11900" w:h="16838" w:orient="portrait"/>
          <w:cols w:equalWidth="0" w:num="1">
            <w:col w:w="11420"/>
          </w:cols>
          <w:pgMar w:left="240" w:top="125" w:right="239" w:bottom="1440" w:gutter="0" w:footer="0" w:header="0"/>
        </w:sectPr>
      </w:pPr>
    </w:p>
    <w:bookmarkStart w:id="64" w:name="page65"/>
    <w:bookmarkEnd w:id="64"/>
    <w:p>
      <w:pPr>
        <w:ind w:right="10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Each of the Borrower and MVWC hereby represents and warrants that (a) each of the representations and warranties contained in Section IV of the Credit Agreement are, after giving effect to this Amendment, true and correct in all material respects as if made on and as of the Amendment Effective Date (unless such representations and warranties are stated to relate to a specific earlier date, in which case such representations and warranties shall be true and correct in all material respects as of such earlier date); </w:t>
      </w:r>
      <w:r>
        <w:rPr>
          <w:rFonts w:ascii="Arial" w:cs="Arial" w:eastAsia="Arial" w:hAnsi="Arial"/>
          <w:sz w:val="18"/>
          <w:szCs w:val="18"/>
          <w:u w:val="single" w:color="auto"/>
          <w:color w:val="auto"/>
        </w:rPr>
        <w:t>provided</w:t>
      </w:r>
      <w:r>
        <w:rPr>
          <w:rFonts w:ascii="Arial" w:cs="Arial" w:eastAsia="Arial" w:hAnsi="Arial"/>
          <w:sz w:val="18"/>
          <w:szCs w:val="18"/>
          <w:color w:val="auto"/>
        </w:rPr>
        <w:t>, that each reference to the Credit Agreement therein shall be deemed to be a reference to the Credit Agreement after giving effect to this Amendment and (b) after giving effect to this Amendment, no Default or Event of Default has occurred and is continuing.</w:t>
      </w:r>
    </w:p>
    <w:p>
      <w:pPr>
        <w:spacing w:after="0" w:line="14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Effects on Credit Documents</w:t>
      </w:r>
      <w:r>
        <w:rPr>
          <w:rFonts w:ascii="Arial" w:cs="Arial" w:eastAsia="Arial" w:hAnsi="Arial"/>
          <w:sz w:val="18"/>
          <w:szCs w:val="18"/>
          <w:color w:val="auto"/>
        </w:rPr>
        <w:t>. (a) Except as specifically amended herein, all Loan Documents shall continue to be in full force and effect and are hereby in all respects ratified and confirmed.</w:t>
      </w:r>
    </w:p>
    <w:p>
      <w:pPr>
        <w:spacing w:after="0" w:line="132" w:lineRule="exact"/>
        <w:rPr>
          <w:sz w:val="20"/>
          <w:szCs w:val="20"/>
          <w:color w:val="auto"/>
        </w:rPr>
      </w:pPr>
    </w:p>
    <w:p>
      <w:pPr>
        <w:ind w:right="240" w:firstLine="921"/>
        <w:spacing w:after="0" w:line="268" w:lineRule="auto"/>
        <w:tabs>
          <w:tab w:leader="none" w:pos="11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any Lender or the Administrative Agent under any of the Loan Documents, nor constitute a waiver of any provision of the Loan Documents.</w:t>
      </w:r>
    </w:p>
    <w:p>
      <w:pPr>
        <w:spacing w:after="0" w:line="132"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Expenses</w:t>
      </w:r>
      <w:r>
        <w:rPr>
          <w:rFonts w:ascii="Arial" w:cs="Arial" w:eastAsia="Arial" w:hAnsi="Arial"/>
          <w:sz w:val="16"/>
          <w:szCs w:val="16"/>
          <w:color w:val="auto"/>
        </w:rPr>
        <w:t>. The Borrower agrees to pay and reimburse the Administrative Agent for all of its reasonable out-of-pocket costs and expenses incurred in connection with the preparation and delivery of this Amendment, and any other documents prepared in connection herewith and the transactions contemplated hereby, including, without limitation, the reasonable fees and disbursements of legal counsel.</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GOVERNING LAW; WAIVER OF JURY TRIAL</w:t>
      </w:r>
      <w:r>
        <w:rPr>
          <w:rFonts w:ascii="Arial" w:cs="Arial" w:eastAsia="Arial" w:hAnsi="Arial"/>
          <w:sz w:val="18"/>
          <w:szCs w:val="18"/>
          <w:color w:val="auto"/>
        </w:rPr>
        <w:t>. THIS AMENDMENT AND THE RIGHTS AND OBLIGATIONS OF THE PARTIES HEREUNDER SHALL BE CONSTRUED IN ACCORDANCE WITH AND BE GOVERNED BY THE LAW OF THE STATE OF NEW YORK. EACH PARTY HERETO HEREBY AGREES AS SET FORTH FURTHER IN SECTION 10.16 OF THE CREDIT AGREEMENT AS IF SUCH SECTION WERE SET FORTH IN FULL HEREIN.</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Amendments; Execution in Counterparts</w:t>
      </w:r>
      <w:r>
        <w:rPr>
          <w:rFonts w:ascii="Arial" w:cs="Arial" w:eastAsia="Arial" w:hAnsi="Arial"/>
          <w:sz w:val="18"/>
          <w:szCs w:val="18"/>
          <w:color w:val="auto"/>
        </w:rPr>
        <w:t>. (a) This Amendment shall not constitute an amendment of any other provision of the Credit Agreement not referred to herein and shall not be construed as a waiver or consent to any further or future action on the part of the Loan Parties that would require a waiver or consent of the Required Lenders or the Administrative Agent. Except as expressly amended hereby, the provisions of the Credit Agreement are and shall remain in full force and effect.</w:t>
      </w:r>
    </w:p>
    <w:p>
      <w:pPr>
        <w:spacing w:after="0" w:line="143" w:lineRule="exact"/>
        <w:rPr>
          <w:sz w:val="20"/>
          <w:szCs w:val="20"/>
          <w:color w:val="auto"/>
        </w:rPr>
      </w:pPr>
    </w:p>
    <w:p>
      <w:pPr>
        <w:ind w:right="240" w:firstLine="921"/>
        <w:spacing w:after="0" w:line="256" w:lineRule="auto"/>
        <w:tabs>
          <w:tab w:leader="none" w:pos="116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Amendment may not be amended nor may any provision hereof be waived except pursuant to a writing signed by the Borrower, MVWC, the Administrative Agent and the Required Lenders. This Amendment may be executed in any number of counterparts and by the different parties hereto on separate counterparts, including by means of facsimile or electronic transmission, each of which when so executed and delivered shall be an original, but all of which shall together constitute one and the same instrument.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400"/>
          </w:cols>
          <w:pgMar w:left="240" w:top="280" w:right="259" w:bottom="1440" w:gutter="0" w:footer="0" w:header="0"/>
        </w:sectPr>
      </w:pPr>
    </w:p>
    <w:bookmarkStart w:id="65" w:name="page66"/>
    <w:bookmarkEnd w:id="65"/>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Amendment to be duly executed and delivered by their respective proper and duly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MARRIOTT VACATIONS WORLDWIDE CORPORATION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Joseph Bramuchi</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1200"/>
          </w:cols>
          <w:pgMar w:left="240" w:top="280" w:right="459" w:bottom="1440" w:gutter="0" w:footer="0" w:header="0"/>
        </w:sectPr>
      </w:pPr>
    </w:p>
    <w:bookmarkStart w:id="66" w:name="page67"/>
    <w:bookmarkEnd w:id="6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MARRIOTT OWNERSHIP RESORTS, INC.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Joseph Bramuchi</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80" w:right="1440" w:bottom="1440" w:gutter="0" w:footer="0" w:header="0"/>
        </w:sectPr>
      </w:pPr>
    </w:p>
    <w:bookmarkStart w:id="67" w:name="page68"/>
    <w:bookmarkEnd w:id="6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as Administrative Agent</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Marc Costantino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Marc Costantino</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10000"/>
          </w:cols>
          <w:pgMar w:left="1440" w:top="280" w:right="459" w:bottom="1440" w:gutter="0" w:footer="0" w:header="0"/>
        </w:sectPr>
      </w:pPr>
    </w:p>
    <w:bookmarkStart w:id="68" w:name="page69"/>
    <w:bookmarkEnd w:id="6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AMERICA,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Ronald Odlozil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Ronald Odlozil</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Senior Vice President</w:t>
      </w:r>
    </w:p>
    <w:p>
      <w:pPr>
        <w:sectPr>
          <w:pgSz w:w="11900" w:h="16838" w:orient="portrait"/>
          <w:cols w:equalWidth="0" w:num="1">
            <w:col w:w="9019"/>
          </w:cols>
          <w:pgMar w:left="1440" w:top="280" w:right="1440" w:bottom="1440" w:gutter="0" w:footer="0" w:header="0"/>
        </w:sectPr>
      </w:pPr>
    </w:p>
    <w:bookmarkStart w:id="69" w:name="page70"/>
    <w:bookmarkEnd w:id="6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Mary Kay Coyle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Joanna Soliman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Joanna Soliman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940"/>
          </w:cols>
          <w:pgMar w:left="1440" w:top="280" w:right="519" w:bottom="1440" w:gutter="0" w:footer="0" w:header="0"/>
        </w:sectPr>
      </w:pPr>
    </w:p>
    <w:bookmarkStart w:id="70" w:name="page71"/>
    <w:bookmarkEnd w:id="70"/>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SUISSE AG, CAYMAN ISLANDS BRANCH, as</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Bill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Bill O’Daly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Tyler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Tyler R. Smith</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Associate</w:t>
      </w:r>
    </w:p>
    <w:p>
      <w:pPr>
        <w:sectPr>
          <w:pgSz w:w="11900" w:h="16838" w:orient="portrait"/>
          <w:cols w:equalWidth="0" w:num="1">
            <w:col w:w="9860"/>
          </w:cols>
          <w:pgMar w:left="1440" w:top="280" w:right="599" w:bottom="1440" w:gutter="0" w:footer="0" w:header="0"/>
        </w:sectPr>
      </w:pPr>
    </w:p>
    <w:bookmarkStart w:id="71" w:name="page72"/>
    <w:bookmarkEnd w:id="7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HAWAII,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Donovan Koki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Donovan Koki</w:t>
      </w:r>
    </w:p>
    <w:p>
      <w:pPr>
        <w:spacing w:after="0" w:line="15" w:lineRule="exact"/>
        <w:rPr>
          <w:sz w:val="20"/>
          <w:szCs w:val="20"/>
          <w:color w:val="auto"/>
        </w:rPr>
      </w:pPr>
    </w:p>
    <w:p>
      <w:pPr>
        <w:jc w:val="right"/>
        <w:ind w:right="1039"/>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9019"/>
          </w:cols>
          <w:pgMar w:left="1440" w:top="280" w:right="1440" w:bottom="1440" w:gutter="0" w:footer="0" w:header="0"/>
        </w:sectPr>
      </w:pPr>
    </w:p>
    <w:bookmarkStart w:id="72" w:name="page73"/>
    <w:bookmarkEnd w:id="7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HAWAIIAN BANK,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Dawn Hofmann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Dawn Hofmann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80" w:right="1440" w:bottom="1440" w:gutter="0" w:footer="0" w:header="0"/>
        </w:sectPr>
      </w:pPr>
    </w:p>
    <w:bookmarkStart w:id="73" w:name="page74"/>
    <w:bookmarkEnd w:id="7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ROYAL BANK OF SCOTLAND,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Michaela V. Galluzzo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Michaela V. Galluzzo</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Authorised Signatory</w:t>
      </w:r>
    </w:p>
    <w:p>
      <w:pPr>
        <w:sectPr>
          <w:pgSz w:w="11900" w:h="16838" w:orient="portrait"/>
          <w:cols w:equalWidth="0" w:num="1">
            <w:col w:w="9200"/>
          </w:cols>
          <w:pgMar w:left="1440" w:top="280" w:right="1259" w:bottom="1440" w:gutter="0" w:footer="0" w:header="0"/>
        </w:sectPr>
      </w:pPr>
    </w:p>
    <w:bookmarkStart w:id="74" w:name="page75"/>
    <w:bookmarkEnd w:id="7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SUNTRUST BANK,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Johnetta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Johnetta Bush</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280" w:right="1440" w:bottom="1440" w:gutter="0" w:footer="0" w:header="0"/>
        </w:sectPr>
      </w:pPr>
    </w:p>
    <w:bookmarkStart w:id="75" w:name="page76"/>
    <w:bookmarkEnd w:id="7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Steven L. Sawyer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Steven L. Sawyer</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360"/>
          </w:cols>
          <w:pgMar w:left="1440" w:top="280" w:right="1099" w:bottom="1440" w:gutter="0" w:footer="0" w:header="0"/>
        </w:sectPr>
      </w:pPr>
    </w:p>
    <w:bookmarkStart w:id="76" w:name="page77"/>
    <w:bookmarkEnd w:id="7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CAPITAL FINANCE, LLC,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Ajay Jagsi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Ajay Jagsi</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640"/>
          </w:cols>
          <w:pgMar w:left="1440" w:top="280" w:right="81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AMENDMENT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OMNIBUS AMENDMENT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June 28, 2012, is entered into by and among (i) Marriott Ownership Resorts,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MORI</w:t>
      </w:r>
      <w:r>
        <w:rPr>
          <w:rFonts w:ascii="Arial" w:cs="Arial" w:eastAsia="Arial" w:hAnsi="Arial"/>
          <w:sz w:val="16"/>
          <w:szCs w:val="16"/>
          <w:color w:val="auto"/>
        </w:rPr>
        <w:t>”), (ii) MORI SPC Series Corp. (“</w:t>
      </w:r>
      <w:r>
        <w:rPr>
          <w:rFonts w:ascii="Arial" w:cs="Arial" w:eastAsia="Arial" w:hAnsi="Arial"/>
          <w:sz w:val="16"/>
          <w:szCs w:val="16"/>
          <w:u w:val="single" w:color="auto"/>
          <w:color w:val="auto"/>
        </w:rPr>
        <w:t>MORI SPC</w:t>
      </w:r>
      <w:r>
        <w:rPr>
          <w:rFonts w:ascii="Arial" w:cs="Arial" w:eastAsia="Arial" w:hAnsi="Arial"/>
          <w:sz w:val="16"/>
          <w:szCs w:val="16"/>
          <w:color w:val="auto"/>
        </w:rPr>
        <w:t>”), (iii) Marriott Vacations Worldwide Owner Trust 2011-1 (the “</w:t>
      </w:r>
      <w:r>
        <w:rPr>
          <w:rFonts w:ascii="Arial" w:cs="Arial" w:eastAsia="Arial" w:hAnsi="Arial"/>
          <w:sz w:val="16"/>
          <w:szCs w:val="16"/>
          <w:u w:val="single" w:color="auto"/>
          <w:color w:val="auto"/>
        </w:rPr>
        <w:t>Issuer</w:t>
      </w:r>
      <w:r>
        <w:rPr>
          <w:rFonts w:ascii="Arial" w:cs="Arial" w:eastAsia="Arial" w:hAnsi="Arial"/>
          <w:sz w:val="16"/>
          <w:szCs w:val="16"/>
          <w:color w:val="auto"/>
        </w:rPr>
        <w:t>”), (iv) Wells Fargo Bank, 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Association (“</w:t>
      </w:r>
      <w:r>
        <w:rPr>
          <w:rFonts w:ascii="Arial" w:cs="Arial" w:eastAsia="Arial" w:hAnsi="Arial"/>
          <w:sz w:val="16"/>
          <w:szCs w:val="16"/>
          <w:u w:val="single" w:color="auto"/>
          <w:color w:val="auto"/>
        </w:rPr>
        <w:t>Wells Fargo</w:t>
      </w:r>
      <w:r>
        <w:rPr>
          <w:rFonts w:ascii="Arial" w:cs="Arial" w:eastAsia="Arial" w:hAnsi="Arial"/>
          <w:sz w:val="16"/>
          <w:szCs w:val="16"/>
          <w:color w:val="auto"/>
        </w:rPr>
        <w:t>”), as Indenture Trustee and Back-Up Servicer, and (v) Credit Suisse AG, New York Branch, as Funding Agent, The Royal Bank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Scotland, plc, as Funding Agent, Bank of America, N.A., Deutsche Bank Trust Company Americas, SunTrust Robinson Humphrey, Inc., and Wells Fargo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Finance, LLC (collectively, the “</w:t>
      </w:r>
      <w:r>
        <w:rPr>
          <w:rFonts w:ascii="Arial" w:cs="Arial" w:eastAsia="Arial" w:hAnsi="Arial"/>
          <w:sz w:val="16"/>
          <w:szCs w:val="16"/>
          <w:u w:val="single" w:color="auto"/>
          <w:color w:val="auto"/>
        </w:rPr>
        <w:t>Noteholders</w:t>
      </w:r>
      <w:r>
        <w:rPr>
          <w:rFonts w:ascii="Arial" w:cs="Arial" w:eastAsia="Arial" w:hAnsi="Arial"/>
          <w:sz w:val="16"/>
          <w:szCs w:val="16"/>
          <w:color w:val="auto"/>
        </w:rPr>
        <w:t>” and together with MORI, MORI SPC, the Issuer and Wells Fargo, the “</w:t>
      </w:r>
      <w:r>
        <w:rPr>
          <w:rFonts w:ascii="Arial" w:cs="Arial" w:eastAsia="Arial" w:hAnsi="Arial"/>
          <w:sz w:val="16"/>
          <w:szCs w:val="16"/>
          <w:u w:val="single" w:color="auto"/>
          <w:color w:val="auto"/>
        </w:rPr>
        <w:t>Parties</w:t>
      </w:r>
      <w:r>
        <w:rPr>
          <w:rFonts w:ascii="Arial" w:cs="Arial" w:eastAsia="Arial" w:hAnsi="Arial"/>
          <w:sz w:val="16"/>
          <w:szCs w:val="16"/>
          <w:color w:val="auto"/>
        </w:rPr>
        <w:t>”), and relates to the following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transaction documents (the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w:t>
      </w:r>
    </w:p>
    <w:p>
      <w:pPr>
        <w:spacing w:after="0" w:line="84" w:lineRule="exact"/>
        <w:rPr>
          <w:sz w:val="20"/>
          <w:szCs w:val="20"/>
          <w:color w:val="auto"/>
        </w:rPr>
      </w:pPr>
    </w:p>
    <w:p>
      <w:pPr>
        <w:ind w:left="900" w:right="18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Purchase Agreement, dated as of September 1, 2011, as amended by that Amendment No. 1 to Purchase Agreement, dated October 6, 2011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by and between MORI and MORI SPC and their respective permitted successors and assigns;</w:t>
      </w:r>
    </w:p>
    <w:p>
      <w:pPr>
        <w:spacing w:after="0" w:line="4" w:lineRule="exact"/>
        <w:rPr>
          <w:rFonts w:ascii="Arial" w:cs="Arial" w:eastAsia="Arial" w:hAnsi="Arial"/>
          <w:sz w:val="16"/>
          <w:szCs w:val="16"/>
          <w:color w:val="auto"/>
        </w:rPr>
      </w:pPr>
    </w:p>
    <w:p>
      <w:pPr>
        <w:ind w:left="900" w:right="42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Sale Agreement, dated as of September 1, 2011, as amended by that Amendment No. 1 to Sale Agreement, dated October 6, 2011 (the “</w:t>
      </w:r>
      <w:r>
        <w:rPr>
          <w:rFonts w:ascii="Arial" w:cs="Arial" w:eastAsia="Arial" w:hAnsi="Arial"/>
          <w:sz w:val="16"/>
          <w:szCs w:val="16"/>
          <w:u w:val="single" w:color="auto"/>
          <w:color w:val="auto"/>
        </w:rPr>
        <w:t>Sale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by and between MORI SPC and the Issuer, and their respective permitted successors and assigns; and</w:t>
      </w:r>
    </w:p>
    <w:p>
      <w:pPr>
        <w:spacing w:after="0" w:line="4" w:lineRule="exact"/>
        <w:rPr>
          <w:rFonts w:ascii="Arial" w:cs="Arial" w:eastAsia="Arial" w:hAnsi="Arial"/>
          <w:sz w:val="16"/>
          <w:szCs w:val="16"/>
          <w:color w:val="auto"/>
        </w:rPr>
      </w:pPr>
    </w:p>
    <w:p>
      <w:pPr>
        <w:ind w:left="900" w:right="22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Amended and Restated Indenture and Servicing Agreement (the “</w:t>
      </w:r>
      <w:r>
        <w:rPr>
          <w:rFonts w:ascii="Arial" w:cs="Arial" w:eastAsia="Arial" w:hAnsi="Arial"/>
          <w:sz w:val="16"/>
          <w:szCs w:val="16"/>
          <w:u w:val="single" w:color="auto"/>
          <w:color w:val="auto"/>
        </w:rPr>
        <w:t>Indenture and Servicing Agreement</w:t>
      </w:r>
      <w:r>
        <w:rPr>
          <w:rFonts w:ascii="Arial" w:cs="Arial" w:eastAsia="Arial" w:hAnsi="Arial"/>
          <w:sz w:val="16"/>
          <w:szCs w:val="16"/>
          <w:color w:val="auto"/>
        </w:rPr>
        <w:t>”), dated as of September 1, 2011, by and among the Issuer, MORI, as Servicer and Wells Fargo, as Indenture Trustee and as Back-Up Servicer.</w:t>
      </w:r>
    </w:p>
    <w:p>
      <w:pPr>
        <w:spacing w:after="0" w:line="24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Noteholders hold 100% of the amount of Notes outstanding;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desire to amend the definition of MORI Affiliated Manager as more fully described herein.</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NOW, THEREFORE, in consideration of the mutual promises hereinafter set forth, and for other good and adequate consideration, the receipt and sufficiency of which are hereby acknowledged, the Parties hereby agree as follows:</w:t>
      </w:r>
    </w:p>
    <w:p>
      <w:pPr>
        <w:spacing w:after="0" w:line="254"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i w:val="1"/>
          <w:iCs w:val="1"/>
          <w:color w:val="auto"/>
        </w:rPr>
        <w:t>Section 1.01.</w:t>
      </w:r>
      <w:r>
        <w:rPr>
          <w:sz w:val="20"/>
          <w:szCs w:val="20"/>
          <w:color w:val="auto"/>
        </w:rPr>
        <w:tab/>
      </w:r>
      <w:r>
        <w:rPr>
          <w:rFonts w:ascii="Arial" w:cs="Arial" w:eastAsia="Arial" w:hAnsi="Arial"/>
          <w:sz w:val="15"/>
          <w:szCs w:val="15"/>
          <w:b w:val="1"/>
          <w:bCs w:val="1"/>
          <w:i w:val="1"/>
          <w:iCs w:val="1"/>
          <w:color w:val="auto"/>
        </w:rPr>
        <w:t>Defined Terms</w:t>
      </w:r>
      <w:r>
        <w:rPr>
          <w:rFonts w:ascii="Arial" w:cs="Arial" w:eastAsia="Arial" w:hAnsi="Arial"/>
          <w:sz w:val="15"/>
          <w:szCs w:val="15"/>
          <w:color w:val="auto"/>
        </w:rPr>
        <w:t>.</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Capitalized terms used but not defined or modified in this Amendment shall have the respective meanings assigned to them in the Amended and Restated Standard Definitions attached as Annex A to each of the Transaction Documents (the “</w:t>
      </w:r>
      <w:r>
        <w:rPr>
          <w:rFonts w:ascii="Arial" w:cs="Arial" w:eastAsia="Arial" w:hAnsi="Arial"/>
          <w:sz w:val="18"/>
          <w:szCs w:val="18"/>
          <w:u w:val="single" w:color="auto"/>
          <w:color w:val="auto"/>
        </w:rPr>
        <w:t>Standard Definitions</w:t>
      </w:r>
      <w:r>
        <w:rPr>
          <w:rFonts w:ascii="Arial" w:cs="Arial" w:eastAsia="Arial" w:hAnsi="Arial"/>
          <w:sz w:val="18"/>
          <w:szCs w:val="18"/>
          <w:color w:val="auto"/>
        </w:rPr>
        <w:t>”).</w:t>
      </w:r>
    </w:p>
    <w:p>
      <w:pPr>
        <w:spacing w:after="0" w:line="254"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i w:val="1"/>
          <w:iCs w:val="1"/>
          <w:color w:val="auto"/>
        </w:rPr>
        <w:t>Section 2.01.</w:t>
      </w:r>
      <w:r>
        <w:rPr>
          <w:sz w:val="20"/>
          <w:szCs w:val="20"/>
          <w:color w:val="auto"/>
        </w:rPr>
        <w:tab/>
      </w:r>
      <w:r>
        <w:rPr>
          <w:rFonts w:ascii="Arial" w:cs="Arial" w:eastAsia="Arial" w:hAnsi="Arial"/>
          <w:sz w:val="15"/>
          <w:szCs w:val="15"/>
          <w:b w:val="1"/>
          <w:bCs w:val="1"/>
          <w:i w:val="1"/>
          <w:iCs w:val="1"/>
          <w:color w:val="auto"/>
        </w:rPr>
        <w:t>Amendment of Standard Definitions</w:t>
      </w:r>
      <w:r>
        <w:rPr>
          <w:rFonts w:ascii="Arial" w:cs="Arial" w:eastAsia="Arial" w:hAnsi="Arial"/>
          <w:sz w:val="15"/>
          <w:szCs w:val="15"/>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the date hereof, the following definition in Annex A of each of the Transaction Documents is hereby amended and restated as follows:</w:t>
      </w:r>
    </w:p>
    <w:p>
      <w:pPr>
        <w:spacing w:after="0" w:line="194"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MORI Affiliated Manager</w:t>
      </w:r>
      <w:r>
        <w:rPr>
          <w:rFonts w:ascii="Arial" w:cs="Arial" w:eastAsia="Arial" w:hAnsi="Arial"/>
          <w:sz w:val="18"/>
          <w:szCs w:val="18"/>
          <w:color w:val="auto"/>
        </w:rPr>
        <w:t>” shall mean Marriott Resorts Hospitality Corporation, a wholly-owned subsidiary of MORI, Marriott Resorts Hospitality (Bahamas) Limited, a wholly-owned subsidiary of Marriott Resorts Hospitality Corporation or another Affiliate of MORI, as applicable, together with their respective successors and assigns.”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78" w:name="page79"/>
    <w:bookmarkEnd w:id="78"/>
    <w:p>
      <w:pPr>
        <w:ind w:left="460"/>
        <w:spacing w:after="0"/>
        <w:tabs>
          <w:tab w:leader="none" w:pos="190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3.01.</w:t>
      </w:r>
      <w:r>
        <w:rPr>
          <w:sz w:val="20"/>
          <w:szCs w:val="20"/>
          <w:color w:val="auto"/>
        </w:rPr>
        <w:tab/>
      </w:r>
      <w:r>
        <w:rPr>
          <w:rFonts w:ascii="Arial" w:cs="Arial" w:eastAsia="Arial" w:hAnsi="Arial"/>
          <w:sz w:val="15"/>
          <w:szCs w:val="15"/>
          <w:b w:val="1"/>
          <w:bCs w:val="1"/>
          <w:i w:val="1"/>
          <w:iCs w:val="1"/>
          <w:color w:val="auto"/>
        </w:rPr>
        <w:t>Counterparts</w:t>
      </w:r>
      <w:r>
        <w:rPr>
          <w:rFonts w:ascii="Arial" w:cs="Arial" w:eastAsia="Arial" w:hAnsi="Arial"/>
          <w:sz w:val="15"/>
          <w:szCs w:val="15"/>
          <w:color w:val="auto"/>
        </w:rPr>
        <w:t>.</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This Amendment may be executed by the parties hereto in separate counterparts, each of which when so executed shall be deemed to be an original and both of which when taken together shall constitute one and the same agreement. Delivery of an executed counterpart of this Amendment by facsimile or other electronic transmission (i.e., “pdf” or “tif”) shall be effective as delivery of a manually executed counterpart hereof and deemed an original.</w:t>
      </w:r>
    </w:p>
    <w:p>
      <w:pPr>
        <w:spacing w:after="0" w:line="228"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i w:val="1"/>
          <w:iCs w:val="1"/>
          <w:color w:val="auto"/>
        </w:rPr>
        <w:t>Section 3.02.</w:t>
      </w:r>
      <w:r>
        <w:rPr>
          <w:sz w:val="20"/>
          <w:szCs w:val="20"/>
          <w:color w:val="auto"/>
        </w:rPr>
        <w:tab/>
      </w:r>
      <w:r>
        <w:rPr>
          <w:rFonts w:ascii="Arial" w:cs="Arial" w:eastAsia="Arial" w:hAnsi="Arial"/>
          <w:sz w:val="15"/>
          <w:szCs w:val="15"/>
          <w:b w:val="1"/>
          <w:bCs w:val="1"/>
          <w:i w:val="1"/>
          <w:iCs w:val="1"/>
          <w:color w:val="auto"/>
        </w:rPr>
        <w:t>Governing Law; Consent to Jurisdiction</w:t>
      </w:r>
      <w:r>
        <w:rPr>
          <w:rFonts w:ascii="Arial" w:cs="Arial" w:eastAsia="Arial" w:hAnsi="Arial"/>
          <w:sz w:val="15"/>
          <w:szCs w:val="15"/>
          <w:color w:val="auto"/>
        </w:rPr>
        <w:t>.</w:t>
      </w:r>
    </w:p>
    <w:p>
      <w:pPr>
        <w:spacing w:after="0" w:line="90" w:lineRule="exact"/>
        <w:rPr>
          <w:sz w:val="20"/>
          <w:szCs w:val="20"/>
          <w:color w:val="auto"/>
        </w:rPr>
      </w:pPr>
    </w:p>
    <w:p>
      <w:pPr>
        <w:ind w:right="160" w:firstLine="464"/>
        <w:spacing w:after="0" w:line="259"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AMENDMENT WILL BE GOVERNED BY AND CONSTRUED IN ACCORDANCE WITH THE LAWS OF THE STATE OF NEW YORK, WITHOUT GIVING EFFECT TO PRINCIPLES OF CONFLICTS OF LAW OTHER THAN SECTIONS 5-1401 AND 5-1402 OF THE GENERAL OBLIGATIONS LAW OF THE STATE OF NEW YORK.</w:t>
      </w:r>
    </w:p>
    <w:p>
      <w:pPr>
        <w:spacing w:after="0" w:line="140" w:lineRule="exact"/>
        <w:rPr>
          <w:rFonts w:ascii="Arial" w:cs="Arial" w:eastAsia="Arial" w:hAnsi="Arial"/>
          <w:sz w:val="18"/>
          <w:szCs w:val="18"/>
          <w:color w:val="auto"/>
        </w:rPr>
      </w:pPr>
    </w:p>
    <w:p>
      <w:pPr>
        <w:ind w:right="100" w:firstLine="464"/>
        <w:spacing w:after="0" w:line="288" w:lineRule="auto"/>
        <w:tabs>
          <w:tab w:leader="none" w:pos="7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PARTIES SUBMIT TO THE NON-EXCLUSIVE JURISDICTION OF THE COURTS OF THE STATE OF NEW YORK AND THE UNITED STATES DISTRICT COURT LOCATED IN THE BOROUGH OF MANHATTAN IN NEW YORK CITY AND EACH WAIVES PERSONAL SERVICE OF ANY AND ALL PROCESS UPON IT AND CONSENTS THAT ALL SUCH SERVICE OF PROCESS BE MADE BY REGISTERED MAIL DIRECTED TO THE ADDRESS SET FORTH ON THE SIGNATURE PAGE HEREOF AND SERVICE SO MADE SHALL BE DEEMED TO BE COMPLETED FIVE DAYS AFTER THE SAME SHALL HAVE BEEN DEPOSITED IN THE U.S. MAILS, POSTAGE PREPAID. EACH PARTY HEREBY WAIVES ANY OBJECTION BASED ON FORUM NON CONVENIENS, AND ANY OBJECTION TO VENUE OF ANY ACTION INSTITUTED HEREUNDER AND CONSENTS TO THE GRANTING OF SUCH LEGAL OR EQUITABLE RELIEF AS IS DEEMED APPROPRIATE BY THE COURT. NOTHING IN THIS SECTION 3.02 SHALL AFFECT THE RIGHT OF ANY PARTY TO SERVE LEGAL PROCESS IN ANY OTHER MANNER PERMITTED BY LAW OR AFFECT THE RIGHT OF ANY OF THEM TO BRING ANY ACTION OR PROCEEDING IN THE COURTS OF ANY OTHER JURISDICTION.</w:t>
      </w:r>
    </w:p>
    <w:p>
      <w:pPr>
        <w:spacing w:after="0" w:line="241"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i w:val="1"/>
          <w:iCs w:val="1"/>
          <w:color w:val="auto"/>
        </w:rPr>
        <w:t>Section 3.03.</w:t>
      </w:r>
      <w:r>
        <w:rPr>
          <w:sz w:val="20"/>
          <w:szCs w:val="20"/>
          <w:color w:val="auto"/>
        </w:rPr>
        <w:tab/>
      </w:r>
      <w:r>
        <w:rPr>
          <w:rFonts w:ascii="Arial" w:cs="Arial" w:eastAsia="Arial" w:hAnsi="Arial"/>
          <w:sz w:val="15"/>
          <w:szCs w:val="15"/>
          <w:b w:val="1"/>
          <w:bCs w:val="1"/>
          <w:i w:val="1"/>
          <w:iCs w:val="1"/>
          <w:color w:val="auto"/>
        </w:rPr>
        <w:t>Continuing Effect</w:t>
      </w:r>
      <w:r>
        <w:rPr>
          <w:rFonts w:ascii="Arial" w:cs="Arial" w:eastAsia="Arial" w:hAnsi="Arial"/>
          <w:sz w:val="15"/>
          <w:szCs w:val="15"/>
          <w:color w:val="auto"/>
        </w:rPr>
        <w:t>.</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Except as expressly amended hereby, each Transaction Document shall continue in full force and effect in accordance with the provisions thereof and each Transaction Document is in all respects hereby ratified, confirmed and preserved.</w:t>
      </w:r>
    </w:p>
    <w:p>
      <w:pPr>
        <w:spacing w:after="0" w:line="254"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i w:val="1"/>
          <w:iCs w:val="1"/>
          <w:color w:val="auto"/>
        </w:rPr>
        <w:t>Section 3.04.</w:t>
      </w:r>
      <w:r>
        <w:rPr>
          <w:sz w:val="20"/>
          <w:szCs w:val="20"/>
          <w:color w:val="auto"/>
        </w:rPr>
        <w:tab/>
      </w:r>
      <w:r>
        <w:rPr>
          <w:rFonts w:ascii="Arial" w:cs="Arial" w:eastAsia="Arial" w:hAnsi="Arial"/>
          <w:sz w:val="14"/>
          <w:szCs w:val="14"/>
          <w:b w:val="1"/>
          <w:bCs w:val="1"/>
          <w:i w:val="1"/>
          <w:iCs w:val="1"/>
          <w:color w:val="auto"/>
        </w:rPr>
        <w:t>Successors and Assigns</w:t>
      </w:r>
      <w:r>
        <w:rPr>
          <w:rFonts w:ascii="Arial" w:cs="Arial" w:eastAsia="Arial" w:hAnsi="Arial"/>
          <w:sz w:val="14"/>
          <w:szCs w:val="14"/>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Amendment shall be binding upon and inure to the benefit of the Parties and their respective successors and permitted assigns.</w:t>
      </w:r>
    </w:p>
    <w:p>
      <w:pPr>
        <w:spacing w:after="0" w:line="293"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i w:val="1"/>
          <w:iCs w:val="1"/>
          <w:color w:val="auto"/>
        </w:rPr>
        <w:t>Section 3.05.</w:t>
      </w:r>
      <w:r>
        <w:rPr>
          <w:sz w:val="20"/>
          <w:szCs w:val="20"/>
          <w:color w:val="auto"/>
        </w:rPr>
        <w:tab/>
      </w:r>
      <w:r>
        <w:rPr>
          <w:rFonts w:ascii="Arial" w:cs="Arial" w:eastAsia="Arial" w:hAnsi="Arial"/>
          <w:sz w:val="15"/>
          <w:szCs w:val="15"/>
          <w:b w:val="1"/>
          <w:bCs w:val="1"/>
          <w:i w:val="1"/>
          <w:iCs w:val="1"/>
          <w:color w:val="auto"/>
        </w:rPr>
        <w:t>Owner Trustee</w:t>
      </w:r>
      <w:r>
        <w:rPr>
          <w:rFonts w:ascii="Arial" w:cs="Arial" w:eastAsia="Arial" w:hAnsi="Arial"/>
          <w:sz w:val="15"/>
          <w:szCs w:val="15"/>
          <w:color w:val="auto"/>
        </w:rPr>
        <w:t>.</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It is expressly understood and agreed by the parties hereto that (a) this Amendment is executed and delivered by Wilmington Trust, N.A. not individually or personally but solely as Owner Trustee of the Issuer, in the exercise of the powers and authority conferred and vested in it, (b) each of the representations, undertakings and agreements herein made or on the part of the Issuer is made and intended not as personal representations, undertakings and agreements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79" w:name="page80"/>
    <w:bookmarkEnd w:id="7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Wilmington Trust, N.A., but is made and intended for the purpose of binding only the Issuer, (c) nothing herein contained shall be construed as creating any liability on Wilmington Trust, N.A., individually or personally, to perform any covenant either expressed or implied contained herein, all such liability, if any, being expressly waived by the parties hereto and by any Person claiming by, through or under the parties hereto, and (d) under no circumstances shall Wilmington Trust, N.A. be personally liable for the payment of any indebtedness or expenses of the Issuer or be liable for the breach or failure of any obligation, representation, warranty or covenant made or undertaken by the Issuer under this Amendment or any other related document. Notwithstanding the foregoing, Wilmington Trust, N.A. shall not be relieved of any of its duties and obligations under the Administration Agreement or the Trust Agreement.</w:t>
      </w:r>
    </w:p>
    <w:p>
      <w:pPr>
        <w:spacing w:after="0" w:line="242"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i w:val="1"/>
          <w:iCs w:val="1"/>
          <w:color w:val="auto"/>
        </w:rPr>
        <w:t>Section 3.06.</w:t>
      </w:r>
      <w:r>
        <w:rPr>
          <w:sz w:val="20"/>
          <w:szCs w:val="20"/>
          <w:color w:val="auto"/>
        </w:rPr>
        <w:tab/>
      </w:r>
      <w:r>
        <w:rPr>
          <w:rFonts w:ascii="Arial" w:cs="Arial" w:eastAsia="Arial" w:hAnsi="Arial"/>
          <w:sz w:val="15"/>
          <w:szCs w:val="15"/>
          <w:b w:val="1"/>
          <w:bCs w:val="1"/>
          <w:i w:val="1"/>
          <w:iCs w:val="1"/>
          <w:color w:val="auto"/>
        </w:rPr>
        <w:t>Non-Petition</w:t>
      </w:r>
      <w:r>
        <w:rPr>
          <w:rFonts w:ascii="Arial" w:cs="Arial" w:eastAsia="Arial" w:hAnsi="Arial"/>
          <w:sz w:val="15"/>
          <w:szCs w:val="15"/>
          <w:color w:val="auto"/>
        </w:rPr>
        <w:t>.</w:t>
      </w:r>
    </w:p>
    <w:p>
      <w:pPr>
        <w:spacing w:after="0" w:line="90" w:lineRule="exact"/>
        <w:rPr>
          <w:sz w:val="20"/>
          <w:szCs w:val="20"/>
          <w:color w:val="auto"/>
        </w:rPr>
      </w:pPr>
    </w:p>
    <w:p>
      <w:pPr>
        <w:ind w:right="400" w:firstLine="464"/>
        <w:spacing w:after="0" w:line="298" w:lineRule="auto"/>
        <w:tabs>
          <w:tab w:leader="none" w:pos="6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Party hereby covenants and agrees that, prior to the date which is one year and one day after the payment in full of all outstanding Related Commercial Paper or other indebtedness of a Conduit, it will not institute against, or join any other Person instituting against a Conduit any bankruptcy, reorganization, arrangement, insolvency or liquidation proceedings or other similar proceeding under the laws of the United States or any state of the United States. The provisions of this Section 3.06(a) shall survive termination of this Amendment.</w:t>
      </w:r>
    </w:p>
    <w:p>
      <w:pPr>
        <w:spacing w:after="0" w:line="112" w:lineRule="exact"/>
        <w:rPr>
          <w:rFonts w:ascii="Arial" w:cs="Arial" w:eastAsia="Arial" w:hAnsi="Arial"/>
          <w:sz w:val="16"/>
          <w:szCs w:val="16"/>
          <w:color w:val="auto"/>
        </w:rPr>
      </w:pPr>
    </w:p>
    <w:p>
      <w:pPr>
        <w:ind w:right="40" w:firstLine="464"/>
        <w:spacing w:after="0" w:line="256" w:lineRule="auto"/>
        <w:tabs>
          <w:tab w:leader="none" w:pos="7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Party hereby covenants and agrees that, prior to the date which is one year and one day after the payment in full of all Notes and Exchange Notes, it will not institute against, or join any other Person in instituting against the Issuer any bankruptcy, reorganization, arrangement, insolvency or liquidation proceedings or other similar proceeding under the laws of the United States or any state of the United States. The provisions of this Section 3.06(b) shall survive the termination of this Amendment.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to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80" w:name="page81"/>
    <w:bookmarkEnd w:id="8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below have caused this Amendment to be duly executed by their respective duly authorized officers.</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MARRIOTT VACATIONS WORLDWIDE OWNER</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TRUST 2011-1</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 xml:space="preserve">By: Wilmington Trust, National Association, </w:t>
      </w:r>
      <w:r>
        <w:rPr>
          <w:rFonts w:ascii="Arial" w:cs="Arial" w:eastAsia="Arial" w:hAnsi="Arial"/>
          <w:sz w:val="16"/>
          <w:szCs w:val="16"/>
          <w:color w:val="auto"/>
        </w:rPr>
        <w:t>as Owner</w:t>
      </w:r>
    </w:p>
    <w:p>
      <w:pPr>
        <w:spacing w:after="0" w:line="4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Trustee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Dante M. Monakil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Dante M. Monakil</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 xml:space="preserve">WELLS FARGO BANK, NATIONAL ASSOCIATION, </w:t>
      </w:r>
      <w:r>
        <w:rPr>
          <w:rFonts w:ascii="Arial" w:cs="Arial" w:eastAsia="Arial" w:hAnsi="Arial"/>
          <w:sz w:val="16"/>
          <w:szCs w:val="16"/>
          <w:color w:val="auto"/>
        </w:rPr>
        <w:t>as</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Indenture Trustee and Back-Up Servicer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Benjamin F.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Benjamin F. Jordan</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MARRIOTT OWNERSHIP RESORTS,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Joseph J. Bramuchi</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MORI SPC SERIES CORP.</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Joseph J. Bramuchi</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Vice President</w:t>
      </w:r>
    </w:p>
    <w:p>
      <w:pPr>
        <w:spacing w:after="0" w:line="15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0"/>
          </w:cols>
          <w:pgMar w:left="700" w:top="280" w:right="439" w:bottom="1440" w:gutter="0" w:footer="0" w:header="0"/>
        </w:sectPr>
      </w:pPr>
    </w:p>
    <w:bookmarkStart w:id="81" w:name="page82"/>
    <w:bookmarkEnd w:id="81"/>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CREDIT SUISSE AG, NEW YORK BRANCH, </w:t>
      </w:r>
      <w:r>
        <w:rPr>
          <w:rFonts w:ascii="Arial" w:cs="Arial" w:eastAsia="Arial" w:hAnsi="Arial"/>
          <w:sz w:val="16"/>
          <w:szCs w:val="16"/>
          <w:color w:val="auto"/>
        </w:rPr>
        <w:t>as Funding</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Robbin W. Conner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Robbin W. Conner</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Jason Ruchelsman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Jason Ruchelsman</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THE ROYAL BANK OF SCOTLAND PLC, </w:t>
      </w:r>
      <w:r>
        <w:rPr>
          <w:rFonts w:ascii="Arial" w:cs="Arial" w:eastAsia="Arial" w:hAnsi="Arial"/>
          <w:sz w:val="18"/>
          <w:szCs w:val="18"/>
          <w:color w:val="auto"/>
        </w:rPr>
        <w:t>as Funding</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By: RBS Securities Inc., as agent</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Dave Donofrio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Dave Donofrio</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 xml:space="preserve">SUNTRUST ROBINSON HUMPHREY, INC., </w:t>
      </w:r>
      <w:r>
        <w:rPr>
          <w:rFonts w:ascii="Arial" w:cs="Arial" w:eastAsia="Arial" w:hAnsi="Arial"/>
          <w:sz w:val="16"/>
          <w:szCs w:val="16"/>
          <w:color w:val="auto"/>
        </w:rPr>
        <w:t>as Funding</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Pawan Churiwal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Pawan Churiwal</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Vice President</w:t>
      </w:r>
    </w:p>
    <w:p>
      <w:pPr>
        <w:spacing w:after="0" w:line="15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40"/>
          </w:cols>
          <w:pgMar w:left="1440" w:top="274" w:right="419" w:bottom="1440" w:gutter="0" w:footer="0" w:header="0"/>
        </w:sectPr>
      </w:pPr>
    </w:p>
    <w:bookmarkStart w:id="82" w:name="page83"/>
    <w:bookmarkEnd w:id="82"/>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TRUST COMPANY AMERICAS</w:t>
      </w: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Robert Sheldon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Robert Sheldon</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Managing Director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Jay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Jay Steiner</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BANK OF AMERICA, N.A.</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Steven Maysonet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Steven Maysonet</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WELLS FARGO CAPITAL FINANCE, LLC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Ajay Jagsi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Ajay Jagsi</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Vice President</w:t>
      </w:r>
    </w:p>
    <w:p>
      <w:pPr>
        <w:spacing w:after="0" w:line="15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740"/>
          </w:cols>
          <w:pgMar w:left="1440" w:top="274" w:right="71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PARTICIPATION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CHANGE IN CONTROL SEVERANCE PLAN</w:t>
      </w:r>
    </w:p>
    <w:p>
      <w:pPr>
        <w:spacing w:after="0" w:line="16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This Participation Agreement (the “Agreement”) is made and entered into by and between Stephen P. Weisz (the “Executive”) and Marriott Vacations Worldwide Corporation, a Delaware corporation (the “Company”), effective as of July 9</w:t>
      </w:r>
      <w:r>
        <w:rPr>
          <w:rFonts w:ascii="Arial" w:cs="Arial" w:eastAsia="Arial" w:hAnsi="Arial"/>
          <w:sz w:val="11"/>
          <w:szCs w:val="11"/>
          <w:color w:val="auto"/>
        </w:rPr>
        <w:t>th</w:t>
      </w:r>
      <w:r>
        <w:rPr>
          <w:rFonts w:ascii="Arial" w:cs="Arial" w:eastAsia="Arial" w:hAnsi="Arial"/>
          <w:sz w:val="18"/>
          <w:szCs w:val="18"/>
          <w:color w:val="auto"/>
        </w:rPr>
        <w:t>, 2012 (the “Effective Date”).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96" w:lineRule="exact"/>
        <w:rPr>
          <w:sz w:val="20"/>
          <w:szCs w:val="20"/>
          <w:color w:val="auto"/>
        </w:rPr>
      </w:pPr>
    </w:p>
    <w:p>
      <w:pPr>
        <w:ind w:left="980" w:hanging="516"/>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Executive is a key member of the executive and management team of the Company.</w:t>
      </w:r>
    </w:p>
    <w:p>
      <w:pPr>
        <w:spacing w:after="0" w:line="171" w:lineRule="exact"/>
        <w:rPr>
          <w:rFonts w:ascii="Arial" w:cs="Arial" w:eastAsia="Arial" w:hAnsi="Arial"/>
          <w:sz w:val="18"/>
          <w:szCs w:val="18"/>
          <w:color w:val="auto"/>
        </w:rPr>
      </w:pPr>
    </w:p>
    <w:p>
      <w:pPr>
        <w:ind w:right="200" w:firstLine="464"/>
        <w:spacing w:after="0" w:line="256" w:lineRule="auto"/>
        <w:tabs>
          <w:tab w:leader="none" w:pos="9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maintains the Marriott Vacations Worldwide Corporation Change in Control Severance Plan (the “Plan”), administered by the Compensation Committee of the Company’s Board of Directors (“Committee”), to provide for specified severance benefits in connection with certain terminations of employment within two years following a Change in Control. Capitalized terms used but not defined herein shall have the meanings ascribed to such terms in the Plan.</w:t>
      </w:r>
    </w:p>
    <w:p>
      <w:pPr>
        <w:spacing w:after="0" w:line="143" w:lineRule="exact"/>
        <w:rPr>
          <w:rFonts w:ascii="Arial" w:cs="Arial" w:eastAsia="Arial" w:hAnsi="Arial"/>
          <w:sz w:val="18"/>
          <w:szCs w:val="18"/>
          <w:color w:val="auto"/>
        </w:rPr>
      </w:pPr>
    </w:p>
    <w:p>
      <w:pPr>
        <w:ind w:left="980" w:hanging="516"/>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wishes to designate Executive as eligible to participate in the Plan.</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consideration of the mutual covenants herein contained, and in consideration of the continuing employment of Executive by the Company, and for other good and valuable consideration, the receipt and sufficiency of which are hereby acknowledged, the parties agree as follows.</w:t>
      </w:r>
    </w:p>
    <w:p>
      <w:pPr>
        <w:spacing w:after="0" w:line="4" w:lineRule="exact"/>
        <w:rPr>
          <w:sz w:val="20"/>
          <w:szCs w:val="20"/>
          <w:color w:val="auto"/>
        </w:rPr>
      </w:pPr>
    </w:p>
    <w:p>
      <w:pPr>
        <w:ind w:right="40" w:firstLine="464"/>
        <w:spacing w:after="0" w:line="290" w:lineRule="auto"/>
        <w:tabs>
          <w:tab w:leader="none" w:pos="939"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Designation as Eligible to Participate in Plan</w:t>
      </w:r>
      <w:r>
        <w:rPr>
          <w:rFonts w:ascii="Arial" w:cs="Arial" w:eastAsia="Arial" w:hAnsi="Arial"/>
          <w:sz w:val="16"/>
          <w:szCs w:val="16"/>
          <w:color w:val="auto"/>
        </w:rPr>
        <w:t>. Subject to the terms of the Plan, the Committee hereby designates Executive as eligible to participate in the Plan. As such, Executive’s benefits (if any) under the Plan shall be determined pursuant to Section 2 of the Plan. Executive agrees that, for a period of two years following the Termination of his or her employment, he or she will not, in any manner, within the United States, Mexico, the Bahamas, or any other country where the Company may develop or acquire resorts, directly or indirectly engage in the business of timesharing or in any similarly competitive business, including without limitation quarter sharing or undivided interests. Directly or indirectly engaging in the business of timesharing shall include engaging in business as owner, partner or agent, or as employee of any person, firm or legal entity engaged in such business, or in being interested directly or indirectly in any such business conducted by any person, firm, or legal entity.</w:t>
      </w:r>
    </w:p>
    <w:p>
      <w:pPr>
        <w:spacing w:after="0" w:line="37" w:lineRule="exact"/>
        <w:rPr>
          <w:rFonts w:ascii="Arial" w:cs="Arial" w:eastAsia="Arial" w:hAnsi="Arial"/>
          <w:sz w:val="16"/>
          <w:szCs w:val="16"/>
          <w:color w:val="auto"/>
        </w:rPr>
      </w:pPr>
    </w:p>
    <w:p>
      <w:pPr>
        <w:ind w:right="80" w:firstLine="464"/>
        <w:spacing w:after="0" w:line="294" w:lineRule="auto"/>
        <w:tabs>
          <w:tab w:leader="none" w:pos="939"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Any successor to the Company (whether direct or indirect and whether by purchase, lease,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The terms of this Agreement and all of Executive’s rights hereunder shall inure to the benefit of, and be enforceable by, Executive’s personal or legal representatives, executors, administrators, successors, heirs, distributees, devisees and legatees.</w:t>
      </w:r>
    </w:p>
    <w:p>
      <w:pPr>
        <w:sectPr>
          <w:pgSz w:w="11900" w:h="16838" w:orient="portrait"/>
          <w:cols w:equalWidth="0" w:num="1">
            <w:col w:w="11420"/>
          </w:cols>
          <w:pgMar w:left="240" w:top="125" w:right="239" w:bottom="1440" w:gutter="0" w:footer="0" w:header="0"/>
        </w:sectPr>
      </w:pPr>
    </w:p>
    <w:bookmarkStart w:id="84" w:name="page85"/>
    <w:bookmarkEnd w:id="84"/>
    <w:p>
      <w:pPr>
        <w:ind w:left="-464" w:right="40" w:firstLine="464"/>
        <w:spacing w:after="0" w:line="298" w:lineRule="auto"/>
        <w:tabs>
          <w:tab w:leader="none" w:pos="47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w:t>
      </w:r>
      <w:r>
        <w:rPr>
          <w:rFonts w:ascii="Arial" w:cs="Arial" w:eastAsia="Arial" w:hAnsi="Arial"/>
          <w:sz w:val="16"/>
          <w:szCs w:val="16"/>
          <w:color w:val="auto"/>
        </w:rPr>
        <w:t>. Notices and all other communications contemplated by this Agreement shall be in writing and shall be deemed to have been duly given when personally delivered or when mailed by U.S. registered or certified mail, return receipt requested and postage prepaid. Mailed notices to Executive shall be addressed to Executive at the home address which Executive most recently communicated to the Company in writing. In the case of the Company, mailed notices shall be addressed to its corporate headquarters, and all notices shall be directed to the attention of its General Counsel.</w:t>
      </w:r>
    </w:p>
    <w:p>
      <w:pPr>
        <w:spacing w:after="0" w:line="112" w:lineRule="exact"/>
        <w:rPr>
          <w:rFonts w:ascii="Arial" w:cs="Arial" w:eastAsia="Arial" w:hAnsi="Arial"/>
          <w:sz w:val="16"/>
          <w:szCs w:val="16"/>
          <w:color w:val="auto"/>
        </w:rPr>
      </w:pPr>
    </w:p>
    <w:p>
      <w:pPr>
        <w:ind w:left="476" w:hanging="476"/>
        <w:spacing w:after="0"/>
        <w:tabs>
          <w:tab w:leader="none" w:pos="47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4" w:right="20" w:firstLine="1149"/>
        <w:spacing w:after="0" w:line="256" w:lineRule="auto"/>
        <w:tabs>
          <w:tab w:leader="none" w:pos="1223"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62" w:lineRule="exact"/>
        <w:rPr>
          <w:rFonts w:ascii="Arial" w:cs="Arial" w:eastAsia="Arial" w:hAnsi="Arial"/>
          <w:sz w:val="18"/>
          <w:szCs w:val="18"/>
          <w:color w:val="auto"/>
        </w:rPr>
      </w:pPr>
    </w:p>
    <w:p>
      <w:pPr>
        <w:ind w:left="-464" w:right="540" w:firstLine="1149"/>
        <w:spacing w:after="0" w:line="332" w:lineRule="auto"/>
        <w:tabs>
          <w:tab w:leader="none" w:pos="1233"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constitute the entire understanding between the parties with respect to the matters addressed herein, superseding all negotiations, prior discussions and agreements, written or oral, concerning such matters.</w:t>
      </w:r>
    </w:p>
    <w:p>
      <w:pPr>
        <w:spacing w:after="0" w:line="4" w:lineRule="exact"/>
        <w:rPr>
          <w:rFonts w:ascii="Arial" w:cs="Arial" w:eastAsia="Arial" w:hAnsi="Arial"/>
          <w:sz w:val="16"/>
          <w:szCs w:val="16"/>
          <w:color w:val="auto"/>
        </w:rPr>
      </w:pPr>
    </w:p>
    <w:p>
      <w:pPr>
        <w:ind w:left="-464" w:right="260" w:firstLine="1149"/>
        <w:spacing w:after="0" w:line="268" w:lineRule="auto"/>
        <w:tabs>
          <w:tab w:leader="none" w:pos="1223"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Except to the extent preempted by federal law, this Plan shall be governed and construed in accordance the laws of the State of Delaware, without regard to principles of conflicts of laws.</w:t>
      </w:r>
    </w:p>
    <w:p>
      <w:pPr>
        <w:spacing w:after="0" w:line="50" w:lineRule="exact"/>
        <w:rPr>
          <w:rFonts w:ascii="Arial" w:cs="Arial" w:eastAsia="Arial" w:hAnsi="Arial"/>
          <w:sz w:val="18"/>
          <w:szCs w:val="18"/>
          <w:color w:val="auto"/>
        </w:rPr>
      </w:pPr>
    </w:p>
    <w:p>
      <w:pPr>
        <w:ind w:left="-464" w:firstLine="1149"/>
        <w:spacing w:after="0" w:line="294" w:lineRule="auto"/>
        <w:tabs>
          <w:tab w:leader="none" w:pos="1233"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provision of this Agreement or the application thereof to any circumstance shall, in any jurisdiction and to any extent, be invalid or unenforceable, such term or provision shall be ineffective as to such jurisdiction to the extent of such invalidity or unenforceability without invalidating or rendering unenforceable the remaining terms and provisions of this Agreement or the application of such terms and provisions to circumstances other than those as to which it is held invalid or unenforceable, and a suitable and equitable term or provision shall be substituted therefor to carry out, insofar as may be valid and enforceable, the intent and purpose of the invalid or unenforceable term or provision.</w:t>
      </w:r>
    </w:p>
    <w:p>
      <w:pPr>
        <w:spacing w:after="0" w:line="34" w:lineRule="exact"/>
        <w:rPr>
          <w:rFonts w:ascii="Arial" w:cs="Arial" w:eastAsia="Arial" w:hAnsi="Arial"/>
          <w:sz w:val="16"/>
          <w:szCs w:val="16"/>
          <w:color w:val="auto"/>
        </w:rPr>
      </w:pPr>
    </w:p>
    <w:p>
      <w:pPr>
        <w:ind w:left="-464" w:right="120" w:firstLine="1149"/>
        <w:spacing w:after="0" w:line="256" w:lineRule="auto"/>
        <w:tabs>
          <w:tab w:leader="none" w:pos="1223"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No Assignment of Benefits</w:t>
      </w:r>
      <w:r>
        <w:rPr>
          <w:rFonts w:ascii="Arial" w:cs="Arial" w:eastAsia="Arial" w:hAnsi="Arial"/>
          <w:sz w:val="18"/>
          <w:szCs w:val="18"/>
          <w:color w:val="auto"/>
        </w:rPr>
        <w:t>. The rights of Executive to payments or benefits under this Agreement shall not be made subject to option or assignment, either by voluntary or involuntary assignment or by operation of law, including (without limitation) bankruptcy, garnishment, attachment or other creditor’s process, and any action in violation of this subsection shall be void, provided the Executive’s estate shall be entitled to receive any benefits that have become payable, but which have not been paid in accordance with Section 1 above.</w:t>
      </w:r>
    </w:p>
    <w:p>
      <w:pPr>
        <w:spacing w:after="0" w:line="62" w:lineRule="exact"/>
        <w:rPr>
          <w:rFonts w:ascii="Arial" w:cs="Arial" w:eastAsia="Arial" w:hAnsi="Arial"/>
          <w:sz w:val="18"/>
          <w:szCs w:val="18"/>
          <w:color w:val="auto"/>
        </w:rPr>
      </w:pPr>
    </w:p>
    <w:p>
      <w:pPr>
        <w:ind w:left="-464" w:firstLine="1149"/>
        <w:spacing w:after="0" w:line="306" w:lineRule="auto"/>
        <w:tabs>
          <w:tab w:leader="none" w:pos="1203"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Non-solicitation.</w:t>
      </w:r>
      <w:r>
        <w:rPr>
          <w:rFonts w:ascii="Arial" w:cs="Arial" w:eastAsia="Arial" w:hAnsi="Arial"/>
          <w:sz w:val="16"/>
          <w:szCs w:val="16"/>
          <w:color w:val="auto"/>
        </w:rPr>
        <w:t xml:space="preserve"> During the period beginning on the Effective Date and ending one year thereafter, Executive will not, on his own behalf or as a partner, officer, director, employee, agent, or consultant of any other person or entity, directly or indirectly, solicit or induce (or attempt to solicit or induce) any employee of the Company to leave their employment with the Company or to consider employment with any other person or entity.</w:t>
      </w:r>
    </w:p>
    <w:p>
      <w:pPr>
        <w:sectPr>
          <w:pgSz w:w="11900" w:h="16838" w:orient="portrait"/>
          <w:cols w:equalWidth="0" w:num="1">
            <w:col w:w="10936"/>
          </w:cols>
          <w:pgMar w:left="704" w:top="280" w:right="259" w:bottom="1440" w:gutter="0" w:footer="0" w:header="0"/>
        </w:sectPr>
      </w:pPr>
    </w:p>
    <w:bookmarkStart w:id="85" w:name="page86"/>
    <w:bookmarkEnd w:id="85"/>
    <w:p>
      <w:pPr>
        <w:ind w:right="40" w:firstLine="1149"/>
        <w:spacing w:after="0" w:line="268" w:lineRule="auto"/>
        <w:tabs>
          <w:tab w:leader="none" w:pos="1697"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Taxes</w:t>
      </w:r>
      <w:r>
        <w:rPr>
          <w:rFonts w:ascii="Arial" w:cs="Arial" w:eastAsia="Arial" w:hAnsi="Arial"/>
          <w:sz w:val="18"/>
          <w:szCs w:val="18"/>
          <w:color w:val="auto"/>
        </w:rPr>
        <w:t>. Any payments made pursuant to this Agreement will be reported on Form W-2 and shall be subject to withholding of applicable income and employment taxes.</w:t>
      </w:r>
    </w:p>
    <w:p>
      <w:pPr>
        <w:spacing w:after="0" w:line="50" w:lineRule="exact"/>
        <w:rPr>
          <w:rFonts w:ascii="Arial" w:cs="Arial" w:eastAsia="Arial" w:hAnsi="Arial"/>
          <w:sz w:val="18"/>
          <w:szCs w:val="18"/>
          <w:color w:val="auto"/>
        </w:rPr>
      </w:pPr>
    </w:p>
    <w:p>
      <w:pPr>
        <w:ind w:right="80" w:firstLine="1149"/>
        <w:spacing w:after="0" w:line="268" w:lineRule="auto"/>
        <w:tabs>
          <w:tab w:leader="none" w:pos="1697"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will constitute one and the same instrument.</w:t>
      </w:r>
    </w:p>
    <w:p>
      <w:pPr>
        <w:spacing w:after="0" w:line="50" w:lineRule="exact"/>
        <w:rPr>
          <w:rFonts w:ascii="Arial" w:cs="Arial" w:eastAsia="Arial" w:hAnsi="Arial"/>
          <w:sz w:val="18"/>
          <w:szCs w:val="18"/>
          <w:color w:val="auto"/>
        </w:rPr>
      </w:pPr>
    </w:p>
    <w:p>
      <w:pPr>
        <w:ind w:firstLine="1149"/>
        <w:spacing w:after="0" w:line="306" w:lineRule="auto"/>
        <w:tabs>
          <w:tab w:leader="none" w:pos="1658"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Confidentiality of Agreement</w:t>
      </w:r>
      <w:r>
        <w:rPr>
          <w:rFonts w:ascii="Arial" w:cs="Arial" w:eastAsia="Arial" w:hAnsi="Arial"/>
          <w:sz w:val="16"/>
          <w:szCs w:val="16"/>
          <w:color w:val="auto"/>
        </w:rPr>
        <w:t>. Executive shall keep strictly confidential all the terms and conditions, including amounts, in this Agreement and shall not disclose them to any person other than the Executive’s spouse, the Executive’s legal or financial advisor, or governmental officials who seek such information in the course of their official duties, unless compelled by law to do so or to the extent previously publicly disclosed by the Company.</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MARRIOTT VACATIONS</w:t>
            </w:r>
          </w:p>
        </w:tc>
        <w:tc>
          <w:tcPr>
            <w:tcW w:w="5340" w:type="dxa"/>
            <w:vAlign w:val="bottom"/>
          </w:tcPr>
          <w:p>
            <w:pPr>
              <w:ind w:left="100"/>
              <w:spacing w:after="0"/>
              <w:rPr>
                <w:sz w:val="20"/>
                <w:szCs w:val="20"/>
                <w:color w:val="auto"/>
              </w:rPr>
            </w:pPr>
            <w:r>
              <w:rPr>
                <w:rFonts w:ascii="Arial" w:cs="Arial" w:eastAsia="Arial" w:hAnsi="Arial"/>
                <w:sz w:val="18"/>
                <w:szCs w:val="18"/>
                <w:b w:val="1"/>
                <w:bCs w:val="1"/>
                <w:color w:val="auto"/>
              </w:rPr>
              <w:t>EXECUTIVE</w:t>
            </w:r>
          </w:p>
        </w:tc>
      </w:tr>
      <w:tr>
        <w:trPr>
          <w:trHeight w:val="228"/>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WORLDWIDE CORPORATION</w:t>
            </w:r>
          </w:p>
        </w:tc>
        <w:tc>
          <w:tcPr>
            <w:tcW w:w="5340" w:type="dxa"/>
            <w:vAlign w:val="bottom"/>
          </w:tcPr>
          <w:p>
            <w:pPr>
              <w:spacing w:after="0"/>
              <w:rPr>
                <w:sz w:val="19"/>
                <w:szCs w:val="19"/>
                <w:color w:val="auto"/>
              </w:rPr>
            </w:pPr>
          </w:p>
        </w:tc>
      </w:tr>
      <w:tr>
        <w:trPr>
          <w:trHeight w:val="447"/>
        </w:trPr>
        <w:tc>
          <w:tcPr>
            <w:tcW w:w="6080" w:type="dxa"/>
            <w:vAlign w:val="bottom"/>
            <w:gridSpan w:val="3"/>
          </w:tcPr>
          <w:p>
            <w:pPr>
              <w:spacing w:after="0"/>
              <w:rPr>
                <w:sz w:val="20"/>
                <w:szCs w:val="20"/>
                <w:color w:val="auto"/>
              </w:rPr>
            </w:pPr>
            <w:r>
              <w:rPr>
                <w:rFonts w:ascii="Arial" w:cs="Arial" w:eastAsia="Arial" w:hAnsi="Arial"/>
                <w:sz w:val="18"/>
                <w:szCs w:val="18"/>
                <w:color w:val="auto"/>
              </w:rPr>
              <w:t>By:  /s/ Michael E. Yonker</w:t>
            </w:r>
          </w:p>
        </w:tc>
        <w:tc>
          <w:tcPr>
            <w:tcW w:w="5340" w:type="dxa"/>
            <w:vAlign w:val="bottom"/>
          </w:tcPr>
          <w:p>
            <w:pPr>
              <w:jc w:val="center"/>
              <w:ind w:left="12"/>
              <w:spacing w:after="0"/>
              <w:rPr>
                <w:sz w:val="20"/>
                <w:szCs w:val="20"/>
                <w:color w:val="auto"/>
              </w:rPr>
            </w:pPr>
            <w:r>
              <w:rPr>
                <w:rFonts w:ascii="Arial" w:cs="Arial" w:eastAsia="Arial" w:hAnsi="Arial"/>
                <w:sz w:val="18"/>
                <w:szCs w:val="18"/>
                <w:color w:val="auto"/>
                <w:w w:val="83"/>
              </w:rPr>
              <w:t>/s/ Stephen P. Weisz</w:t>
            </w:r>
          </w:p>
        </w:tc>
      </w:tr>
      <w:tr>
        <w:trPr>
          <w:trHeight w:val="20"/>
        </w:trPr>
        <w:tc>
          <w:tcPr>
            <w:tcW w:w="28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r>
      <w:tr>
        <w:trPr>
          <w:trHeight w:val="189"/>
        </w:trPr>
        <w:tc>
          <w:tcPr>
            <w:tcW w:w="5520" w:type="dxa"/>
            <w:vAlign w:val="bottom"/>
            <w:gridSpan w:val="2"/>
          </w:tcPr>
          <w:p>
            <w:pPr>
              <w:spacing w:after="0" w:line="189" w:lineRule="exact"/>
              <w:rPr>
                <w:sz w:val="20"/>
                <w:szCs w:val="20"/>
                <w:color w:val="auto"/>
              </w:rPr>
            </w:pPr>
            <w:r>
              <w:rPr>
                <w:rFonts w:ascii="Arial" w:cs="Arial" w:eastAsia="Arial" w:hAnsi="Arial"/>
                <w:sz w:val="18"/>
                <w:szCs w:val="18"/>
                <w:color w:val="auto"/>
              </w:rPr>
              <w:t>Title: Executive Vice President and</w:t>
            </w:r>
          </w:p>
        </w:tc>
        <w:tc>
          <w:tcPr>
            <w:tcW w:w="560" w:type="dxa"/>
            <w:vAlign w:val="bottom"/>
          </w:tcPr>
          <w:p>
            <w:pPr>
              <w:spacing w:after="0"/>
              <w:rPr>
                <w:sz w:val="16"/>
                <w:szCs w:val="16"/>
                <w:color w:val="auto"/>
              </w:rPr>
            </w:pPr>
          </w:p>
        </w:tc>
        <w:tc>
          <w:tcPr>
            <w:tcW w:w="5340" w:type="dxa"/>
            <w:vAlign w:val="bottom"/>
          </w:tcPr>
          <w:p>
            <w:pPr>
              <w:jc w:val="center"/>
              <w:ind w:left="12"/>
              <w:spacing w:after="0" w:line="189" w:lineRule="exact"/>
              <w:rPr>
                <w:sz w:val="20"/>
                <w:szCs w:val="20"/>
                <w:color w:val="auto"/>
              </w:rPr>
            </w:pPr>
            <w:r>
              <w:rPr>
                <w:rFonts w:ascii="Arial" w:cs="Arial" w:eastAsia="Arial" w:hAnsi="Arial"/>
                <w:sz w:val="18"/>
                <w:szCs w:val="18"/>
                <w:color w:val="auto"/>
                <w:w w:val="83"/>
              </w:rPr>
              <w:t>Stephen P. Weisz</w:t>
            </w:r>
          </w:p>
        </w:tc>
      </w:tr>
      <w:tr>
        <w:trPr>
          <w:trHeight w:val="222"/>
        </w:trPr>
        <w:tc>
          <w:tcPr>
            <w:tcW w:w="6080" w:type="dxa"/>
            <w:vAlign w:val="bottom"/>
            <w:gridSpan w:val="3"/>
          </w:tcPr>
          <w:p>
            <w:pPr>
              <w:spacing w:after="0"/>
              <w:rPr>
                <w:sz w:val="20"/>
                <w:szCs w:val="20"/>
                <w:color w:val="auto"/>
              </w:rPr>
            </w:pPr>
            <w:r>
              <w:rPr>
                <w:rFonts w:ascii="Arial" w:cs="Arial" w:eastAsia="Arial" w:hAnsi="Arial"/>
                <w:sz w:val="18"/>
                <w:szCs w:val="18"/>
                <w:color w:val="auto"/>
              </w:rPr>
              <w:t>Chief Human Resources Officer</w:t>
            </w:r>
          </w:p>
        </w:tc>
        <w:tc>
          <w:tcPr>
            <w:tcW w:w="5340" w:type="dxa"/>
            <w:vAlign w:val="bottom"/>
          </w:tcPr>
          <w:p>
            <w:pPr>
              <w:spacing w:after="0"/>
              <w:rPr>
                <w:sz w:val="19"/>
                <w:szCs w:val="19"/>
                <w:color w:val="auto"/>
              </w:rPr>
            </w:pPr>
          </w:p>
        </w:tc>
      </w:tr>
      <w:tr>
        <w:trPr>
          <w:trHeight w:val="230"/>
        </w:trPr>
        <w:tc>
          <w:tcPr>
            <w:tcW w:w="6080" w:type="dxa"/>
            <w:vAlign w:val="bottom"/>
            <w:gridSpan w:val="3"/>
          </w:tcPr>
          <w:p>
            <w:pPr>
              <w:spacing w:after="0"/>
              <w:rPr>
                <w:sz w:val="20"/>
                <w:szCs w:val="20"/>
                <w:color w:val="auto"/>
              </w:rPr>
            </w:pPr>
            <w:r>
              <w:rPr>
                <w:rFonts w:ascii="Arial" w:cs="Arial" w:eastAsia="Arial" w:hAnsi="Arial"/>
                <w:sz w:val="18"/>
                <w:szCs w:val="18"/>
                <w:color w:val="auto"/>
              </w:rPr>
              <w:t>10 July 2012</w:t>
            </w:r>
          </w:p>
        </w:tc>
        <w:tc>
          <w:tcPr>
            <w:tcW w:w="534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9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1" w:lineRule="exact"/>
        <w:rPr>
          <w:sz w:val="20"/>
          <w:szCs w:val="20"/>
          <w:color w:val="auto"/>
        </w:rPr>
      </w:pPr>
    </w:p>
    <w:p>
      <w:pPr>
        <w:ind w:left="900" w:right="6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sz w:val="20"/>
          <w:szCs w:val="20"/>
          <w:color w:val="auto"/>
        </w:rPr>
      </w:pPr>
    </w:p>
    <w:p>
      <w:pPr>
        <w:ind w:left="900" w:right="100" w:hanging="446"/>
        <w:spacing w:after="0" w:line="332"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2012</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9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1" w:lineRule="exact"/>
        <w:rPr>
          <w:sz w:val="20"/>
          <w:szCs w:val="20"/>
          <w:color w:val="auto"/>
        </w:rPr>
      </w:pPr>
    </w:p>
    <w:p>
      <w:pPr>
        <w:ind w:left="900" w:right="6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sz w:val="20"/>
          <w:szCs w:val="20"/>
          <w:color w:val="auto"/>
        </w:rPr>
      </w:pPr>
    </w:p>
    <w:p>
      <w:pPr>
        <w:ind w:left="900" w:right="100" w:hanging="446"/>
        <w:spacing w:after="0" w:line="332" w:lineRule="auto"/>
        <w:tabs>
          <w:tab w:leader="none" w:pos="9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2012</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90" w:lineRule="exact"/>
        <w:rPr>
          <w:sz w:val="20"/>
          <w:szCs w:val="20"/>
          <w:color w:val="auto"/>
        </w:rPr>
      </w:pPr>
    </w:p>
    <w:p>
      <w:pPr>
        <w:ind w:left="460" w:right="18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15, 2012 (the “Quarterly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Quarterly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July 26, 2012</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John E. Geller, Jr., Executive Vice President and Chief Financial Officer of Marriott Vacations Worldwide Corporation (the “Company”) certify that:</w:t>
      </w:r>
    </w:p>
    <w:p>
      <w:pPr>
        <w:spacing w:after="0" w:line="113" w:lineRule="exact"/>
        <w:rPr>
          <w:sz w:val="20"/>
          <w:szCs w:val="20"/>
          <w:color w:val="auto"/>
        </w:rPr>
      </w:pPr>
    </w:p>
    <w:p>
      <w:pPr>
        <w:ind w:left="460" w:right="18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15, 2012 (the “Quarterly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Quarterly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July 26, 2012</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8"/>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lowerLetter"/>
      <w:start w:val="9"/>
    </w:lvl>
  </w:abstractNum>
  <w:abstractNum w:abstractNumId="18">
    <w:nsid w:val="3006C83E"/>
    <w:multiLevelType w:val="hybridMultilevel"/>
    <w:lvl w:ilvl="0">
      <w:lvlJc w:val="left"/>
      <w:lvlText w:val="(%1)"/>
      <w:numFmt w:val="lowerLetter"/>
      <w:start w:val="2"/>
    </w:lvl>
  </w:abstractNum>
  <w:abstractNum w:abstractNumId="19">
    <w:nsid w:val="614FD4A1"/>
    <w:multiLevelType w:val="hybridMultilevel"/>
    <w:lvl w:ilvl="0">
      <w:lvlJc w:val="left"/>
      <w:lvlText w:val="(%1)"/>
      <w:numFmt w:val="lowerRoman"/>
      <w:start w:val="2"/>
    </w:lvl>
  </w:abstractNum>
  <w:abstractNum w:abstractNumId="20">
    <w:nsid w:val="419AC241"/>
    <w:multiLevelType w:val="hybridMultilevel"/>
    <w:lvl w:ilvl="0">
      <w:lvlJc w:val="left"/>
      <w:lvlText w:val="%1"/>
      <w:numFmt w:val="lowerLetter"/>
      <w:start w:val="1"/>
    </w:lvl>
    <w:lvl w:ilvl="1">
      <w:lvlJc w:val="left"/>
      <w:lvlText w:val="(%2)"/>
      <w:numFmt w:val="lowerLetter"/>
      <w:start w:val="1"/>
    </w:lvl>
  </w:abstractNum>
  <w:abstractNum w:abstractNumId="21">
    <w:nsid w:val="5577F8E1"/>
    <w:multiLevelType w:val="hybridMultilevel"/>
    <w:lvl w:ilvl="0">
      <w:lvlJc w:val="left"/>
      <w:lvlText w:val="(%1)"/>
      <w:numFmt w:val="lowerLetter"/>
      <w:start w:val="9"/>
    </w:lvl>
    <w:lvl w:ilvl="1">
      <w:lvlJc w:val="left"/>
      <w:lvlText w:val="%2"/>
      <w:numFmt w:val="lowerLetter"/>
      <w:start w:val="1"/>
    </w:lvl>
  </w:abstractNum>
  <w:abstractNum w:abstractNumId="22">
    <w:nsid w:val="440BADFC"/>
    <w:multiLevelType w:val="hybridMultilevel"/>
    <w:lvl w:ilvl="0">
      <w:lvlJc w:val="left"/>
      <w:lvlText w:val="(%1)"/>
      <w:numFmt w:val="lowerLetter"/>
      <w:start w:val="2"/>
    </w:lvl>
  </w:abstractNum>
  <w:abstractNum w:abstractNumId="23">
    <w:nsid w:val="5072367"/>
    <w:multiLevelType w:val="hybridMultilevel"/>
    <w:lvl w:ilvl="0">
      <w:lvlJc w:val="left"/>
      <w:lvlText w:val="(%1)"/>
      <w:numFmt w:val="lowerLetter"/>
      <w:start w:val="2"/>
    </w:lvl>
  </w:abstractNum>
  <w:abstractNum w:abstractNumId="24">
    <w:nsid w:val="3804823E"/>
    <w:multiLevelType w:val="hybridMultilevel"/>
    <w:lvl w:ilvl="0">
      <w:lvlJc w:val="left"/>
      <w:lvlText w:val="(%1)"/>
      <w:numFmt w:val="lowerLetter"/>
      <w:start w:val="1"/>
    </w:lvl>
  </w:abstractNum>
  <w:abstractNum w:abstractNumId="25">
    <w:nsid w:val="77465F01"/>
    <w:multiLevelType w:val="hybridMultilevel"/>
    <w:lvl w:ilvl="0">
      <w:lvlJc w:val="left"/>
      <w:lvlText w:val="(%1)"/>
      <w:numFmt w:val="lowerLetter"/>
      <w:start w:val="9"/>
    </w:lvl>
  </w:abstractNum>
  <w:abstractNum w:abstractNumId="26">
    <w:nsid w:val="7724C67E"/>
    <w:multiLevelType w:val="hybridMultilevel"/>
    <w:lvl w:ilvl="0">
      <w:lvlJc w:val="left"/>
      <w:lvlText w:val="(%1)"/>
      <w:numFmt w:val="lowerLetter"/>
      <w:start w:val="35"/>
    </w:lvl>
  </w:abstractNum>
  <w:abstractNum w:abstractNumId="27">
    <w:nsid w:val="5C482A97"/>
    <w:multiLevelType w:val="hybridMultilevel"/>
    <w:lvl w:ilvl="0">
      <w:lvlJc w:val="left"/>
      <w:lvlText w:val="%1"/>
      <w:numFmt w:val="lowerLetter"/>
      <w:start w:val="1"/>
    </w:lvl>
    <w:lvl w:ilvl="1">
      <w:lvlJc w:val="left"/>
      <w:lvlText w:val="(%2)"/>
      <w:numFmt w:val="lowerLetter"/>
      <w:start w:val="1"/>
    </w:lvl>
  </w:abstractNum>
  <w:abstractNum w:abstractNumId="28">
    <w:nsid w:val="2463B9EA"/>
    <w:multiLevelType w:val="hybridMultilevel"/>
    <w:lvl w:ilvl="0">
      <w:lvlJc w:val="left"/>
      <w:lvlText w:val="(%1)"/>
      <w:numFmt w:val="lowerLetter"/>
      <w:start w:val="9"/>
    </w:lvl>
    <w:lvl w:ilvl="1">
      <w:lvlJc w:val="left"/>
      <w:lvlText w:val="%2"/>
      <w:numFmt w:val="lowerLetter"/>
      <w:start w:val="1"/>
    </w:lvl>
  </w:abstractNum>
  <w:abstractNum w:abstractNumId="29">
    <w:nsid w:val="5E884ADC"/>
    <w:multiLevelType w:val="hybridMultilevel"/>
    <w:lvl w:ilvl="0">
      <w:lvlJc w:val="left"/>
      <w:lvlText w:val="(%1)"/>
      <w:numFmt w:val="lowerLetter"/>
      <w:start w:val="2"/>
    </w:lvl>
  </w:abstractNum>
  <w:abstractNum w:abstractNumId="30">
    <w:nsid w:val="51EAD36B"/>
    <w:multiLevelType w:val="hybridMultilevel"/>
    <w:lvl w:ilvl="0">
      <w:lvlJc w:val="left"/>
      <w:lvlText w:val="(%1)"/>
      <w:numFmt w:val="lowerLetter"/>
      <w:start w:val="2"/>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upperLetter"/>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3"/>
    </w:lvl>
    <w:lvl w:ilvl="1">
      <w:lvlJc w:val="left"/>
      <w:lvlText w:val="(%2)"/>
      <w:numFmt w:val="lowerLetter"/>
      <w:start w:val="1"/>
    </w:lvl>
  </w:abstractNum>
  <w:abstractNum w:abstractNumId="37">
    <w:nsid w:val="2A487CB0"/>
    <w:multiLevelType w:val="hybridMultilevel"/>
    <w:lvl w:ilvl="0">
      <w:lvlJc w:val="left"/>
      <w:lvlText w:val="(%1)"/>
      <w:numFmt w:val="lowerLetter"/>
      <w:start w:val="7"/>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1"/>
    </w:lvl>
    <w:lvl w:ilvl="1">
      <w:lvlJc w:val="left"/>
      <w:lvlText w:val="(%2)"/>
      <w:numFmt w:val="lowerLetter"/>
      <w:start w:val="3"/>
    </w:lvl>
  </w:abstractNum>
  <w:abstractNum w:abstractNumId="41">
    <w:nsid w:val="57E4CCAF"/>
    <w:multiLevelType w:val="hybridMultilevel"/>
    <w:lvl w:ilvl="0">
      <w:lvlJc w:val="left"/>
      <w:lvlText w:val="%1."/>
      <w:numFmt w:val="decimal"/>
      <w:start w:val="5"/>
    </w:lvl>
    <w:lvl w:ilvl="1">
      <w:lvlJc w:val="left"/>
      <w:lvlText w:val="(%2)"/>
      <w:numFmt w:val="lowerLetter"/>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3"/>
    </w:lvl>
  </w:abstractNum>
  <w:abstractNum w:abstractNumId="45">
    <w:nsid w:val="6DE91B18"/>
    <w:multiLevelType w:val="hybridMultilevel"/>
    <w:lvl w:ilvl="0">
      <w:lvlJc w:val="left"/>
      <w:lvlText w:val="%1."/>
      <w:numFmt w:val="decimal"/>
      <w:start w:val="5"/>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2019-12-09T20:30:04Z</dcterms:created>
  <dcterms:modified xsi:type="dcterms:W3CDTF">2019-12-09T20:30:04Z</dcterms:modified>
</cp:coreProperties>
</file>