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6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1522730</wp:posOffset>
            </wp:positionH>
            <wp:positionV relativeFrom="page">
              <wp:posOffset>705485</wp:posOffset>
            </wp:positionV>
            <wp:extent cx="48710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71085" cy="7620"/>
                    </a:xfrm>
                    <a:prstGeom prst="rect">
                      <a:avLst/>
                    </a:prstGeom>
                    <a:noFill/>
                  </pic:spPr>
                </pic:pic>
              </a:graphicData>
            </a:graphic>
          </wp:anchor>
        </w:drawing>
        <w:drawing>
          <wp:anchor simplePos="0" relativeHeight="251657728" behindDoc="1" locked="0" layoutInCell="0" allowOverlap="1">
            <wp:simplePos x="0" y="0"/>
            <wp:positionH relativeFrom="page">
              <wp:posOffset>1522730</wp:posOffset>
            </wp:positionH>
            <wp:positionV relativeFrom="page">
              <wp:posOffset>675005</wp:posOffset>
            </wp:positionV>
            <wp:extent cx="48710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1085" cy="7620"/>
                    </a:xfrm>
                    <a:prstGeom prst="rect">
                      <a:avLst/>
                    </a:prstGeom>
                    <a:noFill/>
                  </pic:spPr>
                </pic:pic>
              </a:graphicData>
            </a:graphic>
          </wp:anchor>
        </w:drawing>
        <w:t>UNITED STATES</w:t>
      </w:r>
    </w:p>
    <w:p>
      <w:pPr>
        <w:spacing w:after="0" w:line="48"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5" w:lineRule="exact"/>
        <w:rPr>
          <w:sz w:val="24"/>
          <w:szCs w:val="24"/>
          <w:color w:val="auto"/>
        </w:rPr>
      </w:pPr>
    </w:p>
    <w:p>
      <w:pPr>
        <w:ind w:left="2180" w:hanging="376"/>
        <w:spacing w:after="0"/>
        <w:tabs>
          <w:tab w:leader="none" w:pos="2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sz w:val="24"/>
          <w:szCs w:val="24"/>
          <w:color w:val="auto"/>
        </w:rPr>
      </w:pPr>
    </w:p>
    <w:p>
      <w:pPr>
        <w:ind w:left="2180" w:hanging="376"/>
        <w:spacing w:after="0"/>
        <w:tabs>
          <w:tab w:leader="none" w:pos="2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7" w:lineRule="exact"/>
        <w:rPr>
          <w:sz w:val="24"/>
          <w:szCs w:val="24"/>
          <w:color w:val="auto"/>
        </w:rPr>
      </w:pPr>
    </w:p>
    <w:p>
      <w:pPr>
        <w:ind w:left="37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-6985</wp:posOffset>
            </wp:positionV>
            <wp:extent cx="11353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5380" cy="7620"/>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001-35219</w:t>
      </w:r>
    </w:p>
    <w:p>
      <w:pPr>
        <w:spacing w:after="0" w:line="2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Marriott Vacations Worldwide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69" w:lineRule="exact"/>
        <w:rPr>
          <w:sz w:val="24"/>
          <w:szCs w:val="24"/>
          <w:color w:val="auto"/>
        </w:rPr>
      </w:pPr>
    </w:p>
    <w:tbl>
      <w:tblPr>
        <w:tblLayout w:type="fixed"/>
        <w:tblInd w:w="2760" w:type="dxa"/>
        <w:tblCellMar>
          <w:top w:w="0" w:type="dxa"/>
          <w:left w:w="0" w:type="dxa"/>
          <w:bottom w:w="0" w:type="dxa"/>
          <w:right w:w="0" w:type="dxa"/>
        </w:tblCellMar>
      </w:tblPr>
      <w:tr>
        <w:trPr>
          <w:trHeight w:val="209"/>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0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45-2598330</w:t>
            </w:r>
          </w:p>
        </w:tc>
      </w:tr>
      <w:tr>
        <w:trPr>
          <w:trHeight w:val="179"/>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60" w:type="dxa"/>
            <w:vAlign w:val="bottom"/>
          </w:tcPr>
          <w:p>
            <w:pPr>
              <w:jc w:val="center"/>
              <w:ind w:left="99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060" w:type="dxa"/>
            <w:vAlign w:val="bottom"/>
          </w:tcPr>
          <w:p>
            <w:pPr>
              <w:jc w:val="center"/>
              <w:ind w:left="101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4"/>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7812 Palm Parkway  Orlando FL</w:t>
            </w:r>
          </w:p>
        </w:tc>
        <w:tc>
          <w:tcPr>
            <w:tcW w:w="20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32836</w:t>
            </w:r>
          </w:p>
        </w:tc>
      </w:tr>
      <w:tr>
        <w:trPr>
          <w:trHeight w:val="166"/>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060" w:type="dxa"/>
            <w:vAlign w:val="bottom"/>
          </w:tcPr>
          <w:p>
            <w:pPr>
              <w:jc w:val="center"/>
              <w:ind w:left="101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5" w:lineRule="exact"/>
        <w:rPr>
          <w:sz w:val="24"/>
          <w:szCs w:val="24"/>
          <w:color w:val="auto"/>
        </w:rPr>
      </w:pPr>
    </w:p>
    <w:p>
      <w:pPr>
        <w:ind w:left="3400" w:right="3400" w:firstLine="287"/>
        <w:spacing w:after="0" w:line="281" w:lineRule="auto"/>
        <w:tabs>
          <w:tab w:leader="none" w:pos="406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206-6000 </w:t>
      </w:r>
      <w:r>
        <w:rPr>
          <w:rFonts w:ascii="Times New Roman" w:cs="Times New Roman" w:eastAsia="Times New Roman" w:hAnsi="Times New Roman"/>
          <w:sz w:val="12"/>
          <w:szCs w:val="12"/>
          <w:b w:val="1"/>
          <w:bCs w:val="1"/>
          <w:color w:val="auto"/>
        </w:rPr>
        <w:t>(Registrant’s telephone number, including area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4" w:lineRule="exact"/>
        <w:rPr>
          <w:sz w:val="24"/>
          <w:szCs w:val="24"/>
          <w:color w:val="auto"/>
        </w:rPr>
      </w:pPr>
    </w:p>
    <w:tbl>
      <w:tblPr>
        <w:tblLayout w:type="fixed"/>
        <w:tblInd w:w="1810" w:type="dxa"/>
        <w:tblCellMar>
          <w:top w:w="0" w:type="dxa"/>
          <w:left w:w="0" w:type="dxa"/>
          <w:bottom w:w="0" w:type="dxa"/>
          <w:right w:w="0" w:type="dxa"/>
        </w:tblCellMar>
      </w:tblPr>
      <w:tr>
        <w:trPr>
          <w:trHeight w:val="184"/>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2"/>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Common Stock, $0.01 Par Value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VAC</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New York Stock Exchange</w:t>
            </w:r>
          </w:p>
        </w:tc>
      </w:tr>
    </w:tbl>
    <w:p>
      <w:pPr>
        <w:spacing w:after="0" w:line="146" w:lineRule="exact"/>
        <w:rPr>
          <w:sz w:val="24"/>
          <w:szCs w:val="24"/>
          <w:color w:val="auto"/>
        </w:rPr>
      </w:pPr>
    </w:p>
    <w:p>
      <w:pPr>
        <w:ind w:right="20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ind w:right="16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22" w:right="339" w:bottom="1440" w:gutter="0" w:footer="0" w:header="0"/>
        </w:sectPr>
      </w:pPr>
    </w:p>
    <w:p>
      <w:pPr>
        <w:spacing w:after="0" w:line="20" w:lineRule="exact"/>
        <w:rPr>
          <w:sz w:val="24"/>
          <w:szCs w:val="24"/>
          <w:color w:val="auto"/>
        </w:rPr>
      </w:pPr>
    </w:p>
    <w:p>
      <w:pPr>
        <w:ind w:left="60" w:right="420"/>
        <w:spacing w:after="0" w:line="348"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400" w:lineRule="exact"/>
        <w:rPr>
          <w:sz w:val="24"/>
          <w:szCs w:val="24"/>
          <w:color w:val="auto"/>
        </w:rPr>
      </w:pPr>
    </w:p>
    <w:p>
      <w:pPr>
        <w:sectPr>
          <w:pgSz w:w="11900" w:h="16838" w:orient="portrait"/>
          <w:cols w:equalWidth="0" w:num="8">
            <w:col w:w="2120" w:space="720"/>
            <w:col w:w="140" w:space="360"/>
            <w:col w:w="1120" w:space="720"/>
            <w:col w:w="160" w:space="340"/>
            <w:col w:w="1340" w:space="720"/>
            <w:col w:w="140" w:space="340"/>
            <w:col w:w="1880" w:space="720"/>
            <w:col w:w="420"/>
          </w:cols>
          <w:pgMar w:left="320" w:top="1222" w:right="339" w:bottom="1440" w:gutter="0" w:footer="0" w:header="0"/>
          <w:type w:val="continuous"/>
        </w:sectPr>
      </w:pPr>
    </w:p>
    <w:p>
      <w:pPr>
        <w:ind w:right="14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jc w:val="both"/>
        <w:ind w:right="3640"/>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4"/>
          <w:szCs w:val="14"/>
          <w:color w:val="auto"/>
        </w:rPr>
        <w:t xml:space="preserve"> The number of shares outstanding of the issuer’s common stock, par value $0.01 per share, as of May 5, 2025 was 34,535,278.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651510</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92710</wp:posOffset>
            </wp:positionV>
            <wp:extent cx="48710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71085" cy="762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62230</wp:posOffset>
            </wp:positionV>
            <wp:extent cx="4871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71085" cy="762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 w:name="page2"/>
    <w:bookmarkEnd w:id="1"/>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FORM 10-Q TABLE OF CONTENTS</w:t>
      </w:r>
    </w:p>
    <w:p>
      <w:pPr>
        <w:spacing w:after="0" w:line="30"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5940" w:type="dxa"/>
            <w:vAlign w:val="bottom"/>
            <w:gridSpan w:val="35"/>
            <w:vMerge w:val="restart"/>
          </w:tcPr>
          <w:p>
            <w:pPr>
              <w:spacing w:after="0"/>
              <w:rPr>
                <w:sz w:val="20"/>
                <w:szCs w:val="20"/>
                <w:color w:val="auto"/>
              </w:rPr>
            </w:pPr>
            <w:r>
              <w:rPr>
                <w:rFonts w:ascii="Times New Roman" w:cs="Times New Roman" w:eastAsia="Times New Roman" w:hAnsi="Times New Roman"/>
                <w:sz w:val="15"/>
                <w:szCs w:val="15"/>
                <w:b w:val="1"/>
                <w:bCs w:val="1"/>
                <w:color w:val="0000FF"/>
              </w:rPr>
              <w:t>FINANCIAL INFORMATION</w:t>
            </w: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5940" w:type="dxa"/>
            <w:vAlign w:val="bottom"/>
            <w:gridSpan w:val="35"/>
            <w:vMerge w:val="continue"/>
          </w:tcPr>
          <w:p>
            <w:pPr>
              <w:spacing w:after="0"/>
              <w:rPr>
                <w:sz w:val="12"/>
                <w:szCs w:val="12"/>
                <w:color w:val="auto"/>
              </w:rPr>
            </w:pPr>
          </w:p>
        </w:tc>
        <w:tc>
          <w:tcPr>
            <w:tcW w:w="48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w:t>
            </w:r>
          </w:p>
        </w:tc>
        <w:tc>
          <w:tcPr>
            <w:tcW w:w="160" w:type="dxa"/>
            <w:vAlign w:val="bottom"/>
          </w:tcPr>
          <w:p>
            <w:pPr>
              <w:spacing w:after="0"/>
              <w:rPr>
                <w:sz w:val="17"/>
                <w:szCs w:val="17"/>
                <w:color w:val="auto"/>
              </w:rPr>
            </w:pPr>
          </w:p>
        </w:tc>
        <w:tc>
          <w:tcPr>
            <w:tcW w:w="1820" w:type="dxa"/>
            <w:vAlign w:val="bottom"/>
            <w:gridSpan w:val="16"/>
          </w:tcPr>
          <w:p>
            <w:pPr>
              <w:spacing w:after="0"/>
              <w:rPr>
                <w:sz w:val="20"/>
                <w:szCs w:val="20"/>
                <w:color w:val="auto"/>
              </w:rPr>
            </w:pPr>
            <w:r>
              <w:rPr>
                <w:rFonts w:ascii="Times New Roman" w:cs="Times New Roman" w:eastAsia="Times New Roman" w:hAnsi="Times New Roman"/>
                <w:sz w:val="15"/>
                <w:szCs w:val="15"/>
                <w:color w:val="0000FF"/>
              </w:rPr>
              <w:t>Financial Statements</w:t>
            </w:r>
          </w:p>
        </w:tc>
        <w:tc>
          <w:tcPr>
            <w:tcW w:w="3960" w:type="dxa"/>
            <w:vAlign w:val="bottom"/>
            <w:gridSpan w:val="1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25"/>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Income</w:t>
            </w:r>
          </w:p>
        </w:tc>
        <w:tc>
          <w:tcPr>
            <w:tcW w:w="2940" w:type="dxa"/>
            <w:vAlign w:val="bottom"/>
            <w:gridSpan w:val="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Comprehensive Income</w:t>
            </w:r>
          </w:p>
        </w:tc>
        <w:tc>
          <w:tcPr>
            <w:tcW w:w="1960" w:type="dxa"/>
            <w:vAlign w:val="bottom"/>
            <w:gridSpan w:val="4"/>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Interim Consolidated Balance Sheets</w:t>
            </w:r>
          </w:p>
        </w:tc>
        <w:tc>
          <w:tcPr>
            <w:tcW w:w="1960" w:type="dxa"/>
            <w:vAlign w:val="bottom"/>
            <w:gridSpan w:val="4"/>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27"/>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Cash Flows</w:t>
            </w:r>
          </w:p>
        </w:tc>
        <w:tc>
          <w:tcPr>
            <w:tcW w:w="2680" w:type="dxa"/>
            <w:vAlign w:val="bottom"/>
            <w:gridSpan w:val="6"/>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28"/>
          </w:tcPr>
          <w:p>
            <w:pPr>
              <w:spacing w:after="0"/>
              <w:rPr>
                <w:sz w:val="20"/>
                <w:szCs w:val="20"/>
                <w:color w:val="auto"/>
              </w:rPr>
            </w:pPr>
            <w:r>
              <w:rPr>
                <w:rFonts w:ascii="Times New Roman" w:cs="Times New Roman" w:eastAsia="Times New Roman" w:hAnsi="Times New Roman"/>
                <w:sz w:val="15"/>
                <w:szCs w:val="15"/>
                <w:color w:val="0000FF"/>
                <w:w w:val="97"/>
              </w:rPr>
              <w:t>Interim Consolidated Statements of Stockholders’ Equity</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gridSpan w:val="30"/>
          </w:tcPr>
          <w:p>
            <w:pPr>
              <w:spacing w:after="0"/>
              <w:rPr>
                <w:sz w:val="20"/>
                <w:szCs w:val="20"/>
                <w:color w:val="auto"/>
              </w:rPr>
            </w:pPr>
            <w:r>
              <w:rPr>
                <w:rFonts w:ascii="Times New Roman" w:cs="Times New Roman" w:eastAsia="Times New Roman" w:hAnsi="Times New Roman"/>
                <w:sz w:val="15"/>
                <w:szCs w:val="15"/>
                <w:color w:val="0000FF"/>
                <w:w w:val="99"/>
              </w:rPr>
              <w:t>Interim Condensed Notes to Consolidated Financial Statements</w:t>
            </w:r>
          </w:p>
        </w:tc>
        <w:tc>
          <w:tcPr>
            <w:tcW w:w="1760" w:type="dxa"/>
            <w:vAlign w:val="bottom"/>
            <w:gridSpan w:val="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1.</w:t>
            </w:r>
          </w:p>
        </w:tc>
        <w:tc>
          <w:tcPr>
            <w:tcW w:w="3380" w:type="dxa"/>
            <w:vAlign w:val="bottom"/>
            <w:gridSpan w:val="28"/>
          </w:tcPr>
          <w:p>
            <w:pPr>
              <w:ind w:left="20"/>
              <w:spacing w:after="0"/>
              <w:rPr>
                <w:sz w:val="20"/>
                <w:szCs w:val="20"/>
                <w:color w:val="auto"/>
              </w:rPr>
            </w:pPr>
            <w:r>
              <w:rPr>
                <w:rFonts w:ascii="Times New Roman" w:cs="Times New Roman" w:eastAsia="Times New Roman" w:hAnsi="Times New Roman"/>
                <w:sz w:val="15"/>
                <w:szCs w:val="15"/>
                <w:color w:val="0000FF"/>
              </w:rPr>
              <w:t>Basis of Presentation</w:t>
            </w:r>
          </w:p>
        </w:tc>
        <w:tc>
          <w:tcPr>
            <w:tcW w:w="1760" w:type="dxa"/>
            <w:vAlign w:val="bottom"/>
            <w:gridSpan w:val="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2.</w:t>
            </w:r>
          </w:p>
        </w:tc>
        <w:tc>
          <w:tcPr>
            <w:tcW w:w="4000" w:type="dxa"/>
            <w:vAlign w:val="bottom"/>
            <w:gridSpan w:val="29"/>
          </w:tcPr>
          <w:p>
            <w:pPr>
              <w:ind w:left="20"/>
              <w:spacing w:after="0"/>
              <w:rPr>
                <w:sz w:val="20"/>
                <w:szCs w:val="20"/>
                <w:color w:val="auto"/>
              </w:rPr>
            </w:pPr>
            <w:r>
              <w:rPr>
                <w:rFonts w:ascii="Times New Roman" w:cs="Times New Roman" w:eastAsia="Times New Roman" w:hAnsi="Times New Roman"/>
                <w:sz w:val="15"/>
                <w:szCs w:val="15"/>
                <w:color w:val="0000FF"/>
                <w:w w:val="99"/>
              </w:rPr>
              <w:t>Significant Accounting Policies and Recent Accounting Standards</w:t>
            </w:r>
          </w:p>
        </w:tc>
        <w:tc>
          <w:tcPr>
            <w:tcW w:w="1140" w:type="dxa"/>
            <w:vAlign w:val="bottom"/>
            <w:gridSpan w:val="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3.</w:t>
            </w:r>
          </w:p>
        </w:tc>
        <w:tc>
          <w:tcPr>
            <w:tcW w:w="1560" w:type="dxa"/>
            <w:vAlign w:val="bottom"/>
            <w:gridSpan w:val="18"/>
          </w:tcPr>
          <w:p>
            <w:pPr>
              <w:ind w:left="20"/>
              <w:spacing w:after="0"/>
              <w:rPr>
                <w:sz w:val="20"/>
                <w:szCs w:val="20"/>
                <w:color w:val="auto"/>
              </w:rPr>
            </w:pPr>
            <w:r>
              <w:rPr>
                <w:rFonts w:ascii="Times New Roman" w:cs="Times New Roman" w:eastAsia="Times New Roman" w:hAnsi="Times New Roman"/>
                <w:sz w:val="15"/>
                <w:szCs w:val="15"/>
                <w:color w:val="0000FF"/>
                <w:w w:val="98"/>
              </w:rPr>
              <w:t>Revenue and Receivables</w:t>
            </w:r>
          </w:p>
        </w:tc>
        <w:tc>
          <w:tcPr>
            <w:tcW w:w="2440" w:type="dxa"/>
            <w:vAlign w:val="bottom"/>
            <w:gridSpan w:val="11"/>
          </w:tcPr>
          <w:p>
            <w:pPr>
              <w:spacing w:after="0"/>
              <w:rPr>
                <w:sz w:val="17"/>
                <w:szCs w:val="17"/>
                <w:color w:val="auto"/>
              </w:rPr>
            </w:pPr>
          </w:p>
        </w:tc>
        <w:tc>
          <w:tcPr>
            <w:tcW w:w="1140" w:type="dxa"/>
            <w:vAlign w:val="bottom"/>
            <w:gridSpan w:val="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4.</w:t>
            </w:r>
          </w:p>
        </w:tc>
        <w:tc>
          <w:tcPr>
            <w:tcW w:w="860" w:type="dxa"/>
            <w:vAlign w:val="bottom"/>
            <w:gridSpan w:val="8"/>
          </w:tcPr>
          <w:p>
            <w:pPr>
              <w:ind w:left="20"/>
              <w:spacing w:after="0"/>
              <w:rPr>
                <w:sz w:val="20"/>
                <w:szCs w:val="20"/>
                <w:color w:val="auto"/>
              </w:rPr>
            </w:pPr>
            <w:r>
              <w:rPr>
                <w:rFonts w:ascii="Times New Roman" w:cs="Times New Roman" w:eastAsia="Times New Roman" w:hAnsi="Times New Roman"/>
                <w:sz w:val="15"/>
                <w:szCs w:val="15"/>
                <w:color w:val="0000FF"/>
                <w:w w:val="96"/>
              </w:rPr>
              <w:t>Income Taxes</w:t>
            </w:r>
          </w:p>
        </w:tc>
        <w:tc>
          <w:tcPr>
            <w:tcW w:w="700" w:type="dxa"/>
            <w:vAlign w:val="bottom"/>
            <w:gridSpan w:val="10"/>
          </w:tcPr>
          <w:p>
            <w:pPr>
              <w:spacing w:after="0"/>
              <w:rPr>
                <w:sz w:val="17"/>
                <w:szCs w:val="17"/>
                <w:color w:val="auto"/>
              </w:rPr>
            </w:pPr>
          </w:p>
        </w:tc>
        <w:tc>
          <w:tcPr>
            <w:tcW w:w="3580" w:type="dxa"/>
            <w:vAlign w:val="bottom"/>
            <w:gridSpan w:val="1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5.</w:t>
            </w:r>
          </w:p>
        </w:tc>
        <w:tc>
          <w:tcPr>
            <w:tcW w:w="5140" w:type="dxa"/>
            <w:vAlign w:val="bottom"/>
            <w:gridSpan w:val="31"/>
          </w:tcPr>
          <w:p>
            <w:pPr>
              <w:ind w:left="20"/>
              <w:spacing w:after="0"/>
              <w:rPr>
                <w:sz w:val="20"/>
                <w:szCs w:val="20"/>
                <w:color w:val="auto"/>
              </w:rPr>
            </w:pPr>
            <w:r>
              <w:rPr>
                <w:rFonts w:ascii="Times New Roman" w:cs="Times New Roman" w:eastAsia="Times New Roman" w:hAnsi="Times New Roman"/>
                <w:sz w:val="15"/>
                <w:szCs w:val="15"/>
                <w:color w:val="0000FF"/>
              </w:rPr>
              <w:t>Vacation Ownership Notes Receivable</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6.</w:t>
            </w:r>
          </w:p>
        </w:tc>
        <w:tc>
          <w:tcPr>
            <w:tcW w:w="132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0000FF"/>
                <w:w w:val="98"/>
              </w:rPr>
              <w:t>Financial Instruments</w:t>
            </w:r>
          </w:p>
        </w:tc>
        <w:tc>
          <w:tcPr>
            <w:tcW w:w="1000" w:type="dxa"/>
            <w:vAlign w:val="bottom"/>
            <w:gridSpan w:val="8"/>
          </w:tcPr>
          <w:p>
            <w:pPr>
              <w:spacing w:after="0"/>
              <w:rPr>
                <w:sz w:val="17"/>
                <w:szCs w:val="17"/>
                <w:color w:val="auto"/>
              </w:rPr>
            </w:pPr>
          </w:p>
        </w:tc>
        <w:tc>
          <w:tcPr>
            <w:tcW w:w="2820" w:type="dxa"/>
            <w:vAlign w:val="bottom"/>
            <w:gridSpan w:val="7"/>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7.</w:t>
            </w:r>
          </w:p>
        </w:tc>
        <w:tc>
          <w:tcPr>
            <w:tcW w:w="1320" w:type="dxa"/>
            <w:vAlign w:val="bottom"/>
            <w:gridSpan w:val="16"/>
          </w:tcPr>
          <w:p>
            <w:pPr>
              <w:ind w:left="20"/>
              <w:spacing w:after="0"/>
              <w:rPr>
                <w:sz w:val="20"/>
                <w:szCs w:val="20"/>
                <w:color w:val="auto"/>
              </w:rPr>
            </w:pPr>
            <w:r>
              <w:rPr>
                <w:rFonts w:ascii="Times New Roman" w:cs="Times New Roman" w:eastAsia="Times New Roman" w:hAnsi="Times New Roman"/>
                <w:sz w:val="15"/>
                <w:szCs w:val="15"/>
                <w:color w:val="0000FF"/>
              </w:rPr>
              <w:t>Earnings Per Share</w:t>
            </w:r>
          </w:p>
        </w:tc>
        <w:tc>
          <w:tcPr>
            <w:tcW w:w="3820" w:type="dxa"/>
            <w:vAlign w:val="bottom"/>
            <w:gridSpan w:val="1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8.</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w w:val="95"/>
              </w:rPr>
              <w:t>Inventory</w:t>
            </w:r>
          </w:p>
        </w:tc>
        <w:tc>
          <w:tcPr>
            <w:tcW w:w="560" w:type="dxa"/>
            <w:vAlign w:val="bottom"/>
            <w:gridSpan w:val="7"/>
          </w:tcPr>
          <w:p>
            <w:pPr>
              <w:spacing w:after="0"/>
              <w:rPr>
                <w:sz w:val="17"/>
                <w:szCs w:val="17"/>
                <w:color w:val="auto"/>
              </w:rPr>
            </w:pPr>
          </w:p>
        </w:tc>
        <w:tc>
          <w:tcPr>
            <w:tcW w:w="3980" w:type="dxa"/>
            <w:vAlign w:val="bottom"/>
            <w:gridSpan w:val="1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9.</w:t>
            </w:r>
          </w:p>
        </w:tc>
        <w:tc>
          <w:tcPr>
            <w:tcW w:w="2020" w:type="dxa"/>
            <w:vAlign w:val="bottom"/>
            <w:gridSpan w:val="22"/>
          </w:tcPr>
          <w:p>
            <w:pPr>
              <w:ind w:left="20"/>
              <w:spacing w:after="0"/>
              <w:rPr>
                <w:sz w:val="20"/>
                <w:szCs w:val="20"/>
                <w:color w:val="auto"/>
              </w:rPr>
            </w:pPr>
            <w:r>
              <w:rPr>
                <w:rFonts w:ascii="Times New Roman" w:cs="Times New Roman" w:eastAsia="Times New Roman" w:hAnsi="Times New Roman"/>
                <w:sz w:val="15"/>
                <w:szCs w:val="15"/>
                <w:color w:val="0000FF"/>
                <w:w w:val="98"/>
              </w:rPr>
              <w:t>Contingencies and Commitments</w:t>
            </w:r>
          </w:p>
        </w:tc>
        <w:tc>
          <w:tcPr>
            <w:tcW w:w="3120" w:type="dxa"/>
            <w:vAlign w:val="bottom"/>
            <w:gridSpan w:val="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w w:val="97"/>
              </w:rPr>
              <w:t>10. Securitized Debt</w:t>
            </w:r>
          </w:p>
        </w:tc>
        <w:tc>
          <w:tcPr>
            <w:tcW w:w="920" w:type="dxa"/>
            <w:vAlign w:val="bottom"/>
            <w:gridSpan w:val="11"/>
          </w:tcPr>
          <w:p>
            <w:pPr>
              <w:spacing w:after="0"/>
              <w:rPr>
                <w:sz w:val="17"/>
                <w:szCs w:val="17"/>
                <w:color w:val="auto"/>
              </w:rPr>
            </w:pPr>
          </w:p>
        </w:tc>
        <w:tc>
          <w:tcPr>
            <w:tcW w:w="3120" w:type="dxa"/>
            <w:vAlign w:val="bottom"/>
            <w:gridSpan w:val="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5"/>
                <w:szCs w:val="15"/>
                <w:color w:val="0000FF"/>
                <w:w w:val="92"/>
              </w:rPr>
              <w:t>11. Debt</w:t>
            </w:r>
          </w:p>
        </w:tc>
        <w:tc>
          <w:tcPr>
            <w:tcW w:w="720" w:type="dxa"/>
            <w:vAlign w:val="bottom"/>
            <w:gridSpan w:val="9"/>
          </w:tcPr>
          <w:p>
            <w:pPr>
              <w:spacing w:after="0"/>
              <w:rPr>
                <w:sz w:val="17"/>
                <w:szCs w:val="17"/>
                <w:color w:val="auto"/>
              </w:rPr>
            </w:pPr>
          </w:p>
        </w:tc>
        <w:tc>
          <w:tcPr>
            <w:tcW w:w="4040" w:type="dxa"/>
            <w:vAlign w:val="bottom"/>
            <w:gridSpan w:val="20"/>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gridSpan w:val="32"/>
          </w:tcPr>
          <w:p>
            <w:pPr>
              <w:spacing w:after="0"/>
              <w:rPr>
                <w:sz w:val="20"/>
                <w:szCs w:val="20"/>
                <w:color w:val="auto"/>
              </w:rPr>
            </w:pPr>
            <w:r>
              <w:rPr>
                <w:rFonts w:ascii="Times New Roman" w:cs="Times New Roman" w:eastAsia="Times New Roman" w:hAnsi="Times New Roman"/>
                <w:sz w:val="15"/>
                <w:szCs w:val="15"/>
                <w:color w:val="0000FF"/>
              </w:rPr>
              <w:t>12. Stockholders’ Equity</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1"/>
          </w:tcPr>
          <w:p>
            <w:pPr>
              <w:spacing w:after="0"/>
              <w:rPr>
                <w:sz w:val="20"/>
                <w:szCs w:val="20"/>
                <w:color w:val="auto"/>
              </w:rPr>
            </w:pPr>
            <w:r>
              <w:rPr>
                <w:rFonts w:ascii="Times New Roman" w:cs="Times New Roman" w:eastAsia="Times New Roman" w:hAnsi="Times New Roman"/>
                <w:sz w:val="15"/>
                <w:szCs w:val="15"/>
                <w:color w:val="0000FF"/>
                <w:w w:val="98"/>
              </w:rPr>
              <w:t>13. Share-Based Compensation</w:t>
            </w:r>
          </w:p>
        </w:tc>
        <w:tc>
          <w:tcPr>
            <w:tcW w:w="3380" w:type="dxa"/>
            <w:vAlign w:val="bottom"/>
            <w:gridSpan w:val="1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w w:val="97"/>
              </w:rPr>
              <w:t>14. Variable Interest Entities</w:t>
            </w:r>
          </w:p>
        </w:tc>
        <w:tc>
          <w:tcPr>
            <w:tcW w:w="180" w:type="dxa"/>
            <w:vAlign w:val="bottom"/>
          </w:tcPr>
          <w:p>
            <w:pPr>
              <w:spacing w:after="0"/>
              <w:rPr>
                <w:sz w:val="17"/>
                <w:szCs w:val="17"/>
                <w:color w:val="auto"/>
              </w:rPr>
            </w:pPr>
          </w:p>
        </w:tc>
        <w:tc>
          <w:tcPr>
            <w:tcW w:w="3380" w:type="dxa"/>
            <w:vAlign w:val="bottom"/>
            <w:gridSpan w:val="1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rPr>
              <w:t>15. Business Segments</w:t>
            </w:r>
          </w:p>
        </w:tc>
        <w:tc>
          <w:tcPr>
            <w:tcW w:w="3560" w:type="dxa"/>
            <w:vAlign w:val="bottom"/>
            <w:gridSpan w:val="1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15"/>
          </w:tcPr>
          <w:p>
            <w:pPr>
              <w:spacing w:after="0"/>
              <w:rPr>
                <w:sz w:val="20"/>
                <w:szCs w:val="20"/>
                <w:color w:val="auto"/>
              </w:rPr>
            </w:pPr>
            <w:r>
              <w:rPr>
                <w:rFonts w:ascii="Times New Roman" w:cs="Times New Roman" w:eastAsia="Times New Roman" w:hAnsi="Times New Roman"/>
                <w:sz w:val="15"/>
                <w:szCs w:val="15"/>
                <w:color w:val="0000FF"/>
              </w:rPr>
              <w:t>16. Restructuring</w:t>
            </w:r>
          </w:p>
        </w:tc>
        <w:tc>
          <w:tcPr>
            <w:tcW w:w="3900" w:type="dxa"/>
            <w:vAlign w:val="bottom"/>
            <w:gridSpan w:val="17"/>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100" w:type="dxa"/>
            <w:vAlign w:val="bottom"/>
            <w:gridSpan w:val="17"/>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2.</w:t>
            </w:r>
          </w:p>
        </w:tc>
        <w:tc>
          <w:tcPr>
            <w:tcW w:w="160" w:type="dxa"/>
            <w:vAlign w:val="bottom"/>
          </w:tcPr>
          <w:p>
            <w:pPr>
              <w:spacing w:after="0"/>
              <w:rPr>
                <w:sz w:val="17"/>
                <w:szCs w:val="17"/>
                <w:color w:val="auto"/>
              </w:rPr>
            </w:pPr>
          </w:p>
        </w:tc>
        <w:tc>
          <w:tcPr>
            <w:tcW w:w="5780" w:type="dxa"/>
            <w:vAlign w:val="bottom"/>
            <w:gridSpan w:val="34"/>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30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100" w:type="dxa"/>
            <w:vAlign w:val="bottom"/>
            <w:gridSpan w:val="17"/>
            <w:shd w:val="clear" w:color="auto" w:fill="0000FF"/>
          </w:tcPr>
          <w:p>
            <w:pPr>
              <w:spacing w:after="0" w:line="20" w:lineRule="exact"/>
              <w:rPr>
                <w:sz w:val="1"/>
                <w:szCs w:val="1"/>
                <w:color w:val="auto"/>
              </w:rPr>
            </w:pPr>
          </w:p>
        </w:tc>
        <w:tc>
          <w:tcPr>
            <w:tcW w:w="176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3.</w:t>
            </w:r>
          </w:p>
        </w:tc>
        <w:tc>
          <w:tcPr>
            <w:tcW w:w="160" w:type="dxa"/>
            <w:vAlign w:val="bottom"/>
          </w:tcPr>
          <w:p>
            <w:pPr>
              <w:spacing w:after="0"/>
              <w:rPr>
                <w:sz w:val="17"/>
                <w:szCs w:val="17"/>
                <w:color w:val="auto"/>
              </w:rPr>
            </w:pPr>
          </w:p>
        </w:tc>
        <w:tc>
          <w:tcPr>
            <w:tcW w:w="362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w w:val="98"/>
              </w:rPr>
              <w:t>Quantitative and Qualitative Disclosures About Market Risk</w:t>
            </w:r>
          </w:p>
        </w:tc>
        <w:tc>
          <w:tcPr>
            <w:tcW w:w="176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100" w:type="dxa"/>
            <w:vAlign w:val="bottom"/>
            <w:gridSpan w:val="17"/>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4.</w:t>
            </w:r>
          </w:p>
        </w:tc>
        <w:tc>
          <w:tcPr>
            <w:tcW w:w="160" w:type="dxa"/>
            <w:vAlign w:val="bottom"/>
          </w:tcPr>
          <w:p>
            <w:pPr>
              <w:spacing w:after="0"/>
              <w:rPr>
                <w:sz w:val="17"/>
                <w:szCs w:val="17"/>
                <w:color w:val="auto"/>
              </w:rPr>
            </w:pPr>
          </w:p>
        </w:tc>
        <w:tc>
          <w:tcPr>
            <w:tcW w:w="362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Controls and Procedures</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1680" w:type="dxa"/>
            <w:vAlign w:val="bottom"/>
            <w:gridSpan w:val="13"/>
          </w:tcPr>
          <w:p>
            <w:pPr>
              <w:spacing w:after="0"/>
              <w:rPr>
                <w:sz w:val="20"/>
                <w:szCs w:val="20"/>
                <w:color w:val="auto"/>
              </w:rPr>
            </w:pPr>
            <w:r>
              <w:rPr>
                <w:rFonts w:ascii="Times New Roman" w:cs="Times New Roman" w:eastAsia="Times New Roman" w:hAnsi="Times New Roman"/>
                <w:sz w:val="15"/>
                <w:szCs w:val="15"/>
                <w:b w:val="1"/>
                <w:bCs w:val="1"/>
                <w:color w:val="0000FF"/>
                <w:w w:val="97"/>
              </w:rPr>
              <w:t>OTHER INFORMATION</w:t>
            </w:r>
          </w:p>
        </w:tc>
        <w:tc>
          <w:tcPr>
            <w:tcW w:w="4260" w:type="dxa"/>
            <w:vAlign w:val="bottom"/>
            <w:gridSpan w:val="2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w:t>
            </w:r>
          </w:p>
        </w:tc>
        <w:tc>
          <w:tcPr>
            <w:tcW w:w="160" w:type="dxa"/>
            <w:vAlign w:val="bottom"/>
          </w:tcPr>
          <w:p>
            <w:pPr>
              <w:spacing w:after="0"/>
              <w:rPr>
                <w:sz w:val="17"/>
                <w:szCs w:val="17"/>
                <w:color w:val="auto"/>
              </w:rPr>
            </w:pPr>
          </w:p>
        </w:tc>
        <w:tc>
          <w:tcPr>
            <w:tcW w:w="152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Legal Proceedings</w:t>
            </w:r>
          </w:p>
        </w:tc>
        <w:tc>
          <w:tcPr>
            <w:tcW w:w="2100" w:type="dxa"/>
            <w:vAlign w:val="bottom"/>
            <w:gridSpan w:val="17"/>
          </w:tcPr>
          <w:p>
            <w:pPr>
              <w:spacing w:after="0"/>
              <w:rPr>
                <w:sz w:val="17"/>
                <w:szCs w:val="17"/>
                <w:color w:val="auto"/>
              </w:rPr>
            </w:pP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520" w:type="dxa"/>
            <w:vAlign w:val="bottom"/>
            <w:gridSpan w:val="23"/>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1A.</w:t>
            </w:r>
          </w:p>
        </w:tc>
        <w:tc>
          <w:tcPr>
            <w:tcW w:w="160" w:type="dxa"/>
            <w:vAlign w:val="bottom"/>
          </w:tcPr>
          <w:p>
            <w:pPr>
              <w:spacing w:after="0"/>
              <w:rPr>
                <w:sz w:val="17"/>
                <w:szCs w:val="17"/>
                <w:color w:val="auto"/>
              </w:rPr>
            </w:pPr>
          </w:p>
        </w:tc>
        <w:tc>
          <w:tcPr>
            <w:tcW w:w="362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Risk Factors</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520" w:type="dxa"/>
            <w:vAlign w:val="bottom"/>
            <w:gridSpan w:val="2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2.</w:t>
            </w:r>
          </w:p>
        </w:tc>
        <w:tc>
          <w:tcPr>
            <w:tcW w:w="160" w:type="dxa"/>
            <w:vAlign w:val="bottom"/>
          </w:tcPr>
          <w:p>
            <w:pPr>
              <w:spacing w:after="0"/>
              <w:rPr>
                <w:sz w:val="17"/>
                <w:szCs w:val="17"/>
                <w:color w:val="auto"/>
              </w:rPr>
            </w:pPr>
          </w:p>
        </w:tc>
        <w:tc>
          <w:tcPr>
            <w:tcW w:w="5780" w:type="dxa"/>
            <w:vAlign w:val="bottom"/>
            <w:gridSpan w:val="34"/>
          </w:tcPr>
          <w:p>
            <w:pPr>
              <w:spacing w:after="0"/>
              <w:rPr>
                <w:sz w:val="20"/>
                <w:szCs w:val="20"/>
                <w:color w:val="auto"/>
              </w:rPr>
            </w:pPr>
            <w:r>
              <w:rPr>
                <w:rFonts w:ascii="Times New Roman" w:cs="Times New Roman" w:eastAsia="Times New Roman" w:hAnsi="Times New Roman"/>
                <w:sz w:val="15"/>
                <w:szCs w:val="15"/>
                <w:color w:val="0000FF"/>
              </w:rPr>
              <w:t>Unregistered Sales of Equity Securities and Use of Proceeds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520" w:type="dxa"/>
            <w:vAlign w:val="bottom"/>
            <w:gridSpan w:val="23"/>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5.</w:t>
            </w:r>
          </w:p>
        </w:tc>
        <w:tc>
          <w:tcPr>
            <w:tcW w:w="160" w:type="dxa"/>
            <w:vAlign w:val="bottom"/>
          </w:tcPr>
          <w:p>
            <w:pPr>
              <w:spacing w:after="0"/>
              <w:rPr>
                <w:sz w:val="17"/>
                <w:szCs w:val="17"/>
                <w:color w:val="auto"/>
              </w:rPr>
            </w:pPr>
          </w:p>
        </w:tc>
        <w:tc>
          <w:tcPr>
            <w:tcW w:w="362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6.</w:t>
            </w:r>
          </w:p>
        </w:tc>
        <w:tc>
          <w:tcPr>
            <w:tcW w:w="1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w w:val="95"/>
              </w:rPr>
              <w:t>Exhibits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40" w:type="dxa"/>
            <w:vAlign w:val="bottom"/>
            <w:gridSpan w:val="3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5940" w:type="dxa"/>
            <w:vAlign w:val="bottom"/>
            <w:gridSpan w:val="35"/>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589915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0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INCOME</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 except per share amounts)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93" w:lineRule="exact"/>
        <w:rPr>
          <w:sz w:val="20"/>
          <w:szCs w:val="20"/>
          <w:color w:val="auto"/>
        </w:rPr>
      </w:pPr>
    </w:p>
    <w:tbl>
      <w:tblPr>
        <w:tblLayout w:type="fixed"/>
        <w:tblInd w:w="1880" w:type="dxa"/>
        <w:tblCellMar>
          <w:top w:w="0" w:type="dxa"/>
          <w:left w:w="0" w:type="dxa"/>
          <w:bottom w:w="0" w:type="dxa"/>
          <w:right w:w="0" w:type="dxa"/>
        </w:tblCellMar>
      </w:tblPr>
      <w:tr>
        <w:trPr>
          <w:trHeight w:val="208"/>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5"/>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7"/>
              </w:rPr>
              <w:t>March 31, 2024</w:t>
            </w:r>
          </w:p>
        </w:tc>
      </w:tr>
      <w:tr>
        <w:trPr>
          <w:trHeight w:val="20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r>
      <w:tr>
        <w:trPr>
          <w:trHeight w:val="225"/>
        </w:trPr>
        <w:tc>
          <w:tcPr>
            <w:tcW w:w="4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r>
      <w:tr>
        <w:trPr>
          <w:trHeight w:val="205"/>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1,195</w:t>
            </w:r>
          </w:p>
        </w:tc>
      </w:tr>
      <w:tr>
        <w:trPr>
          <w:trHeight w:val="199"/>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1"/>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Royalty fee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r>
      <w:tr>
        <w:trPr>
          <w:trHeight w:val="205"/>
        </w:trPr>
        <w:tc>
          <w:tcPr>
            <w:tcW w:w="48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1,058</w:t>
            </w:r>
          </w:p>
        </w:tc>
      </w:tr>
      <w:tr>
        <w:trPr>
          <w:trHeight w:val="20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34"/>
        </w:trPr>
        <w:tc>
          <w:tcPr>
            <w:tcW w:w="486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INCOME BEFORE INCOME TAXES AND NONCONTROLLING</w:t>
            </w: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r>
      <w:tr>
        <w:trPr>
          <w:trHeight w:val="225"/>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r>
      <w:tr>
        <w:trPr>
          <w:trHeight w:val="225"/>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NET INCOME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61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80"/>
        </w:trPr>
        <w:tc>
          <w:tcPr>
            <w:tcW w:w="4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25"/>
        </w:trPr>
        <w:tc>
          <w:tcPr>
            <w:tcW w:w="6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ATTRIBUTABLE TO COMMON STOCKHOLDERS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r>
      <w:tr>
        <w:trPr>
          <w:trHeight w:val="225"/>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DIVIDENDS DECLARED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0.76</w:t>
            </w:r>
          </w:p>
        </w:tc>
      </w:tr>
    </w:tbl>
    <w:p>
      <w:pPr>
        <w:spacing w:after="0" w:line="200" w:lineRule="exact"/>
        <w:rPr>
          <w:sz w:val="20"/>
          <w:szCs w:val="20"/>
          <w:color w:val="auto"/>
        </w:rPr>
      </w:pPr>
    </w:p>
    <w:p>
      <w:pPr>
        <w:spacing w:after="0" w:line="33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COMPREHENSIVE INCOME</w:t>
      </w:r>
    </w:p>
    <w:p>
      <w:pPr>
        <w:spacing w:after="0" w:line="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330" w:lineRule="exact"/>
        <w:rPr>
          <w:sz w:val="20"/>
          <w:szCs w:val="20"/>
          <w:color w:val="auto"/>
        </w:rPr>
      </w:pPr>
    </w:p>
    <w:tbl>
      <w:tblPr>
        <w:tblLayout w:type="fixed"/>
        <w:tblInd w:w="1980" w:type="dxa"/>
        <w:tblCellMar>
          <w:top w:w="0" w:type="dxa"/>
          <w:left w:w="0" w:type="dxa"/>
          <w:bottom w:w="0" w:type="dxa"/>
          <w:right w:w="0" w:type="dxa"/>
        </w:tblCellMar>
      </w:tblPr>
      <w:tr>
        <w:trPr>
          <w:trHeight w:val="208"/>
        </w:trPr>
        <w:tc>
          <w:tcPr>
            <w:tcW w:w="4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5"/>
              </w:rPr>
              <w:t>March 31, 2024</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instrument adjustment, net of tax</w:t>
            </w:r>
          </w:p>
        </w:tc>
        <w:tc>
          <w:tcPr>
            <w:tcW w:w="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NET OF TAX</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4"/>
        </w:trPr>
        <w:tc>
          <w:tcPr>
            <w:tcW w:w="470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 (INCOME) LOSS ATTRIBUTABLE TO</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70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 INCOME ATTRIBUTABLE TO COMMON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BALANCE SHEETS</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 except share and per share data)</w:t>
      </w:r>
    </w:p>
    <w:p>
      <w:pPr>
        <w:spacing w:after="0" w:line="1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 w:lineRule="exact"/>
        <w:rPr>
          <w:sz w:val="20"/>
          <w:szCs w:val="20"/>
          <w:color w:val="auto"/>
        </w:rPr>
      </w:pPr>
    </w:p>
    <w:p>
      <w:pPr>
        <w:jc w:val="right"/>
        <w:ind w:right="819"/>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March 31, 2025</w:t>
      </w:r>
      <w:r>
        <w:rPr>
          <w:sz w:val="20"/>
          <w:szCs w:val="20"/>
          <w:color w:val="auto"/>
        </w:rPr>
        <w:tab/>
      </w:r>
      <w:r>
        <w:rPr>
          <w:rFonts w:ascii="Times New Roman" w:cs="Times New Roman" w:eastAsia="Times New Roman" w:hAnsi="Times New Roman"/>
          <w:sz w:val="15"/>
          <w:szCs w:val="15"/>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10795</wp:posOffset>
            </wp:positionV>
            <wp:extent cx="482600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ASSETS</w:t>
      </w:r>
    </w:p>
    <w:p>
      <w:pPr>
        <w:sectPr>
          <w:pgSz w:w="11900" w:h="16838" w:orient="portrait"/>
          <w:cols w:equalWidth="0" w:num="1">
            <w:col w:w="10139"/>
          </w:cols>
          <w:pgMar w:left="320" w:top="218" w:right="1440" w:bottom="1440" w:gutter="0" w:footer="0" w:header="0"/>
        </w:sectPr>
      </w:pPr>
    </w:p>
    <w:p>
      <w:pPr>
        <w:spacing w:after="0" w:line="43" w:lineRule="exact"/>
        <w:rPr>
          <w:sz w:val="20"/>
          <w:szCs w:val="20"/>
          <w:color w:val="auto"/>
        </w:rPr>
      </w:pPr>
    </w:p>
    <w:p>
      <w:pPr>
        <w:ind w:left="1840"/>
        <w:spacing w:after="0"/>
        <w:tabs>
          <w:tab w:leader="none" w:pos="6360" w:val="left"/>
        </w:tabs>
        <w:rPr>
          <w:sz w:val="20"/>
          <w:szCs w:val="20"/>
          <w:color w:val="auto"/>
        </w:rPr>
      </w:pPr>
      <w:r>
        <w:rPr>
          <w:rFonts w:ascii="Times New Roman" w:cs="Times New Roman" w:eastAsia="Times New Roman" w:hAnsi="Times New Roman"/>
          <w:sz w:val="16"/>
          <w:szCs w:val="16"/>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Restricted cash (including $95 and $82 from VIEs, respectively)</w:t>
      </w:r>
    </w:p>
    <w:p>
      <w:pPr>
        <w:spacing w:after="0" w:line="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Accounts and contracts receivable, net (including $15 and $16 from</w:t>
      </w:r>
    </w:p>
    <w:p>
      <w:pPr>
        <w:ind w:left="1840"/>
        <w:spacing w:after="0"/>
        <w:rPr>
          <w:sz w:val="20"/>
          <w:szCs w:val="20"/>
          <w:color w:val="auto"/>
        </w:rPr>
      </w:pPr>
      <w:r>
        <w:rPr>
          <w:rFonts w:ascii="Times New Roman" w:cs="Times New Roman" w:eastAsia="Times New Roman" w:hAnsi="Times New Roman"/>
          <w:sz w:val="16"/>
          <w:szCs w:val="16"/>
          <w:color w:val="auto"/>
        </w:rPr>
        <w:t>VIEs, respectively)</w:t>
      </w:r>
    </w:p>
    <w:p>
      <w:pPr>
        <w:ind w:left="1840"/>
        <w:spacing w:after="0"/>
        <w:rPr>
          <w:sz w:val="20"/>
          <w:szCs w:val="20"/>
          <w:color w:val="auto"/>
        </w:rPr>
      </w:pPr>
      <w:r>
        <w:rPr>
          <w:rFonts w:ascii="Times New Roman" w:cs="Times New Roman" w:eastAsia="Times New Roman" w:hAnsi="Times New Roman"/>
          <w:sz w:val="16"/>
          <w:szCs w:val="16"/>
          <w:color w:val="auto"/>
        </w:rPr>
        <w:t>Vacation ownership notes receivable, net (including $1,959 and $1,917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-106045</wp:posOffset>
            </wp:positionV>
            <wp:extent cx="4826000" cy="233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26000" cy="233045"/>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6"/>
          <w:szCs w:val="16"/>
          <w:color w:val="auto"/>
        </w:rPr>
        <w:t>from VIEs, respectively)</w:t>
      </w:r>
    </w:p>
    <w:p>
      <w:pPr>
        <w:spacing w:after="0" w:line="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Intangibles, net</w:t>
      </w:r>
    </w:p>
    <w:p>
      <w:pPr>
        <w:spacing w:after="0" w:line="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Other (including $130 and $131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50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26000" cy="150495"/>
                    </a:xfrm>
                    <a:prstGeom prst="rect">
                      <a:avLst/>
                    </a:prstGeom>
                    <a:noFill/>
                  </pic:spPr>
                </pic:pic>
              </a:graphicData>
            </a:graphic>
          </wp:anchor>
        </w:drawing>
      </w:r>
    </w:p>
    <w:p>
      <w:pPr>
        <w:spacing w:after="0" w:line="19" w:lineRule="exact"/>
        <w:rPr>
          <w:sz w:val="20"/>
          <w:szCs w:val="20"/>
          <w:color w:val="auto"/>
        </w:rPr>
      </w:pPr>
    </w:p>
    <w:p>
      <w:pPr>
        <w:ind w:left="2240"/>
        <w:spacing w:after="0"/>
        <w:tabs>
          <w:tab w:leader="none" w:pos="6360" w:val="left"/>
        </w:tabs>
        <w:rPr>
          <w:sz w:val="20"/>
          <w:szCs w:val="20"/>
          <w:color w:val="auto"/>
        </w:rPr>
      </w:pPr>
      <w:r>
        <w:rPr>
          <w:rFonts w:ascii="Times New Roman" w:cs="Times New Roman" w:eastAsia="Times New Roman" w:hAnsi="Times New Roman"/>
          <w:sz w:val="16"/>
          <w:szCs w:val="16"/>
          <w:b w:val="1"/>
          <w:bCs w:val="1"/>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180340</wp:posOffset>
            </wp:positionV>
            <wp:extent cx="4826000" cy="14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7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LIABILITIES AND EQUITY</w:t>
      </w:r>
    </w:p>
    <w:p>
      <w:pPr>
        <w:spacing w:after="0" w:line="43" w:lineRule="exact"/>
        <w:rPr>
          <w:sz w:val="20"/>
          <w:szCs w:val="20"/>
          <w:color w:val="auto"/>
        </w:rPr>
      </w:pPr>
    </w:p>
    <w:p>
      <w:pPr>
        <w:ind w:left="1840"/>
        <w:spacing w:after="0"/>
        <w:tabs>
          <w:tab w:leader="none" w:pos="6360" w:val="left"/>
        </w:tabs>
        <w:rPr>
          <w:sz w:val="20"/>
          <w:szCs w:val="20"/>
          <w:color w:val="auto"/>
        </w:rPr>
      </w:pPr>
      <w:r>
        <w:rPr>
          <w:rFonts w:ascii="Times New Roman" w:cs="Times New Roman" w:eastAsia="Times New Roman" w:hAnsi="Times New Roman"/>
          <w:sz w:val="16"/>
          <w:szCs w:val="16"/>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Advance deposits</w:t>
      </w:r>
    </w:p>
    <w:p>
      <w:pPr>
        <w:spacing w:after="0" w:line="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Accrued liabilities (including $4 and $4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Payroll and benefits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Deferred compensation liability</w:t>
      </w:r>
    </w:p>
    <w:p>
      <w:pPr>
        <w:spacing w:after="0" w:line="29" w:lineRule="exact"/>
        <w:rPr>
          <w:sz w:val="20"/>
          <w:szCs w:val="20"/>
          <w:color w:val="auto"/>
        </w:rPr>
      </w:pPr>
    </w:p>
    <w:p>
      <w:pPr>
        <w:ind w:left="1840" w:right="840"/>
        <w:spacing w:after="0" w:line="235" w:lineRule="auto"/>
        <w:rPr>
          <w:sz w:val="20"/>
          <w:szCs w:val="20"/>
          <w:color w:val="auto"/>
        </w:rPr>
      </w:pPr>
      <w:r>
        <w:rPr>
          <w:rFonts w:ascii="Times New Roman" w:cs="Times New Roman" w:eastAsia="Times New Roman" w:hAnsi="Times New Roman"/>
          <w:sz w:val="16"/>
          <w:szCs w:val="16"/>
          <w:color w:val="auto"/>
        </w:rPr>
        <w:t>Securitized debt, net (including $2,171 and $2,163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6985</wp:posOffset>
            </wp:positionV>
            <wp:extent cx="482600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6"/>
          <w:szCs w:val="16"/>
          <w:color w:val="auto"/>
        </w:rPr>
        <w:t>Debt, net</w:t>
      </w:r>
    </w:p>
    <w:p>
      <w:pPr>
        <w:spacing w:after="0" w:line="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Deferred taxes</w:t>
      </w:r>
    </w:p>
    <w:p>
      <w:pPr>
        <w:spacing w:after="0" w:line="3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22860</wp:posOffset>
            </wp:positionV>
            <wp:extent cx="4826000"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Contingencies and Commitments (Note 9)</w:t>
      </w:r>
    </w:p>
    <w:p>
      <w:pPr>
        <w:spacing w:after="0" w:line="29" w:lineRule="exact"/>
        <w:rPr>
          <w:sz w:val="20"/>
          <w:szCs w:val="20"/>
          <w:color w:val="auto"/>
        </w:rPr>
      </w:pPr>
    </w:p>
    <w:p>
      <w:pPr>
        <w:ind w:left="1840" w:right="360"/>
        <w:spacing w:after="0" w:line="235" w:lineRule="auto"/>
        <w:rPr>
          <w:sz w:val="20"/>
          <w:szCs w:val="20"/>
          <w:color w:val="auto"/>
        </w:rPr>
      </w:pPr>
      <w:r>
        <w:rPr>
          <w:rFonts w:ascii="Times New Roman" w:cs="Times New Roman" w:eastAsia="Times New Roman" w:hAnsi="Times New Roman"/>
          <w:sz w:val="16"/>
          <w:szCs w:val="16"/>
          <w:color w:val="auto"/>
        </w:rPr>
        <w:t>Preferred stock — $0.01 par value; 2,000,000 shares authorized; none issued or outstanding</w:t>
      </w:r>
    </w:p>
    <w:p>
      <w:pPr>
        <w:spacing w:after="0" w:line="7" w:lineRule="exact"/>
        <w:rPr>
          <w:sz w:val="20"/>
          <w:szCs w:val="20"/>
          <w:color w:val="auto"/>
        </w:rPr>
      </w:pPr>
    </w:p>
    <w:p>
      <w:pPr>
        <w:ind w:left="1840" w:right="560"/>
        <w:spacing w:after="0" w:line="255" w:lineRule="auto"/>
        <w:rPr>
          <w:sz w:val="20"/>
          <w:szCs w:val="20"/>
          <w:color w:val="auto"/>
        </w:rPr>
      </w:pPr>
      <w:r>
        <w:rPr>
          <w:rFonts w:ascii="Times New Roman" w:cs="Times New Roman" w:eastAsia="Times New Roman" w:hAnsi="Times New Roman"/>
          <w:sz w:val="15"/>
          <w:szCs w:val="15"/>
          <w:color w:val="auto"/>
        </w:rPr>
        <w:t>Common stock — $0.01 par value; 100,000,000 shares authorized; 75,855,593 and 75,852,678 shares issued,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-229235</wp:posOffset>
            </wp:positionV>
            <wp:extent cx="4826000" cy="233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6000" cy="233045"/>
                    </a:xfrm>
                    <a:prstGeom prst="rect">
                      <a:avLst/>
                    </a:prstGeom>
                    <a:noFill/>
                  </pic:spPr>
                </pic:pic>
              </a:graphicData>
            </a:graphic>
          </wp:anchor>
        </w:drawing>
      </w:r>
    </w:p>
    <w:p>
      <w:pPr>
        <w:ind w:left="1840" w:right="920"/>
        <w:spacing w:after="0" w:line="235" w:lineRule="auto"/>
        <w:rPr>
          <w:sz w:val="20"/>
          <w:szCs w:val="20"/>
          <w:color w:val="auto"/>
        </w:rPr>
      </w:pPr>
      <w:r>
        <w:rPr>
          <w:rFonts w:ascii="Times New Roman" w:cs="Times New Roman" w:eastAsia="Times New Roman" w:hAnsi="Times New Roman"/>
          <w:sz w:val="16"/>
          <w:szCs w:val="16"/>
          <w:color w:val="auto"/>
        </w:rPr>
        <w:t>Treasury stock — at cost; 41,326,184 and 40,974,753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6985</wp:posOffset>
            </wp:positionV>
            <wp:extent cx="482600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21590</wp:posOffset>
            </wp:positionV>
            <wp:extent cx="482600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26000" cy="14287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196</w:t>
            </w: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197</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291</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331</w:t>
            </w:r>
          </w:p>
        </w:tc>
      </w:tr>
      <w:tr>
        <w:trPr>
          <w:trHeight w:val="36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389</w:t>
            </w:r>
          </w:p>
        </w:tc>
        <w:tc>
          <w:tcPr>
            <w:tcW w:w="5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387</w:t>
            </w:r>
          </w:p>
        </w:tc>
      </w:tr>
      <w:tr>
        <w:trPr>
          <w:trHeight w:val="36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2,446</w:t>
            </w:r>
          </w:p>
        </w:tc>
        <w:tc>
          <w:tcPr>
            <w:tcW w:w="5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2,440</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737</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735</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1,166</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1,170</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3,117</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3,117</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775</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790</w:t>
            </w:r>
          </w:p>
        </w:tc>
      </w:tr>
      <w:tr>
        <w:trPr>
          <w:trHeight w:val="224"/>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765</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641</w:t>
            </w:r>
          </w:p>
        </w:tc>
      </w:tr>
      <w:tr>
        <w:trPr>
          <w:trHeight w:val="193"/>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9,882</w:t>
            </w: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9,808</w:t>
            </w: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51"/>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251</w:t>
            </w: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343</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167</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162</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426</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384</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442</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354</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208</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220</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186</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195</w:t>
            </w:r>
          </w:p>
        </w:tc>
      </w:tr>
      <w:tr>
        <w:trPr>
          <w:trHeight w:val="36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2,147</w:t>
            </w:r>
          </w:p>
        </w:tc>
        <w:tc>
          <w:tcPr>
            <w:tcW w:w="5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2,136</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3,151</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3,089</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134</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139</w:t>
            </w:r>
          </w:p>
        </w:tc>
      </w:tr>
      <w:tr>
        <w:trPr>
          <w:trHeight w:val="224"/>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335</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345</w:t>
            </w:r>
          </w:p>
        </w:tc>
      </w:tr>
      <w:tr>
        <w:trPr>
          <w:trHeight w:val="20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7,447</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7,367</w:t>
            </w:r>
          </w:p>
        </w:tc>
      </w:tr>
      <w:tr>
        <w:trPr>
          <w:trHeight w:val="573"/>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36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5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6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4"/>
              </w:rPr>
              <w:t>(2,406)</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3,968</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3,975</w:t>
            </w:r>
          </w:p>
        </w:tc>
      </w:tr>
      <w:tr>
        <w:trPr>
          <w:trHeight w:val="225"/>
        </w:trPr>
        <w:tc>
          <w:tcPr>
            <w:tcW w:w="6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4"/>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881</w:t>
            </w:r>
          </w:p>
        </w:tc>
        <w:tc>
          <w:tcPr>
            <w:tcW w:w="5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-1412875</wp:posOffset>
            </wp:positionV>
            <wp:extent cx="9245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4560" cy="762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-3216910</wp:posOffset>
            </wp:positionV>
            <wp:extent cx="9245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4560"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20" w:space="720"/>
            <w:col w:w="2799"/>
          </w:cols>
          <w:pgMar w:left="320" w:top="218" w:right="1440" w:bottom="1440" w:gutter="0" w:footer="0" w:header="0"/>
          <w:type w:val="continuous"/>
        </w:sectPr>
      </w:pPr>
    </w:p>
    <w:tbl>
      <w:tblPr>
        <w:tblLayout w:type="fixed"/>
        <w:tblInd w:w="1820" w:type="dxa"/>
        <w:tblCellMar>
          <w:top w:w="0" w:type="dxa"/>
          <w:left w:w="0" w:type="dxa"/>
          <w:bottom w:w="0" w:type="dxa"/>
          <w:right w:w="0" w:type="dxa"/>
        </w:tblCellMar>
      </w:tblPr>
      <w:tr>
        <w:trPr>
          <w:trHeight w:val="205"/>
        </w:trPr>
        <w:tc>
          <w:tcPr>
            <w:tcW w:w="45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MVW STOCKHOLDERS' EQUITY</w:t>
            </w: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2,442</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4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2,441</w:t>
            </w:r>
          </w:p>
        </w:tc>
      </w:tr>
      <w:tr>
        <w:trPr>
          <w:trHeight w:val="218"/>
        </w:trPr>
        <w:tc>
          <w:tcPr>
            <w:tcW w:w="4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9,882</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9,808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i w:val="1"/>
          <w:iCs w:val="1"/>
          <w:color w:val="auto"/>
        </w:rPr>
        <w:t>The abbreviation VIEs above means Variable Interest Entities.</w:t>
      </w:r>
    </w:p>
    <w:p>
      <w:pPr>
        <w:spacing w:after="0" w:line="27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See Interim Condensed Notes to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CASH FLOWS</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5"/>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5"/>
              </w:rPr>
              <w:t>March 31, 2024</w:t>
            </w:r>
          </w:p>
        </w:tc>
      </w:tr>
      <w:tr>
        <w:trPr>
          <w:trHeight w:val="20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r>
      <w:tr>
        <w:trPr>
          <w:trHeight w:val="154"/>
        </w:trPr>
        <w:tc>
          <w:tcPr>
            <w:tcW w:w="50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Adjustments to reconcile net income to net cash, cash equivalents and</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provided by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intangibles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Vacation ownership notes and contracts receivable reserve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assets and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and contracts receivable</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Vacation ownership notes receivable originations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Vacation ownership notes receivable collections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advance deposits and accrued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Payroll and benefit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5"/>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and development of property for future transfer to inventory</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134"/>
        </w:trPr>
        <w:tc>
          <w:tcPr>
            <w:tcW w:w="5040" w:type="dxa"/>
            <w:vAlign w:val="bottom"/>
          </w:tcPr>
          <w:p>
            <w:pPr>
              <w:ind w:left="580"/>
              <w:spacing w:after="0" w:line="134" w:lineRule="exact"/>
              <w:rPr>
                <w:sz w:val="20"/>
                <w:szCs w:val="20"/>
                <w:color w:val="auto"/>
              </w:rPr>
            </w:pPr>
            <w:r>
              <w:rPr>
                <w:rFonts w:ascii="Times New Roman" w:cs="Times New Roman" w:eastAsia="Times New Roman" w:hAnsi="Times New Roman"/>
                <w:sz w:val="15"/>
                <w:szCs w:val="15"/>
                <w:color w:val="auto"/>
              </w:rPr>
              <w:t>Net cash, cash equivalents and restricted cash provided by operating</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3"/>
        </w:trPr>
        <w:tc>
          <w:tcPr>
            <w:tcW w:w="50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activities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 for property and equipment (excluding inventory)</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company owned life insurance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and development of property for future sale</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34"/>
        </w:trPr>
        <w:tc>
          <w:tcPr>
            <w:tcW w:w="5040" w:type="dxa"/>
            <w:vAlign w:val="bottom"/>
            <w:tcBorders>
              <w:top w:val="single" w:sz="8" w:color="CCEEFF"/>
            </w:tcBorders>
            <w:shd w:val="clear" w:color="auto" w:fill="CCEEFF"/>
          </w:tcPr>
          <w:p>
            <w:pPr>
              <w:ind w:left="580"/>
              <w:spacing w:after="0" w:line="134" w:lineRule="exact"/>
              <w:rPr>
                <w:sz w:val="20"/>
                <w:szCs w:val="20"/>
                <w:color w:val="auto"/>
              </w:rPr>
            </w:pPr>
            <w:r>
              <w:rPr>
                <w:rFonts w:ascii="Times New Roman" w:cs="Times New Roman" w:eastAsia="Times New Roman" w:hAnsi="Times New Roman"/>
                <w:sz w:val="15"/>
                <w:szCs w:val="15"/>
                <w:color w:val="auto"/>
              </w:rPr>
              <w:t>Net cash, cash equivalents and restricted cash used in investing</w:t>
            </w: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213"/>
        </w:trPr>
        <w:tc>
          <w:tcPr>
            <w:tcW w:w="5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activities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bl>
    <w:p>
      <w:pPr>
        <w:spacing w:after="0" w:line="200" w:lineRule="exact"/>
        <w:rPr>
          <w:sz w:val="20"/>
          <w:szCs w:val="20"/>
          <w:color w:val="auto"/>
        </w:rPr>
      </w:pPr>
    </w:p>
    <w:p>
      <w:pPr>
        <w:spacing w:after="0" w:line="2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38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CASH FLOWS (CONTINUED)</w:t>
      </w:r>
    </w:p>
    <w:p>
      <w:pPr>
        <w:spacing w:after="0" w:line="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22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15240</wp:posOffset>
            </wp:positionV>
            <wp:extent cx="16541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4175" cy="7620"/>
                    </a:xfrm>
                    <a:prstGeom prst="rect">
                      <a:avLst/>
                    </a:prstGeom>
                    <a:noFill/>
                  </pic:spPr>
                </pic:pic>
              </a:graphicData>
            </a:graphic>
          </wp:anchor>
        </w:drawing>
      </w:r>
    </w:p>
    <w:p>
      <w:pPr>
        <w:spacing w:after="0" w:line="21" w:lineRule="exact"/>
        <w:rPr>
          <w:sz w:val="20"/>
          <w:szCs w:val="20"/>
          <w:color w:val="auto"/>
        </w:rPr>
      </w:pPr>
    </w:p>
    <w:p>
      <w:pPr>
        <w:jc w:val="center"/>
        <w:ind w:left="5020"/>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March 31, 2025</w:t>
      </w:r>
      <w:r>
        <w:rPr>
          <w:sz w:val="20"/>
          <w:szCs w:val="20"/>
          <w:color w:val="auto"/>
        </w:rPr>
        <w:tab/>
      </w:r>
      <w:r>
        <w:rPr>
          <w:rFonts w:ascii="Times New Roman" w:cs="Times New Roman" w:eastAsia="Times New Roman" w:hAnsi="Times New Roman"/>
          <w:sz w:val="15"/>
          <w:szCs w:val="15"/>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15240</wp:posOffset>
            </wp:positionV>
            <wp:extent cx="486410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ectPr>
          <w:pgSz w:w="11900" w:h="16838" w:orient="portrait"/>
          <w:cols w:equalWidth="0" w:num="1">
            <w:col w:w="10139"/>
          </w:cols>
          <w:pgMar w:left="320" w:top="218" w:right="1440" w:bottom="1440" w:gutter="0" w:footer="0" w:header="0"/>
        </w:sectPr>
      </w:pPr>
    </w:p>
    <w:p>
      <w:pPr>
        <w:spacing w:after="0" w:line="4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Borrowings from securitization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Repayment of debt related to securitization transactions</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Repayments of debt</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Finance lease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debt and securitized debt issuance costs</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dividends</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withholding taxes on vesting of restricted stock units</w:t>
      </w:r>
    </w:p>
    <w:p>
      <w:pPr>
        <w:spacing w:after="0" w:line="29" w:lineRule="exact"/>
        <w:rPr>
          <w:sz w:val="20"/>
          <w:szCs w:val="20"/>
          <w:color w:val="auto"/>
        </w:rPr>
      </w:pPr>
    </w:p>
    <w:p>
      <w:pPr>
        <w:ind w:left="2380" w:right="323"/>
        <w:spacing w:after="0" w:line="235" w:lineRule="auto"/>
        <w:rPr>
          <w:sz w:val="20"/>
          <w:szCs w:val="20"/>
          <w:color w:val="auto"/>
        </w:rPr>
      </w:pPr>
      <w:r>
        <w:rPr>
          <w:rFonts w:ascii="Times New Roman" w:cs="Times New Roman" w:eastAsia="Times New Roman" w:hAnsi="Times New Roman"/>
          <w:sz w:val="16"/>
          <w:szCs w:val="16"/>
          <w:color w:val="auto"/>
        </w:rPr>
        <w:t>Net cash, cash equivalents and restricted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-225425</wp:posOffset>
            </wp:positionV>
            <wp:extent cx="4864100" cy="233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64100" cy="233045"/>
                    </a:xfrm>
                    <a:prstGeom prst="rect">
                      <a:avLst/>
                    </a:prstGeom>
                    <a:noFill/>
                  </pic:spPr>
                </pic:pic>
              </a:graphicData>
            </a:graphic>
          </wp:anchor>
        </w:drawing>
      </w:r>
    </w:p>
    <w:p>
      <w:pPr>
        <w:ind w:left="1980" w:right="223"/>
        <w:spacing w:after="0" w:line="235" w:lineRule="auto"/>
        <w:rPr>
          <w:sz w:val="20"/>
          <w:szCs w:val="20"/>
          <w:color w:val="auto"/>
        </w:rPr>
      </w:pPr>
      <w:r>
        <w:rPr>
          <w:rFonts w:ascii="Times New Roman" w:cs="Times New Roman" w:eastAsia="Times New Roman" w:hAnsi="Times New Roman"/>
          <w:sz w:val="16"/>
          <w:szCs w:val="16"/>
          <w:color w:val="auto"/>
        </w:rPr>
        <w:t>Effect of changes in exchange rates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6985</wp:posOffset>
            </wp:positionV>
            <wp:extent cx="486410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p>
      <w:pPr>
        <w:spacing w:after="0" w:line="4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50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64100" cy="150495"/>
                    </a:xfrm>
                    <a:prstGeom prst="rect">
                      <a:avLst/>
                    </a:prstGeom>
                    <a:noFill/>
                  </pic:spPr>
                </pic:pic>
              </a:graphicData>
            </a:graphic>
          </wp:anchor>
        </w:drawing>
      </w:r>
    </w:p>
    <w:p>
      <w:pPr>
        <w:spacing w:after="0" w:line="21" w:lineRule="exact"/>
        <w:rPr>
          <w:sz w:val="20"/>
          <w:szCs w:val="20"/>
          <w:color w:val="auto"/>
        </w:rPr>
      </w:pPr>
    </w:p>
    <w:p>
      <w:pPr>
        <w:ind w:left="1820"/>
        <w:spacing w:after="0"/>
        <w:tabs>
          <w:tab w:leader="none" w:pos="6840" w:val="left"/>
        </w:tabs>
        <w:rPr>
          <w:sz w:val="20"/>
          <w:szCs w:val="20"/>
          <w:color w:val="auto"/>
        </w:rPr>
      </w:pPr>
      <w:r>
        <w:rPr>
          <w:rFonts w:ascii="Times New Roman" w:cs="Times New Roman" w:eastAsia="Times New Roman" w:hAnsi="Times New Roman"/>
          <w:sz w:val="16"/>
          <w:szCs w:val="16"/>
          <w:color w:val="auto"/>
        </w:rPr>
        <w:t>Cash, cash equivalents and restricted cash, end of period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57"/>
        <w:spacing w:after="0"/>
        <w:tabs>
          <w:tab w:leader="none" w:pos="1416" w:val="left"/>
        </w:tabs>
        <w:rPr>
          <w:sz w:val="20"/>
          <w:szCs w:val="20"/>
          <w:color w:val="auto"/>
        </w:rPr>
      </w:pPr>
      <w:r>
        <w:rPr>
          <w:rFonts w:ascii="Times New Roman" w:cs="Times New Roman" w:eastAsia="Times New Roman" w:hAnsi="Times New Roman"/>
          <w:sz w:val="16"/>
          <w:szCs w:val="16"/>
          <w:color w:val="auto"/>
        </w:rPr>
        <w:t>206</w:t>
      </w:r>
      <w:r>
        <w:rPr>
          <w:sz w:val="20"/>
          <w:szCs w:val="20"/>
          <w:color w:val="auto"/>
        </w:rPr>
        <w:tab/>
      </w:r>
      <w:r>
        <w:rPr>
          <w:rFonts w:ascii="Times New Roman" w:cs="Times New Roman" w:eastAsia="Times New Roman" w:hAnsi="Times New Roman"/>
          <w:sz w:val="16"/>
          <w:szCs w:val="16"/>
          <w:color w:val="auto"/>
        </w:rPr>
        <w:t>524</w:t>
      </w:r>
    </w:p>
    <w:p>
      <w:pPr>
        <w:spacing w:after="0" w:line="41" w:lineRule="exact"/>
        <w:rPr>
          <w:sz w:val="20"/>
          <w:szCs w:val="20"/>
          <w:color w:val="auto"/>
        </w:rPr>
      </w:pPr>
    </w:p>
    <w:p>
      <w:pPr>
        <w:ind w:left="1377" w:hanging="1377"/>
        <w:spacing w:after="0"/>
        <w:tabs>
          <w:tab w:leader="none" w:pos="137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(441)</w:t>
      </w:r>
    </w:p>
    <w:p>
      <w:pPr>
        <w:spacing w:after="0" w:line="41" w:lineRule="exact"/>
        <w:rPr>
          <w:sz w:val="20"/>
          <w:szCs w:val="20"/>
          <w:color w:val="auto"/>
        </w:rPr>
      </w:pPr>
    </w:p>
    <w:p>
      <w:pPr>
        <w:ind w:left="57"/>
        <w:spacing w:after="0"/>
        <w:tabs>
          <w:tab w:leader="none" w:pos="1416" w:val="left"/>
        </w:tabs>
        <w:rPr>
          <w:sz w:val="20"/>
          <w:szCs w:val="20"/>
          <w:color w:val="auto"/>
        </w:rPr>
      </w:pPr>
      <w:r>
        <w:rPr>
          <w:rFonts w:ascii="Times New Roman" w:cs="Times New Roman" w:eastAsia="Times New Roman" w:hAnsi="Times New Roman"/>
          <w:sz w:val="16"/>
          <w:szCs w:val="16"/>
          <w:color w:val="auto"/>
        </w:rPr>
        <w:t>340</w:t>
      </w:r>
      <w:r>
        <w:rPr>
          <w:sz w:val="20"/>
          <w:szCs w:val="20"/>
          <w:color w:val="auto"/>
        </w:rPr>
        <w:tab/>
      </w:r>
      <w:r>
        <w:rPr>
          <w:rFonts w:ascii="Times New Roman" w:cs="Times New Roman" w:eastAsia="Times New Roman" w:hAnsi="Times New Roman"/>
          <w:sz w:val="16"/>
          <w:szCs w:val="16"/>
          <w:color w:val="auto"/>
        </w:rPr>
        <w:t>340</w:t>
      </w:r>
    </w:p>
    <w:p>
      <w:pPr>
        <w:spacing w:after="0" w:line="41" w:lineRule="exact"/>
        <w:rPr>
          <w:sz w:val="20"/>
          <w:szCs w:val="20"/>
          <w:color w:val="auto"/>
        </w:rPr>
      </w:pPr>
    </w:p>
    <w:p>
      <w:pPr>
        <w:ind w:left="1377" w:hanging="1377"/>
        <w:spacing w:after="0"/>
        <w:tabs>
          <w:tab w:leader="none" w:pos="137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(289)</w:t>
      </w:r>
    </w:p>
    <w:p>
      <w:pPr>
        <w:spacing w:after="0" w:line="41" w:lineRule="exact"/>
        <w:rPr>
          <w:sz w:val="20"/>
          <w:szCs w:val="20"/>
          <w:color w:val="auto"/>
        </w:rPr>
      </w:pPr>
    </w:p>
    <w:p>
      <w:pPr>
        <w:ind w:left="1537" w:hanging="1379"/>
        <w:spacing w:after="0"/>
        <w:tabs>
          <w:tab w:leader="none" w:pos="153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p>
    <w:p>
      <w:pPr>
        <w:spacing w:after="0" w:line="41" w:lineRule="exact"/>
        <w:rPr>
          <w:sz w:val="20"/>
          <w:szCs w:val="20"/>
          <w:color w:val="auto"/>
        </w:rPr>
      </w:pPr>
    </w:p>
    <w:p>
      <w:pPr>
        <w:ind w:left="1537" w:hanging="1379"/>
        <w:spacing w:after="0"/>
        <w:tabs>
          <w:tab w:leader="none" w:pos="153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40" w:lineRule="exact"/>
        <w:rPr>
          <w:rFonts w:ascii="Times New Roman" w:cs="Times New Roman" w:eastAsia="Times New Roman" w:hAnsi="Times New Roman"/>
          <w:sz w:val="16"/>
          <w:szCs w:val="16"/>
          <w:color w:val="auto"/>
        </w:rPr>
      </w:pPr>
    </w:p>
    <w:p>
      <w:pPr>
        <w:ind w:left="1457" w:hanging="1378"/>
        <w:spacing w:after="0"/>
        <w:tabs>
          <w:tab w:leader="none" w:pos="145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w:t>
      </w:r>
    </w:p>
    <w:p>
      <w:pPr>
        <w:spacing w:after="0" w:line="40" w:lineRule="exact"/>
        <w:rPr>
          <w:rFonts w:ascii="Times New Roman" w:cs="Times New Roman" w:eastAsia="Times New Roman" w:hAnsi="Times New Roman"/>
          <w:sz w:val="16"/>
          <w:szCs w:val="16"/>
          <w:color w:val="auto"/>
        </w:rPr>
      </w:pPr>
    </w:p>
    <w:p>
      <w:pPr>
        <w:ind w:left="1457" w:hanging="1378"/>
        <w:spacing w:after="0"/>
        <w:tabs>
          <w:tab w:leader="none" w:pos="145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w:t>
      </w:r>
    </w:p>
    <w:p>
      <w:pPr>
        <w:spacing w:after="0" w:line="41" w:lineRule="exact"/>
        <w:rPr>
          <w:sz w:val="20"/>
          <w:szCs w:val="20"/>
          <w:color w:val="auto"/>
        </w:rPr>
      </w:pPr>
    </w:p>
    <w:p>
      <w:pPr>
        <w:ind w:left="1537" w:hanging="1379"/>
        <w:spacing w:after="0"/>
        <w:tabs>
          <w:tab w:leader="none" w:pos="153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w:t>
      </w:r>
    </w:p>
    <w:p>
      <w:pPr>
        <w:spacing w:after="0" w:line="183" w:lineRule="exact"/>
        <w:rPr>
          <w:rFonts w:ascii="Times New Roman" w:cs="Times New Roman" w:eastAsia="Times New Roman" w:hAnsi="Times New Roman"/>
          <w:sz w:val="16"/>
          <w:szCs w:val="16"/>
          <w:color w:val="auto"/>
        </w:rPr>
      </w:pPr>
    </w:p>
    <w:p>
      <w:pPr>
        <w:ind w:left="1517" w:hanging="1438"/>
        <w:spacing w:after="0"/>
        <w:tabs>
          <w:tab w:leader="none" w:pos="151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165417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54175" cy="7620"/>
                    </a:xfrm>
                    <a:prstGeom prst="rect">
                      <a:avLst/>
                    </a:prstGeom>
                    <a:noFill/>
                  </pic:spPr>
                </pic:pic>
              </a:graphicData>
            </a:graphic>
          </wp:anchor>
        </w:drawing>
      </w:r>
    </w:p>
    <w:p>
      <w:pPr>
        <w:spacing w:after="0" w:line="163" w:lineRule="exact"/>
        <w:rPr>
          <w:sz w:val="20"/>
          <w:szCs w:val="20"/>
          <w:color w:val="auto"/>
        </w:rPr>
      </w:pPr>
    </w:p>
    <w:p>
      <w:pPr>
        <w:ind w:left="1537" w:hanging="1313"/>
        <w:spacing w:after="0"/>
        <w:tabs>
          <w:tab w:leader="none" w:pos="153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41" w:lineRule="exact"/>
        <w:rPr>
          <w:sz w:val="20"/>
          <w:szCs w:val="20"/>
          <w:color w:val="auto"/>
        </w:rPr>
      </w:pPr>
    </w:p>
    <w:p>
      <w:pPr>
        <w:ind w:left="1457" w:hanging="1378"/>
        <w:spacing w:after="0"/>
        <w:tabs>
          <w:tab w:leader="none" w:pos="145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w:t>
      </w:r>
    </w:p>
    <w:p>
      <w:pPr>
        <w:spacing w:after="0" w:line="41" w:lineRule="exact"/>
        <w:rPr>
          <w:sz w:val="20"/>
          <w:szCs w:val="20"/>
          <w:color w:val="auto"/>
        </w:rPr>
      </w:pPr>
    </w:p>
    <w:tbl>
      <w:tblPr>
        <w:tblLayout w:type="fixed"/>
        <w:tblInd w:w="57" w:type="dxa"/>
        <w:tblCellMar>
          <w:top w:w="0" w:type="dxa"/>
          <w:left w:w="0" w:type="dxa"/>
          <w:bottom w:w="0" w:type="dxa"/>
          <w:right w:w="0" w:type="dxa"/>
        </w:tblCellMar>
      </w:tblPr>
      <w:tr>
        <w:trPr>
          <w:trHeight w:val="206"/>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1"/>
              </w:rPr>
              <w:t>528</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r>
      <w:tr>
        <w:trPr>
          <w:trHeight w:val="193"/>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1"/>
              </w:rPr>
              <w:t>487</w:t>
            </w: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550</w:t>
            </w:r>
          </w:p>
        </w:tc>
      </w:tr>
      <w:tr>
        <w:trPr>
          <w:trHeight w:val="20"/>
        </w:trPr>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-6985</wp:posOffset>
            </wp:positionV>
            <wp:extent cx="7816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16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3" w:space="720"/>
            <w:col w:w="2436"/>
          </w:cols>
          <w:pgMar w:left="320" w:top="218" w:right="1440" w:bottom="1440" w:gutter="0" w:footer="0" w:header="0"/>
          <w:type w:val="continuous"/>
        </w:sectPr>
      </w:pPr>
    </w:p>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4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issuance of treasury stock for employee stock purchase plan</w:t>
            </w:r>
          </w:p>
        </w:tc>
        <w:tc>
          <w:tcPr>
            <w:tcW w:w="7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transfer from inventory to property and equipment</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r>
      <w:tr>
        <w:trPr>
          <w:trHeight w:val="225"/>
        </w:trPr>
        <w:tc>
          <w:tcPr>
            <w:tcW w:w="4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transfer from property and equipment to inventory</w:t>
            </w:r>
          </w:p>
        </w:tc>
        <w:tc>
          <w:tcPr>
            <w:tcW w:w="7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r>
      <w:tr>
        <w:trPr>
          <w:trHeight w:val="225"/>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obligation</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r>
      <w:tr>
        <w:trPr>
          <w:trHeight w:val="225"/>
        </w:trPr>
        <w:tc>
          <w:tcPr>
            <w:tcW w:w="4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issuance of debt in connection with finance lease</w:t>
            </w:r>
          </w:p>
        </w:tc>
        <w:tc>
          <w:tcPr>
            <w:tcW w:w="7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r>
      <w:tr>
        <w:trPr>
          <w:trHeight w:val="225"/>
        </w:trPr>
        <w:tc>
          <w:tcPr>
            <w:tcW w:w="4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4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7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6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r>
      <w:tr>
        <w:trPr>
          <w:trHeight w:val="225"/>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r>
    </w:tbl>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line="233" w:lineRule="auto"/>
        <w:rPr>
          <w:sz w:val="20"/>
          <w:szCs w:val="20"/>
          <w:color w:val="auto"/>
        </w:rPr>
      </w:pPr>
      <w:r>
        <w:rPr>
          <w:rFonts w:ascii="Times New Roman" w:cs="Times New Roman" w:eastAsia="Times New Roman" w:hAnsi="Times New Roman"/>
          <w:sz w:val="14"/>
          <w:szCs w:val="14"/>
          <w:b w:val="1"/>
          <w:bCs w:val="1"/>
          <w:color w:val="auto"/>
        </w:rPr>
        <w:t>Common Stock Issued</w:t>
      </w:r>
    </w:p>
    <w:p>
      <w:pPr>
        <w:spacing w:after="0" w:line="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75.9</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81915</wp:posOffset>
            </wp:positionV>
            <wp:extent cx="4133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0"/>
        <w:spacing w:after="0" w:line="233" w:lineRule="auto"/>
        <w:rPr>
          <w:sz w:val="20"/>
          <w:szCs w:val="20"/>
          <w:color w:val="auto"/>
        </w:rPr>
      </w:pPr>
      <w:r>
        <w:rPr>
          <w:rFonts w:ascii="Times New Roman" w:cs="Times New Roman" w:eastAsia="Times New Roman" w:hAnsi="Times New Roman"/>
          <w:sz w:val="14"/>
          <w:szCs w:val="14"/>
          <w:b w:val="1"/>
          <w:bCs w:val="1"/>
          <w:color w:val="auto"/>
        </w:rPr>
        <w:t>Common Stock Issued</w:t>
      </w:r>
    </w:p>
    <w:p>
      <w:pPr>
        <w:spacing w:after="0" w:line="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75.8</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21590</wp:posOffset>
            </wp:positionV>
            <wp:extent cx="413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4133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338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81915</wp:posOffset>
            </wp:positionV>
            <wp:extent cx="4133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STOCKHOLDERS’ EQUITY</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8"/>
        </w:trPr>
        <w:tc>
          <w:tcPr>
            <w:tcW w:w="208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2,442</w:t>
            </w:r>
          </w:p>
        </w:tc>
        <w:tc>
          <w:tcPr>
            <w:tcW w:w="20" w:type="dxa"/>
            <w:vAlign w:val="bottom"/>
          </w:tcPr>
          <w:p>
            <w:pPr>
              <w:spacing w:after="0"/>
              <w:rPr>
                <w:sz w:val="18"/>
                <w:szCs w:val="18"/>
                <w:color w:val="auto"/>
              </w:rPr>
            </w:pPr>
          </w:p>
        </w:tc>
        <w:tc>
          <w:tcPr>
            <w:tcW w:w="280" w:type="dxa"/>
            <w:vAlign w:val="bottom"/>
            <w:gridSpan w:val="3"/>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31, 2024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80" w:type="dxa"/>
            <w:vAlign w:val="bottom"/>
          </w:tcPr>
          <w:p>
            <w:pPr>
              <w:ind w:left="8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plans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BALANCE AT MARCH 31,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881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2,435</w:t>
            </w:r>
          </w:p>
        </w:tc>
        <w:tc>
          <w:tcPr>
            <w:tcW w:w="20" w:type="dxa"/>
            <w:vAlign w:val="bottom"/>
          </w:tcPr>
          <w:p>
            <w:pPr>
              <w:spacing w:after="0"/>
              <w:rPr>
                <w:sz w:val="12"/>
                <w:szCs w:val="12"/>
                <w:color w:val="auto"/>
              </w:rPr>
            </w:pPr>
          </w:p>
        </w:tc>
        <w:tc>
          <w:tcPr>
            <w:tcW w:w="28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4"/>
                <w:szCs w:val="2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3,955</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2,382</w:t>
            </w:r>
          </w:p>
        </w:tc>
        <w:tc>
          <w:tcPr>
            <w:tcW w:w="20" w:type="dxa"/>
            <w:vAlign w:val="bottom"/>
          </w:tcPr>
          <w:p>
            <w:pPr>
              <w:spacing w:after="0"/>
              <w:rPr>
                <w:sz w:val="18"/>
                <w:szCs w:val="18"/>
                <w:color w:val="auto"/>
              </w:rPr>
            </w:pPr>
          </w:p>
        </w:tc>
        <w:tc>
          <w:tcPr>
            <w:tcW w:w="280" w:type="dxa"/>
            <w:vAlign w:val="bottom"/>
            <w:gridSpan w:val="3"/>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31, 2023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80" w:type="dxa"/>
            <w:vAlign w:val="bottom"/>
          </w:tcPr>
          <w:p>
            <w:pPr>
              <w:ind w:left="8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Derivative instrument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ind w:left="9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adjustment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plans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BALANCE AT MARCH 31,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3,951</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2,379</w:t>
            </w:r>
          </w:p>
        </w:tc>
        <w:tc>
          <w:tcPr>
            <w:tcW w:w="20" w:type="dxa"/>
            <w:vAlign w:val="bottom"/>
          </w:tcPr>
          <w:p>
            <w:pPr>
              <w:spacing w:after="0"/>
              <w:rPr>
                <w:sz w:val="12"/>
                <w:szCs w:val="12"/>
                <w:color w:val="auto"/>
              </w:rPr>
            </w:pPr>
          </w:p>
        </w:tc>
        <w:tc>
          <w:tcPr>
            <w:tcW w:w="28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2,378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-3232150</wp:posOffset>
            </wp:positionV>
            <wp:extent cx="6840855" cy="233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-2766060</wp:posOffset>
            </wp:positionV>
            <wp:extent cx="6840855"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40855" cy="14287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-2480310</wp:posOffset>
            </wp:positionV>
            <wp:extent cx="6840855" cy="233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-3608070</wp:posOffset>
            </wp:positionV>
            <wp:extent cx="6840855" cy="233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-1232535</wp:posOffset>
            </wp:positionV>
            <wp:extent cx="6826250" cy="233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26250" cy="2330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-766445</wp:posOffset>
            </wp:positionV>
            <wp:extent cx="6826250" cy="233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26250" cy="2330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-390525</wp:posOffset>
            </wp:positionV>
            <wp:extent cx="6826250" cy="14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26250" cy="14287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-1607820</wp:posOffset>
            </wp:positionV>
            <wp:extent cx="6826250" cy="233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26250" cy="233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 w:space="160"/>
            <w:col w:w="10000"/>
          </w:cols>
          <w:pgMar w:left="600" w:top="116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61595</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40"/>
          </w:cols>
          <w:pgMar w:left="600" w:top="1163" w:right="5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INTERIM CONDENSED NOTES TO CONSOLIDATED FINANCIAL STATEMENTS</w:t>
      </w:r>
    </w:p>
    <w:p>
      <w:pPr>
        <w:spacing w:after="0" w:line="140" w:lineRule="exact"/>
        <w:rPr>
          <w:sz w:val="20"/>
          <w:szCs w:val="20"/>
          <w:color w:val="auto"/>
        </w:rPr>
      </w:pPr>
    </w:p>
    <w:p>
      <w:pPr>
        <w:ind w:left="360" w:hanging="350"/>
        <w:spacing w:after="0"/>
        <w:tabs>
          <w:tab w:leader="none" w:pos="3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2024 (the “2024 Annual Report”). We also use certain other terms that are defined within these Financial Statements.</w:t>
      </w:r>
    </w:p>
    <w:p>
      <w:pPr>
        <w:spacing w:after="0" w:line="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and volatility in the broader macroeconomic environment, including inflation, the impact of changing trade policy,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2024 Annual Report.</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 branded businesses and the term “Hyatt Vacation Ownership” to refer to our Hyatt branded business.</w:t>
      </w:r>
    </w:p>
    <w:p>
      <w:pPr>
        <w:spacing w:after="0" w:line="200" w:lineRule="exact"/>
        <w:rPr>
          <w:sz w:val="20"/>
          <w:szCs w:val="20"/>
          <w:color w:val="auto"/>
        </w:rPr>
      </w:pPr>
    </w:p>
    <w:p>
      <w:pPr>
        <w:spacing w:after="0" w:line="3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0"/>
        <w:spacing w:after="0"/>
        <w:tabs>
          <w:tab w:leader="none" w:pos="3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AND RECENT ACCOUNTING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Adoption of Accounting Standards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Accounting Standards Update 2023-09 –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w:t>
      </w:r>
    </w:p>
    <w:p>
      <w:pPr>
        <w:spacing w:after="0" w:line="10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5"/>
          <w:szCs w:val="15"/>
          <w:color w:val="auto"/>
        </w:rPr>
        <w:t>In December 2023, the Financial Accounting Standards Board (“FASB”) issued accounting standards update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expect to begin providing the enhanced disclosures required by this update in our Annual Report on Form 10-K for the year ending December 31, 2025.</w:t>
      </w:r>
    </w:p>
    <w:p>
      <w:pPr>
        <w:spacing w:after="0" w:line="96"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2024-03 - </w:t>
      </w:r>
      <w:r>
        <w:rPr>
          <w:rFonts w:ascii="Times New Roman" w:cs="Times New Roman" w:eastAsia="Times New Roman" w:hAnsi="Times New Roman"/>
          <w:sz w:val="16"/>
          <w:szCs w:val="16"/>
          <w:i w:val="1"/>
          <w:iCs w:val="1"/>
          <w:color w:val="auto"/>
        </w:rPr>
        <w:t>“Income Statement - Reporting Comprehensive Income - Expense Disaggregation Disclosures (Subtopic 220-40): Disaggregation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Income Statement Expenses” </w:t>
      </w:r>
      <w:r>
        <w:rPr>
          <w:rFonts w:ascii="Times New Roman" w:cs="Times New Roman" w:eastAsia="Times New Roman" w:hAnsi="Times New Roman"/>
          <w:sz w:val="16"/>
          <w:szCs w:val="16"/>
          <w:color w:val="auto"/>
        </w:rPr>
        <w:t>(“ASU 2024-03”)</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pacing w:after="0" w:line="113"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2024-04 - </w:t>
      </w:r>
      <w:r>
        <w:rPr>
          <w:rFonts w:ascii="Times New Roman" w:cs="Times New Roman" w:eastAsia="Times New Roman" w:hAnsi="Times New Roman"/>
          <w:sz w:val="16"/>
          <w:szCs w:val="16"/>
          <w:i w:val="1"/>
          <w:iCs w:val="1"/>
          <w:color w:val="auto"/>
        </w:rPr>
        <w:t>“Debt - Debt with Conversion and Other Options (Subtopic 470-20): Induced Conversions of Convertible Debt Instruments”</w:t>
      </w:r>
      <w:r>
        <w:rPr>
          <w:rFonts w:ascii="Times New Roman" w:cs="Times New Roman" w:eastAsia="Times New Roman" w:hAnsi="Times New Roman"/>
          <w:sz w:val="16"/>
          <w:szCs w:val="16"/>
          <w:color w:val="auto"/>
        </w:rPr>
        <w:t xml:space="preserve"> (“ASU 2024-04”)</w:t>
      </w:r>
    </w:p>
    <w:p>
      <w:pPr>
        <w:spacing w:after="0" w:line="4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In November 2024, the FASB issued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This update is effective for annual periods beginning after December 15, 2025, and interim periods within those annual reporting periods, with early adoption permitted for all entities that have adopted the amendments in ASU 2020-06. We adopted ASU 2020-06 on January 1, 2022 using the modified retrospective method. We are evaluating the impact that the adoption of this update, including the timing of implementation, will have on our disclosures.</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3.</w:t>
        <w:tab/>
        <w:t>REVENUE AND RECEIVABLES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Revenue by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1,112</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1,200</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25"/>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5"/>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3"/>
        </w:trPr>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Timing of Revenue from Contracts with Customers by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detail the timing of revenue from contracts with customers by segment for the time periods presented.</w:t>
      </w:r>
    </w:p>
    <w:p>
      <w:pPr>
        <w:spacing w:after="0" w:line="13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14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14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of Vacation Ownership Products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Revenues were reduced during the first quarter of 2025 by $3 million due to changes in our estimates of variable consideration for performance obligations that were satisfied in prior periods.</w:t>
      </w:r>
    </w:p>
    <w:p>
      <w:pPr>
        <w:spacing w:after="0" w:line="200" w:lineRule="exact"/>
        <w:rPr>
          <w:sz w:val="20"/>
          <w:szCs w:val="20"/>
          <w:color w:val="auto"/>
        </w:rPr>
      </w:pPr>
    </w:p>
    <w:p>
      <w:pPr>
        <w:spacing w:after="0" w:line="31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218"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from Contracts with Customers, Contract Assets, &amp; Contract Liabilities</w:t>
      </w:r>
    </w:p>
    <w:p>
      <w:pPr>
        <w:spacing w:after="0" w:line="104"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6"/>
          <w:szCs w:val="16"/>
          <w:color w:val="auto"/>
        </w:rPr>
        <w:t>The following table shows the composition of our receivables from contracts with customers and contract liabilities. We had no contract assets at either March 31, 2025 or December 31, 2024.</w:t>
      </w:r>
    </w:p>
    <w:p>
      <w:pPr>
        <w:spacing w:after="0" w:line="8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Receivables from Contracts with Customers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contracts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Vacation ownership notes receivable,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2,440</w:t>
            </w:r>
          </w:p>
        </w:tc>
      </w:tr>
      <w:tr>
        <w:trPr>
          <w:trHeight w:val="193"/>
        </w:trPr>
        <w:tc>
          <w:tcPr>
            <w:tcW w:w="43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2,690</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r>
      <w:tr>
        <w:trPr>
          <w:trHeight w:val="193"/>
        </w:trPr>
        <w:tc>
          <w:tcPr>
            <w:tcW w:w="43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120"/>
        <w:spacing w:after="0" w:line="401" w:lineRule="auto"/>
        <w:rPr>
          <w:sz w:val="20"/>
          <w:szCs w:val="20"/>
          <w:color w:val="auto"/>
        </w:rPr>
      </w:pPr>
      <w:r>
        <w:rPr>
          <w:rFonts w:ascii="Times New Roman" w:cs="Times New Roman" w:eastAsia="Times New Roman" w:hAnsi="Times New Roman"/>
          <w:sz w:val="16"/>
          <w:szCs w:val="16"/>
          <w:color w:val="auto"/>
        </w:rPr>
        <w:t xml:space="preserve">Revenue recognized during the first quarter of 2025 that was included in our contract liabilities balance at December 31, 2024 was $117 million. </w:t>
      </w:r>
      <w:r>
        <w:rPr>
          <w:rFonts w:ascii="Times New Roman" w:cs="Times New Roman" w:eastAsia="Times New Roman" w:hAnsi="Times New Roman"/>
          <w:sz w:val="16"/>
          <w:szCs w:val="16"/>
          <w:b w:val="1"/>
          <w:bCs w:val="1"/>
          <w:i w:val="1"/>
          <w:iCs w:val="1"/>
          <w:color w:val="auto"/>
        </w:rPr>
        <w:t>Remaining Performance Obligations</w:t>
      </w:r>
    </w:p>
    <w:p>
      <w:pPr>
        <w:spacing w:after="0" w:line="1"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Our remaining performance obligations represent the expected transaction price allocated to our contracts that we expect to recognize as revenue in future periods when we perform under the contracts. At March 31, 2025, approximately 93% of this amount is expected to be recognized as revenue over the next two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and Contracts Receivable</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0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contracts with customers, net</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6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r>
      <w:tr>
        <w:trPr>
          <w:trHeight w:val="22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Indemnification assets</w:t>
            </w:r>
          </w:p>
        </w:tc>
        <w:tc>
          <w:tcPr>
            <w:tcW w:w="16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r>
      <w:tr>
        <w:trPr>
          <w:trHeight w:val="22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tax credit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25"/>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18"/>
        </w:trPr>
        <w:tc>
          <w:tcPr>
            <w:tcW w:w="4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60" w:hanging="350"/>
        <w:spacing w:after="0"/>
        <w:tabs>
          <w:tab w:leader="none" w:pos="3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12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6"/>
          <w:szCs w:val="16"/>
          <w:color w:val="auto"/>
        </w:rPr>
        <w:t>Our provision for income taxes is calculated using an estimated annual effective tax rate (“AETR”), based upon expected annual income less losses in certain jurisdictions, non-deductible expenses under federal and local tax laws, statutory rates, and planned tax strategies in the various jurisdictions in which we operate. Certain items that do not relate directly to ordinary income are excluded from the AETR and included in the period in which they occur.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was 43.6% and 43.0% for the three months ended March 31, 2025 and March 31, 2024, respectively.</w:t>
      </w:r>
    </w:p>
    <w:p>
      <w:pPr>
        <w:spacing w:after="0" w:line="1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2025 differed from the blended statutory tax rate for the same period due to a lower pre-tax book income forecast for the current year, which is largely driven by our modernization efforts and related costs expected to be incurred, higher expected foreign losses, for which a valuation allowance will be recorded, and income tax adjustments for discrete items, primarily related to share-based compensation.</w:t>
      </w:r>
    </w:p>
    <w:p>
      <w:pPr>
        <w:spacing w:after="0" w:line="63"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2024 differed from the blended statutory tax rate for the same period due to income tax adjustments for discrete items, including $11 million primarily related to a $20 million</w:t>
      </w:r>
    </w:p>
    <w:p>
      <w:pPr>
        <w:spacing w:after="0" w:line="200" w:lineRule="exact"/>
        <w:rPr>
          <w:sz w:val="20"/>
          <w:szCs w:val="20"/>
          <w:color w:val="auto"/>
        </w:rPr>
      </w:pPr>
    </w:p>
    <w:p>
      <w:pPr>
        <w:spacing w:after="0" w:line="3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6"/>
          <w:szCs w:val="16"/>
          <w:color w:val="auto"/>
        </w:rPr>
        <w:t>increase to remove the permanent reinvestment assertion for certain non-U.S. entities offset by a $9 million decrease for the expiration of statutes of limitation on certain unrecognized tax benefits.</w:t>
      </w:r>
    </w:p>
    <w:p>
      <w:pPr>
        <w:spacing w:after="0" w:line="5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Our income tax returns are subject to examination by relevant tax authorities. Certain returns are being audited in various jurisdictions for tax years 2007 through 2020. The amount of the unrecognized tax benefits may increase or decrease within the next twelve months as a result of audits or audit settlements.</w:t>
      </w:r>
    </w:p>
    <w:p>
      <w:pPr>
        <w:spacing w:after="0" w:line="214" w:lineRule="exact"/>
        <w:rPr>
          <w:sz w:val="20"/>
          <w:szCs w:val="20"/>
          <w:color w:val="auto"/>
        </w:rPr>
      </w:pPr>
    </w:p>
    <w:p>
      <w:pPr>
        <w:ind w:left="360" w:hanging="350"/>
        <w:spacing w:after="0"/>
        <w:tabs>
          <w:tab w:leader="none" w:pos="36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VACATION OWNERSHIP NOTES RECEIVABLE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vacation ownership notes receivable balances, net of reserves.</w:t>
      </w:r>
    </w:p>
    <w:p>
      <w:pPr>
        <w:spacing w:after="0" w:line="13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3"/>
        </w:trPr>
        <w:tc>
          <w:tcPr>
            <w:tcW w:w="1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1,917</w:t>
            </w: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25"/>
        </w:trPr>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Eligible for securitization</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r>
      <w:tr>
        <w:trPr>
          <w:trHeight w:val="154"/>
        </w:trPr>
        <w:tc>
          <w:tcPr>
            <w:tcW w:w="18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Not eligible for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3"/>
        </w:trPr>
        <w:tc>
          <w:tcPr>
            <w:tcW w:w="1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securitization</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429</w:t>
            </w:r>
          </w:p>
        </w:tc>
      </w:tr>
      <w:tr>
        <w:trPr>
          <w:trHeight w:val="20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Non-securitized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523</w:t>
            </w:r>
          </w:p>
        </w:tc>
      </w:tr>
      <w:tr>
        <w:trPr>
          <w:trHeight w:val="142"/>
        </w:trPr>
        <w:tc>
          <w:tcPr>
            <w:tcW w:w="1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218"/>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2,440</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080" w:right="1740" w:hanging="276"/>
        <w:spacing w:after="0" w:line="223" w:lineRule="auto"/>
        <w:tabs>
          <w:tab w:leader="none" w:pos="2069"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Footnote 6 “Financial Instruments” for discussion of eligibility of our vacation ownership notes receivable for securitization.</w:t>
      </w:r>
    </w:p>
    <w:p>
      <w:pPr>
        <w:spacing w:after="0" w:line="26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We reflect interest income associated with vacation ownership notes receivable on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 securitized vacation ownership notes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w:t>
            </w:r>
          </w:p>
        </w:tc>
      </w:tr>
      <w:tr>
        <w:trPr>
          <w:trHeight w:val="225"/>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 - non-securitized vacation ownership notes receivable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 associated with vacation ownership notes receivable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 - Vacation Ownership Notes Receivable</w:t>
      </w:r>
    </w:p>
    <w:p>
      <w:pPr>
        <w:spacing w:after="0" w:line="10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w:t>
      </w:r>
    </w:p>
    <w:p>
      <w:pPr>
        <w:spacing w:after="0" w:line="6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weighted average FICO score within our consolidated vacation ownership notes receivable pool was 726 and 725, at March 31, 2025 and December 31, 2024, respectively, based upon the FICO score of the borrower at the time of origination.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Reserve</w:t>
      </w:r>
    </w:p>
    <w:p>
      <w:pPr>
        <w:spacing w:after="0" w:line="104"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6"/>
          <w:szCs w:val="16"/>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Originated Vacation Ownership Notes Receivable</w:t>
      </w:r>
    </w:p>
    <w:p>
      <w:pPr>
        <w:spacing w:after="0" w:line="10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March 31, 2025.</w:t>
      </w:r>
    </w:p>
    <w:p>
      <w:pPr>
        <w:spacing w:after="0" w:line="200" w:lineRule="exact"/>
        <w:rPr>
          <w:sz w:val="20"/>
          <w:szCs w:val="20"/>
          <w:color w:val="auto"/>
        </w:rPr>
      </w:pPr>
    </w:p>
    <w:p>
      <w:pPr>
        <w:spacing w:after="0" w:line="3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218"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40" w:type="dxa"/>
            <w:vAlign w:val="bottom"/>
          </w:tcPr>
          <w:p>
            <w:pPr>
              <w:spacing w:after="0"/>
              <w:rPr>
                <w:sz w:val="15"/>
                <w:szCs w:val="15"/>
                <w:color w:val="auto"/>
              </w:rPr>
            </w:pPr>
          </w:p>
        </w:tc>
        <w:tc>
          <w:tcPr>
            <w:tcW w:w="12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63"/>
              <w:spacing w:after="0" w:line="168" w:lineRule="exact"/>
              <w:rPr>
                <w:sz w:val="20"/>
                <w:szCs w:val="20"/>
                <w:color w:val="auto"/>
              </w:rPr>
            </w:pPr>
            <w:r>
              <w:rPr>
                <w:rFonts w:ascii="Times New Roman" w:cs="Times New Roman" w:eastAsia="Times New Roman" w:hAnsi="Times New Roman"/>
                <w:sz w:val="16"/>
                <w:szCs w:val="16"/>
                <w:color w:val="auto"/>
                <w:w w:val="96"/>
              </w:rPr>
              <w:t>11.5%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Range of stated interest rates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0.0% to 20.9%</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0.0% to 20.9%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8"/>
              </w:rPr>
              <w:t>0.0% to 20.9%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6"/>
          <w:szCs w:val="16"/>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 during the first quarter of 2025.</w:t>
      </w:r>
    </w:p>
    <w:p>
      <w:pPr>
        <w:spacing w:after="0" w:line="100"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7"/>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Reserve</w:t>
            </w:r>
          </w:p>
        </w:tc>
      </w:tr>
      <w:tr>
        <w:trPr>
          <w:trHeight w:val="183"/>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275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r>
      <w:tr>
        <w:trPr>
          <w:trHeight w:val="154"/>
        </w:trPr>
        <w:tc>
          <w:tcPr>
            <w:tcW w:w="34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Increase in vacation ownership notes receivable</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w:t>
            </w: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w:t>
            </w: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Securitizations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Write-offs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54"/>
        </w:trPr>
        <w:tc>
          <w:tcPr>
            <w:tcW w:w="3480" w:type="dxa"/>
            <w:vAlign w:val="bottom"/>
            <w:shd w:val="clear" w:color="auto" w:fill="CCEEFF"/>
          </w:tcPr>
          <w:p>
            <w:pPr>
              <w:ind w:left="100"/>
              <w:spacing w:after="0" w:line="154" w:lineRule="exact"/>
              <w:rPr>
                <w:sz w:val="20"/>
                <w:szCs w:val="20"/>
                <w:color w:val="auto"/>
              </w:rPr>
            </w:pPr>
            <w:r>
              <w:rPr>
                <w:rFonts w:ascii="Times New Roman" w:cs="Times New Roman" w:eastAsia="Times New Roman" w:hAnsi="Times New Roman"/>
                <w:sz w:val="16"/>
                <w:szCs w:val="16"/>
                <w:color w:val="auto"/>
              </w:rPr>
              <w:t>Defaulted vacation ownership notes receivable</w:t>
            </w: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3"/>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activity</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276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520</w:t>
            </w: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2120" w:right="2400" w:hanging="286"/>
        <w:spacing w:after="0" w:line="230" w:lineRule="auto"/>
        <w:tabs>
          <w:tab w:leader="none" w:pos="2109"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originated vacation ownership notes receivable, before reserves, by brand and borrower FICO score at origination.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gridSpan w:val="21"/>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as of March 31, 2025</w:t>
            </w:r>
          </w:p>
        </w:tc>
      </w:tr>
      <w:tr>
        <w:trPr>
          <w:trHeight w:val="183"/>
        </w:trPr>
        <w:tc>
          <w:tcPr>
            <w:tcW w:w="180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 +</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8"/>
              </w:rPr>
              <w:t>&lt; 600</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40" w:type="dxa"/>
            <w:vAlign w:val="bottom"/>
            <w:tcBorders>
              <w:top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1,527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628</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2,586</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285</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1,735</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700</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2,871</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4"/>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0" w:type="dxa"/>
            <w:vAlign w:val="bottom"/>
            <w:gridSpan w:val="21"/>
          </w:tcPr>
          <w:p>
            <w:pPr>
              <w:ind w:left="260"/>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as of December 31, 2024</w:t>
            </w:r>
          </w:p>
        </w:tc>
      </w:tr>
      <w:tr>
        <w:trPr>
          <w:trHeight w:val="183"/>
        </w:trPr>
        <w:tc>
          <w:tcPr>
            <w:tcW w:w="1800" w:type="dxa"/>
            <w:vAlign w:val="bottom"/>
          </w:tcPr>
          <w:p>
            <w:pPr>
              <w:spacing w:after="0"/>
              <w:rPr>
                <w:sz w:val="15"/>
                <w:szCs w:val="15"/>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700 +</w:t>
            </w: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&lt; 600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2,570</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290</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2,860</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6"/>
          <w:szCs w:val="16"/>
          <w:color w:val="auto"/>
        </w:rPr>
        <w:t>The following tables detail the origination year of our originated vacation ownership notes receivable, before reserves, by brand and borrower FICO score at origination as of March 31, 2025, and gross write-offs by brand for the first quarter of 2025.</w:t>
      </w:r>
    </w:p>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gridSpan w:val="22"/>
          </w:tcPr>
          <w:p>
            <w:pPr>
              <w:jc w:val="right"/>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 Marriott Vacation Ownership</w:t>
            </w:r>
          </w:p>
        </w:tc>
        <w:tc>
          <w:tcPr>
            <w:tcW w:w="680" w:type="dxa"/>
            <w:vAlign w:val="bottom"/>
            <w:tcBorders>
              <w:bottom w:val="single" w:sz="8" w:color="auto"/>
            </w:tcBorders>
          </w:tcPr>
          <w:p>
            <w:pPr>
              <w:spacing w:after="0"/>
              <w:rPr>
                <w:sz w:val="16"/>
                <w:szCs w:val="16"/>
                <w:color w:val="auto"/>
              </w:rPr>
            </w:pPr>
          </w:p>
        </w:tc>
      </w:tr>
      <w:tr>
        <w:trPr>
          <w:trHeight w:val="183"/>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700</w:t>
            </w:r>
          </w:p>
        </w:tc>
        <w:tc>
          <w:tcPr>
            <w:tcW w:w="1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499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1,527</w:t>
            </w:r>
          </w:p>
        </w:tc>
      </w:tr>
      <w:tr>
        <w:trPr>
          <w:trHeight w:val="2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628</w:t>
            </w: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 600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r>
      <w:tr>
        <w:trPr>
          <w:trHeight w:val="225"/>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 Score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374</w:t>
            </w:r>
          </w:p>
        </w:tc>
      </w:tr>
      <w:tr>
        <w:trPr>
          <w:trHeight w:val="218"/>
        </w:trPr>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846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2,586</w:t>
            </w:r>
          </w:p>
        </w:tc>
      </w:tr>
      <w:tr>
        <w:trPr>
          <w:trHeight w:val="20"/>
        </w:trPr>
        <w:tc>
          <w:tcPr>
            <w:tcW w:w="13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write-offs</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r>
      <w:tr>
        <w:trPr>
          <w:trHeight w:val="388"/>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 Hyatt Vacation Ownership</w:t>
            </w:r>
          </w:p>
        </w:tc>
        <w:tc>
          <w:tcPr>
            <w:tcW w:w="680" w:type="dxa"/>
            <w:vAlign w:val="bottom"/>
            <w:tcBorders>
              <w:bottom w:val="single" w:sz="8" w:color="auto"/>
            </w:tcBorders>
          </w:tcPr>
          <w:p>
            <w:pPr>
              <w:spacing w:after="0"/>
              <w:rPr>
                <w:sz w:val="24"/>
                <w:szCs w:val="24"/>
                <w:color w:val="auto"/>
              </w:rPr>
            </w:pPr>
          </w:p>
        </w:tc>
      </w:tr>
      <w:tr>
        <w:trPr>
          <w:trHeight w:val="183"/>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700</w:t>
            </w: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r>
      <w:tr>
        <w:trPr>
          <w:trHeight w:val="2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 600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Score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218"/>
        </w:trPr>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285</w:t>
            </w:r>
          </w:p>
        </w:tc>
      </w:tr>
      <w:tr>
        <w:trPr>
          <w:trHeight w:val="20"/>
        </w:trPr>
        <w:tc>
          <w:tcPr>
            <w:tcW w:w="13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write-offs</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Acquired Vacation Ownership Notes Receivable</w:t>
      </w:r>
    </w:p>
    <w:p>
      <w:pPr>
        <w:spacing w:after="0" w:line="57"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5"/>
          <w:szCs w:val="15"/>
          <w:color w:val="auto"/>
        </w:rPr>
        <w:t>Acquired vacation ownership notes receivable represent vacation ownership notes receivable acquired as part of the ILG Acquisition and the Welk Acquisition. The following table shows future contractual principal payments, net of an $8 million reserve, and interest rates for our acquired vacation ownership notes receivable at March 31, 2025.</w:t>
      </w:r>
    </w:p>
    <w:p>
      <w:pPr>
        <w:spacing w:after="0" w:line="17"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Acquired Vacation Ownership Notes Receivable</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60" w:type="dxa"/>
            <w:vAlign w:val="bottom"/>
          </w:tcPr>
          <w:p>
            <w:pPr>
              <w:spacing w:after="0"/>
              <w:rPr>
                <w:sz w:val="15"/>
                <w:szCs w:val="15"/>
                <w:color w:val="auto"/>
              </w:rPr>
            </w:pPr>
          </w:p>
        </w:tc>
        <w:tc>
          <w:tcPr>
            <w:tcW w:w="12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1"/>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8"/>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63"/>
              <w:spacing w:after="0" w:line="168" w:lineRule="exact"/>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14.1%</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Range of stated interest rates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0.0% to 21.9%</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6"/>
              </w:rPr>
              <w:t>0.0% to 21.9%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6"/>
              </w:rPr>
              <w:t>0.0% to 21.9%</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the acquired vacation ownership notes receivable, before reserves, by brand and borrower FICO score at origination.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40" w:type="dxa"/>
            <w:vAlign w:val="bottom"/>
            <w:gridSpan w:val="14"/>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Acquired Vacation Ownership Notes Receivable as of March 31, 2025</w:t>
            </w:r>
          </w:p>
        </w:tc>
      </w:tr>
      <w:tr>
        <w:trPr>
          <w:trHeight w:val="183"/>
        </w:trPr>
        <w:tc>
          <w:tcPr>
            <w:tcW w:w="18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8"/>
              </w:rPr>
              <w:t>&lt; 600</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22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55"/>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gridSpan w:val="14"/>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Acquired Vacation Ownership Notes Receivable as of December 31, 2024</w:t>
            </w:r>
          </w:p>
        </w:tc>
      </w:tr>
      <w:tr>
        <w:trPr>
          <w:trHeight w:val="183"/>
        </w:trPr>
        <w:tc>
          <w:tcPr>
            <w:tcW w:w="18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8"/>
              </w:rPr>
              <w:t>&lt; 600</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22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116</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on Non-Accrual Status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For both non-securitized and securitized vacation ownership notes receivable, we estimated the average remaining default rates of 13.86% as of March 31, 2025 and 13.96% as of December 31, 2024. A 0.5 percentage point increase in the estimated default rate would have resulted in an increase in the related vacation ownership notes receivable reserve of $14 million as of both March 31, 2025 and December 31, 2024.</w:t>
      </w:r>
    </w:p>
    <w:p>
      <w:pPr>
        <w:spacing w:after="0" w:line="6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60"/>
          </w:cols>
          <w:pgMar w:left="320" w:top="218" w:right="319" w:bottom="1440" w:gutter="0" w:footer="0" w:header="0"/>
        </w:sectPr>
      </w:pPr>
    </w:p>
    <w:p>
      <w:pPr>
        <w:spacing w:after="0" w:line="29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33" w:lineRule="exact"/>
        <w:rPr>
          <w:sz w:val="20"/>
          <w:szCs w:val="20"/>
          <w:color w:val="auto"/>
        </w:rPr>
      </w:pPr>
    </w:p>
    <w:p>
      <w:pPr>
        <w:ind w:left="1800"/>
        <w:spacing w:after="0" w:line="259" w:lineRule="auto"/>
        <w:rPr>
          <w:sz w:val="20"/>
          <w:szCs w:val="20"/>
          <w:color w:val="auto"/>
        </w:rPr>
      </w:pPr>
      <w:r>
        <w:rPr>
          <w:rFonts w:ascii="Times New Roman" w:cs="Times New Roman" w:eastAsia="Times New Roman" w:hAnsi="Times New Roman"/>
          <w:sz w:val="15"/>
          <w:szCs w:val="15"/>
          <w:color w:val="auto"/>
        </w:rPr>
        <w:t>Investment in vacation ownership notes receivable on non-accrual status at March 31, 2025</w:t>
      </w:r>
    </w:p>
    <w:p>
      <w:pPr>
        <w:ind w:left="1800"/>
        <w:spacing w:after="0" w:line="270" w:lineRule="auto"/>
        <w:rPr>
          <w:sz w:val="20"/>
          <w:szCs w:val="20"/>
          <w:color w:val="auto"/>
        </w:rPr>
      </w:pPr>
      <w:r>
        <w:rPr>
          <w:rFonts w:ascii="Times New Roman" w:cs="Times New Roman" w:eastAsia="Times New Roman" w:hAnsi="Times New Roman"/>
          <w:sz w:val="15"/>
          <w:szCs w:val="15"/>
          <w:color w:val="auto"/>
        </w:rPr>
        <w:t>Investment in vacation ownership notes receivable on non-accrual status at December 31, 2024</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5"/>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3"/>
                <w:szCs w:val="23"/>
                <w:color w:val="auto"/>
              </w:rPr>
            </w:pPr>
          </w:p>
        </w:tc>
        <w:tc>
          <w:tcPr>
            <w:tcW w:w="1080" w:type="dxa"/>
            <w:vAlign w:val="bottom"/>
            <w:tcBorders>
              <w:top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3"/>
                <w:szCs w:val="23"/>
                <w:color w:val="auto"/>
              </w:rPr>
            </w:pPr>
          </w:p>
        </w:tc>
        <w:tc>
          <w:tcPr>
            <w:tcW w:w="3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189</w:t>
            </w:r>
          </w:p>
        </w:tc>
      </w:tr>
      <w:tr>
        <w:trPr>
          <w:trHeight w:val="367"/>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4"/>
                <w:szCs w:val="24"/>
                <w:color w:val="auto"/>
              </w:rPr>
            </w:pP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-413385</wp:posOffset>
            </wp:positionV>
            <wp:extent cx="4871085" cy="2330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71085" cy="233045"/>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5000" w:space="100"/>
            <w:col w:w="6160"/>
          </w:cols>
          <w:pgMar w:left="320" w:top="218" w:right="319" w:bottom="1440" w:gutter="0" w:footer="0" w:header="0"/>
          <w:type w:val="continuous"/>
        </w:sectPr>
      </w:pPr>
    </w:p>
    <w:p>
      <w:pPr>
        <w:spacing w:after="0" w:line="34"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The following table shows the aging of the recorded investment in principal, before reserves, in vacation ownership notes receivable as of March 31, 2025 and December 31, 2024.</w:t>
      </w:r>
    </w:p>
    <w:p>
      <w:pPr>
        <w:spacing w:after="0" w:line="135"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21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2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2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218" w:right="319" w:bottom="1440" w:gutter="0" w:footer="0" w:header="0"/>
          <w:type w:val="continuous"/>
        </w:sectPr>
      </w:pPr>
    </w:p>
    <w:p>
      <w:pPr>
        <w:ind w:left="1900"/>
        <w:spacing w:after="0"/>
        <w:tabs>
          <w:tab w:leader="none" w:pos="3680" w:val="left"/>
        </w:tabs>
        <w:rPr>
          <w:sz w:val="20"/>
          <w:szCs w:val="20"/>
          <w:color w:val="auto"/>
        </w:rPr>
      </w:pPr>
      <w:r>
        <w:rPr>
          <w:rFonts w:ascii="Times New Roman" w:cs="Times New Roman" w:eastAsia="Times New Roman" w:hAnsi="Times New Roman"/>
          <w:sz w:val="16"/>
          <w:szCs w:val="16"/>
          <w:color w:val="auto"/>
        </w:rPr>
        <w:t>31 – 90 days past due</w:t>
      </w:r>
      <w:r>
        <w:rPr>
          <w:sz w:val="20"/>
          <w:szCs w:val="20"/>
          <w:color w:val="auto"/>
        </w:rPr>
        <w:tab/>
      </w:r>
      <w:r>
        <w:rPr>
          <w:rFonts w:ascii="Times New Roman" w:cs="Times New Roman" w:eastAsia="Times New Roman" w:hAnsi="Times New Roman"/>
          <w:sz w:val="16"/>
          <w:szCs w:val="16"/>
          <w:color w:val="auto"/>
        </w:rPr>
        <w:t>$</w:t>
      </w:r>
    </w:p>
    <w:p>
      <w:pPr>
        <w:spacing w:after="0" w:line="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91 – 120 days past due</w:t>
      </w:r>
    </w:p>
    <w:p>
      <w:pPr>
        <w:spacing w:after="0" w:line="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Greater than 120 days past</w:t>
      </w:r>
    </w:p>
    <w:p>
      <w:pPr>
        <w:ind w:left="1900"/>
        <w:spacing w:after="0"/>
        <w:rPr>
          <w:sz w:val="20"/>
          <w:szCs w:val="20"/>
          <w:color w:val="auto"/>
        </w:rPr>
      </w:pPr>
      <w:r>
        <w:rPr>
          <w:rFonts w:ascii="Times New Roman" w:cs="Times New Roman" w:eastAsia="Times New Roman" w:hAnsi="Times New Roman"/>
          <w:sz w:val="16"/>
          <w:szCs w:val="16"/>
          <w:color w:val="auto"/>
        </w:rPr>
        <w:t>due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65</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74</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25"/>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tcPr>
          <w:p>
            <w:pPr>
              <w:spacing w:after="0"/>
              <w:rPr>
                <w:sz w:val="19"/>
                <w:szCs w:val="19"/>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66"/>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1"/>
              </w:rPr>
              <w:t>158</w:t>
            </w:r>
          </w:p>
        </w:tc>
        <w:tc>
          <w:tcPr>
            <w:tcW w:w="46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163</w:t>
            </w:r>
          </w:p>
        </w:tc>
        <w:tc>
          <w:tcPr>
            <w:tcW w:w="42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w:t>
            </w:r>
          </w:p>
        </w:tc>
        <w:tc>
          <w:tcPr>
            <w:tcW w:w="46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-232410</wp:posOffset>
            </wp:positionV>
            <wp:extent cx="4864100" cy="233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64100" cy="23304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-518160</wp:posOffset>
            </wp:positionV>
            <wp:extent cx="4864100"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0" w:space="480"/>
            <w:col w:w="7000"/>
          </w:cols>
          <w:pgMar w:left="320" w:top="218" w:right="3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180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past due</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8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Total vacation ownership</w:t>
            </w: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1"/>
                <w:szCs w:val="11"/>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tcPr>
          <w:p>
            <w:pPr>
              <w:spacing w:after="0"/>
              <w:rPr>
                <w:sz w:val="11"/>
                <w:szCs w:val="11"/>
                <w:color w:val="auto"/>
              </w:rPr>
            </w:pP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1"/>
                <w:szCs w:val="11"/>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Pr>
          <w:p>
            <w:pPr>
              <w:spacing w:after="0"/>
              <w:rPr>
                <w:sz w:val="11"/>
                <w:szCs w:val="11"/>
                <w:color w:val="auto"/>
              </w:rPr>
            </w:pP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2,976</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6.</w:t>
        <w:tab/>
        <w:t>FINANCIAL INSTRUMENTS</w:t>
      </w:r>
    </w:p>
    <w:p>
      <w:pPr>
        <w:spacing w:after="0" w:line="1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and Accrued liabilities, all of which had fair values approximating their carrying amounts due to the short maturities and liquidity of these instruments. The table also excludes the Delayed-Draw Term Loan (as defined and further discussed in Footnote 11 “Debt”) as there were no outstanding borrowings as of March 31,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6"/>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83"/>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43"/>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net</w:t>
            </w: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2,446</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2,510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2,440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30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Contracts receivable for financed VOI sales,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3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80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financial assets</w:t>
            </w:r>
          </w:p>
        </w:tc>
        <w:tc>
          <w:tcPr>
            <w:tcW w:w="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Securitized debt, net</w:t>
            </w:r>
          </w:p>
        </w:tc>
        <w:tc>
          <w:tcPr>
            <w:tcW w:w="2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0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Revolving Corporate Credit Facility,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 Notes, net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2029 Notes,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 Convertible Notes, net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2027 Convertible Notes, net</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17"/>
                <w:szCs w:val="17"/>
                <w:color w:val="auto"/>
              </w:rPr>
            </w:pPr>
          </w:p>
        </w:tc>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8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43"/>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Eligible for securitization</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Not eligible for securitization</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Non-securitized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2,510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w:t>
      </w:r>
    </w:p>
    <w:p>
      <w:pPr>
        <w:spacing w:after="0" w:line="200" w:lineRule="exact"/>
        <w:rPr>
          <w:sz w:val="20"/>
          <w:szCs w:val="20"/>
          <w:color w:val="auto"/>
        </w:rPr>
      </w:pPr>
    </w:p>
    <w:p>
      <w:pPr>
        <w:spacing w:after="0" w:line="3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similar factors that may reflect investor demand in a securitization transaction or the cost to effectively securitize the vacation ownership notes receivable.</w:t>
      </w:r>
    </w:p>
    <w:p>
      <w:pPr>
        <w:spacing w:after="0" w:line="1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Contracts Receivable for Financed VOI Sales</w:t>
      </w:r>
    </w:p>
    <w:p>
      <w:pPr>
        <w:spacing w:after="0" w:line="1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p>
      <w:pPr>
        <w:spacing w:after="0" w:line="10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6"/>
          <w:szCs w:val="16"/>
          <w:color w:val="auto"/>
        </w:rPr>
        <w:t>Other assets include $130 million and $131 million of company owned insurance policies (the “COLI policies”) acquired on the lives of certain participants in the Marriott Vacations Worldwide Deferred Compensation Plan (the “Deferred Compensation Plan”) at March 31, 2025 and December 31, 2024, respectively, that are held in a rabbi trust. The carrying value of the COLI policies is equal to their cash surrender value (Level 2 inputs).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Securitized Debt</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Loan</w:t>
      </w:r>
    </w:p>
    <w:p>
      <w:pPr>
        <w:spacing w:after="0" w:line="10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Term Loan (as defined in Footnote 11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Revolving Corporate Credit Facility</w:t>
      </w:r>
    </w:p>
    <w:p>
      <w:pPr>
        <w:spacing w:after="0" w:line="10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We estimate that the gross carrying value of our Revolving Corporate Credit Facility (as defined in Footnote 11 “Debt”) approximates fair value as the contractual interest rate is variable plus an applicable margin. We concluded that this fair value measurement should be categorized within Level 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0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2028 Notes and 2029 Notes (each as defined in Footnote 11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0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We estimate the fair value of our convertible notes using quoted market prices as of the last trading day for the quarter; however these notes have only a limited trading history and volume, and as such, this fair value estimate is not</w:t>
      </w:r>
    </w:p>
    <w:p>
      <w:pPr>
        <w:spacing w:after="0" w:line="200" w:lineRule="exact"/>
        <w:rPr>
          <w:sz w:val="20"/>
          <w:szCs w:val="20"/>
          <w:color w:val="auto"/>
        </w:rPr>
      </w:pPr>
    </w:p>
    <w:p>
      <w:pPr>
        <w:spacing w:after="0" w:line="3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necessarily indicative of the value at which the convertible notes could be retired or transferred. We concluded that this fair value measurement should be categorized within Level 2.</w:t>
      </w:r>
    </w:p>
    <w:p>
      <w:pPr>
        <w:spacing w:after="0" w:line="202" w:lineRule="exact"/>
        <w:rPr>
          <w:sz w:val="20"/>
          <w:szCs w:val="20"/>
          <w:color w:val="auto"/>
        </w:rPr>
      </w:pPr>
    </w:p>
    <w:p>
      <w:pPr>
        <w:ind w:left="360" w:hanging="350"/>
        <w:spacing w:after="0"/>
        <w:tabs>
          <w:tab w:leader="none" w:pos="36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Basic earnings per share attributable to common stockholders is calculated by dividing net income attributable to common stockholders by the weighted average number of shares of common stock outstanding during the reporting period. Diluted earnings per share attributable to common stockholders reflects the assumed conversion of all dilutive securities, calculated using the treasury stock method.</w:t>
      </w:r>
    </w:p>
    <w:p>
      <w:pPr>
        <w:spacing w:after="0" w:line="110"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6"/>
          <w:szCs w:val="16"/>
          <w:color w:val="auto"/>
        </w:rPr>
        <w:t>The tables below illustrate the reconciliation of the earnings and number of shares used in our calculation of basic and diluted earnings per share attributable to common stockholders.</w:t>
      </w:r>
    </w:p>
    <w:p>
      <w:pPr>
        <w:spacing w:after="0" w:line="13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1820" w:type="dxa"/>
        <w:tblCellMar>
          <w:top w:w="0" w:type="dxa"/>
          <w:left w:w="0" w:type="dxa"/>
          <w:bottom w:w="0" w:type="dxa"/>
          <w:right w:w="0" w:type="dxa"/>
        </w:tblCellMar>
      </w:tblPr>
      <w:tr>
        <w:trPr>
          <w:trHeight w:val="187"/>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5"/>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r>
      <w:tr>
        <w:trPr>
          <w:trHeight w:val="22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Shares for basic earnings per share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r>
      <w:tr>
        <w:trPr>
          <w:trHeight w:val="21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1"/>
        </w:trPr>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6"/>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r>
      <w:tr>
        <w:trPr>
          <w:trHeight w:val="22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Add back of interest expense related to convertible notes, net of tax</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 used to calculate 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r>
      <w:tr>
        <w:trPr>
          <w:trHeight w:val="225"/>
        </w:trPr>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for basic earnings per share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r>
      <w:tr>
        <w:trPr>
          <w:trHeight w:val="225"/>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shares outstanding</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r>
      <w:tr>
        <w:trPr>
          <w:trHeight w:val="225"/>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 Convertible Notes</w:t>
            </w:r>
          </w:p>
        </w:tc>
        <w:tc>
          <w:tcPr>
            <w:tcW w:w="10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r>
      <w:tr>
        <w:trPr>
          <w:trHeight w:val="22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 Convertible Notes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r>
      <w:tr>
        <w:trPr>
          <w:trHeight w:val="20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Shares for diluted earnings per share</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42.2</w:t>
            </w:r>
          </w:p>
        </w:tc>
      </w:tr>
      <w:tr>
        <w:trPr>
          <w:trHeight w:val="21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computations of diluted earnings per share attributable to common stockholders above exclude approximately 529,000 and 396,000 shares of common stock, the maximum number of shares issuable as of March 31, 2025 and March 31, 2024, respectively, upon the vesting of certain performance-based awards, because the performance conditions required to be met for the shares subject to such awards to vest were not achieved by the end of the reporting period.</w:t>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In accordance with the applicable accounting guidance for calculating earnings per share, for the first quarter of 2025, we excluded from our calculation of diluted earnings per share 788,607 shares underlying stock appreciation rights (“SARs”) that may settle in shares of common stock because the exercise prices of such SARs, which ranged from $71.17 to $173.88, were greater than the average market price of our common stock for the applicable period.</w:t>
      </w:r>
    </w:p>
    <w:p>
      <w:pPr>
        <w:spacing w:after="0" w:line="11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For the first quarter of 2024, we excluded from our calculation of diluted earnings per share 645,524 shares underlying SARs that may settle in shares of common stock because the exercise prices of such SARs, which ranged from $93.73 to $173.88, were greater than the average market price of our common stock for the applicable period.</w:t>
      </w:r>
    </w:p>
    <w:p>
      <w:pPr>
        <w:spacing w:after="0" w:line="200" w:lineRule="exact"/>
        <w:rPr>
          <w:sz w:val="20"/>
          <w:szCs w:val="20"/>
          <w:color w:val="auto"/>
        </w:rPr>
      </w:pPr>
    </w:p>
    <w:p>
      <w:pPr>
        <w:spacing w:after="0" w:line="3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218"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8.</w:t>
        <w:tab/>
        <w:t>INVENTORY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inventory balances:</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inventory</w:t>
            </w:r>
            <w:r>
              <w:rPr>
                <w:rFonts w:ascii="Times New Roman" w:cs="Times New Roman" w:eastAsia="Times New Roman" w:hAnsi="Times New Roman"/>
                <w:sz w:val="8"/>
                <w:szCs w:val="8"/>
                <w:color w:val="auto"/>
              </w:rPr>
              <w:t>(1)</w:t>
            </w: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725</w:t>
            </w:r>
          </w:p>
        </w:tc>
      </w:tr>
      <w:tr>
        <w:trPr>
          <w:trHeight w:val="225"/>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080" w:right="1860" w:hanging="276"/>
        <w:spacing w:after="0" w:line="223" w:lineRule="auto"/>
        <w:tabs>
          <w:tab w:leader="none" w:pos="2069"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completed inventory that is registered for sale as VOIs and vacation ownership inventory expected to be reacquired pursuant to estimated future defaults on originated vacation ownership notes receivable.</w:t>
      </w:r>
    </w:p>
    <w:p>
      <w:pPr>
        <w:spacing w:after="0" w:line="18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Product cost true-up activity relating to vacation ownership products increased carrying values of inventory by $13 million during the first quarter of 2025 and $5 million during the first quarter of 2024.</w:t>
      </w:r>
    </w:p>
    <w:p>
      <w:pPr>
        <w:spacing w:after="0" w:line="50"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In addition to the above, at March 31, 2025 and December 31, 2024, we had $266 million and $271 million, respectively, of completed vacation ownership units which are classified as a component of Property and equipment, net until the time at which they are available and legally registered for sale as vacation ownership products.</w:t>
      </w:r>
    </w:p>
    <w:p>
      <w:pPr>
        <w:spacing w:after="0" w:line="50"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We also had deposits on future purchases of inventory of $33 million, of which $29 million was included in Other assets and $4 million was included in Accounts and contracts receivable, net on our Balance Sheet as of both March 31, 2025 and December 31, 2024.</w:t>
      </w:r>
    </w:p>
    <w:p>
      <w:pPr>
        <w:spacing w:after="0" w:line="155" w:lineRule="exact"/>
        <w:rPr>
          <w:sz w:val="20"/>
          <w:szCs w:val="20"/>
          <w:color w:val="auto"/>
        </w:rPr>
      </w:pPr>
    </w:p>
    <w:p>
      <w:pPr>
        <w:ind w:right="7800" w:firstLine="10"/>
        <w:spacing w:after="0" w:line="380" w:lineRule="auto"/>
        <w:tabs>
          <w:tab w:leader="none" w:pos="430" w:val="left"/>
        </w:tabs>
        <w:numPr>
          <w:ilvl w:val="0"/>
          <w:numId w:val="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CONTINGENCIES AND COMMITMENTS </w:t>
      </w:r>
      <w:r>
        <w:rPr>
          <w:rFonts w:ascii="Times New Roman" w:cs="Times New Roman" w:eastAsia="Times New Roman" w:hAnsi="Times New Roman"/>
          <w:sz w:val="15"/>
          <w:szCs w:val="15"/>
          <w:b w:val="1"/>
          <w:bCs w:val="1"/>
          <w:i w:val="1"/>
          <w:iCs w:val="1"/>
          <w:color w:val="auto"/>
        </w:rPr>
        <w:t>Commitments and Letters of Credit</w:t>
      </w:r>
    </w:p>
    <w:p>
      <w:pPr>
        <w:spacing w:after="0"/>
        <w:rPr>
          <w:sz w:val="20"/>
          <w:szCs w:val="20"/>
          <w:color w:val="auto"/>
        </w:rPr>
      </w:pPr>
      <w:r>
        <w:rPr>
          <w:rFonts w:ascii="Times New Roman" w:cs="Times New Roman" w:eastAsia="Times New Roman" w:hAnsi="Times New Roman"/>
          <w:sz w:val="16"/>
          <w:szCs w:val="16"/>
          <w:color w:val="auto"/>
        </w:rPr>
        <w:t>As of March 31, 2025, we had the following commitments outstanding:</w:t>
      </w:r>
    </w:p>
    <w:p>
      <w:pPr>
        <w:spacing w:after="0" w:line="100" w:lineRule="exact"/>
        <w:rPr>
          <w:sz w:val="20"/>
          <w:szCs w:val="20"/>
          <w:color w:val="auto"/>
        </w:rPr>
      </w:pPr>
    </w:p>
    <w:p>
      <w:pPr>
        <w:ind w:left="340" w:right="320" w:hanging="274"/>
        <w:spacing w:after="0" w:line="261" w:lineRule="auto"/>
        <w:tabs>
          <w:tab w:leader="none" w:pos="3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various contracts for the use of information technology hardware and software, including cloud computing arrangements, that we use in the normal course of business. Our aggregate commitment under these contracts was $75 million, of which we expect $37 million, $27 million, $9 million, and $2 million will be paid in the remainder of 2025, 2026, 2027, and 2028, respectively.</w:t>
      </w:r>
    </w:p>
    <w:p>
      <w:pPr>
        <w:spacing w:after="0" w:line="62" w:lineRule="exact"/>
        <w:rPr>
          <w:rFonts w:ascii="Times New Roman" w:cs="Times New Roman" w:eastAsia="Times New Roman" w:hAnsi="Times New Roman"/>
          <w:sz w:val="16"/>
          <w:szCs w:val="16"/>
          <w:color w:val="auto"/>
        </w:rPr>
      </w:pPr>
    </w:p>
    <w:p>
      <w:pPr>
        <w:ind w:left="340" w:hanging="274"/>
        <w:spacing w:after="0" w:line="276" w:lineRule="auto"/>
        <w:tabs>
          <w:tab w:leader="none" w:pos="3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remaining commitments of $32 million to purchase vacation ownership units located in Bali, Indonesia in two separate transactions, contingent upon completion of construction to agreed-upon standards within specified timeframes, for use in our Vacation Ownership segment.</w:t>
      </w:r>
    </w:p>
    <w:p>
      <w:pPr>
        <w:spacing w:after="0" w:line="50" w:lineRule="exact"/>
        <w:rPr>
          <w:rFonts w:ascii="Times New Roman" w:cs="Times New Roman" w:eastAsia="Times New Roman" w:hAnsi="Times New Roman"/>
          <w:sz w:val="16"/>
          <w:szCs w:val="16"/>
          <w:color w:val="auto"/>
        </w:rPr>
      </w:pPr>
    </w:p>
    <w:p>
      <w:pPr>
        <w:ind w:left="640" w:right="120" w:hanging="290"/>
        <w:spacing w:after="0" w:line="276" w:lineRule="auto"/>
        <w:tabs>
          <w:tab w:leader="none" w:pos="63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32 vacation ownership units in 2025 pursuant to one of these commitments, and to make remaining payments with respect to these units when specific construction milestones are completed as follows: $10 million in the remainder of 2025 and $1 million in 2026.</w:t>
      </w:r>
    </w:p>
    <w:p>
      <w:pPr>
        <w:spacing w:after="0" w:line="50" w:lineRule="exact"/>
        <w:rPr>
          <w:rFonts w:ascii="Times New Roman" w:cs="Times New Roman" w:eastAsia="Times New Roman" w:hAnsi="Times New Roman"/>
          <w:sz w:val="16"/>
          <w:szCs w:val="16"/>
          <w:color w:val="auto"/>
        </w:rPr>
      </w:pPr>
    </w:p>
    <w:p>
      <w:pPr>
        <w:ind w:left="640" w:right="20" w:hanging="290"/>
        <w:spacing w:after="0" w:line="276" w:lineRule="auto"/>
        <w:tabs>
          <w:tab w:leader="none" w:pos="63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26 vacation ownership units in 2026 pursuant to the other commitment, and to make remaining payments with respect to these units when specific construction milestones are completed as follows: $6 million in the remainder of 2025, $14 million in 2026, and $1 million in 2027.</w:t>
      </w:r>
    </w:p>
    <w:p>
      <w:pPr>
        <w:spacing w:after="0" w:line="50" w:lineRule="exact"/>
        <w:rPr>
          <w:rFonts w:ascii="Times New Roman" w:cs="Times New Roman" w:eastAsia="Times New Roman" w:hAnsi="Times New Roman"/>
          <w:sz w:val="16"/>
          <w:szCs w:val="16"/>
          <w:color w:val="auto"/>
        </w:rPr>
      </w:pPr>
    </w:p>
    <w:p>
      <w:pPr>
        <w:ind w:left="340" w:right="160" w:hanging="274"/>
        <w:spacing w:after="0" w:line="276" w:lineRule="auto"/>
        <w:tabs>
          <w:tab w:leader="none" w:pos="33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remaining commitments of $80 million to purchase vacation ownership units located in Thailand, in two separate transactions for use in our Vacation Ownership segment.</w:t>
      </w:r>
    </w:p>
    <w:p>
      <w:pPr>
        <w:spacing w:after="0" w:line="50" w:lineRule="exact"/>
        <w:rPr>
          <w:rFonts w:ascii="Times New Roman" w:cs="Times New Roman" w:eastAsia="Times New Roman" w:hAnsi="Times New Roman"/>
          <w:sz w:val="16"/>
          <w:szCs w:val="16"/>
          <w:color w:val="auto"/>
        </w:rPr>
      </w:pPr>
    </w:p>
    <w:p>
      <w:pPr>
        <w:ind w:left="640" w:right="440" w:hanging="290"/>
        <w:spacing w:after="0" w:line="276" w:lineRule="auto"/>
        <w:tabs>
          <w:tab w:leader="none" w:pos="63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52 vacation ownership units in 2025 pursuant to one of these commitments, subject to performance of agreed-upon pre-closing obligations by the seller, and to make the remaining payment of $43 million with respect to these units in the second quarter of 2025.</w:t>
      </w:r>
    </w:p>
    <w:p>
      <w:pPr>
        <w:spacing w:after="0" w:line="50" w:lineRule="exact"/>
        <w:rPr>
          <w:rFonts w:ascii="Times New Roman" w:cs="Times New Roman" w:eastAsia="Times New Roman" w:hAnsi="Times New Roman"/>
          <w:sz w:val="16"/>
          <w:szCs w:val="16"/>
          <w:color w:val="auto"/>
        </w:rPr>
      </w:pPr>
    </w:p>
    <w:p>
      <w:pPr>
        <w:ind w:left="640" w:right="20" w:hanging="290"/>
        <w:spacing w:after="0" w:line="261" w:lineRule="auto"/>
        <w:tabs>
          <w:tab w:leader="none" w:pos="63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60 vacation ownership units in 2026 pursuant to the other commitment, contingent upon completion of construction to agreed-upon standards within specified timeframes, and to make remaining payments with respect to these units when specific construction milestones are completed as follows: $4 million in the remainder of 2025, $31 million in 2026, and $2 million in 2027.</w:t>
      </w:r>
    </w:p>
    <w:p>
      <w:pPr>
        <w:spacing w:after="0" w:line="62" w:lineRule="exact"/>
        <w:rPr>
          <w:rFonts w:ascii="Times New Roman" w:cs="Times New Roman" w:eastAsia="Times New Roman" w:hAnsi="Times New Roman"/>
          <w:sz w:val="16"/>
          <w:szCs w:val="16"/>
          <w:color w:val="auto"/>
        </w:rPr>
      </w:pPr>
    </w:p>
    <w:p>
      <w:pPr>
        <w:jc w:val="both"/>
        <w:ind w:left="340" w:right="140" w:hanging="274"/>
        <w:spacing w:after="0" w:line="287" w:lineRule="auto"/>
        <w:tabs>
          <w:tab w:leader="none" w:pos="336"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commitment of $122 million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as follows: $14 million in 2026, and $108 million in 2027.</w:t>
      </w:r>
    </w:p>
    <w:p>
      <w:pPr>
        <w:spacing w:after="0" w:line="200" w:lineRule="exact"/>
        <w:rPr>
          <w:sz w:val="20"/>
          <w:szCs w:val="20"/>
          <w:color w:val="auto"/>
        </w:rPr>
      </w:pPr>
    </w:p>
    <w:p>
      <w:pPr>
        <w:spacing w:after="0" w:line="30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hanging="274"/>
        <w:spacing w:after="0" w:line="261" w:lineRule="auto"/>
        <w:tabs>
          <w:tab w:leader="none" w:pos="33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commitment to acquire real estate in Waikiki, Hawaii for use in our Vacation Ownership segment via our involvement with a VIE. Refer to Footnote 14 “Variable Interest Entities” for information about this commitment, including purchases that occurred during the first quarter of 2024 pursuant to this commitment, and for additional information about our activities relating to the VIE involved in this commitment.</w:t>
      </w:r>
    </w:p>
    <w:p>
      <w:pPr>
        <w:spacing w:after="0" w:line="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As of March 31, 2025, we had $11 million of letters of credit outstanding under our Revolving Corporate Credit Facility (as defined in Footnote 11 “Debt”), of which $10 million were related to and in lieu of reserves required for our outstanding securitization transactions completed during the first quarter of 2024 and the fourth quarter of 2023. In addition, as of March 31, 2025, we had $10 million in letters of credit outstanding that were related to and in lieu of reserves required for our outstanding securitization transaction completed during the third quarter of 2024, which were not issued pursuant to, nor do they impact our borrowing capacity under, the Revolving Corporate Credit Facility.</w:t>
      </w:r>
    </w:p>
    <w:p>
      <w:pPr>
        <w:spacing w:after="0" w:line="68" w:lineRule="exact"/>
        <w:rPr>
          <w:sz w:val="20"/>
          <w:szCs w:val="20"/>
          <w:color w:val="auto"/>
        </w:rPr>
      </w:pPr>
    </w:p>
    <w:p>
      <w:pPr>
        <w:ind w:right="240"/>
        <w:spacing w:after="0" w:line="370" w:lineRule="auto"/>
        <w:rPr>
          <w:sz w:val="20"/>
          <w:szCs w:val="20"/>
          <w:color w:val="auto"/>
        </w:rPr>
      </w:pPr>
      <w:r>
        <w:rPr>
          <w:rFonts w:ascii="Times New Roman" w:cs="Times New Roman" w:eastAsia="Times New Roman" w:hAnsi="Times New Roman"/>
          <w:sz w:val="16"/>
          <w:szCs w:val="16"/>
          <w:color w:val="auto"/>
        </w:rPr>
        <w:t xml:space="preserve">Surety bonds issued as of March 31, 2025 totaled $127 million, the majority of which were requested by federal, state or local governments in connection with our operations. </w:t>
      </w:r>
      <w:r>
        <w:rPr>
          <w:rFonts w:ascii="Times New Roman" w:cs="Times New Roman" w:eastAsia="Times New Roman" w:hAnsi="Times New Roman"/>
          <w:sz w:val="16"/>
          <w:szCs w:val="16"/>
          <w:b w:val="1"/>
          <w:bCs w:val="1"/>
          <w:i w:val="1"/>
          <w:iCs w:val="1"/>
          <w:color w:val="auto"/>
        </w:rPr>
        <w:t>Guarantees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March 31, 2025, our expected commitment for the remainder of 2025 is $18 million, which will ultimately be recorded as a component of rental expense on our income statement.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Contingencies</w:t>
      </w:r>
    </w:p>
    <w:p>
      <w:pPr>
        <w:spacing w:after="0" w:line="10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alleged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sought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 with respect to the Remaining Claim and again granted plaintiff leave to amend its complaint. The plaintiff filed an amended complaint with respect to the Remaining Claim and again appealed the dismissal of the other claims. In January 2024, the appellate court upheld the dismissal of the other claims. In September 2023, the Court granted our motion to dismiss the amended complaint with respect to the Remaining Claim and denied plaintiff permission to file any additional amended complaints. Plaintiff’s appeal of the September 2023 ruling was dismissed as untimely by the appellate court on June 10, 2024.</w:t>
      </w:r>
    </w:p>
    <w:p>
      <w:pPr>
        <w:spacing w:after="0" w:line="7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5"/>
          <w:szCs w:val="15"/>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50"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5"/>
          <w:szCs w:val="15"/>
          <w:color w:val="auto"/>
        </w:rPr>
        <w:t>We have not accrued for the matter described above and we cannot estimate a range of the potential liability associated with this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00" w:lineRule="exact"/>
        <w:rPr>
          <w:sz w:val="20"/>
          <w:szCs w:val="20"/>
          <w:color w:val="auto"/>
        </w:rPr>
      </w:pPr>
    </w:p>
    <w:p>
      <w:pPr>
        <w:spacing w:after="0" w:line="31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0"/>
        <w:spacing w:after="0"/>
        <w:tabs>
          <w:tab w:leader="none" w:pos="42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SECURITIZED DEBT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detail on our securitized debt, net of unamortized debt discount and issuance costs.</w:t>
      </w:r>
    </w:p>
    <w:p>
      <w:pPr>
        <w:spacing w:after="0" w:line="17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2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securitizations, gross</w:t>
            </w:r>
            <w:r>
              <w:rPr>
                <w:rFonts w:ascii="Times New Roman" w:cs="Times New Roman" w:eastAsia="Times New Roman" w:hAnsi="Times New Roman"/>
                <w:sz w:val="9"/>
                <w:szCs w:val="9"/>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2,039</w:t>
            </w:r>
          </w:p>
        </w:tc>
      </w:tr>
      <w:tr>
        <w:trPr>
          <w:trHeight w:val="225"/>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4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2,014</w:t>
            </w: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5"/>
        </w:trPr>
        <w:tc>
          <w:tcPr>
            <w:tcW w:w="4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Warehouse Credit Facility, gross</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r>
      <w:tr>
        <w:trPr>
          <w:trHeight w:val="225"/>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4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r>
      <w:tr>
        <w:trPr>
          <w:trHeight w:val="142"/>
        </w:trPr>
        <w:tc>
          <w:tcPr>
            <w:tcW w:w="4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218"/>
        </w:trPr>
        <w:tc>
          <w:tcPr>
            <w:tcW w:w="4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080" w:hanging="276"/>
        <w:spacing w:after="0"/>
        <w:tabs>
          <w:tab w:leader="none" w:pos="20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rates as of March 31, 2025 range from 1.5% to 6.6%, with a weighted average interest rate of 4.7%.</w:t>
      </w:r>
    </w:p>
    <w:p>
      <w:pPr>
        <w:spacing w:after="0" w:line="59" w:lineRule="exact"/>
        <w:rPr>
          <w:rFonts w:ascii="Times New Roman" w:cs="Times New Roman" w:eastAsia="Times New Roman" w:hAnsi="Times New Roman"/>
          <w:sz w:val="21"/>
          <w:szCs w:val="21"/>
          <w:color w:val="auto"/>
          <w:vertAlign w:val="superscript"/>
        </w:rPr>
      </w:pPr>
    </w:p>
    <w:p>
      <w:pPr>
        <w:ind w:left="2080" w:hanging="276"/>
        <w:spacing w:after="0" w:line="211" w:lineRule="auto"/>
        <w:tabs>
          <w:tab w:leader="none" w:pos="20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interest rate as of March 31, 2025 was 5.5%.</w:t>
      </w:r>
    </w:p>
    <w:p>
      <w:pPr>
        <w:spacing w:after="0" w:line="18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All of our securitized debt is non-recourse. See Footnote 14 “Variable Interest Entities” for a discussion of the collateral for the non-recourse debt associated with our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anticipated future principal payments for our securitized debt as of March 31, 2025.</w:t>
      </w:r>
    </w:p>
    <w:p>
      <w:pPr>
        <w:spacing w:after="0" w:line="74"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Warehouse Credit</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4"/>
                <w:szCs w:val="14"/>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Payment Year</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2025, remaining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2080" w:hanging="270"/>
        <w:spacing w:after="0"/>
        <w:tabs>
          <w:tab w:leader="none" w:pos="20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future Warehouse Credit Facility renewals.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Securitizations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2025, and as of March 31, 2025, we had 12 securitized vacation ownership notes receivable pools outstanding, none of which were out of compliance with their respective established parameters.</w:t>
      </w:r>
    </w:p>
    <w:p>
      <w:pPr>
        <w:spacing w:after="0" w:line="72"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On May 6, 2025, subsequent to the end of the first quarter of 2025, we securitized a pool of $459 million of vacation ownership notes receivable. In connection with the securitization, $450 million in vacation ownership loan backed notes were issues by MVW 2025-1 LLC (the “2025-1 LLC”) in a private placement. Three classes of vacation ownership loan backed notes were issued by the 2025-1 LLC: $277 million of Class A Notes, $93 million of Class B Notes, and $80 million of Class C Notes. The Class A Notes have an interest rate of 4.97%, the Class B Notes have an interest rate of 5.21%, and the Class C Notes have an interest rate of 5.75%, for an overall weighted average interest rate of 5.16%. Proceeds from the transaction, net of fees, were used to repay the outstanding obligations on our warehouse credit facility (the “Warehouse Credit Facility”) and for other general corporate purposes.</w:t>
      </w:r>
    </w:p>
    <w:p>
      <w:pPr>
        <w:spacing w:after="0" w:line="200" w:lineRule="exact"/>
        <w:rPr>
          <w:sz w:val="20"/>
          <w:szCs w:val="20"/>
          <w:color w:val="auto"/>
        </w:rPr>
      </w:pP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410"/>
        <w:spacing w:after="0"/>
        <w:tabs>
          <w:tab w:leader="none" w:pos="42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detail on our debt balances, net of unamortized debt discount and issuance costs.</w:t>
      </w:r>
    </w:p>
    <w:p>
      <w:pPr>
        <w:spacing w:after="0" w:line="17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80" w:type="dxa"/>
            <w:vAlign w:val="bottom"/>
          </w:tcPr>
          <w:p>
            <w:pPr>
              <w:spacing w:after="0"/>
              <w:rPr>
                <w:sz w:val="16"/>
                <w:szCs w:val="16"/>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 Credit Facility</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9"/>
                <w:szCs w:val="9"/>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796</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786</w:t>
            </w:r>
          </w:p>
        </w:tc>
      </w:tr>
      <w:tr>
        <w:trPr>
          <w:trHeight w:val="225"/>
        </w:trPr>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Revolving Corporate Credit Facility</w:t>
            </w:r>
            <w:r>
              <w:rPr>
                <w:rFonts w:ascii="Times New Roman" w:cs="Times New Roman" w:eastAsia="Times New Roman" w:hAnsi="Times New Roman"/>
                <w:sz w:val="9"/>
                <w:szCs w:val="9"/>
                <w:color w:val="auto"/>
              </w:rPr>
              <w:t>(2)</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r>
      <w:tr>
        <w:trPr>
          <w:trHeight w:val="22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Senior Unsecured Notes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2028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w:t>
            </w:r>
          </w:p>
        </w:tc>
      </w:tr>
      <w:tr>
        <w:trPr>
          <w:trHeight w:val="225"/>
        </w:trPr>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2029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496</w:t>
            </w:r>
          </w:p>
        </w:tc>
      </w:tr>
      <w:tr>
        <w:trPr>
          <w:trHeight w:val="22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Convertible Notes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2026 Convertible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r>
      <w:tr>
        <w:trPr>
          <w:trHeight w:val="225"/>
        </w:trPr>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2027 Convertible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566</w:t>
            </w:r>
          </w:p>
        </w:tc>
      </w:tr>
      <w:tr>
        <w:trPr>
          <w:trHeight w:val="225"/>
        </w:trPr>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w:t>
            </w:r>
          </w:p>
        </w:tc>
      </w:tr>
      <w:tr>
        <w:trPr>
          <w:trHeight w:val="218"/>
        </w:trPr>
        <w:tc>
          <w:tcPr>
            <w:tcW w:w="4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080" w:hanging="276"/>
        <w:spacing w:after="0"/>
        <w:tabs>
          <w:tab w:leader="none" w:pos="20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effective interest rate as of March 31, 2025 was 6.6%.</w:t>
      </w:r>
    </w:p>
    <w:p>
      <w:pPr>
        <w:spacing w:after="0" w:line="78" w:lineRule="exact"/>
        <w:rPr>
          <w:rFonts w:ascii="Times New Roman" w:cs="Times New Roman" w:eastAsia="Times New Roman" w:hAnsi="Times New Roman"/>
          <w:sz w:val="21"/>
          <w:szCs w:val="21"/>
          <w:color w:val="auto"/>
          <w:vertAlign w:val="superscript"/>
        </w:rPr>
      </w:pPr>
    </w:p>
    <w:p>
      <w:pPr>
        <w:ind w:left="2080" w:hanging="276"/>
        <w:spacing w:after="0"/>
        <w:tabs>
          <w:tab w:leader="none" w:pos="20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effective interest rate as of March 31, 2025 was 5.8%.</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scheduled principal payments for our debt, excluding finance leases, as of March 31,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Payments Year</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1"/>
                <w:szCs w:val="11"/>
                <w:color w:val="auto"/>
              </w:rPr>
            </w:pPr>
          </w:p>
        </w:tc>
        <w:tc>
          <w:tcPr>
            <w:tcW w:w="5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794</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40" w:type="dxa"/>
            <w:vAlign w:val="bottom"/>
          </w:tcPr>
          <w:p>
            <w:pPr>
              <w:spacing w:after="0"/>
              <w:rPr>
                <w:sz w:val="13"/>
                <w:szCs w:val="13"/>
                <w:color w:val="auto"/>
              </w:rPr>
            </w:pPr>
          </w:p>
        </w:tc>
        <w:tc>
          <w:tcPr>
            <w:tcW w:w="14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Revolving Corporate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840" w:type="dxa"/>
            <w:vAlign w:val="bottom"/>
          </w:tcPr>
          <w:p>
            <w:pPr>
              <w:spacing w:after="0"/>
              <w:rPr>
                <w:sz w:val="13"/>
                <w:szCs w:val="13"/>
                <w:color w:val="auto"/>
              </w:rPr>
            </w:pPr>
          </w:p>
        </w:tc>
        <w:tc>
          <w:tcPr>
            <w:tcW w:w="14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2026 Convertible</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840" w:type="dxa"/>
            <w:vAlign w:val="bottom"/>
          </w:tcPr>
          <w:p>
            <w:pPr>
              <w:spacing w:after="0"/>
              <w:rPr>
                <w:sz w:val="13"/>
                <w:szCs w:val="13"/>
                <w:color w:val="auto"/>
              </w:rPr>
            </w:pPr>
          </w:p>
        </w:tc>
        <w:tc>
          <w:tcPr>
            <w:tcW w:w="14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2027 Convertible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2,984</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w w:val="87"/>
              </w:rPr>
              <w:t>21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3" w:name="page24"/>
    <w:bookmarkEnd w:id="23"/>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Corporate Credit Facility</w:t>
      </w:r>
    </w:p>
    <w:p>
      <w:pPr>
        <w:spacing w:after="0" w:line="104" w:lineRule="exact"/>
        <w:rPr>
          <w:sz w:val="20"/>
          <w:szCs w:val="20"/>
          <w:color w:val="auto"/>
        </w:rPr>
      </w:pPr>
    </w:p>
    <w:p>
      <w:pPr>
        <w:ind w:left="5" w:right="260"/>
        <w:spacing w:after="0" w:line="261" w:lineRule="auto"/>
        <w:rPr>
          <w:sz w:val="20"/>
          <w:szCs w:val="20"/>
          <w:color w:val="auto"/>
        </w:rPr>
      </w:pPr>
      <w:r>
        <w:rPr>
          <w:rFonts w:ascii="Times New Roman" w:cs="Times New Roman" w:eastAsia="Times New Roman" w:hAnsi="Times New Roman"/>
          <w:sz w:val="16"/>
          <w:szCs w:val="16"/>
          <w:color w:val="auto"/>
        </w:rPr>
        <w:t>Our corporate credit facility (the “Corporate Credit Facility”) provides support for our business, including ongoing liquidity and letters of credit, and consists of a term loan facility (the “Term Loan”), a delayed-draw term loan facility (as defined below), and a revolving credit facility (the “Revolving Corporate Credit Facility”), which includes a letter of credit sub-facility.</w:t>
      </w:r>
    </w:p>
    <w:p>
      <w:pPr>
        <w:spacing w:after="0" w:line="63"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During the first quarter of 2025, we entered into an amendment to the Corporate Credit Facility (the “Amendment), which, among other things: increased the borrowing capacity on our Revolving Corporate Credit Facility from $750 million to $800 million; extended the termination date from March 31, 2027 to March 24, 2030; and reduced certain fees and interest costs. The Amendment also increased the letter of credit sub-facility of the Revolving Corporate Credit Facility from $75 million to $150 million.</w:t>
      </w:r>
    </w:p>
    <w:p>
      <w:pPr>
        <w:spacing w:after="0" w:line="63" w:lineRule="exact"/>
        <w:rPr>
          <w:sz w:val="20"/>
          <w:szCs w:val="20"/>
          <w:color w:val="auto"/>
        </w:rPr>
      </w:pPr>
    </w:p>
    <w:p>
      <w:pPr>
        <w:ind w:left="5" w:right="160"/>
        <w:spacing w:after="0" w:line="261" w:lineRule="auto"/>
        <w:rPr>
          <w:sz w:val="20"/>
          <w:szCs w:val="20"/>
          <w:color w:val="auto"/>
        </w:rPr>
      </w:pPr>
      <w:r>
        <w:rPr>
          <w:rFonts w:ascii="Times New Roman" w:cs="Times New Roman" w:eastAsia="Times New Roman" w:hAnsi="Times New Roman"/>
          <w:sz w:val="16"/>
          <w:szCs w:val="16"/>
          <w:color w:val="auto"/>
        </w:rPr>
        <w:t>Additionally, the Amendment provided for a new $450 million senior secured delayed-draw term loan facility (the “Delayed-Draw Term Loan”) scheduled to mature on December 31, 2027. The Delayed-Draw Term Loan is only available to finance the redemption or repurchase of our 2026 Convertible Notes (as defined below), which are due January 15, 2026. As of March 31, 2025, there were no outstanding borrowings on the Delayed-Draw Term Loan.</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senior notes include:</w:t>
      </w:r>
    </w:p>
    <w:p>
      <w:pPr>
        <w:spacing w:after="0" w:line="53" w:lineRule="exact"/>
        <w:rPr>
          <w:sz w:val="20"/>
          <w:szCs w:val="20"/>
          <w:color w:val="auto"/>
        </w:rPr>
      </w:pPr>
    </w:p>
    <w:p>
      <w:pPr>
        <w:ind w:left="285" w:right="280" w:hanging="285"/>
        <w:spacing w:after="0" w:line="276" w:lineRule="auto"/>
        <w:tabs>
          <w:tab w:leader="none" w:pos="28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$350 million aggregate principal amount of 4.750% Senior Unsecured Notes due 2028 issued in the fourth quarter of 2019 with a maturity date of January 15, 2028 (the “2028 Notes”).</w:t>
      </w:r>
    </w:p>
    <w:p>
      <w:pPr>
        <w:spacing w:after="0" w:line="3" w:lineRule="exact"/>
        <w:rPr>
          <w:rFonts w:ascii="Times New Roman" w:cs="Times New Roman" w:eastAsia="Times New Roman" w:hAnsi="Times New Roman"/>
          <w:sz w:val="16"/>
          <w:szCs w:val="16"/>
          <w:color w:val="auto"/>
        </w:rPr>
      </w:pPr>
    </w:p>
    <w:p>
      <w:pPr>
        <w:ind w:left="285" w:right="20" w:hanging="285"/>
        <w:spacing w:after="0" w:line="276" w:lineRule="auto"/>
        <w:tabs>
          <w:tab w:leader="none" w:pos="28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 million aggregate principal amount of 4.500% Senior Unsecured Notes due 2029 issued in the second quarter of 2021 with a maturity date of June 15, 2029 (the “2029 Notes”).</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Notes</w:t>
      </w:r>
    </w:p>
    <w:p>
      <w:pPr>
        <w:spacing w:after="0" w:line="104" w:lineRule="exact"/>
        <w:rPr>
          <w:sz w:val="20"/>
          <w:szCs w:val="20"/>
          <w:color w:val="auto"/>
        </w:rPr>
      </w:pPr>
    </w:p>
    <w:p>
      <w:pPr>
        <w:ind w:left="5" w:right="400"/>
        <w:spacing w:after="0" w:line="276" w:lineRule="auto"/>
        <w:rPr>
          <w:sz w:val="20"/>
          <w:szCs w:val="20"/>
          <w:color w:val="auto"/>
        </w:rPr>
      </w:pPr>
      <w:r>
        <w:rPr>
          <w:rFonts w:ascii="Times New Roman" w:cs="Times New Roman" w:eastAsia="Times New Roman" w:hAnsi="Times New Roman"/>
          <w:sz w:val="16"/>
          <w:szCs w:val="16"/>
          <w:color w:val="auto"/>
        </w:rPr>
        <w:t>During 2021, we issued $575 million aggregate principal amount of convertible senior notes (the “2026 Convertible Notes”) that bear interest at a rate of 0.00%. The 2026 Convertible Notes mature on January 15, 2026, unless earlier repurchased or converted in accordance with their terms prior to that date.</w:t>
      </w:r>
    </w:p>
    <w:p>
      <w:pPr>
        <w:spacing w:after="0" w:line="50" w:lineRule="exact"/>
        <w:rPr>
          <w:sz w:val="20"/>
          <w:szCs w:val="20"/>
          <w:color w:val="auto"/>
        </w:rPr>
      </w:pPr>
    </w:p>
    <w:p>
      <w:pPr>
        <w:ind w:left="5" w:right="100"/>
        <w:spacing w:after="0" w:line="252" w:lineRule="auto"/>
        <w:rPr>
          <w:sz w:val="20"/>
          <w:szCs w:val="20"/>
          <w:color w:val="auto"/>
        </w:rPr>
      </w:pPr>
      <w:r>
        <w:rPr>
          <w:rFonts w:ascii="Times New Roman" w:cs="Times New Roman" w:eastAsia="Times New Roman" w:hAnsi="Times New Roman"/>
          <w:sz w:val="16"/>
          <w:szCs w:val="16"/>
          <w:color w:val="auto"/>
        </w:rPr>
        <w:t>The conversion rate of the 2026 Convertible Notes is subject to adjustment for certain events as described in the indenture governing the notes and was subject to adjustment as of March 31, 2025 to 6.4526 shares of common stock per $1,000 principal amount of 2026 Convertible Notes (equivalent to a conversion price of $154.98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March 31, 2025, the effective interest rate was 0.55%. Amortization of debt issuance costs related to the 2026 Convertible Notes was $1 million during each of the first quarters of 2025 and 2024.</w:t>
      </w:r>
    </w:p>
    <w:p>
      <w:pPr>
        <w:spacing w:after="0" w:line="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 Hedges and Warrants</w:t>
      </w:r>
    </w:p>
    <w:p>
      <w:pPr>
        <w:spacing w:after="0" w:line="104" w:lineRule="exact"/>
        <w:rPr>
          <w:sz w:val="20"/>
          <w:szCs w:val="20"/>
          <w:color w:val="auto"/>
        </w:rPr>
      </w:pPr>
    </w:p>
    <w:p>
      <w:pPr>
        <w:ind w:left="5" w:right="20"/>
        <w:spacing w:after="0" w:line="254" w:lineRule="auto"/>
        <w:rPr>
          <w:sz w:val="20"/>
          <w:szCs w:val="20"/>
          <w:color w:val="auto"/>
        </w:rPr>
      </w:pPr>
      <w:r>
        <w:rPr>
          <w:rFonts w:ascii="Times New Roman" w:cs="Times New Roman" w:eastAsia="Times New Roman" w:hAnsi="Times New Roman"/>
          <w:sz w:val="16"/>
          <w:szCs w:val="16"/>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3.7 million shares of our common stock, and warrant transactions (the “2026 Warrants”), whereby we sold to the counterparties to the 2026 Convertible Note Hedges warrants to acquire 3.7 million shares of our common stock, in each case, as of March 31, 2025. The strike prices of the 2026 Convertible Note Hedges and the 2026 Warrants were subject to adjustment to $154.98 and $193.72, respectively, as of March 31, 2025, and no 2026 Convertible Note Hedges or 2026 Warrants have been exercised.</w:t>
      </w:r>
    </w:p>
    <w:p>
      <w:pPr>
        <w:spacing w:after="0" w:line="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Notes</w:t>
      </w:r>
    </w:p>
    <w:p>
      <w:pPr>
        <w:spacing w:after="0" w:line="104" w:lineRule="exact"/>
        <w:rPr>
          <w:sz w:val="20"/>
          <w:szCs w:val="20"/>
          <w:color w:val="auto"/>
        </w:rPr>
      </w:pPr>
    </w:p>
    <w:p>
      <w:pPr>
        <w:ind w:left="5" w:right="400"/>
        <w:spacing w:after="0" w:line="276" w:lineRule="auto"/>
        <w:rPr>
          <w:sz w:val="20"/>
          <w:szCs w:val="20"/>
          <w:color w:val="auto"/>
        </w:rPr>
      </w:pPr>
      <w:r>
        <w:rPr>
          <w:rFonts w:ascii="Times New Roman" w:cs="Times New Roman" w:eastAsia="Times New Roman" w:hAnsi="Times New Roman"/>
          <w:sz w:val="16"/>
          <w:szCs w:val="16"/>
          <w:color w:val="auto"/>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spacing w:after="0" w:line="50" w:lineRule="exact"/>
        <w:rPr>
          <w:sz w:val="20"/>
          <w:szCs w:val="20"/>
          <w:color w:val="auto"/>
        </w:rPr>
      </w:pPr>
    </w:p>
    <w:p>
      <w:pPr>
        <w:ind w:left="5" w:right="100"/>
        <w:spacing w:after="0" w:line="256" w:lineRule="auto"/>
        <w:rPr>
          <w:sz w:val="20"/>
          <w:szCs w:val="20"/>
          <w:color w:val="auto"/>
        </w:rPr>
      </w:pPr>
      <w:r>
        <w:rPr>
          <w:rFonts w:ascii="Times New Roman" w:cs="Times New Roman" w:eastAsia="Times New Roman" w:hAnsi="Times New Roman"/>
          <w:sz w:val="16"/>
          <w:szCs w:val="16"/>
          <w:color w:val="auto"/>
        </w:rPr>
        <w:t>The conversion rate of the 2027 Convertible Notes is subject to adjustment for certain events as described in the indenture governing the notes and was subject to adjustment as of March 31, 2025 to 5.2923 shares of common stock per $1,000 principal amount of 2027 Convertible Notes (equivalent to a conversion price of $188.95 per share of our common stock), as a result of the dividends we declared since issuance of the 2027 Convertible Notes that were greater than the quarterly dividend we paid when the 2027 Convertible notes were issued. Upon conversion, we will pay or</w:t>
      </w:r>
    </w:p>
    <w:p>
      <w:pPr>
        <w:spacing w:after="0" w:line="200" w:lineRule="exact"/>
        <w:rPr>
          <w:sz w:val="20"/>
          <w:szCs w:val="20"/>
          <w:color w:val="auto"/>
        </w:rPr>
      </w:pPr>
    </w:p>
    <w:p>
      <w:pPr>
        <w:spacing w:after="0" w:line="329"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21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deliver, as the case may be, cash, shares of our common stock, or a combination of cash and shares of our common stock, at our election. As of March 31, 2025, the effective interest rate was 3.88%.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components of interest expense related to the 2027 Convertible Notes.</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3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4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 Hedges and Warrants</w:t>
      </w:r>
    </w:p>
    <w:p>
      <w:pPr>
        <w:spacing w:after="0" w:line="10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March 31, 2025. The strike prices of the 2027 Convertible Note Hedges and the 2027 Warrants were subject to adjustment to $188.95 and $285.21, respectively, as of March 31, 2025, and no 2027 Convertible Note Hedges or 2027 Warrants have been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Security and Guarantees</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entities.</w:t>
      </w:r>
    </w:p>
    <w:p>
      <w:pPr>
        <w:spacing w:after="0" w:line="232" w:lineRule="exact"/>
        <w:rPr>
          <w:sz w:val="20"/>
          <w:szCs w:val="20"/>
          <w:color w:val="auto"/>
        </w:rPr>
      </w:pPr>
    </w:p>
    <w:p>
      <w:pPr>
        <w:ind w:left="420" w:hanging="410"/>
        <w:spacing w:after="0"/>
        <w:tabs>
          <w:tab w:leader="none" w:pos="42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Marriott Vacations Worldwide has 100,000,000 authorized shares of common stock, par value of $0.01 per share. At March 31, 2025, there were 75,855,593 shares of Marriott Vacations Worldwide common stock issued, of which 34,529,409 shares were outstanding and 41,326,184 shares were held as treasury stock. At December 31, 2024, there were 75,852,678 shares of Marriott Vacations Worldwide common stock issued, of which 34,877,925 shares were outstanding and 40,974,753 shares were held as treasury stock. Marriott Vacations Worldwide has 2,000,000 authorized shares of preferred stock, par value of $0.01 per share, none of which were issued or outstanding as of March 31, 2025 or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From time to time, with the approval of our Board of Directors, we may undertake programs to purchase shares of our common stock (each, a “Share Repurchase Program”). As of March 31, 2025, approximately $347 million remained available for share repurchases under the current Share Repurchase Program, which authorizes share repurchases through December 31, 2025.</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200" w:lineRule="exact"/>
        <w:rPr>
          <w:sz w:val="20"/>
          <w:szCs w:val="20"/>
          <w:color w:val="auto"/>
        </w:rPr>
      </w:pPr>
    </w:p>
    <w:p>
      <w:pPr>
        <w:spacing w:after="0" w:line="31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share repurchase activity under our Share Repurchase Program:</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Cost Basis of Shares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88"/>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5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Paid per Share</w:t>
            </w:r>
          </w:p>
        </w:tc>
      </w:tr>
      <w:tr>
        <w:trPr>
          <w:trHeight w:val="20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December 31, 2024</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25,790,550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2,461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95.40</w:t>
            </w:r>
          </w:p>
        </w:tc>
      </w:tr>
      <w:tr>
        <w:trPr>
          <w:trHeight w:val="225"/>
        </w:trPr>
        <w:tc>
          <w:tcPr>
            <w:tcW w:w="2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For the first quarter of 2025</w:t>
            </w:r>
          </w:p>
        </w:tc>
        <w:tc>
          <w:tcPr>
            <w:tcW w:w="1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496,484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36</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73.21</w:t>
            </w:r>
          </w:p>
        </w:tc>
      </w:tr>
      <w:tr>
        <w:trPr>
          <w:trHeight w:val="218"/>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March 31, 2025</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26,287,034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2,497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94.98</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04"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We declared cash dividends to holders of common stock during the first quarter of 2025 as follows. Any future dividend payments will be subject to the restrictions imposed under the agreements covering our debt and approval of our Board of Directors. There can be no assurance that we will pay dividends in the future.</w:t>
      </w:r>
    </w:p>
    <w:p>
      <w:pPr>
        <w:spacing w:after="0" w:line="41"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08"/>
        </w:trPr>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February 20, 2025</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5, 2025</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19, 2025</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rPr>
              <w:t>$0.79</w:t>
            </w:r>
          </w:p>
        </w:tc>
      </w:tr>
    </w:tbl>
    <w:p>
      <w:pPr>
        <w:spacing w:after="0" w:line="325" w:lineRule="exact"/>
        <w:rPr>
          <w:sz w:val="20"/>
          <w:szCs w:val="20"/>
          <w:color w:val="auto"/>
        </w:rPr>
      </w:pPr>
    </w:p>
    <w:p>
      <w:pPr>
        <w:ind w:left="420" w:hanging="410"/>
        <w:spacing w:after="0"/>
        <w:tabs>
          <w:tab w:leader="none" w:pos="42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approximately 3 million shares are authorized for issuance pursuant to grants under the MVW Equity Plan. As of March 31, 2025, approximately 1 million shares were available for grants under the MVW Equity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our share-based compensation expense related to award grants to our officers, directors, and employees: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4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Service-based RSUs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RSUs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SARs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details our deferred compensation costs related to unvested awards: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00" w:type="dxa"/>
            <w:vAlign w:val="bottom"/>
          </w:tcPr>
          <w:p>
            <w:pPr>
              <w:spacing w:after="0"/>
              <w:rPr>
                <w:sz w:val="24"/>
                <w:szCs w:val="24"/>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Service-based RSUs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Performance-based RSUs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SARs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0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5"/>
          <w:szCs w:val="15"/>
          <w:color w:val="auto"/>
        </w:rPr>
        <w:t>We granted 497,543 service-based RSUs, which are subject to time-based vesting conditions, with a weighted average grant-date fair value of $63.90, to our employees and non-employee directors during the first quarter of 2025. During the first quarter of 2025, we also granted performance-based RSUs, which are subject to performance-based vesting conditions, to members of management. A maximum of 307,780 RSUs may be earned under the performance-based RSU awards granted during the first quarter of 2025.</w:t>
      </w:r>
    </w:p>
    <w:p>
      <w:pPr>
        <w:spacing w:after="0" w:line="200" w:lineRule="exact"/>
        <w:rPr>
          <w:sz w:val="20"/>
          <w:szCs w:val="20"/>
          <w:color w:val="auto"/>
        </w:rPr>
      </w:pPr>
    </w:p>
    <w:p>
      <w:pPr>
        <w:spacing w:after="0" w:line="29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Appreciation Rights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We granted 145,440 SARs, with a weighted average grant-date fair value of $23.17 and a weighted average exercise price of $71.17, to members of management during the first quarter of 2025.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outlines the assumptions used to estimate the fair value of grants during the first quarter of 2025:</w:t>
      </w:r>
    </w:p>
    <w:p>
      <w:pPr>
        <w:spacing w:after="0" w:line="140" w:lineRule="exact"/>
        <w:rPr>
          <w:sz w:val="20"/>
          <w:szCs w:val="20"/>
          <w:color w:val="auto"/>
        </w:rPr>
      </w:pPr>
    </w:p>
    <w:tbl>
      <w:tblPr>
        <w:tblLayout w:type="fixed"/>
        <w:tblInd w:w="3480" w:type="dxa"/>
        <w:tblCellMar>
          <w:top w:w="0" w:type="dxa"/>
          <w:left w:w="0" w:type="dxa"/>
          <w:bottom w:w="0" w:type="dxa"/>
          <w:right w:w="0" w:type="dxa"/>
        </w:tblCellMar>
      </w:tblP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86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16"/>
                <w:szCs w:val="16"/>
                <w:color w:val="auto"/>
                <w:w w:val="97"/>
              </w:rPr>
              <w:t>45.79%</w:t>
            </w:r>
          </w:p>
        </w:tc>
      </w:tr>
      <w:tr>
        <w:trPr>
          <w:trHeight w:val="225"/>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60" w:type="dxa"/>
            <w:vAlign w:val="bottom"/>
          </w:tcPr>
          <w:p>
            <w:pPr>
              <w:jc w:val="center"/>
              <w:ind w:left="301"/>
              <w:spacing w:after="0"/>
              <w:rPr>
                <w:sz w:val="20"/>
                <w:szCs w:val="20"/>
                <w:color w:val="auto"/>
              </w:rPr>
            </w:pPr>
            <w:r>
              <w:rPr>
                <w:rFonts w:ascii="Times New Roman" w:cs="Times New Roman" w:eastAsia="Times New Roman" w:hAnsi="Times New Roman"/>
                <w:sz w:val="16"/>
                <w:szCs w:val="16"/>
                <w:color w:val="auto"/>
                <w:w w:val="96"/>
              </w:rPr>
              <w:t>4.35%</w:t>
            </w:r>
          </w:p>
        </w:tc>
      </w:t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86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16"/>
                <w:szCs w:val="16"/>
                <w:color w:val="auto"/>
                <w:w w:val="96"/>
              </w:rPr>
              <w:t>4.03%</w:t>
            </w:r>
          </w:p>
        </w:tc>
      </w:tr>
      <w:tr>
        <w:trPr>
          <w:trHeight w:val="226"/>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860" w:type="dxa"/>
            <w:vAlign w:val="bottom"/>
          </w:tcPr>
          <w:p>
            <w:pPr>
              <w:jc w:val="center"/>
              <w:ind w:left="301"/>
              <w:spacing w:after="0"/>
              <w:rPr>
                <w:sz w:val="20"/>
                <w:szCs w:val="20"/>
                <w:color w:val="auto"/>
              </w:rPr>
            </w:pPr>
            <w:r>
              <w:rPr>
                <w:rFonts w:ascii="Times New Roman" w:cs="Times New Roman" w:eastAsia="Times New Roman" w:hAnsi="Times New Roman"/>
                <w:sz w:val="16"/>
                <w:szCs w:val="16"/>
                <w:color w:val="auto"/>
                <w:w w:val="99"/>
              </w:rPr>
              <w:t>6.25</w:t>
            </w:r>
          </w:p>
        </w:tc>
      </w:tr>
    </w:tbl>
    <w:p>
      <w:pPr>
        <w:spacing w:after="0" w:line="324" w:lineRule="exact"/>
        <w:rPr>
          <w:sz w:val="20"/>
          <w:szCs w:val="20"/>
          <w:color w:val="auto"/>
        </w:rPr>
      </w:pPr>
    </w:p>
    <w:p>
      <w:pPr>
        <w:ind w:left="420" w:hanging="410"/>
        <w:spacing w:after="0"/>
        <w:tabs>
          <w:tab w:leader="none" w:pos="42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VARIABLE INTEREST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Variable Interest Entities Related to Our Vacation Ownership Notes Receivable Securitizations</w:t>
      </w:r>
    </w:p>
    <w:p>
      <w:pPr>
        <w:spacing w:after="0" w:line="104"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The following table shows consolidated assets, which are collateral for the obligations of the VIEs related to our vacation ownership notes receivable securitizations, and consolidated liabilities included on our Balance Sheet at March 31, 2025:</w:t>
      </w:r>
    </w:p>
    <w:p>
      <w:pPr>
        <w:spacing w:after="0" w:line="24"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Warehouse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Vacation ownership notes receivable, net of</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8"/>
        </w:trPr>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Securitized debt</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18"/>
        </w:trPr>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interest income and expense recognized as a result of our involvement with these VIEs during the first quarter of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Warehouse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8"/>
        </w:trPr>
        <w:tc>
          <w:tcPr>
            <w:tcW w:w="1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464"/>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cash flows between us and the vacation ownership notes receivable securitization VIEs: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Inflows</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vacation ownership notes receivable securitizations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receipts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receipts</w:t>
            </w: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 release</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Outflows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8"/>
              </w:rPr>
              <w:t>Voluntary repurchases of defaulted vacation ownership notes receivable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Voluntary clean-up call</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Funding of restricted cash</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shows cash flows between us and the Warehouse Credit Facility VIE:</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Inflows</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vacation ownership notes receivable securitizations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receipts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receipts</w:t>
            </w: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 release</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Outflows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8"/>
              </w:rPr>
              <w:t>Voluntary repurchases of defaulted vacation ownership notes receivable</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Warehouse Credit Facility</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Funding of restricted cash</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Variable Interest Entities</w:t>
      </w:r>
    </w:p>
    <w:p>
      <w:pPr>
        <w:spacing w:after="0" w:line="1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We have a commitment to purchase a property located in Waikiki, Hawaii.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We expect to acquire the property over time and as of March 31, 2025, we expect to make payments for the property as follows: $82 million in 2025 and $41 million in 2026. As of March 31, 2025, our Balance Sheet reflected $1 million in Accounts and contracts receivable, net, including a note receivable of less than $1 million, $12 million in Property and equipment, net, and $1 million in the Other line within liabilities on our Balance Sheet. We believe that our maximum exposure to loss as a result of our involvement with this VIE is</w:t>
      </w:r>
    </w:p>
    <w:p>
      <w:pPr>
        <w:spacing w:after="0" w:line="200" w:lineRule="exact"/>
        <w:rPr>
          <w:sz w:val="20"/>
          <w:szCs w:val="20"/>
          <w:color w:val="auto"/>
        </w:rPr>
      </w:pPr>
    </w:p>
    <w:p>
      <w:pPr>
        <w:spacing w:after="0" w:line="32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approximately $16 million as of March 31, 2025. During the first quarter of 2024, we acquired retail space located at our Marriott Vacation Club, Waikiki property for $48 million. The transaction was accounted for as an asset acquisition and classified as held-for-sale and included in Other assets as of March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Compensation Plan</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We consolidate the liabilities of the Deferred Compensation Plan and the related assets, which consist of the COLI policies held in a rabbi trust. The rabbi trust is considered a VIE. We are the primary beneficiary of the rabbi trust because we direct the activities of the trust and are the beneficiary of the trust. At March 31, 2025 and December 31, 2024, the value of the assets held in the rabbi trust was $130 million and $131 million, respectively, and was included in the Other line within assets on our Balance Sheets.</w:t>
      </w:r>
    </w:p>
    <w:p>
      <w:pPr>
        <w:spacing w:after="0" w:line="215" w:lineRule="exact"/>
        <w:rPr>
          <w:sz w:val="20"/>
          <w:szCs w:val="20"/>
          <w:color w:val="auto"/>
        </w:rPr>
      </w:pPr>
    </w:p>
    <w:p>
      <w:pPr>
        <w:ind w:left="420" w:hanging="410"/>
        <w:spacing w:after="0"/>
        <w:tabs>
          <w:tab w:leader="none" w:pos="42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SEGMENTS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w:t>
      </w:r>
    </w:p>
    <w:p>
      <w:pPr>
        <w:spacing w:after="0" w:line="6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attributable to common stockholders, before interest expense (excluding consumer financing interest expense associated with term securitization transactions), income taxes, depreciation and amortization, excluding share-based compensation expense and amortization of cloud computing software implementation costs, and adjusted for certain items that affect the comparability of our operating performance. Our reconciliation of the aggregate amount of Adjusted EBITDA for our reportable segments to consolidated net income attributable to common stockholders is presented below.</w:t>
      </w:r>
    </w:p>
    <w:p>
      <w:pPr>
        <w:spacing w:after="0" w:line="200" w:lineRule="exact"/>
        <w:rPr>
          <w:sz w:val="20"/>
          <w:szCs w:val="20"/>
          <w:color w:val="auto"/>
        </w:rPr>
      </w:pPr>
    </w:p>
    <w:p>
      <w:pPr>
        <w:spacing w:after="0" w:line="31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9" w:name="page30"/>
    <w:bookmarkEnd w:id="29"/>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 and Adjusted EBITDA</w:t>
      </w:r>
    </w:p>
    <w:p>
      <w:pPr>
        <w:spacing w:after="0" w:line="104" w:lineRule="exact"/>
        <w:rPr>
          <w:sz w:val="20"/>
          <w:szCs w:val="20"/>
          <w:color w:val="auto"/>
        </w:rPr>
      </w:pPr>
    </w:p>
    <w:p>
      <w:pPr>
        <w:ind w:left="5" w:right="500"/>
        <w:spacing w:after="0" w:line="261" w:lineRule="auto"/>
        <w:rPr>
          <w:sz w:val="20"/>
          <w:szCs w:val="20"/>
          <w:color w:val="auto"/>
        </w:rPr>
      </w:pPr>
      <w:r>
        <w:rPr>
          <w:rFonts w:ascii="Times New Roman" w:cs="Times New Roman" w:eastAsia="Times New Roman" w:hAnsi="Times New Roman"/>
          <w:sz w:val="16"/>
          <w:szCs w:val="16"/>
          <w:color w:val="auto"/>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attributable to common stockholders.</w:t>
      </w:r>
    </w:p>
    <w:p>
      <w:pPr>
        <w:spacing w:after="0" w:line="100"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80" w:type="dxa"/>
            <w:vAlign w:val="bottom"/>
          </w:tcPr>
          <w:p>
            <w:pPr>
              <w:spacing w:after="0"/>
              <w:rPr>
                <w:sz w:val="12"/>
                <w:szCs w:val="12"/>
                <w:color w:val="auto"/>
              </w:rPr>
            </w:pPr>
          </w:p>
        </w:tc>
        <w:tc>
          <w:tcPr>
            <w:tcW w:w="5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20" w:type="dxa"/>
            <w:vAlign w:val="bottom"/>
          </w:tcPr>
          <w:p>
            <w:pPr>
              <w:spacing w:after="0"/>
              <w:rPr>
                <w:sz w:val="12"/>
                <w:szCs w:val="12"/>
                <w:color w:val="auto"/>
              </w:rPr>
            </w:pPr>
          </w:p>
        </w:tc>
        <w:tc>
          <w:tcPr>
            <w:tcW w:w="5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6"/>
                <w:szCs w:val="16"/>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Revenues from external</w:t>
            </w: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revenues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0"/>
              <w:spacing w:after="0" w:line="225" w:lineRule="exact"/>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6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rPr>
              <w:t>Cost of vacation ownership</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Royalty fee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tcBorders>
              <w:bottom w:val="single" w:sz="8" w:color="CCEEFF"/>
            </w:tcBorders>
          </w:tcPr>
          <w:p>
            <w:pPr>
              <w:ind w:left="200"/>
              <w:spacing w:after="0" w:line="225"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Adjusted EBITDA</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25"/>
        </w:trPr>
        <w:tc>
          <w:tcPr>
            <w:tcW w:w="216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61"/>
        </w:trPr>
        <w:tc>
          <w:tcPr>
            <w:tcW w:w="21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1"/>
        </w:trPr>
        <w:tc>
          <w:tcPr>
            <w:tcW w:w="21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w w:val="99"/>
              </w:rPr>
              <w:t>Amortization of cloud computing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software implementation costs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Certain items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25"/>
        </w:trPr>
        <w:tc>
          <w:tcPr>
            <w:tcW w:w="2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Net income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2"/>
        </w:trPr>
        <w:tc>
          <w:tcPr>
            <w:tcW w:w="21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common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285" w:right="40" w:hanging="285"/>
        <w:spacing w:after="0" w:line="230" w:lineRule="auto"/>
        <w:tabs>
          <w:tab w:leader="none" w:pos="274"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and Other consist of results that are not allocable to our segments, including company-wide general and administrative expenses, corporate interest expense, transaction and integration costs, and income taxes. In addition, Corporate and Other includes revenues and expenses from Consolidated Property Owners’ Associations. Our CODM does not use this information for operating segment resource allocations.</w:t>
      </w:r>
    </w:p>
    <w:p>
      <w:pPr>
        <w:spacing w:after="0" w:line="44" w:lineRule="exact"/>
        <w:rPr>
          <w:rFonts w:ascii="Times New Roman" w:cs="Times New Roman" w:eastAsia="Times New Roman" w:hAnsi="Times New Roman"/>
          <w:sz w:val="21"/>
          <w:szCs w:val="21"/>
          <w:color w:val="auto"/>
          <w:vertAlign w:val="superscript"/>
        </w:rPr>
      </w:pPr>
    </w:p>
    <w:p>
      <w:pPr>
        <w:ind w:left="265" w:hanging="265"/>
        <w:spacing w:after="0"/>
        <w:tabs>
          <w:tab w:leader="none" w:pos="265"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items include cost reimbursements, non-cash share-based compensation, amortization of cloud computing software implementation costs, and other.</w:t>
      </w:r>
    </w:p>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8,296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Exchange &amp; Third-Party Management</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assets</w:t>
            </w: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9,073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9,808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ind w:right="261"/>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hanging="530"/>
        <w:spacing w:after="0"/>
        <w:tabs>
          <w:tab w:leader="none" w:pos="54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RESTRUCTURING</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 November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6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During the first quarter of 2025, we incurred $10 million of restructuring charges associated with these efforts and as of March 31, 2025, $5 million was accrued on our Balance Sheet related to these charges.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recorded a $2 million impairment related to an operating lease and related assets.</w:t>
      </w:r>
    </w:p>
    <w:p>
      <w:pPr>
        <w:spacing w:after="0" w:line="100"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During the first quarter of 2024, we incurred $2 million of restructuring charges associated with the elimination of certain positions as a result of the realignment of our management structure and headcount reductions in 2023.</w:t>
      </w: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218"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620"/>
        <w:spacing w:after="0" w:line="371"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our possible or assumed future results of operations and growth opportunities, revenues, financial condition, leverage, liquidity, returns on investments, margins and related financing, development and rental profits; dividend payments; business strategies, ; financing plans and the adequacy of capital to meet short-term and long-term liquidity requirements; our competitive position; our plans to pursue growth opportunities; our expectations regarding average consumer financing interest rates and our financing profit margin; our expectations regarding the objectives, costs and benefits of our Strategic Business Operations office including revenue growth, operational efficiencies and savings; our ability to reduce our corporate debt, net of cash and equivalents, to Adjusted EBITDA ratio; our expectations regarding inventory spending in 2025 and the impact of inventory repurchases; taxes; our ability to securitize consumer loans; and expectations related to sales reserves, delinquencies and default rates.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worker absenteeism; price inflation; difficulties associated with implementing new or maintaining existing technology; the ability to use artificial intelligence (“AI”) technologies successfully and potential business, compliance, or reputational risks associated with the use of AI technologies; changes in privacy laws; the impact of a future banking crisis; impacts from natural or man-made disasters and wildfires, including the Maui and Los Angeles area wildfires; delinquency and default rates; global supply chain disruptions; volatility in the international and national economy and credit markets, including as a result of the ongoing conflicts between Russia and Ukraine, Israel and Gaza,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herein and also in our 2024 Annual Report, and which may be updated in our future periodic filings with the U.S. Securities and Exchange Commission (the “SEC”).</w:t>
      </w:r>
    </w:p>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Quarterly Report.</w:t>
      </w:r>
    </w:p>
    <w:p>
      <w:pPr>
        <w:spacing w:after="0" w:line="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The risk factors discussed in “Risk Factors” in our 2024 Annual Report and under Part II Item 1A of this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67"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5"/>
          <w:szCs w:val="15"/>
          <w:color w:val="auto"/>
        </w:rPr>
        <w:t>Our Financial Statements (as defined below), which we discuss below, reflect our historical financial condition, results of operations and cash flows. The financial information discussed below and included in this Quarterly Report may not, however, necessarily reflect what our financial condition, results of operations or cash flows may be in the future.</w:t>
      </w:r>
    </w:p>
    <w:p>
      <w:pPr>
        <w:spacing w:after="0" w:line="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References throughout to numbered “Footnotes” refer to the numbered Notes in the Interim Condensed Notes to Consolidated Financial Statements included in this Quarterly Report.</w:t>
      </w:r>
    </w:p>
    <w:p>
      <w:pPr>
        <w:spacing w:after="0" w:line="200" w:lineRule="exact"/>
        <w:rPr>
          <w:sz w:val="20"/>
          <w:szCs w:val="20"/>
          <w:color w:val="auto"/>
        </w:rPr>
      </w:pPr>
    </w:p>
    <w:p>
      <w:pPr>
        <w:spacing w:after="0" w:line="32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We routinely post important information, including news releases, announcements and other statements about our business and results of operations, that may be deemed material to investors on the Investor Relations section of our 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0"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5"/>
          <w:szCs w:val="15"/>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44"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16"/>
          <w:szCs w:val="16"/>
          <w:color w:val="auto"/>
        </w:rPr>
        <w:t>Corporate and other represents that portion of our results that are not allocable to our segments, including those relating to consolidated property owners’ associations (“Consolidated Property Owners’ Associations”).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Strategic Business Operations</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In the fourth quarter of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increase sales efficiency and inventory optimization; and capture significant savings from initiatives related to procurement and corporate overhead. We believe that we can drive $150 million to $200 million of run-rate benefits from these initiatives by the end of 2026, with half of these benefits coming from cost savings and efficiencies and the balance from accelerating revenue growth. We also expect to realize additional savings that will benefit our owners’ maintenance fees. We expect to incur one-time cash costs related to these modernization initiatives of approximately $100 million in each of 2025 and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Measures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measure operating performance using the key metrics described below:</w:t>
      </w:r>
    </w:p>
    <w:p>
      <w:pPr>
        <w:spacing w:after="0" w:line="98" w:lineRule="exact"/>
        <w:rPr>
          <w:sz w:val="20"/>
          <w:szCs w:val="20"/>
          <w:color w:val="auto"/>
        </w:rPr>
      </w:pPr>
    </w:p>
    <w:p>
      <w:pPr>
        <w:ind w:left="560" w:hanging="281"/>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Contract sales from the sale of vacation ownership products </w:t>
      </w:r>
      <w:r>
        <w:rPr>
          <w:rFonts w:ascii="Times New Roman" w:cs="Times New Roman" w:eastAsia="Times New Roman" w:hAnsi="Times New Roman"/>
          <w:sz w:val="16"/>
          <w:szCs w:val="16"/>
          <w:color w:val="auto"/>
        </w:rPr>
        <w:t>is considered to be an important operating measure because it reflects the pace of sales in our business.</w:t>
      </w:r>
    </w:p>
    <w:p>
      <w:pPr>
        <w:spacing w:after="0" w:line="102" w:lineRule="exact"/>
        <w:rPr>
          <w:rFonts w:ascii="Times New Roman" w:cs="Times New Roman" w:eastAsia="Times New Roman" w:hAnsi="Times New Roman"/>
          <w:sz w:val="16"/>
          <w:szCs w:val="16"/>
          <w:color w:val="auto"/>
        </w:rPr>
      </w:pPr>
    </w:p>
    <w:p>
      <w:pPr>
        <w:ind w:left="1120" w:hanging="273"/>
        <w:spacing w:after="0"/>
        <w:tabs>
          <w:tab w:leader="none" w:pos="11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contract sales include contract sales from the sale of vacation ownership products, including non-consolidated joint ventures.</w:t>
      </w:r>
    </w:p>
    <w:p>
      <w:pPr>
        <w:spacing w:after="0" w:line="100" w:lineRule="exact"/>
        <w:rPr>
          <w:rFonts w:ascii="Times New Roman" w:cs="Times New Roman" w:eastAsia="Times New Roman" w:hAnsi="Times New Roman"/>
          <w:sz w:val="16"/>
          <w:szCs w:val="16"/>
          <w:color w:val="auto"/>
        </w:rPr>
      </w:pPr>
    </w:p>
    <w:p>
      <w:pPr>
        <w:ind w:left="1120" w:hanging="273"/>
        <w:spacing w:after="0"/>
        <w:tabs>
          <w:tab w:leader="none" w:pos="11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contract sales exclude contract sales from the sale of vacation ownership products for non-consolidated joint ventures.</w:t>
      </w:r>
    </w:p>
    <w:p>
      <w:pPr>
        <w:spacing w:after="0" w:line="98" w:lineRule="exact"/>
        <w:rPr>
          <w:rFonts w:ascii="Times New Roman" w:cs="Times New Roman" w:eastAsia="Times New Roman" w:hAnsi="Times New Roman"/>
          <w:sz w:val="16"/>
          <w:szCs w:val="16"/>
          <w:color w:val="auto"/>
        </w:rPr>
      </w:pPr>
    </w:p>
    <w:p>
      <w:pPr>
        <w:ind w:left="560" w:right="60" w:hanging="281"/>
        <w:spacing w:after="0" w:line="263" w:lineRule="auto"/>
        <w:tabs>
          <w:tab w:leader="none" w:pos="5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Volume per guest </w:t>
      </w:r>
      <w:r>
        <w:rPr>
          <w:rFonts w:ascii="Times New Roman" w:cs="Times New Roman" w:eastAsia="Times New Roman" w:hAnsi="Times New Roman"/>
          <w:sz w:val="16"/>
          <w:szCs w:val="16"/>
          <w:color w:val="auto"/>
        </w:rPr>
        <w:t>(“VPG”) is calculated by dividing consolidated vacation ownership contract sales, excluding fractional sales, telesales, resales, and other sales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not attributed to a sales tour (referred to as </w:t>
      </w:r>
      <w:r>
        <w:rPr>
          <w:rFonts w:ascii="Times New Roman" w:cs="Times New Roman" w:eastAsia="Times New Roman" w:hAnsi="Times New Roman"/>
          <w:sz w:val="16"/>
          <w:szCs w:val="16"/>
          <w:i w:val="1"/>
          <w:iCs w:val="1"/>
          <w:color w:val="auto"/>
        </w:rPr>
        <w:t>Tours</w:t>
      </w:r>
      <w:r>
        <w:rPr>
          <w:rFonts w:ascii="Times New Roman" w:cs="Times New Roman" w:eastAsia="Times New Roman" w:hAnsi="Times New Roman"/>
          <w:sz w:val="16"/>
          <w:szCs w:val="16"/>
          <w:color w:val="auto"/>
        </w:rPr>
        <w:t>, see below), by the number of tours in a given period. We believe that VPG is valuable in evaluating the effectiveness of the sales process as it combines the impact of average contract price with the number of touring guests who make a purchase.</w:t>
      </w:r>
    </w:p>
    <w:p>
      <w:pPr>
        <w:spacing w:after="0" w:line="58" w:lineRule="exact"/>
        <w:rPr>
          <w:rFonts w:ascii="Times New Roman" w:cs="Times New Roman" w:eastAsia="Times New Roman" w:hAnsi="Times New Roman"/>
          <w:sz w:val="16"/>
          <w:szCs w:val="16"/>
          <w:color w:val="auto"/>
        </w:rPr>
      </w:pPr>
    </w:p>
    <w:p>
      <w:pPr>
        <w:ind w:left="560" w:right="160" w:hanging="281"/>
        <w:spacing w:after="0" w:line="279" w:lineRule="auto"/>
        <w:tabs>
          <w:tab w:leader="none" w:pos="5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Tours </w:t>
      </w:r>
      <w:r>
        <w:rPr>
          <w:rFonts w:ascii="Times New Roman" w:cs="Times New Roman" w:eastAsia="Times New Roman" w:hAnsi="Times New Roman"/>
          <w:sz w:val="16"/>
          <w:szCs w:val="16"/>
          <w:color w:val="auto"/>
        </w:rPr>
        <w:t>is the number of sales tours performed during the applicable period, and generally includes virtual and offsite sales tours, and excludes telesales. We believe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Tours is a valuable metric because it represents the volume of touring guests.</w:t>
      </w:r>
    </w:p>
    <w:p>
      <w:pPr>
        <w:spacing w:after="0" w:line="45" w:lineRule="exact"/>
        <w:rPr>
          <w:rFonts w:ascii="Times New Roman" w:cs="Times New Roman" w:eastAsia="Times New Roman" w:hAnsi="Times New Roman"/>
          <w:sz w:val="16"/>
          <w:szCs w:val="16"/>
          <w:color w:val="auto"/>
        </w:rPr>
      </w:pPr>
    </w:p>
    <w:p>
      <w:pPr>
        <w:ind w:left="560" w:hanging="281"/>
        <w:spacing w:after="0" w:line="263" w:lineRule="auto"/>
        <w:tabs>
          <w:tab w:leader="none" w:pos="5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Development profit margin </w:t>
      </w:r>
      <w:r>
        <w:rPr>
          <w:rFonts w:ascii="Times New Roman" w:cs="Times New Roman" w:eastAsia="Times New Roman" w:hAnsi="Times New Roman"/>
          <w:sz w:val="16"/>
          <w:szCs w:val="16"/>
          <w:color w:val="auto"/>
        </w:rPr>
        <w:t>is calculated by dividing Development profit by revenues from the sale of vacation ownership products. We refer to revenues from the sale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58" w:lineRule="exact"/>
        <w:rPr>
          <w:rFonts w:ascii="Times New Roman" w:cs="Times New Roman" w:eastAsia="Times New Roman" w:hAnsi="Times New Roman"/>
          <w:sz w:val="16"/>
          <w:szCs w:val="16"/>
          <w:color w:val="auto"/>
        </w:rPr>
      </w:pPr>
    </w:p>
    <w:p>
      <w:pPr>
        <w:ind w:left="560" w:right="400" w:hanging="281"/>
        <w:spacing w:after="0" w:line="279" w:lineRule="auto"/>
        <w:tabs>
          <w:tab w:leader="none" w:pos="5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Total active members </w:t>
      </w:r>
      <w:r>
        <w:rPr>
          <w:rFonts w:ascii="Times New Roman" w:cs="Times New Roman" w:eastAsia="Times New Roman" w:hAnsi="Times New Roman"/>
          <w:sz w:val="16"/>
          <w:szCs w:val="16"/>
          <w:color w:val="auto"/>
        </w:rPr>
        <w:t>is the number of Interval Network active members at the end of the applicable period. We consider active members to be an important metric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because it represents the population of owners eligible to book transactions using the Interval Network.</w:t>
      </w:r>
    </w:p>
    <w:p>
      <w:pPr>
        <w:spacing w:after="0" w:line="45" w:lineRule="exact"/>
        <w:rPr>
          <w:rFonts w:ascii="Times New Roman" w:cs="Times New Roman" w:eastAsia="Times New Roman" w:hAnsi="Times New Roman"/>
          <w:sz w:val="16"/>
          <w:szCs w:val="16"/>
          <w:color w:val="auto"/>
        </w:rPr>
      </w:pPr>
    </w:p>
    <w:p>
      <w:pPr>
        <w:ind w:left="560" w:right="20" w:hanging="281"/>
        <w:spacing w:after="0" w:line="263" w:lineRule="auto"/>
        <w:tabs>
          <w:tab w:leader="none" w:pos="5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Average revenue per member </w:t>
      </w:r>
      <w:r>
        <w:rPr>
          <w:rFonts w:ascii="Times New Roman" w:cs="Times New Roman" w:eastAsia="Times New Roman" w:hAnsi="Times New Roman"/>
          <w:sz w:val="16"/>
          <w:szCs w:val="16"/>
          <w:color w:val="auto"/>
        </w:rPr>
        <w:t>is calculated by dividing membership fee revenue, transaction revenue, rental revenue, and other member revenue for the Interval Network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monthly weighted average number of Interval Network active members during the applicable period. We believe this metric is valuable in measuring the overall engagement of our Interval Network active members.</w:t>
      </w:r>
    </w:p>
    <w:p>
      <w:pPr>
        <w:spacing w:after="0" w:line="58" w:lineRule="exact"/>
        <w:rPr>
          <w:rFonts w:ascii="Times New Roman" w:cs="Times New Roman" w:eastAsia="Times New Roman" w:hAnsi="Times New Roman"/>
          <w:sz w:val="16"/>
          <w:szCs w:val="16"/>
          <w:color w:val="auto"/>
        </w:rPr>
      </w:pPr>
    </w:p>
    <w:p>
      <w:pPr>
        <w:jc w:val="both"/>
        <w:ind w:left="560" w:right="260" w:hanging="281"/>
        <w:spacing w:after="0" w:line="263" w:lineRule="auto"/>
        <w:tabs>
          <w:tab w:leader="none" w:pos="55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Segment financial results attributable to common stockholders </w:t>
      </w:r>
      <w:r>
        <w:rPr>
          <w:rFonts w:ascii="Times New Roman" w:cs="Times New Roman" w:eastAsia="Times New Roman" w:hAnsi="Times New Roman"/>
          <w:sz w:val="16"/>
          <w:szCs w:val="16"/>
          <w:color w:val="auto"/>
        </w:rPr>
        <w:t>represents revenues less expenses directly attributable to each applicable reportable business segment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(Vacation Ownership and Exchange &amp; Third-Party Management). We consider this measure to be important in evaluating the performance of our reportable business segments. See Footnote 15 “Business Segments” to our Financial Statements for further information about our reportable business segments.</w:t>
      </w:r>
    </w:p>
    <w:p>
      <w:pPr>
        <w:spacing w:after="0" w:line="58"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Adjusted EBITDA margin </w:t>
      </w:r>
      <w:r>
        <w:rPr>
          <w:rFonts w:ascii="Times New Roman" w:cs="Times New Roman" w:eastAsia="Times New Roman" w:hAnsi="Times New Roman"/>
          <w:sz w:val="16"/>
          <w:szCs w:val="16"/>
          <w:color w:val="auto"/>
        </w:rPr>
        <w:t>represents Adjusted EBITDA divided by the Company’s total revenues less cost reimbursements revenues.</w:t>
      </w:r>
    </w:p>
    <w:p>
      <w:pPr>
        <w:spacing w:after="0" w:line="100" w:lineRule="exact"/>
        <w:rPr>
          <w:rFonts w:ascii="Times New Roman" w:cs="Times New Roman" w:eastAsia="Times New Roman" w:hAnsi="Times New Roman"/>
          <w:sz w:val="16"/>
          <w:szCs w:val="16"/>
          <w:b w:val="1"/>
          <w:bCs w:val="1"/>
          <w:color w:val="auto"/>
        </w:rPr>
      </w:pPr>
    </w:p>
    <w:p>
      <w:pPr>
        <w:ind w:left="560" w:hanging="281"/>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Segment Adjusted EBITDA margin </w:t>
      </w:r>
      <w:r>
        <w:rPr>
          <w:rFonts w:ascii="Times New Roman" w:cs="Times New Roman" w:eastAsia="Times New Roman" w:hAnsi="Times New Roman"/>
          <w:sz w:val="16"/>
          <w:szCs w:val="16"/>
          <w:color w:val="auto"/>
        </w:rPr>
        <w:t>represents Segment Adjusted EBITDA divided by the applicable segment’s total revenues less cost reimbursements revenues.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86"/>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760" w:type="dxa"/>
            <w:vAlign w:val="bottom"/>
            <w:gridSpan w:val="3"/>
          </w:tcPr>
          <w:p>
            <w:pPr>
              <w:jc w:val="right"/>
              <w:ind w:right="445"/>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Royalty fee</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4720" w:type="dxa"/>
            <w:vAlign w:val="bottom"/>
            <w:gridSpan w:val="4"/>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INCOME BEFORE INCOME TAXES AND NONCONTROLLING</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w w:val="98"/>
              </w:rPr>
              <w:t>Net (income) loss attributable to noncontrolling interests</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48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Statistics</w:t>
            </w:r>
          </w:p>
        </w:tc>
        <w:tc>
          <w:tcPr>
            <w:tcW w:w="35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1800" w:type="dxa"/>
            <w:vAlign w:val="bottom"/>
            <w:vMerge w:val="continue"/>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(Contract sales $ in millions)</w:t>
            </w: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40" w:type="dxa"/>
            <w:vAlign w:val="bottom"/>
            <w:gridSpan w:val="3"/>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contract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433</w:t>
            </w:r>
          </w:p>
        </w:tc>
        <w:tc>
          <w:tcPr>
            <w:tcW w:w="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265"/>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Consolidated contract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428</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Joint venture contract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5</w:t>
            </w:r>
          </w:p>
        </w:tc>
        <w:tc>
          <w:tcPr>
            <w:tcW w:w="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VPG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4,129</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(150)</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Tours</w:t>
            </w:r>
          </w:p>
        </w:tc>
        <w:tc>
          <w:tcPr>
            <w:tcW w:w="1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96,579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3"/>
          </w:tcPr>
          <w:p>
            <w:pPr>
              <w:jc w:val="right"/>
              <w:ind w:right="305"/>
              <w:spacing w:after="0"/>
              <w:rPr>
                <w:sz w:val="20"/>
                <w:szCs w:val="20"/>
                <w:color w:val="auto"/>
              </w:rPr>
            </w:pPr>
            <w:r>
              <w:rPr>
                <w:rFonts w:ascii="Times New Roman" w:cs="Times New Roman" w:eastAsia="Times New Roman" w:hAnsi="Times New Roman"/>
                <w:sz w:val="16"/>
                <w:szCs w:val="16"/>
                <w:color w:val="auto"/>
                <w:w w:val="99"/>
              </w:rPr>
              <w:t>1,419</w:t>
            </w:r>
          </w:p>
        </w:tc>
        <w:tc>
          <w:tcPr>
            <w:tcW w:w="5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active members at end of period (000's)</w:t>
            </w:r>
          </w:p>
        </w:tc>
        <w:tc>
          <w:tcPr>
            <w:tcW w:w="1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3"/>
          </w:tcPr>
          <w:p>
            <w:pPr>
              <w:jc w:val="right"/>
              <w:ind w:right="265"/>
              <w:spacing w:after="0"/>
              <w:rPr>
                <w:sz w:val="20"/>
                <w:szCs w:val="20"/>
                <w:color w:val="auto"/>
              </w:rPr>
            </w:pPr>
            <w:r>
              <w:rPr>
                <w:rFonts w:ascii="Times New Roman" w:cs="Times New Roman" w:eastAsia="Times New Roman" w:hAnsi="Times New Roman"/>
                <w:sz w:val="16"/>
                <w:szCs w:val="16"/>
                <w:color w:val="auto"/>
              </w:rPr>
              <w:t>(28)</w:t>
            </w: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Average revenue per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41.74</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(1.80)</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8"/>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5"/>
                <w:szCs w:val="15"/>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Vacation Ownership</w:t>
            </w: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5</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w:t>
            </w:r>
          </w:p>
        </w:tc>
      </w:tr>
      <w:tr>
        <w:trPr>
          <w:trHeight w:val="225"/>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 &amp; Third-Party Management</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6"/>
              </w:rPr>
              <w:t>(7)</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right="121"/>
              <w:spacing w:after="0"/>
              <w:rPr>
                <w:sz w:val="20"/>
                <w:szCs w:val="20"/>
                <w:color w:val="auto"/>
              </w:rPr>
            </w:pPr>
            <w:r>
              <w:rPr>
                <w:rFonts w:ascii="Times New Roman" w:cs="Times New Roman" w:eastAsia="Times New Roman" w:hAnsi="Times New Roman"/>
                <w:sz w:val="16"/>
                <w:szCs w:val="16"/>
                <w:color w:val="auto"/>
                <w:w w:val="99"/>
              </w:rPr>
              <w:t>(10%)</w:t>
            </w:r>
          </w:p>
        </w:tc>
      </w:tr>
      <w:tr>
        <w:trPr>
          <w:trHeight w:val="205"/>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Segment Revenues</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(2)</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w:t>
            </w: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Property Owners’ Associations</w:t>
            </w:r>
          </w:p>
        </w:tc>
        <w:tc>
          <w:tcPr>
            <w:tcW w:w="40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3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7</w:t>
            </w:r>
          </w:p>
        </w:tc>
        <w:tc>
          <w:tcPr>
            <w:tcW w:w="28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NM</w:t>
            </w:r>
          </w:p>
        </w:tc>
      </w:tr>
      <w:tr>
        <w:trPr>
          <w:trHeight w:val="218"/>
        </w:trPr>
        <w:tc>
          <w:tcPr>
            <w:tcW w:w="3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Before Interest Expense, Taxes, Depreciation and Amortization (“EBITDA”) and Adjusted EBITDA</w:t>
      </w:r>
    </w:p>
    <w:p>
      <w:pPr>
        <w:spacing w:after="0" w:line="1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Amortization of cloud computing software implementation costs, which are not included in depreciation and amortization, are excluded for comparability purposes.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w:t>
      </w:r>
    </w:p>
    <w:p>
      <w:pPr>
        <w:spacing w:after="0" w:line="6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pacing w:after="0" w:line="200" w:lineRule="exact"/>
        <w:rPr>
          <w:sz w:val="20"/>
          <w:szCs w:val="20"/>
          <w:color w:val="auto"/>
        </w:rPr>
      </w:pPr>
    </w:p>
    <w:p>
      <w:pPr>
        <w:spacing w:after="0" w:line="31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The table below shows our EBITDA and Adjusted EBITDA calculation and reconciles these measures with net income attributable to common stockholders, which is the most directly comparable GAAP financial measure.</w:t>
      </w:r>
    </w:p>
    <w:p>
      <w:pPr>
        <w:spacing w:after="0" w:line="8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Pr>
          <w:p>
            <w:pPr>
              <w:spacing w:after="0"/>
              <w:rPr>
                <w:sz w:val="15"/>
                <w:szCs w:val="15"/>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20%</w:t>
            </w: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27%</w:t>
            </w: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5"/>
              </w:rPr>
              <w:t>—%</w:t>
            </w:r>
          </w:p>
        </w:tc>
      </w:tr>
      <w:tr>
        <w:trPr>
          <w:trHeight w:val="205"/>
        </w:trPr>
        <w:tc>
          <w:tcPr>
            <w:tcW w:w="3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EBITDA</w:t>
            </w: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12%</w:t>
            </w: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6%</w:t>
            </w:r>
          </w:p>
        </w:tc>
      </w:tr>
      <w:tr>
        <w:trPr>
          <w:trHeight w:val="161"/>
        </w:trPr>
        <w:tc>
          <w:tcPr>
            <w:tcW w:w="35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cloud computing software</w:t>
            </w: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implementation costs</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NM</w:t>
            </w:r>
          </w:p>
        </w:tc>
      </w:tr>
      <w:tr>
        <w:trPr>
          <w:trHeight w:val="22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Certain items</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NM</w:t>
            </w:r>
          </w:p>
        </w:tc>
      </w:tr>
      <w:tr>
        <w:trPr>
          <w:trHeight w:val="218"/>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EBITDA</w:t>
            </w: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EBITDA Margin</w:t>
            </w: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17"/>
                <w:szCs w:val="17"/>
                <w:color w:val="auto"/>
              </w:rPr>
            </w:pPr>
          </w:p>
        </w:tc>
        <w:tc>
          <w:tcPr>
            <w:tcW w:w="11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23.2%</w:t>
            </w:r>
          </w:p>
        </w:tc>
        <w:tc>
          <w:tcPr>
            <w:tcW w:w="980" w:type="dxa"/>
            <w:vAlign w:val="bottom"/>
            <w:gridSpan w:val="3"/>
          </w:tcPr>
          <w:p>
            <w:pPr>
              <w:jc w:val="right"/>
              <w:ind w:right="505"/>
              <w:spacing w:after="0"/>
              <w:rPr>
                <w:sz w:val="20"/>
                <w:szCs w:val="20"/>
                <w:color w:val="auto"/>
              </w:rPr>
            </w:pPr>
            <w:r>
              <w:rPr>
                <w:rFonts w:ascii="Times New Roman" w:cs="Times New Roman" w:eastAsia="Times New Roman" w:hAnsi="Times New Roman"/>
                <w:sz w:val="16"/>
                <w:szCs w:val="16"/>
                <w:color w:val="auto"/>
                <w:w w:val="98"/>
              </w:rPr>
              <w:t>— pts</w:t>
            </w:r>
          </w:p>
        </w:tc>
        <w:tc>
          <w:tcPr>
            <w:tcW w:w="500" w:type="dxa"/>
            <w:vAlign w:val="bottom"/>
          </w:tcPr>
          <w:p>
            <w:pPr>
              <w:spacing w:after="0"/>
              <w:rPr>
                <w:sz w:val="17"/>
                <w:szCs w:val="17"/>
                <w:color w:val="auto"/>
              </w:rPr>
            </w:pPr>
          </w:p>
        </w:tc>
      </w:tr>
      <w:tr>
        <w:trPr>
          <w:trHeight w:val="410"/>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the periods presented.</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1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24"/>
                <w:szCs w:val="24"/>
                <w:color w:val="auto"/>
              </w:rPr>
            </w:pPr>
          </w:p>
        </w:tc>
      </w:tr>
      <w:tr>
        <w:trPr>
          <w:trHeight w:val="205"/>
        </w:trPr>
        <w:tc>
          <w:tcPr>
            <w:tcW w:w="1800" w:type="dxa"/>
            <w:vAlign w:val="bottom"/>
          </w:tcPr>
          <w:p>
            <w:pPr>
              <w:spacing w:after="0"/>
              <w:rPr>
                <w:sz w:val="17"/>
                <w:szCs w:val="17"/>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8"/>
        </w:trPr>
        <w:tc>
          <w:tcPr>
            <w:tcW w:w="180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gridSpan w:val="3"/>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180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Insurance proceeds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indemnification asset</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180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 in estimates relating to pre-acquisition contingencies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180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r>
      <w:tr>
        <w:trPr>
          <w:trHeight w:val="225"/>
        </w:trPr>
        <w:tc>
          <w:tcPr>
            <w:tcW w:w="18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180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charges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18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180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3"/>
        </w:trPr>
        <w:tc>
          <w:tcPr>
            <w:tcW w:w="180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Certain items</w:t>
            </w:r>
          </w:p>
        </w:tc>
        <w:tc>
          <w:tcPr>
            <w:tcW w:w="12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1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During the second quarter of 2024, we discontinued classifying costs associated with the continued integration of Welk in Transaction and integration costs. Welk integration costs incurred after this period are reflected in the operating results of each of our segments and/or General and administrative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Adjusted EBITDA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r>
      <w:tr>
        <w:trPr>
          <w:trHeight w:val="183"/>
        </w:trPr>
        <w:tc>
          <w:tcPr>
            <w:tcW w:w="180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5"/>
                <w:szCs w:val="15"/>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Vacation Ownership</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8</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 &amp; Third-Party Management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6"/>
              </w:rPr>
              <w:t>(4)</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4"/>
              </w:rPr>
              <w:t>(13%)</w:t>
            </w:r>
          </w:p>
        </w:tc>
        <w:tc>
          <w:tcPr>
            <w:tcW w:w="1800" w:type="dxa"/>
            <w:vAlign w:val="bottom"/>
          </w:tcPr>
          <w:p>
            <w:pPr>
              <w:spacing w:after="0"/>
              <w:rPr>
                <w:sz w:val="19"/>
                <w:szCs w:val="19"/>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Segment adjusted EBITDA</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4</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2</w:t>
            </w:r>
          </w:p>
        </w:tc>
        <w:tc>
          <w:tcPr>
            <w:tcW w:w="280" w:type="dxa"/>
            <w:vAlign w:val="bottom"/>
          </w:tcPr>
          <w:p>
            <w:pPr>
              <w:spacing w:after="0"/>
              <w:rPr>
                <w:sz w:val="19"/>
                <w:szCs w:val="19"/>
                <w:color w:val="auto"/>
              </w:rPr>
            </w:pP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(1)</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6%</w:t>
            </w:r>
          </w:p>
        </w:tc>
        <w:tc>
          <w:tcPr>
            <w:tcW w:w="1800" w:type="dxa"/>
            <w:vAlign w:val="bottom"/>
          </w:tcPr>
          <w:p>
            <w:pPr>
              <w:spacing w:after="0"/>
              <w:rPr>
                <w:sz w:val="19"/>
                <w:szCs w:val="19"/>
                <w:color w:val="auto"/>
              </w:rPr>
            </w:pPr>
          </w:p>
        </w:tc>
      </w:tr>
      <w:tr>
        <w:trPr>
          <w:trHeight w:val="193"/>
        </w:trPr>
        <w:tc>
          <w:tcPr>
            <w:tcW w:w="1800" w:type="dxa"/>
            <w:vAlign w:val="bottom"/>
          </w:tcPr>
          <w:p>
            <w:pPr>
              <w:spacing w:after="0"/>
              <w:rPr>
                <w:sz w:val="16"/>
                <w:szCs w:val="16"/>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6"/>
                <w:szCs w:val="16"/>
                <w:color w:val="auto"/>
                <w:w w:val="99"/>
              </w:rPr>
              <w:t>5</w:t>
            </w:r>
          </w:p>
        </w:tc>
        <w:tc>
          <w:tcPr>
            <w:tcW w:w="280" w:type="dxa"/>
            <w:vAlign w:val="bottom"/>
          </w:tcPr>
          <w:p>
            <w:pPr>
              <w:spacing w:after="0"/>
              <w:rPr>
                <w:sz w:val="16"/>
                <w:szCs w:val="16"/>
                <w:color w:val="auto"/>
              </w:rPr>
            </w:pP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6"/>
                <w:szCs w:val="16"/>
                <w:color w:val="auto"/>
              </w:rPr>
            </w:pPr>
          </w:p>
        </w:tc>
      </w:tr>
      <w:tr>
        <w:trPr>
          <w:trHeight w:val="20"/>
        </w:trPr>
        <w:tc>
          <w:tcPr>
            <w:tcW w:w="1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segment financial results attributable to common stockholders reconciled to segment Adjusted EBITDA.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Vacation Ownership</w:t>
      </w:r>
    </w:p>
    <w:p>
      <w:pPr>
        <w:spacing w:after="0" w:line="14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5"/>
                <w:szCs w:val="15"/>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financial results</w:t>
            </w: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9%</w:t>
            </w: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9"/>
                <w:szCs w:val="19"/>
                <w:color w:val="auto"/>
              </w:rPr>
            </w:pPr>
          </w:p>
        </w:tc>
        <w:tc>
          <w:tcPr>
            <w:tcW w:w="5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9%</w:t>
            </w:r>
          </w:p>
        </w:tc>
      </w:tr>
      <w:tr>
        <w:trPr>
          <w:trHeight w:val="161"/>
        </w:trPr>
        <w:tc>
          <w:tcPr>
            <w:tcW w:w="35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cloud computing software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implementation costs</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7"/>
                <w:szCs w:val="17"/>
                <w:color w:val="auto"/>
              </w:rPr>
            </w:pPr>
          </w:p>
        </w:tc>
        <w:tc>
          <w:tcPr>
            <w:tcW w:w="5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NM</w:t>
            </w: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items</w:t>
            </w: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rPr>
              <w:t>NM</w:t>
            </w: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16"/>
                <w:szCs w:val="16"/>
                <w:color w:val="auto"/>
              </w:rPr>
            </w:pPr>
          </w:p>
        </w:tc>
        <w:tc>
          <w:tcPr>
            <w:tcW w:w="56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-14605</wp:posOffset>
            </wp:positionV>
            <wp:extent cx="4864100" cy="142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Adjusted EBITDA Margin</w:t>
            </w:r>
          </w:p>
        </w:tc>
        <w:tc>
          <w:tcPr>
            <w:tcW w:w="820" w:type="dxa"/>
            <w:vAlign w:val="bottom"/>
          </w:tcPr>
          <w:p>
            <w:pPr>
              <w:jc w:val="center"/>
              <w:ind w:left="243"/>
              <w:spacing w:after="0"/>
              <w:rPr>
                <w:sz w:val="20"/>
                <w:szCs w:val="20"/>
                <w:color w:val="auto"/>
              </w:rPr>
            </w:pPr>
            <w:r>
              <w:rPr>
                <w:rFonts w:ascii="Times New Roman" w:cs="Times New Roman" w:eastAsia="Times New Roman" w:hAnsi="Times New Roman"/>
                <w:sz w:val="16"/>
                <w:szCs w:val="16"/>
                <w:color w:val="auto"/>
              </w:rPr>
              <w:t>29.2%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left="242"/>
              <w:spacing w:after="0"/>
              <w:rPr>
                <w:sz w:val="20"/>
                <w:szCs w:val="20"/>
                <w:color w:val="auto"/>
              </w:rPr>
            </w:pPr>
            <w:r>
              <w:rPr>
                <w:rFonts w:ascii="Times New Roman" w:cs="Times New Roman" w:eastAsia="Times New Roman" w:hAnsi="Times New Roman"/>
                <w:sz w:val="16"/>
                <w:szCs w:val="16"/>
                <w:color w:val="auto"/>
                <w:w w:val="96"/>
              </w:rPr>
              <w:t>29.2%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color w:val="auto"/>
                <w:w w:val="98"/>
              </w:rPr>
              <w:t>— pts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73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Vacation Ownership segment financial results.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Insurance proceeds</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w:t>
            </w:r>
          </w:p>
        </w:tc>
        <w:tc>
          <w:tcPr>
            <w:tcW w:w="600" w:type="dxa"/>
            <w:vAlign w:val="bottom"/>
            <w:gridSpan w:val="3"/>
            <w:shd w:val="clear" w:color="auto" w:fill="CCEEFF"/>
          </w:tcPr>
          <w:p>
            <w:pPr>
              <w:jc w:val="center"/>
              <w:ind w:right="12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3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Change in estimates relating to pre-acquisition contingencies</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Litigation charges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Total Certain items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jc w:val="center"/>
              <w:ind w:right="2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3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financial results</w:t>
            </w:r>
          </w:p>
        </w:tc>
        <w:tc>
          <w:tcPr>
            <w:tcW w:w="82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4"/>
              </w:rPr>
              <w:t>(24%)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tcPr>
          <w:p>
            <w:pPr>
              <w:spacing w:after="0"/>
              <w:rPr>
                <w:sz w:val="19"/>
                <w:szCs w:val="19"/>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3"/>
              </w:rPr>
              <w:t>(4%)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Certain items</w:t>
            </w:r>
          </w:p>
        </w:tc>
        <w:tc>
          <w:tcPr>
            <w:tcW w:w="820" w:type="dxa"/>
            <w:vAlign w:val="bottom"/>
          </w:tcPr>
          <w:p>
            <w:pPr>
              <w:spacing w:after="0"/>
              <w:rPr>
                <w:sz w:val="19"/>
                <w:szCs w:val="19"/>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0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9"/>
                <w:szCs w:val="19"/>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820" w:type="dxa"/>
            <w:vAlign w:val="bottom"/>
            <w:tcBorders>
              <w:top w:val="single" w:sz="8" w:color="auto"/>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4"/>
              </w:rPr>
              <w:t>(13%)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5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Segment Adjusted EBITDA Margin</w:t>
            </w: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5"/>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00" w:type="dxa"/>
            <w:vAlign w:val="bottom"/>
          </w:tcPr>
          <w:p>
            <w:pPr>
              <w:spacing w:after="0"/>
              <w:rPr>
                <w:sz w:val="15"/>
                <w:szCs w:val="15"/>
                <w:color w:val="auto"/>
              </w:rPr>
            </w:pPr>
          </w:p>
        </w:tc>
        <w:tc>
          <w:tcPr>
            <w:tcW w:w="3520" w:type="dxa"/>
            <w:vAlign w:val="bottom"/>
            <w:tcBorders>
              <w:top w:val="single" w:sz="8" w:color="CCEEFF"/>
            </w:tcBorders>
            <w:vMerge w:val="continue"/>
          </w:tcPr>
          <w:p>
            <w:pPr>
              <w:spacing w:after="0"/>
              <w:rPr>
                <w:sz w:val="15"/>
                <w:szCs w:val="15"/>
                <w:color w:val="auto"/>
              </w:rPr>
            </w:pPr>
          </w:p>
        </w:tc>
        <w:tc>
          <w:tcPr>
            <w:tcW w:w="820" w:type="dxa"/>
            <w:vAlign w:val="bottom"/>
            <w:tcBorders>
              <w:top w:val="single" w:sz="8" w:color="auto"/>
            </w:tcBorders>
          </w:tcPr>
          <w:p>
            <w:pPr>
              <w:jc w:val="center"/>
              <w:ind w:left="223"/>
              <w:spacing w:after="0" w:line="174" w:lineRule="exact"/>
              <w:rPr>
                <w:sz w:val="20"/>
                <w:szCs w:val="20"/>
                <w:color w:val="auto"/>
              </w:rPr>
            </w:pPr>
            <w:r>
              <w:rPr>
                <w:rFonts w:ascii="Times New Roman" w:cs="Times New Roman" w:eastAsia="Times New Roman" w:hAnsi="Times New Roman"/>
                <w:sz w:val="16"/>
                <w:szCs w:val="16"/>
                <w:color w:val="auto"/>
                <w:w w:val="96"/>
              </w:rPr>
              <w:t>49.0%</w:t>
            </w: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gridSpan w:val="2"/>
          </w:tcPr>
          <w:p>
            <w:pPr>
              <w:jc w:val="center"/>
              <w:ind w:left="202"/>
              <w:spacing w:after="0" w:line="174" w:lineRule="exact"/>
              <w:rPr>
                <w:sz w:val="20"/>
                <w:szCs w:val="20"/>
                <w:color w:val="auto"/>
              </w:rPr>
            </w:pPr>
            <w:r>
              <w:rPr>
                <w:rFonts w:ascii="Times New Roman" w:cs="Times New Roman" w:eastAsia="Times New Roman" w:hAnsi="Times New Roman"/>
                <w:sz w:val="16"/>
                <w:szCs w:val="16"/>
                <w:color w:val="auto"/>
                <w:w w:val="96"/>
              </w:rPr>
              <w:t>51.3%</w:t>
            </w: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7"/>
              </w:rPr>
              <w:t>(2.3 pts)</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Exchange and Third-Party Management segment financial results.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Total Certain items</w:t>
            </w:r>
          </w:p>
        </w:tc>
        <w:tc>
          <w:tcPr>
            <w:tcW w:w="21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18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102"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Our business is grouped into two reportable business segments: Vacation Ownership and Exchange &amp; Third-Party Management. See Footnote 15 “Business Segments” to our Financial Statements for further information about our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Vacation Ownership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5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1,130</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Royalty fee</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5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947</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518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SEGMENT FINANCIAL RESULTS ATTRIBUTABLE TO COMMON</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ind w:left="40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20" w:type="dxa"/>
            <w:vAlign w:val="bottom"/>
            <w:vMerge w:val="continue"/>
          </w:tcPr>
          <w:p>
            <w:pPr>
              <w:spacing w:after="0"/>
              <w:rPr>
                <w:sz w:val="24"/>
                <w:szCs w:val="24"/>
                <w:color w:val="auto"/>
              </w:rPr>
            </w:pPr>
          </w:p>
        </w:tc>
        <w:tc>
          <w:tcPr>
            <w:tcW w:w="5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2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9" w:name="page40"/>
    <w:bookmarkEnd w:id="39"/>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Sale of Vacation Ownership Products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40"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Contract Sales,</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Contract Sales,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of Resales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of Resales</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Joint venture contract sales</w:t>
            </w:r>
          </w:p>
        </w:tc>
        <w:tc>
          <w:tcPr>
            <w:tcW w:w="12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5"/>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sales</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Resales contract sales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Joint venture contract sales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Consolidated contract sales, net of</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resales</w:t>
            </w:r>
          </w:p>
        </w:tc>
        <w:tc>
          <w:tcPr>
            <w:tcW w:w="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revenue</w:t>
            </w:r>
          </w:p>
        </w:tc>
        <w:tc>
          <w:tcPr>
            <w:tcW w:w="12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1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3"/>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w:t>
            </w:r>
          </w:p>
        </w:tc>
        <w:tc>
          <w:tcPr>
            <w:tcW w:w="11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3"/>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Resales revenue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3"/>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112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recognition adjustments: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Reportability</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3"/>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2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reserve</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1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2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11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86%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352</w:t>
            </w:r>
          </w:p>
        </w:tc>
        <w:tc>
          <w:tcPr>
            <w:tcW w:w="112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5"/>
              </w:rPr>
              <w:t>84%</w:t>
            </w:r>
          </w:p>
        </w:tc>
        <w:tc>
          <w:tcPr>
            <w:tcW w:w="16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VPG</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9"/>
              </w:rPr>
              <w:t>$3,979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9"/>
              </w:rPr>
              <w:t>$4,129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4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Tours</w:t>
            </w:r>
          </w:p>
        </w:tc>
        <w:tc>
          <w:tcPr>
            <w:tcW w:w="120" w:type="dxa"/>
            <w:vAlign w:val="bottom"/>
          </w:tcPr>
          <w:p>
            <w:pPr>
              <w:spacing w:after="0"/>
              <w:rPr>
                <w:sz w:val="19"/>
                <w:szCs w:val="19"/>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9"/>
              </w:rPr>
              <w:t>97,998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9"/>
              </w:rPr>
              <w:t>96,579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Pr>
          <w:p>
            <w:pPr>
              <w:spacing w:after="0"/>
              <w:rPr>
                <w:sz w:val="19"/>
                <w:szCs w:val="19"/>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propensity</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6"/>
              </w:rPr>
              <w:t>54.2%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53.4%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0.8 pts</w:t>
            </w: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Average FICO Score </w:t>
            </w:r>
            <w:r>
              <w:rPr>
                <w:rFonts w:ascii="Times New Roman" w:cs="Times New Roman" w:eastAsia="Times New Roman" w:hAnsi="Times New Roman"/>
                <w:sz w:val="9"/>
                <w:szCs w:val="9"/>
                <w:color w:val="auto"/>
              </w:rPr>
              <w:t>(2)</w:t>
            </w:r>
          </w:p>
        </w:tc>
        <w:tc>
          <w:tcPr>
            <w:tcW w:w="120" w:type="dxa"/>
            <w:vAlign w:val="bottom"/>
          </w:tcPr>
          <w:p>
            <w:pPr>
              <w:spacing w:after="0"/>
              <w:rPr>
                <w:sz w:val="19"/>
                <w:szCs w:val="19"/>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9"/>
              </w:rPr>
              <w:t>740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9"/>
              </w:rPr>
              <w:t>739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85" w:hanging="285"/>
        <w:spacing w:after="0" w:line="223" w:lineRule="auto"/>
        <w:tabs>
          <w:tab w:leader="none" w:pos="274"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 for sales incentives that will not be recognized as Sale of vacation ownership products revenue and other adjustments to Sale of vacation ownership products revenue.</w:t>
      </w:r>
    </w:p>
    <w:p>
      <w:pPr>
        <w:spacing w:after="0" w:line="43" w:lineRule="exact"/>
        <w:rPr>
          <w:rFonts w:ascii="Times New Roman" w:cs="Times New Roman" w:eastAsia="Times New Roman" w:hAnsi="Times New Roman"/>
          <w:sz w:val="21"/>
          <w:szCs w:val="21"/>
          <w:color w:val="auto"/>
          <w:vertAlign w:val="superscript"/>
        </w:rPr>
      </w:pPr>
    </w:p>
    <w:p>
      <w:pPr>
        <w:ind w:left="265" w:hanging="265"/>
        <w:spacing w:after="0"/>
        <w:tabs>
          <w:tab w:leader="none" w:pos="265"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customers who financed a vacation ownership purchase and for whom a credit score was available, generally U.S. and Canadian residents.</w:t>
      </w:r>
    </w:p>
    <w:p>
      <w:pPr>
        <w:spacing w:after="0" w:line="1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increase in Sale of vacation ownership products was due to the following:</w:t>
      </w:r>
    </w:p>
    <w:p>
      <w:pPr>
        <w:spacing w:after="0" w:line="100" w:lineRule="exact"/>
        <w:rPr>
          <w:sz w:val="20"/>
          <w:szCs w:val="20"/>
          <w:color w:val="auto"/>
        </w:rPr>
      </w:pPr>
    </w:p>
    <w:p>
      <w:pPr>
        <w:ind w:left="285" w:hanging="143"/>
        <w:spacing w:after="0"/>
        <w:tabs>
          <w:tab w:leader="none" w:pos="28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sales decreased during the first quarter of 2025 due to a 4% decrease in VPG, partially offset by a 1% increase in tours.</w:t>
      </w:r>
    </w:p>
    <w:p>
      <w:pPr>
        <w:spacing w:after="0" w:line="100" w:lineRule="exact"/>
        <w:rPr>
          <w:rFonts w:ascii="Times New Roman" w:cs="Times New Roman" w:eastAsia="Times New Roman" w:hAnsi="Times New Roman"/>
          <w:sz w:val="16"/>
          <w:szCs w:val="16"/>
          <w:color w:val="auto"/>
        </w:rPr>
      </w:pPr>
    </w:p>
    <w:p>
      <w:pPr>
        <w:ind w:left="705" w:hanging="137"/>
        <w:spacing w:after="0"/>
        <w:tabs>
          <w:tab w:leader="none" w:pos="705"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half of the VPG decrease was due to a larger percentage mix of first time buyer sales, which carry a lower VPG than existing owners.</w:t>
      </w:r>
    </w:p>
    <w:p>
      <w:pPr>
        <w:spacing w:after="0" w:line="100" w:lineRule="exact"/>
        <w:rPr>
          <w:rFonts w:ascii="Times New Roman" w:cs="Times New Roman" w:eastAsia="Times New Roman" w:hAnsi="Times New Roman"/>
          <w:sz w:val="16"/>
          <w:szCs w:val="16"/>
          <w:color w:val="auto"/>
        </w:rPr>
      </w:pPr>
    </w:p>
    <w:p>
      <w:pPr>
        <w:ind w:left="705" w:hanging="137"/>
        <w:spacing w:after="0"/>
        <w:tabs>
          <w:tab w:leader="none" w:pos="705"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first time buyer and owner VPG decreased due to lower closing efficiencies.</w:t>
      </w:r>
    </w:p>
    <w:p>
      <w:pPr>
        <w:spacing w:after="0" w:line="100"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revenue reportability due to timing differences in the expiration of contractual rescission periods; and</w:t>
      </w:r>
    </w:p>
    <w:p>
      <w:pPr>
        <w:spacing w:after="0" w:line="100" w:lineRule="exact"/>
        <w:rPr>
          <w:rFonts w:ascii="Times New Roman" w:cs="Times New Roman" w:eastAsia="Times New Roman" w:hAnsi="Times New Roman"/>
          <w:sz w:val="16"/>
          <w:szCs w:val="16"/>
          <w:color w:val="auto"/>
        </w:rPr>
      </w:pPr>
    </w:p>
    <w:p>
      <w:pPr>
        <w:ind w:left="285" w:hanging="143"/>
        <w:spacing w:after="0" w:line="276" w:lineRule="auto"/>
        <w:tabs>
          <w:tab w:leader="none" w:pos="28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our sales reserve to reflect higher expected cumulative losses on new originations, consistent with the increase in our sales reserve rate in the latter half of 2024.</w:t>
      </w:r>
    </w:p>
    <w:p>
      <w:pPr>
        <w:spacing w:after="0" w:line="200" w:lineRule="exact"/>
        <w:rPr>
          <w:sz w:val="20"/>
          <w:szCs w:val="20"/>
          <w:color w:val="auto"/>
        </w:rPr>
      </w:pPr>
    </w:p>
    <w:p>
      <w:pPr>
        <w:spacing w:after="0" w:line="300"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45"/>
          </w:cols>
          <w:pgMar w:left="315" w:top="218" w:right="639" w:bottom="1440" w:gutter="0" w:footer="0" w:header="0"/>
        </w:sectPr>
      </w:pPr>
    </w:p>
    <w:bookmarkStart w:id="40" w:name="page41"/>
    <w:bookmarkEnd w:id="40"/>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Development Profit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45" w:lineRule="exact"/>
        <w:rPr>
          <w:sz w:val="20"/>
          <w:szCs w:val="20"/>
          <w:color w:val="auto"/>
        </w:rPr>
      </w:pPr>
    </w:p>
    <w:tbl>
      <w:tblPr>
        <w:tblLayout w:type="fixed"/>
        <w:tblInd w:w="1825"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43"/>
              <w:spacing w:after="0" w:line="137"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720" w:type="dxa"/>
            <w:vAlign w:val="bottom"/>
          </w:tcPr>
          <w:p>
            <w:pPr>
              <w:jc w:val="right"/>
              <w:ind w:right="24"/>
              <w:spacing w:after="0" w:line="137"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20" w:type="dxa"/>
            <w:vAlign w:val="bottom"/>
          </w:tcPr>
          <w:p>
            <w:pPr>
              <w:spacing w:after="0"/>
              <w:rPr>
                <w:sz w:val="11"/>
                <w:szCs w:val="11"/>
                <w:color w:val="auto"/>
              </w:rPr>
            </w:pPr>
          </w:p>
        </w:tc>
        <w:tc>
          <w:tcPr>
            <w:tcW w:w="1020" w:type="dxa"/>
            <w:vAlign w:val="bottom"/>
            <w:gridSpan w:val="3"/>
          </w:tcPr>
          <w:p>
            <w:pPr>
              <w:jc w:val="center"/>
              <w:ind w:right="161"/>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9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352</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w w:val="99"/>
              </w:rPr>
              <w:t>Cost of vacation ownership products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9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9"/>
                <w:szCs w:val="19"/>
                <w:color w:val="auto"/>
              </w:rPr>
            </w:pPr>
          </w:p>
        </w:tc>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90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92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3"/>
              </w:rPr>
              <w:t>(5%)</w:t>
            </w:r>
          </w:p>
        </w:tc>
        <w:tc>
          <w:tcPr>
            <w:tcW w:w="0" w:type="dxa"/>
            <w:vAlign w:val="bottom"/>
          </w:tcPr>
          <w:p>
            <w:pPr>
              <w:spacing w:after="0"/>
              <w:rPr>
                <w:sz w:val="1"/>
                <w:szCs w:val="1"/>
                <w:color w:val="auto"/>
              </w:rPr>
            </w:pPr>
          </w:p>
        </w:tc>
      </w:tr>
      <w:tr>
        <w:trPr>
          <w:trHeight w:val="19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Development profit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6"/>
                <w:szCs w:val="16"/>
                <w:color w:val="auto"/>
              </w:rPr>
            </w:pPr>
          </w:p>
        </w:tc>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Development profit margin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0.7 pts</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increase in Development profit was due to the following:</w:t>
      </w:r>
    </w:p>
    <w:p>
      <w:pPr>
        <w:spacing w:after="0" w:line="100" w:lineRule="exact"/>
        <w:rPr>
          <w:sz w:val="20"/>
          <w:szCs w:val="20"/>
          <w:color w:val="auto"/>
        </w:rPr>
      </w:pPr>
    </w:p>
    <w:p>
      <w:pPr>
        <w:ind w:left="285" w:hanging="143"/>
        <w:spacing w:after="0"/>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sales of vacation ownership products (discussed above); and</w:t>
      </w:r>
    </w:p>
    <w:p>
      <w:pPr>
        <w:spacing w:after="0" w:line="100" w:lineRule="exact"/>
        <w:rPr>
          <w:rFonts w:ascii="Times New Roman" w:cs="Times New Roman" w:eastAsia="Times New Roman" w:hAnsi="Times New Roman"/>
          <w:sz w:val="16"/>
          <w:szCs w:val="16"/>
          <w:color w:val="auto"/>
        </w:rPr>
      </w:pPr>
    </w:p>
    <w:p>
      <w:pPr>
        <w:ind w:left="285" w:right="500" w:hanging="143"/>
        <w:spacing w:after="0" w:line="276" w:lineRule="auto"/>
        <w:tabs>
          <w:tab w:leader="none" w:pos="2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cost of vacation ownership products due to the sale of lower average cost inventory, including product cost true-up activity, slightly offset by higher revenue reportability.</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These changes were partially offset by higher marketing and sales costs due to:</w:t>
      </w:r>
    </w:p>
    <w:p>
      <w:pPr>
        <w:spacing w:after="0" w:line="100" w:lineRule="exact"/>
        <w:rPr>
          <w:sz w:val="20"/>
          <w:szCs w:val="20"/>
          <w:color w:val="auto"/>
        </w:rPr>
      </w:pPr>
    </w:p>
    <w:p>
      <w:pPr>
        <w:ind w:left="285" w:hanging="143"/>
        <w:spacing w:after="0"/>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million of higher preview costs, which were evenly split between higher keys and higher rate;</w:t>
      </w:r>
    </w:p>
    <w:p>
      <w:pPr>
        <w:spacing w:after="0" w:line="100"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million increase in tour generation costs, including $1 million associated with the higher tour volume; and</w:t>
      </w:r>
    </w:p>
    <w:p>
      <w:pPr>
        <w:spacing w:after="0" w:line="100"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million of higher wages and benefits, including variable compensation.</w:t>
      </w:r>
    </w:p>
    <w:p>
      <w:pPr>
        <w:spacing w:after="0" w:line="19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Resort Management and Other Services Revenues, Expenses and Profit</w:t>
      </w:r>
    </w:p>
    <w:p>
      <w:pPr>
        <w:spacing w:after="0" w:line="92"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revenues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w:t>
            </w:r>
          </w:p>
        </w:tc>
      </w:tr>
      <w:tr>
        <w:trPr>
          <w:trHeight w:val="22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Ancillary revenues</w:t>
            </w:r>
          </w:p>
        </w:tc>
        <w:tc>
          <w:tcPr>
            <w:tcW w:w="2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NM</w:t>
            </w: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management and exchange revenues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9%</w:t>
            </w:r>
          </w:p>
        </w:tc>
      </w:tr>
      <w:tr>
        <w:trPr>
          <w:trHeight w:val="205"/>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Resort management and other services revenues</w:t>
            </w:r>
          </w:p>
        </w:tc>
        <w:tc>
          <w:tcPr>
            <w:tcW w:w="22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7"/>
                <w:szCs w:val="17"/>
                <w:color w:val="auto"/>
              </w:rPr>
            </w:pPr>
          </w:p>
        </w:tc>
        <w:tc>
          <w:tcPr>
            <w:tcW w:w="5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Resort management and other services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w:t>
            </w: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Resort management and other services profit</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6"/>
                <w:szCs w:val="16"/>
                <w:color w:val="auto"/>
              </w:rPr>
            </w:pPr>
          </w:p>
        </w:tc>
        <w:tc>
          <w:tcPr>
            <w:tcW w:w="5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Resort management and other services profit margin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1.8 pts</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74"/>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Resort occupancy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3"/>
                <w:szCs w:val="23"/>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0.1 pts</w:t>
            </w:r>
          </w:p>
        </w:tc>
        <w:tc>
          <w:tcPr>
            <w:tcW w:w="580" w:type="dxa"/>
            <w:vAlign w:val="bottom"/>
          </w:tcPr>
          <w:p>
            <w:pPr>
              <w:spacing w:after="0"/>
              <w:rPr>
                <w:sz w:val="23"/>
                <w:szCs w:val="23"/>
                <w:color w:val="auto"/>
              </w:rPr>
            </w:pPr>
          </w:p>
        </w:tc>
      </w:tr>
    </w:tbl>
    <w:p>
      <w:pPr>
        <w:ind w:left="265" w:hanging="265"/>
        <w:spacing w:after="0" w:line="222" w:lineRule="auto"/>
        <w:tabs>
          <w:tab w:leader="none" w:pos="265"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Resort occupancy represents all transient, preview, and owner keys divided by total keys available, net of keys out of service.</w:t>
      </w:r>
    </w:p>
    <w:p>
      <w:pPr>
        <w:spacing w:after="0" w:line="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The increase in Resort management and other services profit reflects higher management fees and higher club dues, partially offset by $1 million of higher wages and benefits.</w:t>
      </w:r>
    </w:p>
    <w:p>
      <w:pPr>
        <w:spacing w:after="0" w:line="200" w:lineRule="exact"/>
        <w:rPr>
          <w:sz w:val="20"/>
          <w:szCs w:val="20"/>
          <w:color w:val="auto"/>
        </w:rPr>
      </w:pPr>
    </w:p>
    <w:p>
      <w:pPr>
        <w:spacing w:after="0" w:line="362"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5"/>
          </w:cols>
          <w:pgMar w:left="315" w:top="218" w:right="539" w:bottom="1440" w:gutter="0" w:footer="0" w:header="0"/>
        </w:sectPr>
      </w:pPr>
    </w:p>
    <w:bookmarkStart w:id="41" w:name="page42"/>
    <w:bookmarkEnd w:id="41"/>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Rental Revenues, Expenses and Profit</w:t>
      </w:r>
    </w:p>
    <w:p>
      <w:pPr>
        <w:spacing w:after="0" w:line="45"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5"/>
                <w:szCs w:val="15"/>
                <w:color w:val="auto"/>
              </w:rPr>
            </w:pP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revenues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Rental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4"/>
              </w:rPr>
              <w:t>(15%)</w:t>
            </w:r>
          </w:p>
        </w:tc>
        <w:tc>
          <w:tcPr>
            <w:tcW w:w="0" w:type="dxa"/>
            <w:vAlign w:val="bottom"/>
          </w:tcPr>
          <w:p>
            <w:pPr>
              <w:spacing w:after="0"/>
              <w:rPr>
                <w:sz w:val="1"/>
                <w:szCs w:val="1"/>
                <w:color w:val="auto"/>
              </w:rPr>
            </w:pPr>
          </w:p>
        </w:tc>
      </w:tr>
      <w:tr>
        <w:trPr>
          <w:trHeight w:val="21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profit</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4"/>
              </w:rPr>
              <w:t>(13%)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Rental profit margin</w:t>
            </w: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80" w:type="dxa"/>
            <w:vAlign w:val="bottom"/>
            <w:tcBorders>
              <w:top w:val="single" w:sz="8" w:color="CCEEFF"/>
            </w:tcBorders>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81"/>
              <w:spacing w:after="0" w:line="174" w:lineRule="exact"/>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3"/>
              <w:spacing w:after="0" w:line="174" w:lineRule="exact"/>
              <w:rPr>
                <w:sz w:val="20"/>
                <w:szCs w:val="20"/>
                <w:color w:val="auto"/>
              </w:rPr>
            </w:pPr>
            <w:r>
              <w:rPr>
                <w:rFonts w:ascii="Times New Roman" w:cs="Times New Roman" w:eastAsia="Times New Roman" w:hAnsi="Times New Roman"/>
                <w:sz w:val="16"/>
                <w:szCs w:val="16"/>
                <w:color w:val="auto"/>
                <w:w w:val="97"/>
              </w:rPr>
              <w:t>(4.9 pts)</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49530</wp:posOffset>
            </wp:positionV>
            <wp:extent cx="4864100" cy="142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ectPr>
          <w:pgSz w:w="11900" w:h="16838" w:orient="portrait"/>
          <w:cols w:equalWidth="0" w:num="1">
            <w:col w:w="11185"/>
          </w:cols>
          <w:pgMar w:left="315" w:top="218" w:right="399" w:bottom="1440" w:gutter="0" w:footer="0" w:header="0"/>
        </w:sectPr>
      </w:pPr>
    </w:p>
    <w:p>
      <w:pPr>
        <w:spacing w:after="0" w:line="96"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Transient keys rented</w:t>
      </w:r>
      <w:r>
        <w:rPr>
          <w:rFonts w:ascii="Times New Roman" w:cs="Times New Roman" w:eastAsia="Times New Roman" w:hAnsi="Times New Roman"/>
          <w:sz w:val="9"/>
          <w:szCs w:val="9"/>
          <w:color w:val="auto"/>
        </w:rPr>
        <w:t>(1)</w:t>
      </w:r>
    </w:p>
    <w:p>
      <w:pPr>
        <w:spacing w:after="0" w:line="23"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Average transient key rate</w:t>
      </w:r>
    </w:p>
    <w:p>
      <w:pPr>
        <w:spacing w:after="0" w:line="47"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Rental occupancy</w:t>
      </w:r>
      <w:r>
        <w:rPr>
          <w:rFonts w:ascii="Times New Roman" w:cs="Times New Roman" w:eastAsia="Times New Roman" w:hAnsi="Times New Roman"/>
          <w:sz w:val="9"/>
          <w:szCs w:val="9"/>
          <w:color w:val="auto"/>
        </w:rPr>
        <w:t>(2)</w:t>
      </w:r>
    </w:p>
    <w:p>
      <w:pPr>
        <w:spacing w:after="0" w:line="183" w:lineRule="exact"/>
        <w:rPr>
          <w:sz w:val="20"/>
          <w:szCs w:val="20"/>
          <w:color w:val="auto"/>
        </w:rPr>
      </w:pPr>
    </w:p>
    <w:p>
      <w:pPr>
        <w:ind w:left="265" w:hanging="265"/>
        <w:spacing w:after="0"/>
        <w:tabs>
          <w:tab w:leader="none" w:pos="265"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Transient keys rented exclude plus points and preview stays.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569,470</w:t>
            </w:r>
          </w:p>
        </w:tc>
        <w:tc>
          <w:tcPr>
            <w:tcW w:w="32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542,970</w:t>
            </w:r>
          </w:p>
        </w:tc>
        <w:tc>
          <w:tcPr>
            <w:tcW w:w="240" w:type="dxa"/>
            <w:vAlign w:val="bottom"/>
          </w:tcPr>
          <w:p>
            <w:pPr>
              <w:spacing w:after="0"/>
              <w:rPr>
                <w:sz w:val="17"/>
                <w:szCs w:val="17"/>
                <w:color w:val="auto"/>
              </w:rPr>
            </w:pPr>
          </w:p>
        </w:tc>
        <w:tc>
          <w:tcPr>
            <w:tcW w:w="8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26,500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284</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0" w:type="dxa"/>
            <w:vAlign w:val="bottom"/>
          </w:tcPr>
          <w:p>
            <w:pPr>
              <w:spacing w:after="0"/>
              <w:rPr>
                <w:sz w:val="18"/>
                <w:szCs w:val="18"/>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74.3%</w:t>
            </w:r>
          </w:p>
        </w:tc>
        <w:tc>
          <w:tcPr>
            <w:tcW w:w="320" w:type="dxa"/>
            <w:vAlign w:val="bottom"/>
          </w:tcPr>
          <w:p>
            <w:pPr>
              <w:spacing w:after="0"/>
              <w:rPr>
                <w:sz w:val="18"/>
                <w:szCs w:val="18"/>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Pr>
          <w:p>
            <w:pPr>
              <w:spacing w:after="0"/>
              <w:rPr>
                <w:sz w:val="18"/>
                <w:szCs w:val="18"/>
                <w:color w:val="auto"/>
              </w:rPr>
            </w:pP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1.6 pts</w:t>
            </w:r>
          </w:p>
        </w:tc>
        <w:tc>
          <w:tcPr>
            <w:tcW w:w="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-135255</wp:posOffset>
            </wp:positionV>
            <wp:extent cx="4864100" cy="142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4585" w:space="720"/>
            <w:col w:w="5880"/>
          </w:cols>
          <w:pgMar w:left="315" w:top="218" w:right="399" w:bottom="1440" w:gutter="0" w:footer="0" w:header="0"/>
          <w:type w:val="continuous"/>
        </w:sectPr>
      </w:pPr>
    </w:p>
    <w:p>
      <w:pPr>
        <w:ind w:left="285" w:hanging="285"/>
        <w:spacing w:after="0"/>
        <w:tabs>
          <w:tab w:leader="none" w:pos="285"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Rental occupancy represents transient and preview keys divided by keys available to rent, which is total available keys excluding owner usage.</w:t>
      </w:r>
    </w:p>
    <w:p>
      <w:pPr>
        <w:spacing w:after="0" w:line="8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Rental profit, excluding profit from owned hotels, declined due to:</w:t>
      </w:r>
    </w:p>
    <w:p>
      <w:pPr>
        <w:spacing w:after="0" w:line="100" w:lineRule="exact"/>
        <w:rPr>
          <w:sz w:val="20"/>
          <w:szCs w:val="20"/>
          <w:color w:val="auto"/>
        </w:rPr>
      </w:pPr>
    </w:p>
    <w:p>
      <w:pPr>
        <w:ind w:left="285" w:hanging="143"/>
        <w:spacing w:after="0"/>
        <w:tabs>
          <w:tab w:leader="none" w:pos="2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million of higher unsold maintenance fees associated with increased developer-owned inventory;</w:t>
      </w:r>
    </w:p>
    <w:p>
      <w:pPr>
        <w:spacing w:after="0" w:line="100"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million of lower plus points revenue;</w:t>
      </w:r>
    </w:p>
    <w:p>
      <w:pPr>
        <w:spacing w:after="0" w:line="100"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million of higher tidy and variable costs on higher keys rented; and</w:t>
      </w:r>
    </w:p>
    <w:p>
      <w:pPr>
        <w:spacing w:after="0" w:line="100" w:lineRule="exact"/>
        <w:rPr>
          <w:rFonts w:ascii="Times New Roman" w:cs="Times New Roman" w:eastAsia="Times New Roman" w:hAnsi="Times New Roman"/>
          <w:sz w:val="16"/>
          <w:szCs w:val="16"/>
          <w:color w:val="auto"/>
        </w:rPr>
      </w:pPr>
    </w:p>
    <w:p>
      <w:pPr>
        <w:ind w:left="5" w:right="3800" w:firstLine="137"/>
        <w:spacing w:after="0" w:line="370" w:lineRule="auto"/>
        <w:tabs>
          <w:tab w:leader="none" w:pos="2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million of increased costs associated with higher owner utilization of third-party vacation and other offerings. These changes were partially offset by:</w:t>
      </w:r>
    </w:p>
    <w:p>
      <w:pPr>
        <w:ind w:left="285" w:hanging="143"/>
        <w:spacing w:after="0"/>
        <w:tabs>
          <w:tab w:leader="none" w:pos="2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million of higher transient rental revenue; and</w:t>
      </w:r>
    </w:p>
    <w:p>
      <w:pPr>
        <w:spacing w:after="0" w:line="100"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 million increase in costs allocated to marketing and sales expense for occupancy used for previews.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Rental profit for our owned hotels remained in-line with the first quarter of 2024.</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Financing Revenues, Expenses and Profit</w:t>
      </w:r>
    </w:p>
    <w:p>
      <w:pPr>
        <w:spacing w:after="0" w:line="45"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Pr>
          <w:p>
            <w:pPr>
              <w:spacing w:after="0"/>
              <w:rPr>
                <w:sz w:val="15"/>
                <w:szCs w:val="15"/>
                <w:color w:val="auto"/>
              </w:rPr>
            </w:pPr>
          </w:p>
        </w:tc>
        <w:tc>
          <w:tcPr>
            <w:tcW w:w="68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revenues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9"/>
              </w:rPr>
              <w:t>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6%</w:t>
            </w: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220" w:type="dxa"/>
            <w:vAlign w:val="bottom"/>
          </w:tcPr>
          <w:p>
            <w:pPr>
              <w:spacing w:after="0"/>
              <w:rPr>
                <w:sz w:val="19"/>
                <w:szCs w:val="19"/>
                <w:color w:val="auto"/>
              </w:rPr>
            </w:pPr>
          </w:p>
        </w:tc>
        <w:tc>
          <w:tcPr>
            <w:tcW w:w="900" w:type="dxa"/>
            <w:vAlign w:val="bottom"/>
          </w:tcPr>
          <w:p>
            <w:pPr>
              <w:jc w:val="center"/>
              <w:ind w:left="481"/>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9"/>
                <w:szCs w:val="19"/>
                <w:color w:val="auto"/>
              </w:rPr>
            </w:pP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4"/>
              </w:rPr>
              <w:t>(16%)</w:t>
            </w: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financing 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81"/>
              <w:spacing w:after="0"/>
              <w:rPr>
                <w:sz w:val="20"/>
                <w:szCs w:val="20"/>
                <w:color w:val="auto"/>
              </w:rPr>
            </w:pPr>
            <w:r>
              <w:rPr>
                <w:rFonts w:ascii="Times New Roman" w:cs="Times New Roman" w:eastAsia="Times New Roman" w:hAnsi="Times New Roman"/>
                <w:sz w:val="16"/>
                <w:szCs w:val="16"/>
                <w:color w:val="auto"/>
                <w:w w:val="97"/>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NM</w:t>
            </w:r>
          </w:p>
        </w:tc>
      </w:tr>
      <w:tr>
        <w:trPr>
          <w:trHeight w:val="19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profit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profit margin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center"/>
              <w:ind w:right="161"/>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center"/>
              <w:ind w:right="321"/>
              <w:spacing w:after="0"/>
              <w:rPr>
                <w:sz w:val="20"/>
                <w:szCs w:val="20"/>
                <w:color w:val="auto"/>
              </w:rPr>
            </w:pPr>
            <w:r>
              <w:rPr>
                <w:rFonts w:ascii="Times New Roman" w:cs="Times New Roman" w:eastAsia="Times New Roman" w:hAnsi="Times New Roman"/>
                <w:sz w:val="16"/>
                <w:szCs w:val="16"/>
                <w:color w:val="auto"/>
                <w:w w:val="97"/>
              </w:rPr>
              <w:t>(0.2 pts)</w:t>
            </w: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propensity</w:t>
            </w:r>
          </w:p>
        </w:tc>
        <w:tc>
          <w:tcPr>
            <w:tcW w:w="220" w:type="dxa"/>
            <w:vAlign w:val="bottom"/>
          </w:tcPr>
          <w:p>
            <w:pPr>
              <w:spacing w:after="0"/>
              <w:rPr>
                <w:sz w:val="19"/>
                <w:szCs w:val="19"/>
                <w:color w:val="auto"/>
              </w:rPr>
            </w:pPr>
          </w:p>
        </w:tc>
        <w:tc>
          <w:tcPr>
            <w:tcW w:w="90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8"/>
              </w:rPr>
              <w:t>0.8 pts</w:t>
            </w:r>
          </w:p>
        </w:tc>
        <w:tc>
          <w:tcPr>
            <w:tcW w:w="600" w:type="dxa"/>
            <w:vAlign w:val="bottom"/>
          </w:tcPr>
          <w:p>
            <w:pPr>
              <w:spacing w:after="0"/>
              <w:rPr>
                <w:sz w:val="19"/>
                <w:szCs w:val="19"/>
                <w:color w:val="auto"/>
              </w:rPr>
            </w:pPr>
          </w:p>
        </w:tc>
      </w:tr>
    </w:tbl>
    <w:p>
      <w:pPr>
        <w:spacing w:after="0" w:line="1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285" w:right="320" w:hanging="143"/>
        <w:spacing w:after="0" w:line="276" w:lineRule="auto"/>
        <w:tabs>
          <w:tab w:leader="none" w:pos="281" w:val="left"/>
        </w:tabs>
        <w:numPr>
          <w:ilvl w:val="0"/>
          <w:numId w:val="4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Financing revenues reflect higher interest income as a result of a higher average notes receivable balance and a slightly higher average interest rate for the three months ended March 31, 2025.</w:t>
      </w:r>
    </w:p>
    <w:p>
      <w:pPr>
        <w:spacing w:after="0" w:line="50" w:lineRule="exact"/>
        <w:rPr>
          <w:rFonts w:ascii="Times New Roman" w:cs="Times New Roman" w:eastAsia="Times New Roman" w:hAnsi="Times New Roman"/>
          <w:sz w:val="16"/>
          <w:szCs w:val="16"/>
          <w:i w:val="1"/>
          <w:iCs w:val="1"/>
          <w:color w:val="auto"/>
        </w:rPr>
      </w:pPr>
    </w:p>
    <w:p>
      <w:pPr>
        <w:ind w:left="285" w:hanging="143"/>
        <w:spacing w:after="0"/>
        <w:tabs>
          <w:tab w:leader="none" w:pos="2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financing expense is primarily attributed to higher credit card fees and other operating costs.</w:t>
      </w:r>
    </w:p>
    <w:p>
      <w:pPr>
        <w:spacing w:after="0" w:line="100" w:lineRule="exact"/>
        <w:rPr>
          <w:rFonts w:ascii="Times New Roman" w:cs="Times New Roman" w:eastAsia="Times New Roman" w:hAnsi="Times New Roman"/>
          <w:sz w:val="16"/>
          <w:szCs w:val="16"/>
          <w:color w:val="auto"/>
        </w:rPr>
      </w:pPr>
    </w:p>
    <w:p>
      <w:pPr>
        <w:ind w:left="285" w:right="640" w:hanging="143"/>
        <w:spacing w:after="0" w:line="276" w:lineRule="auto"/>
        <w:tabs>
          <w:tab w:leader="none" w:pos="2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financing interest expense was flat due to lower average securitized debt at a slightly higher average interest rate for our more recent term securitization transactions.</w:t>
      </w:r>
    </w:p>
    <w:p>
      <w:pPr>
        <w:spacing w:after="0" w:line="50" w:lineRule="exact"/>
        <w:rPr>
          <w:sz w:val="20"/>
          <w:szCs w:val="20"/>
          <w:color w:val="auto"/>
        </w:rPr>
      </w:pPr>
    </w:p>
    <w:p>
      <w:pPr>
        <w:ind w:left="5"/>
        <w:spacing w:after="0" w:line="256" w:lineRule="auto"/>
        <w:rPr>
          <w:sz w:val="20"/>
          <w:szCs w:val="20"/>
          <w:color w:val="auto"/>
        </w:rPr>
      </w:pPr>
      <w:r>
        <w:rPr>
          <w:rFonts w:ascii="Times New Roman" w:cs="Times New Roman" w:eastAsia="Times New Roman" w:hAnsi="Times New Roman"/>
          <w:sz w:val="16"/>
          <w:szCs w:val="16"/>
          <w:color w:val="auto"/>
        </w:rPr>
        <w:t>We expect our average interest rate to continue to increase slightly as the current interest rate environment for new securitization transactions exceeds the average interest rate on our existing securitized debt. We do not adjust interest rates on consumer financing offerings at the same pace as, or in lock-step with, broader market interest rates; as a result, we expect our financing profit margin to continue to decrease in 2025, as we repay existing securitization transactions with proceeds from newer securitization transactions with lower interest rates.</w:t>
      </w:r>
    </w:p>
    <w:p>
      <w:pPr>
        <w:spacing w:after="0" w:line="200" w:lineRule="exact"/>
        <w:rPr>
          <w:sz w:val="20"/>
          <w:szCs w:val="20"/>
          <w:color w:val="auto"/>
        </w:rPr>
      </w:pPr>
    </w:p>
    <w:p>
      <w:pPr>
        <w:spacing w:after="0" w:line="317"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218" w:right="3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Charges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charges</w:t>
            </w: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28%</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Litigation charges during the first quarter of 2025 as well as the first quarter of 2024, relate primarily to certain resorts in Europe.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Other Income</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6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54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9</w:t>
            </w: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During the first quarter of 2025, we recorded $7 million related to the receipt of service interruption insurance proceeds from the Maui wildfires and a $2 million reduction in certain pre-acquisition contingencies associated with the ILG Acquisition.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5200" w:type="dxa"/>
            <w:vAlign w:val="bottom"/>
            <w:gridSpan w:val="5"/>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SEGMENT FINANCIAL RESULTS ATTRIBUTABLE TO COMMON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1"/>
                <w:szCs w:val="11"/>
                <w:color w:val="auto"/>
              </w:rPr>
            </w:pPr>
          </w:p>
        </w:tc>
        <w:tc>
          <w:tcPr>
            <w:tcW w:w="30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1"/>
                <w:szCs w:val="11"/>
                <w:color w:val="auto"/>
              </w:rPr>
            </w:pP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Management and Exchange Profit</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and exchange revenue</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ind w:left="204"/>
              <w:spacing w:after="0"/>
              <w:rPr>
                <w:sz w:val="20"/>
                <w:szCs w:val="20"/>
                <w:color w:val="auto"/>
              </w:rPr>
            </w:pPr>
            <w:r>
              <w:rPr>
                <w:rFonts w:ascii="Times New Roman" w:cs="Times New Roman" w:eastAsia="Times New Roman" w:hAnsi="Times New Roman"/>
                <w:sz w:val="16"/>
                <w:szCs w:val="16"/>
                <w:color w:val="auto"/>
                <w:w w:val="87"/>
              </w:rPr>
              <w:t>52</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4"/>
              </w:rPr>
              <w:t>(10%)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Management and exchange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81"/>
              <w:spacing w:after="0"/>
              <w:rPr>
                <w:sz w:val="20"/>
                <w:szCs w:val="20"/>
                <w:color w:val="auto"/>
              </w:rPr>
            </w:pPr>
            <w:r>
              <w:rPr>
                <w:rFonts w:ascii="Times New Roman" w:cs="Times New Roman" w:eastAsia="Times New Roman" w:hAnsi="Times New Roman"/>
                <w:sz w:val="16"/>
                <w:szCs w:val="16"/>
                <w:color w:val="auto"/>
                <w:w w:val="97"/>
              </w:rPr>
              <w:t>(29)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6"/>
                <w:szCs w:val="16"/>
                <w:color w:val="auto"/>
                <w:w w:val="97"/>
              </w:rPr>
              <w:t>(31)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right="10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and exchange profit</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204"/>
              <w:spacing w:after="0"/>
              <w:rPr>
                <w:sz w:val="20"/>
                <w:szCs w:val="20"/>
                <w:color w:val="auto"/>
              </w:rPr>
            </w:pPr>
            <w:r>
              <w:rPr>
                <w:rFonts w:ascii="Times New Roman" w:cs="Times New Roman" w:eastAsia="Times New Roman" w:hAnsi="Times New Roman"/>
                <w:sz w:val="16"/>
                <w:szCs w:val="16"/>
                <w:color w:val="auto"/>
                <w:w w:val="87"/>
              </w:rPr>
              <w:t>21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4"/>
              </w:rPr>
              <w:t>(18%)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Management and exchange profit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0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81"/>
              <w:spacing w:after="0" w:line="174" w:lineRule="exact"/>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5"/>
                <w:szCs w:val="15"/>
                <w:color w:val="auto"/>
              </w:rPr>
            </w:pPr>
          </w:p>
        </w:tc>
        <w:tc>
          <w:tcPr>
            <w:tcW w:w="1120" w:type="dxa"/>
            <w:vAlign w:val="bottom"/>
            <w:gridSpan w:val="3"/>
          </w:tcPr>
          <w:p>
            <w:pPr>
              <w:jc w:val="right"/>
              <w:ind w:right="284"/>
              <w:spacing w:after="0" w:line="174" w:lineRule="exact"/>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501"/>
              <w:spacing w:after="0" w:line="174" w:lineRule="exact"/>
              <w:rPr>
                <w:sz w:val="20"/>
                <w:szCs w:val="20"/>
                <w:color w:val="auto"/>
              </w:rPr>
            </w:pPr>
            <w:r>
              <w:rPr>
                <w:rFonts w:ascii="Times New Roman" w:cs="Times New Roman" w:eastAsia="Times New Roman" w:hAnsi="Times New Roman"/>
                <w:sz w:val="16"/>
                <w:szCs w:val="16"/>
                <w:color w:val="auto"/>
              </w:rPr>
              <w:t>(3.5 pts)</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280" w:right="260" w:hanging="143"/>
        <w:spacing w:after="0" w:line="276" w:lineRule="auto"/>
        <w:tabs>
          <w:tab w:leader="none" w:pos="27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Interval International management and exchange revenues declined $4 million, or 7%, primarily due to 11% lower exchange transaction volume, partially offset by a 3% increase in average exchange fees.</w:t>
      </w:r>
    </w:p>
    <w:p>
      <w:pPr>
        <w:spacing w:after="0" w:line="50" w:lineRule="exact"/>
        <w:rPr>
          <w:rFonts w:ascii="Times New Roman" w:cs="Times New Roman" w:eastAsia="Times New Roman" w:hAnsi="Times New Roman"/>
          <w:sz w:val="16"/>
          <w:szCs w:val="16"/>
          <w:color w:val="auto"/>
        </w:rPr>
      </w:pPr>
    </w:p>
    <w:p>
      <w:pPr>
        <w:ind w:left="280" w:hanging="143"/>
        <w:spacing w:after="0" w:line="276" w:lineRule="auto"/>
        <w:tabs>
          <w:tab w:leader="none" w:pos="27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and exchange revenue reflects a $2 million decline in Aqua-Aston management revenues resulting from fewer available nights for rent, lower occupancy, and a lower average daily rate in the Hawaii market due to changes in demand.</w:t>
      </w:r>
    </w:p>
    <w:p>
      <w:pPr>
        <w:spacing w:after="0" w:line="50" w:lineRule="exact"/>
        <w:rPr>
          <w:rFonts w:ascii="Times New Roman" w:cs="Times New Roman" w:eastAsia="Times New Roman" w:hAnsi="Times New Roman"/>
          <w:sz w:val="16"/>
          <w:szCs w:val="16"/>
          <w:color w:val="auto"/>
        </w:rPr>
      </w:pPr>
    </w:p>
    <w:p>
      <w:pPr>
        <w:ind w:left="280" w:hanging="143"/>
        <w:spacing w:after="0"/>
        <w:tabs>
          <w:tab w:leader="none" w:pos="2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management and exchange profit was primarily attributable to lower revenues, partially offset by lower wages and benefits and other costs.</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12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5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first quarter of 2025, we recorded a $2 million impairment related to an operating lease and related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p>
      <w:pPr>
        <w:spacing w:after="0" w:line="5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7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4240" w:type="dxa"/>
            <w:vAlign w:val="bottom"/>
            <w:tcBorders>
              <w:top w:val="single" w:sz="8" w:color="CCEEFF"/>
            </w:tcBorders>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FINANCIAL RESULTS BEFORE INCOME TAXES AND</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4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FINANCIAL RESULTS ATTRIBUTABLE TO COMMON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Litigation Charges</w:t>
            </w: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3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charges</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Litigation charges during the first quarter of 2025 relate to a dispute with a service provider.</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60"/>
          </w:cols>
          <w:pgMar w:left="320" w:top="218"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November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increase sales efficiency and inventory optimization; and capture significant savings from initiatives related to procurement and corporate overhead. During the first quarter of 2025, we incurred $10 million of restructuring charges associated with these efforts.</w:t>
      </w:r>
    </w:p>
    <w:p>
      <w:pPr>
        <w:spacing w:after="0" w:line="67"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During the first quarter of 2024, we incurred $2 million of restructuring charges associated with the elimination of certain positions as a result of the realignment of our management structure and headcount reductions in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Other Income</w:t>
      </w:r>
    </w:p>
    <w:p>
      <w:pPr>
        <w:spacing w:after="0" w:line="9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4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first quarter of 2025, we recorded $3 million of foreign currency translation gains and $1 million of other gains.</w:t>
      </w:r>
    </w:p>
    <w:p>
      <w:pPr>
        <w:spacing w:after="0" w:line="100"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6"/>
          <w:szCs w:val="16"/>
          <w:color w:val="auto"/>
        </w:rPr>
        <w:t>In the first quarter of 2024, we recorded $2 million of foreign currency translation losses, offset by $2 million of tax related adjustments to the receivable from Marriott International for indemnified tax matters.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First Quarter</w:t>
      </w:r>
    </w:p>
    <w:p>
      <w:pPr>
        <w:spacing w:after="0" w:line="9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(27%)</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was 43.6% and 43.0% for the three months ended March 31, 2025 and March 31, 2024, respectively.</w:t>
      </w:r>
    </w:p>
    <w:p>
      <w:pPr>
        <w:spacing w:after="0" w:line="10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2025 differed from the blended statutory tax rate for the same period due to lower pre-tax book income forecast for the current year, which is largely driven by our modernization efforts and related costs expected to be incurred, higher expected foreign losses, for which a valuation allowance will be recorded, and income tax adjustments for discrete items, primarily related to share-based compensation.</w:t>
      </w:r>
    </w:p>
    <w:p>
      <w:pPr>
        <w:spacing w:after="0" w:line="6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2024 differed from the blended statutory tax rate for the same period due to income tax adjustments for discrete items, including $11 million primarily related to a $20 million increase to remove the permanent reinvestment assertion for certain non-U.S. entities offset by a $9 million decrease for the expiration of statutes of limitation on certain unrecognized tax benefits.</w:t>
      </w:r>
    </w:p>
    <w:p>
      <w:pPr>
        <w:spacing w:after="0" w:line="200" w:lineRule="exact"/>
        <w:rPr>
          <w:sz w:val="20"/>
          <w:szCs w:val="20"/>
          <w:color w:val="auto"/>
        </w:rPr>
      </w:pPr>
    </w:p>
    <w:p>
      <w:pPr>
        <w:spacing w:after="0" w:line="32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218"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Property Owners’ Associations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illustrates the impact of certain Consolidated Property Owners’ Associations under the relevant accounting guidance.</w:t>
      </w:r>
    </w:p>
    <w:p>
      <w:pPr>
        <w:sectPr>
          <w:pgSz w:w="11900" w:h="16838" w:orient="portrait"/>
          <w:cols w:equalWidth="0" w:num="1">
            <w:col w:w="11180"/>
          </w:cols>
          <w:pgMar w:left="320" w:top="218" w:right="399" w:bottom="1440" w:gutter="0" w:footer="0" w:header="0"/>
        </w:sectPr>
      </w:pPr>
    </w:p>
    <w:p>
      <w:pPr>
        <w:spacing w:after="0" w:line="2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24130</wp:posOffset>
            </wp:positionV>
            <wp:extent cx="4864100" cy="142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4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Resort management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Cost reimbursements</w:t>
      </w:r>
    </w:p>
    <w:p>
      <w:pPr>
        <w:spacing w:after="0" w:line="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22860</wp:posOffset>
            </wp:positionV>
            <wp:extent cx="4864100" cy="14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4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Resort management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Rental</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Cost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64100" cy="142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1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TOTAL EXPENSES</w:t>
      </w:r>
    </w:p>
    <w:p>
      <w:pPr>
        <w:spacing w:after="0" w:line="29" w:lineRule="exact"/>
        <w:rPr>
          <w:sz w:val="20"/>
          <w:szCs w:val="20"/>
          <w:color w:val="auto"/>
        </w:rPr>
      </w:pPr>
    </w:p>
    <w:p>
      <w:pPr>
        <w:ind w:left="1820" w:right="500"/>
        <w:spacing w:after="0" w:line="248" w:lineRule="auto"/>
        <w:rPr>
          <w:sz w:val="20"/>
          <w:szCs w:val="20"/>
          <w:color w:val="auto"/>
        </w:rPr>
      </w:pPr>
      <w:r>
        <w:rPr>
          <w:rFonts w:ascii="Times New Roman" w:cs="Times New Roman" w:eastAsia="Times New Roman" w:hAnsi="Times New Roman"/>
          <w:sz w:val="16"/>
          <w:szCs w:val="16"/>
          <w:b w:val="1"/>
          <w:bCs w:val="1"/>
          <w:color w:val="auto"/>
        </w:rPr>
        <w:t>FINANCIAL RESULTS BEFORE INCOME TAXES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-3810</wp:posOffset>
            </wp:positionV>
            <wp:extent cx="4864100" cy="142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p>
      <w:pPr>
        <w:spacing w:after="0" w:line="27" w:lineRule="exact"/>
        <w:rPr>
          <w:sz w:val="20"/>
          <w:szCs w:val="20"/>
          <w:color w:val="auto"/>
        </w:rPr>
      </w:pPr>
    </w:p>
    <w:p>
      <w:pPr>
        <w:ind w:left="1820" w:right="480"/>
        <w:spacing w:after="0" w:line="248" w:lineRule="auto"/>
        <w:rPr>
          <w:sz w:val="20"/>
          <w:szCs w:val="20"/>
          <w:color w:val="auto"/>
        </w:rPr>
      </w:pPr>
      <w:r>
        <w:rPr>
          <w:rFonts w:ascii="Times New Roman" w:cs="Times New Roman" w:eastAsia="Times New Roman" w:hAnsi="Times New Roman"/>
          <w:sz w:val="16"/>
          <w:szCs w:val="16"/>
          <w:b w:val="1"/>
          <w:bCs w:val="1"/>
          <w:color w:val="auto"/>
        </w:rPr>
        <w:t>FINANCIAL RESULTS ATTRIBUTABLE TO COMMON STOCKHOLDERS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431"/>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center"/>
              <w:ind w:left="683"/>
              <w:spacing w:after="0"/>
              <w:rPr>
                <w:sz w:val="20"/>
                <w:szCs w:val="20"/>
                <w:color w:val="auto"/>
              </w:rPr>
            </w:pPr>
            <w:r>
              <w:rPr>
                <w:rFonts w:ascii="Times New Roman" w:cs="Times New Roman" w:eastAsia="Times New Roman" w:hAnsi="Times New Roman"/>
                <w:sz w:val="16"/>
                <w:szCs w:val="16"/>
                <w:color w:val="auto"/>
                <w:w w:val="99"/>
              </w:rPr>
              <w:t>11</w:t>
            </w:r>
          </w:p>
        </w:tc>
      </w:tr>
      <w:tr>
        <w:trPr>
          <w:trHeight w:val="224"/>
        </w:trPr>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63"/>
              <w:spacing w:after="0"/>
              <w:rPr>
                <w:sz w:val="20"/>
                <w:szCs w:val="20"/>
                <w:color w:val="auto"/>
              </w:rPr>
            </w:pPr>
            <w:r>
              <w:rPr>
                <w:rFonts w:ascii="Times New Roman" w:cs="Times New Roman" w:eastAsia="Times New Roman" w:hAnsi="Times New Roman"/>
                <w:sz w:val="16"/>
                <w:szCs w:val="16"/>
                <w:color w:val="auto"/>
                <w:w w:val="97"/>
              </w:rPr>
              <w:t>(11)</w:t>
            </w:r>
          </w:p>
        </w:tc>
      </w:tr>
      <w:tr>
        <w:trPr>
          <w:trHeight w:val="205"/>
        </w:trPr>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83"/>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32" w:lineRule="exact"/>
        <w:rPr>
          <w:sz w:val="20"/>
          <w:szCs w:val="20"/>
          <w:color w:val="auto"/>
        </w:rPr>
      </w:pPr>
    </w:p>
    <w:p>
      <w:pPr>
        <w:ind w:left="2220" w:hanging="1277"/>
        <w:spacing w:after="0"/>
        <w:tabs>
          <w:tab w:leader="none" w:pos="22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w:t>
      </w:r>
    </w:p>
    <w:p>
      <w:pPr>
        <w:spacing w:after="0" w:line="40" w:lineRule="exact"/>
        <w:rPr>
          <w:rFonts w:ascii="Times New Roman" w:cs="Times New Roman" w:eastAsia="Times New Roman" w:hAnsi="Times New Roman"/>
          <w:sz w:val="16"/>
          <w:szCs w:val="16"/>
          <w:color w:val="auto"/>
        </w:rPr>
      </w:pPr>
    </w:p>
    <w:p>
      <w:pPr>
        <w:ind w:left="2240" w:hanging="1284"/>
        <w:spacing w:after="0"/>
        <w:tabs>
          <w:tab w:leader="none" w:pos="224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w:t>
      </w:r>
    </w:p>
    <w:p>
      <w:pPr>
        <w:spacing w:after="0" w:line="41" w:lineRule="exact"/>
        <w:rPr>
          <w:sz w:val="20"/>
          <w:szCs w:val="20"/>
          <w:color w:val="auto"/>
        </w:rPr>
      </w:pPr>
    </w:p>
    <w:p>
      <w:pPr>
        <w:ind w:left="2160" w:hanging="1204"/>
        <w:spacing w:after="0"/>
        <w:tabs>
          <w:tab w:leader="none" w:pos="21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p>
    <w:p>
      <w:pPr>
        <w:spacing w:after="0" w:line="41" w:lineRule="exact"/>
        <w:rPr>
          <w:sz w:val="20"/>
          <w:szCs w:val="20"/>
          <w:color w:val="auto"/>
        </w:rPr>
      </w:pPr>
    </w:p>
    <w:p>
      <w:pPr>
        <w:ind w:left="2220" w:hanging="1198"/>
        <w:spacing w:after="0"/>
        <w:tabs>
          <w:tab w:leader="none" w:pos="22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55638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56385" cy="7620"/>
                    </a:xfrm>
                    <a:prstGeom prst="rect">
                      <a:avLst/>
                    </a:prstGeom>
                    <a:noFill/>
                  </pic:spPr>
                </pic:pic>
              </a:graphicData>
            </a:graphic>
          </wp:anchor>
        </w:drawing>
      </w:r>
    </w:p>
    <w:p>
      <w:pPr>
        <w:spacing w:after="0" w:line="163" w:lineRule="exact"/>
        <w:rPr>
          <w:sz w:val="20"/>
          <w:szCs w:val="20"/>
          <w:color w:val="auto"/>
        </w:rPr>
      </w:pPr>
    </w:p>
    <w:p>
      <w:pPr>
        <w:ind w:left="2220" w:hanging="1198"/>
        <w:spacing w:after="0"/>
        <w:tabs>
          <w:tab w:leader="none" w:pos="22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ind w:left="2300" w:hanging="1344"/>
        <w:spacing w:after="0"/>
        <w:tabs>
          <w:tab w:leader="none" w:pos="23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55638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56385" cy="7620"/>
                    </a:xfrm>
                    <a:prstGeom prst="rect">
                      <a:avLst/>
                    </a:prstGeom>
                    <a:noFill/>
                  </pic:spPr>
                </pic:pic>
              </a:graphicData>
            </a:graphic>
          </wp:anchor>
        </w:drawing>
      </w:r>
    </w:p>
    <w:p>
      <w:pPr>
        <w:spacing w:after="0" w:line="139" w:lineRule="exact"/>
        <w:rPr>
          <w:sz w:val="20"/>
          <w:szCs w:val="20"/>
          <w:color w:val="auto"/>
        </w:rPr>
      </w:pPr>
    </w:p>
    <w:p>
      <w:pPr>
        <w:ind w:left="20"/>
        <w:spacing w:after="0"/>
        <w:tabs>
          <w:tab w:leader="none" w:pos="920" w:val="left"/>
          <w:tab w:leader="none" w:pos="1280" w:val="left"/>
          <w:tab w:leader="none" w:pos="22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55638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6280" w:space="720"/>
            <w:col w:w="4180"/>
          </w:cols>
          <w:pgMar w:left="320" w:top="218" w:right="39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68"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6"/>
          <w:szCs w:val="16"/>
          <w:color w:val="auto"/>
        </w:rPr>
        <w:t>At March 31, 2025, our corporate debt, net of cash and equivalents, to Adjusted EBITDA ratio was 4.1, above our targeted range of 2.5 to 3.0, and we remain focused on reducing this ratio over time.</w:t>
      </w:r>
    </w:p>
    <w:p>
      <w:pPr>
        <w:spacing w:after="0" w:line="5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We have no material principal payment obligations on our debt prior to 2026. See Footnote 11 “Debt” to our Financial Statements for further information related to maturities of our debt.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of Liquidity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from Operations</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Vacation Ownership Notes Receivable Securitizations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w:t>
      </w: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the first quarter of 2025, and as of March 31, 2025, we had 12 term securitization transactions outstanding, all of which were in compliance with their respective required parameters. Since 2000, we have issued approximately $10 billion of debt securities in securitization transactions in the term ABS market, excluding amounts securitized through warehouse credit facilities or private bank transactions.</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At March 31, 2025, we had $315 million of borrowings outstanding on our Warehouse Credit Facility.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2025, $70 million of gross vacation ownership notes receivable were eligible for securitization.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Credit Facility</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During the first quarter of 2025, we entered into an amendment to the Corporate Credit Facility, which, among other things, increased the borrowing capacity on our Revolving Corporate Credit Facility from $750 million to $800 million of aggregate borrowings for general corporate needs, including working capital, capital expenditures, letters of credit, and acquisitions. The Amendment also extended the termination date from March 31, 2027 to March 24, 2030, reduced certain fees and interest costs, and increased the letter of credit sub-facility of the Revolving Corporate Credit Facility from $75 million to $150 million. At March 31, 2025, $190 million of borrowings and $11 million of letters of credit were outstanding under our Revolving Corporate Credit Facility.</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Additionally, the Amendment provided for a new $450 million senior secured Delayed-Draw Term Loan with a maturity date of December 31, 2027. The Delayed-Draw Term Loan is only available to finance the redemption or repurchase of our 2026 Convertible Notes, which are due January 15, 2026. As of March 31, 2025, there were no outstanding borrowings on the Delayed-Draw Term Loan.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Footnote 11 “Debt” to our Financial Statements for further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Uses of Cash</w:t>
      </w:r>
    </w:p>
    <w:p>
      <w:pPr>
        <w:spacing w:after="0" w:line="10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6"/>
          <w:szCs w:val="16"/>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1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significant variable compensation-related cash outflows associated with payment of annual bonuses.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Timing of Estimated Tax Payments</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Internal Revenue Service provided for the deferral of federal income tax payments as tax relief for businesses in parts of Florida affected by the hurricanes that occurred during the third and fourth quarters of 2024. This relief allows us to delay making certain estimated tax payments, without interest or penalty. As a result, we deferred $38 million of estimated tax payments from the third and fourth quarters of 2024 to the second quarter of 2025. Similarly, in the prior</w:t>
      </w:r>
    </w:p>
    <w:p>
      <w:pPr>
        <w:spacing w:after="0" w:line="200" w:lineRule="exact"/>
        <w:rPr>
          <w:sz w:val="20"/>
          <w:szCs w:val="20"/>
          <w:color w:val="auto"/>
        </w:rPr>
      </w:pPr>
    </w:p>
    <w:p>
      <w:pPr>
        <w:spacing w:after="0" w:line="32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year, as tax relief for businesses in parts of Florida affected by the hurricanes that occurred in 2023, we were able to defer $32 million of estimated tax payments from the third and fourth quarters of 2023 to the first quarter of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net income and adjustments for non-cash items, the following are key drivers of our cash flow from operating activities: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Inventory Spending (In Excess of) Less Than Cost of Sales</w:t>
      </w:r>
    </w:p>
    <w:p>
      <w:pPr>
        <w:spacing w:after="0" w:line="9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spending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center"/>
              <w:ind w:left="823"/>
              <w:spacing w:after="0"/>
              <w:rPr>
                <w:sz w:val="20"/>
                <w:szCs w:val="20"/>
                <w:color w:val="auto"/>
              </w:rPr>
            </w:pPr>
            <w:r>
              <w:rPr>
                <w:rFonts w:ascii="Times New Roman" w:cs="Times New Roman" w:eastAsia="Times New Roman" w:hAnsi="Times New Roman"/>
                <w:sz w:val="16"/>
                <w:szCs w:val="16"/>
                <w:color w:val="auto"/>
                <w:w w:val="97"/>
              </w:rPr>
              <w:t>(25)</w:t>
            </w: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Purchase and development of property for future transfer to inventory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843"/>
              <w:spacing w:after="0"/>
              <w:rPr>
                <w:sz w:val="20"/>
                <w:szCs w:val="20"/>
                <w:color w:val="auto"/>
              </w:rPr>
            </w:pPr>
            <w:r>
              <w:rPr>
                <w:rFonts w:ascii="Times New Roman" w:cs="Times New Roman" w:eastAsia="Times New Roman" w:hAnsi="Times New Roman"/>
                <w:sz w:val="16"/>
                <w:szCs w:val="16"/>
                <w:color w:val="auto"/>
                <w:w w:val="99"/>
              </w:rPr>
              <w:t>—</w:t>
            </w:r>
          </w:p>
        </w:tc>
      </w:tr>
      <w:tr>
        <w:trPr>
          <w:trHeight w:val="22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costs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843"/>
              <w:spacing w:after="0"/>
              <w:rPr>
                <w:sz w:val="20"/>
                <w:szCs w:val="20"/>
                <w:color w:val="auto"/>
              </w:rPr>
            </w:pPr>
            <w:r>
              <w:rPr>
                <w:rFonts w:ascii="Times New Roman" w:cs="Times New Roman" w:eastAsia="Times New Roman" w:hAnsi="Times New Roman"/>
                <w:sz w:val="16"/>
                <w:szCs w:val="16"/>
                <w:color w:val="auto"/>
                <w:w w:val="99"/>
              </w:rPr>
              <w:t>42</w:t>
            </w:r>
          </w:p>
        </w:tc>
      </w:tr>
      <w:tr>
        <w:trPr>
          <w:trHeight w:val="193"/>
        </w:trPr>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spending (in excess of) less than cost of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843"/>
              <w:spacing w:after="0"/>
              <w:rPr>
                <w:sz w:val="20"/>
                <w:szCs w:val="20"/>
                <w:color w:val="auto"/>
              </w:rPr>
            </w:pPr>
            <w:r>
              <w:rPr>
                <w:rFonts w:ascii="Times New Roman" w:cs="Times New Roman" w:eastAsia="Times New Roman" w:hAnsi="Times New Roman"/>
                <w:sz w:val="16"/>
                <w:szCs w:val="16"/>
                <w:color w:val="auto"/>
                <w:w w:val="99"/>
              </w:rPr>
              <w:t>17</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Although we have adequate inventory on hand, we intend to continue selectively pursuing growth opportunities by targeting high-quality inventory that allows us to add desirable new destinations to our systems with new on-site sales locations to support anticipated future contract sales growth.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our balance sheet in key markets where we believe the opportunities will generate acceptable risk adjusted returns.</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6"/>
          <w:szCs w:val="16"/>
          <w:color w:val="auto"/>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spacing w:after="0" w:line="6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We expect inventory spending to continue to exceed cost of sales for the remainder of 2025 due to our remaining commitments to acquire property as disclosed in Footnote 9 “Contingencies and Commitments” to our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Vacation Ownership Notes Receivable Collections Less Than Originations</w:t>
      </w:r>
    </w:p>
    <w:p>
      <w:pPr>
        <w:spacing w:after="0" w:line="9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collections — non-securitized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Vacation ownership notes receivable collections — securitized</w:t>
            </w:r>
          </w:p>
        </w:tc>
        <w:tc>
          <w:tcPr>
            <w:tcW w:w="160" w:type="dxa"/>
            <w:vAlign w:val="bottom"/>
          </w:tcPr>
          <w:p>
            <w:pPr>
              <w:spacing w:after="0"/>
              <w:rPr>
                <w:sz w:val="19"/>
                <w:szCs w:val="19"/>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151</w:t>
            </w:r>
          </w:p>
        </w:tc>
      </w:tr>
      <w:tr>
        <w:trPr>
          <w:trHeight w:val="22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originations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193"/>
        </w:trPr>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Vacation ownership notes receivable collections less than originations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Vacation ownership notes receivable collections were less than originations in the first quarters of 2025 and 2024 due to the growth of our vacation ownership notes receivable portfolio</w:t>
      </w:r>
      <w:r>
        <w:rPr>
          <w:rFonts w:ascii="Times New Roman" w:cs="Times New Roman" w:eastAsia="Times New Roman" w:hAnsi="Times New Roman"/>
          <w:sz w:val="16"/>
          <w:szCs w:val="16"/>
          <w:color w:val="EE2724"/>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Repurchase of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share repurchase activity under our Share Repurchase Program:</w:t>
      </w:r>
    </w:p>
    <w:p>
      <w:pPr>
        <w:spacing w:after="0" w:line="12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Cost Basis of 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88"/>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3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Paid per Share</w:t>
            </w:r>
          </w:p>
        </w:tc>
      </w:tr>
      <w:tr>
        <w:trPr>
          <w:trHeight w:val="20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December 31, 2024</w:t>
            </w:r>
          </w:p>
        </w:tc>
        <w:tc>
          <w:tcPr>
            <w:tcW w:w="13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25,790,550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2,461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95.40</w:t>
            </w:r>
          </w:p>
        </w:tc>
      </w:tr>
      <w:tr>
        <w:trPr>
          <w:trHeight w:val="225"/>
        </w:trPr>
        <w:tc>
          <w:tcPr>
            <w:tcW w:w="3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For the first quarter of 2025</w:t>
            </w:r>
          </w:p>
        </w:tc>
        <w:tc>
          <w:tcPr>
            <w:tcW w:w="13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496,484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73.21</w:t>
            </w:r>
          </w:p>
        </w:tc>
      </w:tr>
      <w:tr>
        <w:trPr>
          <w:trHeight w:val="218"/>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March 31, 2025</w:t>
            </w: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26,287,034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94.98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Footnote 12 “Stockholders' Equity” to our Financial Statements for further information related to our current share repurchase program.</w:t>
      </w:r>
    </w:p>
    <w:p>
      <w:pPr>
        <w:spacing w:after="0" w:line="200" w:lineRule="exact"/>
        <w:rPr>
          <w:sz w:val="20"/>
          <w:szCs w:val="20"/>
          <w:color w:val="auto"/>
        </w:rPr>
      </w:pPr>
    </w:p>
    <w:p>
      <w:pPr>
        <w:spacing w:after="0" w:line="36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48" w:name="page49"/>
    <w:bookmarkEnd w:id="48"/>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Payment of Dividends to Common Stockholders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We distributed cash dividends to holders of common stock during the first quarter of 2025 as follows:</w:t>
      </w:r>
    </w:p>
    <w:p>
      <w:pPr>
        <w:spacing w:after="0" w:line="13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08"/>
        </w:trPr>
        <w:tc>
          <w:tcPr>
            <w:tcW w:w="1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8"/>
              </w:rPr>
              <w:t>December 6, 2024</w:t>
            </w: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December 19, 2024</w:t>
            </w:r>
          </w:p>
        </w:tc>
        <w:tc>
          <w:tcPr>
            <w:tcW w:w="1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January 3, 2025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r>
        <w:trPr>
          <w:trHeight w:val="214"/>
        </w:trPr>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February 20, 2025</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March 5, 2025</w:t>
            </w:r>
          </w:p>
        </w:tc>
        <w:tc>
          <w:tcPr>
            <w:tcW w:w="1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March 19, 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bl>
    <w:p>
      <w:pPr>
        <w:spacing w:after="0" w:line="172" w:lineRule="exact"/>
        <w:rPr>
          <w:sz w:val="20"/>
          <w:szCs w:val="20"/>
          <w:color w:val="auto"/>
        </w:rPr>
      </w:pPr>
    </w:p>
    <w:p>
      <w:pPr>
        <w:ind w:left="5"/>
        <w:spacing w:after="0" w:line="252" w:lineRule="auto"/>
        <w:rPr>
          <w:sz w:val="20"/>
          <w:szCs w:val="20"/>
          <w:color w:val="auto"/>
        </w:rPr>
      </w:pPr>
      <w:r>
        <w:rPr>
          <w:rFonts w:ascii="Times New Roman" w:cs="Times New Roman" w:eastAsia="Times New Roman" w:hAnsi="Times New Roman"/>
          <w:sz w:val="16"/>
          <w:szCs w:val="16"/>
          <w:color w:val="auto"/>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Material Cash Requirements</w:t>
      </w:r>
    </w:p>
    <w:p>
      <w:pPr>
        <w:spacing w:after="0" w:line="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our future material cash requirements from known contractual or other obligations as of March 31, 2025:</w:t>
      </w:r>
    </w:p>
    <w:p>
      <w:pPr>
        <w:spacing w:after="0" w:line="55" w:lineRule="exact"/>
        <w:rPr>
          <w:sz w:val="20"/>
          <w:szCs w:val="20"/>
          <w:color w:val="auto"/>
        </w:rPr>
      </w:pPr>
    </w:p>
    <w:tbl>
      <w:tblPr>
        <w:tblLayout w:type="fixed"/>
        <w:tblInd w:w="1805"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Remainder</w:t>
            </w:r>
          </w:p>
        </w:tc>
        <w:tc>
          <w:tcPr>
            <w:tcW w:w="160" w:type="dxa"/>
            <w:vAlign w:val="bottom"/>
          </w:tcPr>
          <w:p>
            <w:pPr>
              <w:spacing w:after="0"/>
              <w:rPr>
                <w:sz w:val="13"/>
                <w:szCs w:val="13"/>
                <w:color w:val="auto"/>
              </w:rPr>
            </w:pPr>
          </w:p>
        </w:tc>
        <w:tc>
          <w:tcPr>
            <w:tcW w:w="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Borders>
              <w:top w:val="single" w:sz="8" w:color="CCEEFF"/>
            </w:tcBorders>
            <w:shd w:val="clear" w:color="auto" w:fill="CCEEFF"/>
          </w:tcPr>
          <w:p>
            <w:pPr>
              <w:ind w:left="80"/>
              <w:spacing w:after="0" w:line="207" w:lineRule="exact"/>
              <w:rPr>
                <w:sz w:val="20"/>
                <w:szCs w:val="20"/>
                <w:color w:val="auto"/>
              </w:rPr>
            </w:pPr>
            <w:r>
              <w:rPr>
                <w:rFonts w:ascii="Times New Roman" w:cs="Times New Roman" w:eastAsia="Times New Roman" w:hAnsi="Times New Roman"/>
                <w:sz w:val="23"/>
                <w:szCs w:val="23"/>
                <w:color w:val="auto"/>
                <w:vertAlign w:val="subscript"/>
              </w:rPr>
              <w:t>Debt</w:t>
            </w:r>
            <w:r>
              <w:rPr>
                <w:rFonts w:ascii="Times New Roman" w:cs="Times New Roman" w:eastAsia="Times New Roman" w:hAnsi="Times New Roman"/>
                <w:sz w:val="9"/>
                <w:szCs w:val="9"/>
                <w:color w:val="auto"/>
              </w:rPr>
              <w:t>(1)(2)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25"/>
        </w:trPr>
        <w:tc>
          <w:tcPr>
            <w:tcW w:w="1720" w:type="dxa"/>
            <w:vAlign w:val="bottom"/>
          </w:tcPr>
          <w:p>
            <w:pPr>
              <w:ind w:left="80"/>
              <w:spacing w:after="0" w:line="225" w:lineRule="exact"/>
              <w:rPr>
                <w:sz w:val="20"/>
                <w:szCs w:val="20"/>
                <w:color w:val="auto"/>
              </w:rPr>
            </w:pPr>
            <w:r>
              <w:rPr>
                <w:rFonts w:ascii="Times New Roman" w:cs="Times New Roman" w:eastAsia="Times New Roman" w:hAnsi="Times New Roman"/>
                <w:sz w:val="16"/>
                <w:szCs w:val="16"/>
                <w:color w:val="auto"/>
              </w:rPr>
              <w:t>Securitized debt</w:t>
            </w:r>
            <w:r>
              <w:rPr>
                <w:rFonts w:ascii="Times New Roman" w:cs="Times New Roman" w:eastAsia="Times New Roman" w:hAnsi="Times New Roman"/>
                <w:sz w:val="20"/>
                <w:szCs w:val="20"/>
                <w:color w:val="auto"/>
                <w:vertAlign w:val="superscript"/>
              </w:rPr>
              <w:t>(1)(3)</w:t>
            </w:r>
          </w:p>
        </w:tc>
        <w:tc>
          <w:tcPr>
            <w:tcW w:w="14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25"/>
        </w:trPr>
        <w:tc>
          <w:tcPr>
            <w:tcW w:w="1720" w:type="dxa"/>
            <w:vAlign w:val="bottom"/>
            <w:shd w:val="clear" w:color="auto" w:fill="CCEEFF"/>
          </w:tcPr>
          <w:p>
            <w:pPr>
              <w:ind w:left="80"/>
              <w:spacing w:after="0" w:line="225" w:lineRule="exact"/>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0"/>
                <w:szCs w:val="20"/>
                <w:color w:val="auto"/>
                <w:vertAlign w:val="superscript"/>
              </w:rPr>
              <w:t>(4)</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54"/>
        </w:trPr>
        <w:tc>
          <w:tcPr>
            <w:tcW w:w="17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Operating lease</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80"/>
              <w:spacing w:after="0" w:line="213"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0"/>
                <w:szCs w:val="20"/>
                <w:color w:val="auto"/>
                <w:vertAlign w:val="superscript"/>
              </w:rPr>
              <w:t>(5)</w:t>
            </w:r>
          </w:p>
        </w:tc>
        <w:tc>
          <w:tcPr>
            <w:tcW w:w="14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54"/>
        </w:trPr>
        <w:tc>
          <w:tcPr>
            <w:tcW w:w="1720" w:type="dxa"/>
            <w:vAlign w:val="bottom"/>
            <w:shd w:val="clear" w:color="auto" w:fill="CCEEFF"/>
          </w:tcPr>
          <w:p>
            <w:pPr>
              <w:ind w:left="80"/>
              <w:spacing w:after="0" w:line="154" w:lineRule="exact"/>
              <w:rPr>
                <w:sz w:val="20"/>
                <w:szCs w:val="20"/>
                <w:color w:val="auto"/>
              </w:rPr>
            </w:pPr>
            <w:r>
              <w:rPr>
                <w:rFonts w:ascii="Times New Roman" w:cs="Times New Roman" w:eastAsia="Times New Roman" w:hAnsi="Times New Roman"/>
                <w:sz w:val="16"/>
                <w:szCs w:val="16"/>
                <w:color w:val="auto"/>
              </w:rPr>
              <w:t>Finance lease</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20" w:type="dxa"/>
            <w:vAlign w:val="bottom"/>
            <w:shd w:val="clear" w:color="auto" w:fill="CCEEFF"/>
          </w:tcPr>
          <w:p>
            <w:pPr>
              <w:ind w:left="80"/>
              <w:spacing w:after="0" w:line="213"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0"/>
                <w:szCs w:val="20"/>
                <w:color w:val="auto"/>
                <w:vertAlign w:val="superscript"/>
              </w:rPr>
              <w:t>(5)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154"/>
        </w:trPr>
        <w:tc>
          <w:tcPr>
            <w:tcW w:w="17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Other long-term</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obligations</w:t>
            </w:r>
          </w:p>
        </w:tc>
        <w:tc>
          <w:tcPr>
            <w:tcW w:w="14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2,740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65" w:hanging="265"/>
        <w:spacing w:after="0"/>
        <w:tabs>
          <w:tab w:leader="none" w:pos="265"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principal as well as interest payments and excludes unamortized debt discount and issuance costs.</w:t>
      </w:r>
    </w:p>
    <w:p>
      <w:pPr>
        <w:spacing w:after="0" w:line="77" w:lineRule="exact"/>
        <w:rPr>
          <w:rFonts w:ascii="Times New Roman" w:cs="Times New Roman" w:eastAsia="Times New Roman" w:hAnsi="Times New Roman"/>
          <w:sz w:val="21"/>
          <w:szCs w:val="21"/>
          <w:color w:val="auto"/>
          <w:vertAlign w:val="superscript"/>
        </w:rPr>
      </w:pPr>
    </w:p>
    <w:p>
      <w:pPr>
        <w:ind w:left="285" w:right="620" w:hanging="285"/>
        <w:spacing w:after="0" w:line="223" w:lineRule="auto"/>
        <w:tabs>
          <w:tab w:leader="none" w:pos="274"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Delayed-Draw Term Loan as there were no outstanding borrowings at March 31, 2025. See Footnote 11 “Debt” to our Financial Statements for further information.</w:t>
      </w:r>
    </w:p>
    <w:p>
      <w:pPr>
        <w:ind w:left="265" w:hanging="265"/>
        <w:spacing w:after="0" w:line="235" w:lineRule="auto"/>
        <w:tabs>
          <w:tab w:leader="none" w:pos="265"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Payments based on estimated timing of cash flow associated with securitized notes receivable.</w:t>
      </w:r>
    </w:p>
    <w:p>
      <w:pPr>
        <w:spacing w:after="0" w:line="48" w:lineRule="exact"/>
        <w:rPr>
          <w:rFonts w:ascii="Times New Roman" w:cs="Times New Roman" w:eastAsia="Times New Roman" w:hAnsi="Times New Roman"/>
          <w:sz w:val="21"/>
          <w:szCs w:val="21"/>
          <w:color w:val="auto"/>
          <w:vertAlign w:val="superscript"/>
        </w:rPr>
      </w:pPr>
    </w:p>
    <w:p>
      <w:pPr>
        <w:ind w:left="285" w:right="20" w:hanging="285"/>
        <w:spacing w:after="0" w:line="228" w:lineRule="auto"/>
        <w:tabs>
          <w:tab w:leader="none" w:pos="274"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and information technology assets (hardware and software). Amounts reflected on the consolidated balance sheet as accounts payable and accrued liabilities are excluded from the table above.</w:t>
      </w:r>
    </w:p>
    <w:p>
      <w:pPr>
        <w:spacing w:after="0" w:line="3" w:lineRule="exact"/>
        <w:rPr>
          <w:rFonts w:ascii="Times New Roman" w:cs="Times New Roman" w:eastAsia="Times New Roman" w:hAnsi="Times New Roman"/>
          <w:sz w:val="21"/>
          <w:szCs w:val="21"/>
          <w:color w:val="auto"/>
          <w:vertAlign w:val="superscript"/>
        </w:rPr>
      </w:pPr>
    </w:p>
    <w:p>
      <w:pPr>
        <w:ind w:left="265" w:hanging="265"/>
        <w:spacing w:after="0" w:line="235" w:lineRule="auto"/>
        <w:tabs>
          <w:tab w:leader="none" w:pos="265"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interest.</w:t>
      </w:r>
    </w:p>
    <w:p>
      <w:pPr>
        <w:spacing w:after="0" w:line="48" w:lineRule="exact"/>
        <w:rPr>
          <w:sz w:val="20"/>
          <w:szCs w:val="20"/>
          <w:color w:val="auto"/>
        </w:rPr>
      </w:pPr>
    </w:p>
    <w:p>
      <w:pPr>
        <w:ind w:left="5" w:right="20"/>
        <w:spacing w:after="0" w:line="250" w:lineRule="auto"/>
        <w:rPr>
          <w:sz w:val="20"/>
          <w:szCs w:val="20"/>
          <w:color w:val="auto"/>
        </w:rPr>
      </w:pPr>
      <w:r>
        <w:rPr>
          <w:rFonts w:ascii="Times New Roman" w:cs="Times New Roman" w:eastAsia="Times New Roman" w:hAnsi="Times New Roman"/>
          <w:sz w:val="16"/>
          <w:szCs w:val="16"/>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200" w:lineRule="exact"/>
        <w:rPr>
          <w:sz w:val="20"/>
          <w:szCs w:val="20"/>
          <w:color w:val="auto"/>
        </w:rPr>
      </w:pP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2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Supplemental Guarantor Information</w:t>
      </w:r>
    </w:p>
    <w:p>
      <w:pPr>
        <w:spacing w:after="0" w:line="10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6"/>
          <w:szCs w:val="16"/>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6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5"/>
          <w:szCs w:val="15"/>
          <w:color w:val="auto"/>
        </w:rPr>
        <w:t>The following tables present consolidating financial information as of March 31, 2025 and December 31, 2024, and for the three months ended March 31, 2025 for MVWC and MORI on a stand-alone basis (collectively, the “Issuers”), the Senior Notes Guarantors, the combined non-guarantor subsidiaries of MVWC, and MVW on a consolidated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Condensed Consolidating Statement of Income</w:t>
      </w:r>
    </w:p>
    <w:p>
      <w:pPr>
        <w:spacing w:after="0" w:line="14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80" w:type="dxa"/>
            <w:vAlign w:val="bottom"/>
          </w:tcPr>
          <w:p>
            <w:pPr>
              <w:spacing w:after="0"/>
              <w:rPr>
                <w:sz w:val="11"/>
                <w:szCs w:val="11"/>
                <w:color w:val="auto"/>
              </w:rPr>
            </w:pPr>
          </w:p>
        </w:tc>
        <w:tc>
          <w:tcPr>
            <w:tcW w:w="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80" w:type="dxa"/>
            <w:vAlign w:val="bottom"/>
          </w:tcPr>
          <w:p>
            <w:pPr>
              <w:jc w:val="right"/>
              <w:ind w:right="222"/>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18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MVWC</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5"/>
              </w:rPr>
              <w:t>MORI</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25"/>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161"/>
        </w:trPr>
        <w:tc>
          <w:tcPr>
            <w:tcW w:w="18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Benefit from (provision for)</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61"/>
        </w:trPr>
        <w:tc>
          <w:tcPr>
            <w:tcW w:w="18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Equity in net income (loss)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subsidiaries</w:t>
            </w:r>
          </w:p>
        </w:tc>
        <w:tc>
          <w:tcPr>
            <w:tcW w:w="10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1"/>
        </w:trPr>
        <w:tc>
          <w:tcPr>
            <w:tcW w:w="18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attributable to</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1"/>
        </w:trPr>
        <w:tc>
          <w:tcPr>
            <w:tcW w:w="1860" w:type="dxa"/>
            <w:vAlign w:val="bottom"/>
            <w:tcBorders>
              <w:top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attributable to common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8"/>
        </w:trPr>
        <w:tc>
          <w:tcPr>
            <w:tcW w:w="186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218"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Condensed Consolidating Balance Sheet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7"/>
              </w:rPr>
              <w:t>Senior</w:t>
            </w:r>
          </w:p>
        </w:tc>
        <w:tc>
          <w:tcPr>
            <w:tcW w:w="180" w:type="dxa"/>
            <w:vAlign w:val="bottom"/>
          </w:tcPr>
          <w:p>
            <w:pPr>
              <w:spacing w:after="0"/>
              <w:rPr>
                <w:sz w:val="11"/>
                <w:szCs w:val="11"/>
                <w:color w:val="auto"/>
              </w:rPr>
            </w:pPr>
          </w:p>
        </w:tc>
        <w:tc>
          <w:tcPr>
            <w:tcW w:w="7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180" w:type="dxa"/>
            <w:vAlign w:val="bottom"/>
          </w:tcPr>
          <w:p>
            <w:pPr>
              <w:spacing w:after="0"/>
              <w:rPr>
                <w:sz w:val="11"/>
                <w:szCs w:val="11"/>
                <w:color w:val="auto"/>
              </w:rPr>
            </w:pPr>
          </w:p>
        </w:tc>
        <w:tc>
          <w:tcPr>
            <w:tcW w:w="8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1"/>
                <w:szCs w:val="11"/>
                <w:color w:val="auto"/>
              </w:rPr>
            </w:pPr>
          </w:p>
        </w:tc>
        <w:tc>
          <w:tcPr>
            <w:tcW w:w="7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180"/>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MVWC</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MORI</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MVWC</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MORI</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10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and cash</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Accounts and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contracts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net</w:t>
            </w: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ownership notes</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01"/>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net</w:t>
            </w: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Property and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net</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2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Investments in</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subsidiaries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3,431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3,572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3,466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3,600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4,866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9,808</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Accounts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Advance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Accrued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Payroll and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benefits liability</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1"/>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Securitized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4"/>
              </w:rPr>
              <w:t>1,139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1,138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r>
        <w:trPr>
          <w:trHeight w:val="22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MVW</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2,435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2,437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2,442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2,442</w:t>
            </w:r>
          </w:p>
        </w:tc>
        <w:tc>
          <w:tcPr>
            <w:tcW w:w="0" w:type="dxa"/>
            <w:vAlign w:val="bottom"/>
          </w:tcPr>
          <w:p>
            <w:pPr>
              <w:spacing w:after="0"/>
              <w:rPr>
                <w:sz w:val="1"/>
                <w:szCs w:val="1"/>
                <w:color w:val="auto"/>
              </w:rPr>
            </w:pPr>
          </w:p>
        </w:tc>
      </w:tr>
      <w:tr>
        <w:trPr>
          <w:trHeight w:val="20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1"/>
        </w:trPr>
        <w:tc>
          <w:tcPr>
            <w:tcW w:w="1060" w:type="dxa"/>
            <w:vAlign w:val="bottom"/>
            <w:tcBorders>
              <w:top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3,600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4,866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3,633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9,808</w:t>
            </w:r>
          </w:p>
        </w:tc>
        <w:tc>
          <w:tcPr>
            <w:tcW w:w="0" w:type="dxa"/>
            <w:vAlign w:val="bottom"/>
          </w:tcPr>
          <w:p>
            <w:pPr>
              <w:spacing w:after="0"/>
              <w:rPr>
                <w:sz w:val="1"/>
                <w:szCs w:val="1"/>
                <w:color w:val="auto"/>
              </w:rPr>
            </w:pPr>
          </w:p>
        </w:tc>
      </w:tr>
      <w:tr>
        <w:trPr>
          <w:trHeight w:val="202"/>
        </w:trPr>
        <w:tc>
          <w:tcPr>
            <w:tcW w:w="10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and equity</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40"/>
          </w:cols>
          <w:pgMar w:left="320" w:top="218" w:right="239" w:bottom="1440" w:gutter="0" w:footer="0" w:header="0"/>
        </w:sectPr>
      </w:pPr>
    </w:p>
    <w:bookmarkStart w:id="51" w:name="page52"/>
    <w:bookmarkEnd w:id="51"/>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2" w:lineRule="exact"/>
        <w:rPr>
          <w:sz w:val="20"/>
          <w:szCs w:val="20"/>
          <w:color w:val="auto"/>
        </w:rPr>
      </w:pPr>
    </w:p>
    <w:p>
      <w:pPr>
        <w:ind w:left="5" w:right="120"/>
        <w:spacing w:after="0" w:line="276" w:lineRule="auto"/>
        <w:rPr>
          <w:sz w:val="20"/>
          <w:szCs w:val="20"/>
          <w:color w:val="auto"/>
        </w:rPr>
      </w:pPr>
      <w:r>
        <w:rPr>
          <w:rFonts w:ascii="Times New Roman" w:cs="Times New Roman" w:eastAsia="Times New Roman" w:hAnsi="Times New Roman"/>
          <w:sz w:val="16"/>
          <w:szCs w:val="16"/>
          <w:color w:val="auto"/>
        </w:rPr>
        <w:t>See Footnote 2 “Significant Accounting Policies and Recent Accounting Standards” to our Financial Statements for a discussion of recently issued accounting pronouncements, including information about new accounting standards and the future adoption of such standards.</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2" w:lineRule="exact"/>
        <w:rPr>
          <w:sz w:val="20"/>
          <w:szCs w:val="20"/>
          <w:color w:val="auto"/>
        </w:rPr>
      </w:pPr>
    </w:p>
    <w:p>
      <w:pPr>
        <w:ind w:left="5"/>
        <w:spacing w:after="0" w:line="287" w:lineRule="auto"/>
        <w:rPr>
          <w:sz w:val="20"/>
          <w:szCs w:val="20"/>
          <w:color w:val="auto"/>
        </w:rPr>
      </w:pPr>
      <w:r>
        <w:rPr>
          <w:rFonts w:ascii="Times New Roman" w:cs="Times New Roman" w:eastAsia="Times New Roman" w:hAnsi="Times New Roman"/>
          <w:sz w:val="15"/>
          <w:szCs w:val="15"/>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2024 Annual Report. Since the date of our 2024 Annual Report, there have been no material changes to our critical accounting policies or the methodologies or assumptions we apply under them.</w:t>
      </w:r>
    </w:p>
    <w:p>
      <w:pPr>
        <w:spacing w:after="0" w:line="137"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exposure to market risk has not changed materially from that disclosed in Part I, Item 7A of the 2024 Annual Report, other than as set forth below.</w:t>
      </w:r>
    </w:p>
    <w:p>
      <w:pPr>
        <w:spacing w:after="0" w:line="100" w:lineRule="exact"/>
        <w:rPr>
          <w:sz w:val="20"/>
          <w:szCs w:val="20"/>
          <w:color w:val="auto"/>
        </w:rPr>
      </w:pPr>
    </w:p>
    <w:p>
      <w:pPr>
        <w:ind w:left="5" w:right="20"/>
        <w:spacing w:after="0" w:line="256" w:lineRule="auto"/>
        <w:rPr>
          <w:sz w:val="20"/>
          <w:szCs w:val="20"/>
          <w:color w:val="auto"/>
        </w:rPr>
      </w:pPr>
      <w:r>
        <w:rPr>
          <w:rFonts w:ascii="Times New Roman" w:cs="Times New Roman" w:eastAsia="Times New Roman" w:hAnsi="Times New Roman"/>
          <w:sz w:val="16"/>
          <w:szCs w:val="16"/>
          <w:color w:val="auto"/>
        </w:rPr>
        <w:t>We manage the interest rate risk on our corporate debt through the use of fixed-rate debt and may also use interest rate hedges to fix a portion of our variable-rate debt. At March 31, 2025, the interest rate applicable to 67% (approximately $2 billion) of our corporate debt, excluding finance leases, was fixed and the interest rate applicable to the remaining 33% (approximately $984 million) was variable. Assuming we had no outstanding balance under our Revolving Corporate Credit Facility, a 100 basis point increase in the underlying benchmark rate on our variable-rate debt at March 31, 2025 would result in an annual increase in cash interest of approximately $8 million.</w:t>
      </w:r>
    </w:p>
    <w:p>
      <w:pPr>
        <w:spacing w:after="0" w:line="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presents the scheduled maturities and the total fair value as of March 31, 2025 for our financial instruments that are impacted by market risks:</w:t>
      </w:r>
    </w:p>
    <w:p>
      <w:pPr>
        <w:spacing w:after="0" w:line="142" w:lineRule="exact"/>
        <w:rPr>
          <w:sz w:val="20"/>
          <w:szCs w:val="20"/>
          <w:color w:val="auto"/>
        </w:rPr>
      </w:pPr>
    </w:p>
    <w:tbl>
      <w:tblPr>
        <w:tblLayout w:type="fixed"/>
        <w:tblInd w:w="1805"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Maturities by Period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2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Remainder</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9"/>
                <w:szCs w:val="9"/>
                <w:color w:val="auto"/>
              </w:rPr>
            </w:pPr>
          </w:p>
        </w:tc>
        <w:tc>
          <w:tcPr>
            <w:tcW w:w="540" w:type="dxa"/>
            <w:vAlign w:val="bottom"/>
          </w:tcPr>
          <w:p>
            <w:pPr>
              <w:jc w:val="center"/>
              <w:ind w:right="65"/>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0"/>
        </w:trPr>
        <w:tc>
          <w:tcPr>
            <w:tcW w:w="1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2029</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0" w:type="dxa"/>
            <w:vAlign w:val="bottom"/>
            <w:vMerge w:val="restart"/>
          </w:tcPr>
          <w:p>
            <w:pPr>
              <w:spacing w:after="0"/>
              <w:rPr>
                <w:sz w:val="11"/>
                <w:szCs w:val="11"/>
                <w:color w:val="auto"/>
              </w:rPr>
            </w:pPr>
          </w:p>
        </w:tc>
        <w:tc>
          <w:tcPr>
            <w:tcW w:w="7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1"/>
                <w:szCs w:val="11"/>
                <w:color w:val="auto"/>
              </w:rPr>
            </w:pPr>
          </w:p>
        </w:tc>
        <w:tc>
          <w:tcPr>
            <w:tcW w:w="540" w:type="dxa"/>
            <w:vAlign w:val="bottom"/>
          </w:tcPr>
          <w:p>
            <w:pPr>
              <w:jc w:val="center"/>
              <w:ind w:right="65"/>
              <w:spacing w:after="0" w:line="131"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9"/>
              </w:rPr>
              <w:t>of 2025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210"/>
        </w:trPr>
        <w:tc>
          <w:tcPr>
            <w:tcW w:w="6220" w:type="dxa"/>
            <w:vAlign w:val="bottom"/>
            <w:gridSpan w:val="21"/>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Assets – Maturities represent expected principal receipts; fair values represent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ownership notes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11.5%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154"/>
        </w:trPr>
        <w:tc>
          <w:tcPr>
            <w:tcW w:w="12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receivable — non-</w:t>
            </w: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securitized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ownership notes</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13.4%</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19"/>
        </w:trPr>
        <w:tc>
          <w:tcPr>
            <w:tcW w:w="1240" w:type="dxa"/>
            <w:vAlign w:val="bottom"/>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receivable —</w:t>
            </w:r>
          </w:p>
        </w:tc>
        <w:tc>
          <w:tcPr>
            <w:tcW w:w="5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240" w:type="dxa"/>
            <w:vAlign w:val="bottom"/>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Contracts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receivable for</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12.3%</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line="154" w:lineRule="exact"/>
              <w:rPr>
                <w:sz w:val="20"/>
                <w:szCs w:val="20"/>
                <w:color w:val="auto"/>
              </w:rPr>
            </w:pPr>
            <w:r>
              <w:rPr>
                <w:rFonts w:ascii="Times New Roman" w:cs="Times New Roman" w:eastAsia="Times New Roman" w:hAnsi="Times New Roman"/>
                <w:sz w:val="16"/>
                <w:szCs w:val="16"/>
                <w:color w:val="auto"/>
              </w:rPr>
              <w:t>financed VOI</w:t>
            </w: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2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sales, net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0" w:type="dxa"/>
            <w:vAlign w:val="bottom"/>
            <w:gridSpan w:val="24"/>
            <w:shd w:val="clear" w:color="auto" w:fill="CCEEFF"/>
          </w:tcPr>
          <w:p>
            <w:pPr>
              <w:ind w:left="180"/>
              <w:spacing w:after="0" w:line="225" w:lineRule="exact"/>
              <w:rPr>
                <w:sz w:val="20"/>
                <w:szCs w:val="20"/>
                <w:color w:val="auto"/>
              </w:rPr>
            </w:pPr>
            <w:r>
              <w:rPr>
                <w:rFonts w:ascii="Times New Roman" w:cs="Times New Roman" w:eastAsia="Times New Roman" w:hAnsi="Times New Roman"/>
                <w:sz w:val="16"/>
                <w:szCs w:val="16"/>
                <w:b w:val="1"/>
                <w:bCs w:val="1"/>
                <w:color w:val="auto"/>
              </w:rPr>
              <w:t>Liabilities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 xml:space="preserve"> – Maturities represent expected principal payments; fair values represent liabilities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Securitized Debt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25"/>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161"/>
        </w:trPr>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Revolving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5.8%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59"/>
        </w:trPr>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Corporate Credit</w:t>
            </w: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Facility</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2028 Notes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25"/>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2029 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161"/>
        </w:trPr>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2026 Convertible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Notes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161"/>
        </w:trPr>
        <w:tc>
          <w:tcPr>
            <w:tcW w:w="1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2027 Convertible</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85" w:right="120" w:hanging="285"/>
        <w:spacing w:after="0" w:line="230" w:lineRule="auto"/>
        <w:tabs>
          <w:tab w:leader="none" w:pos="274"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first quarter of 2025, we amended the Corporate Credit Facility to provide for a Delayed-Draw Term Loan that is only available to finance the redemption or repurchase of our 2026 Convertible Notes, which are due January 15, 2026. As of March 31, 2025, there were no outstanding borrowings on the Delayed-Draw Term Loan. See Footnote 11 “Debt” to our Financial Statements for further information.</w:t>
      </w:r>
    </w:p>
    <w:p>
      <w:pPr>
        <w:spacing w:after="0" w:line="200" w:lineRule="exact"/>
        <w:rPr>
          <w:sz w:val="20"/>
          <w:szCs w:val="20"/>
          <w:color w:val="auto"/>
        </w:rPr>
      </w:pPr>
    </w:p>
    <w:p>
      <w:pPr>
        <w:spacing w:after="0" w:line="32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2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Disclosure Controls and Procedures</w:t>
      </w:r>
    </w:p>
    <w:p>
      <w:pPr>
        <w:spacing w:after="0" w:line="10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March 31, 2025,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0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We made no changes in our internal control over financial reporting during the period covered by this Quarterly Report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4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Currently, and from time to time, we are subject to claims in legal proceedings arising in the normal course of business, including, among others, the legal actions discussed under “Loss Contingencies” in Footnote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2"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There have been no material changes to the risk factors set forth in Item 1A to Part 1 of our 2024 Annual Report, except as set forth below or to the extent factual information disclosed elsewhere in this Quarterly Report relates to such risk factors, which is incorporated herein by reference.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in the current global macroeconomic environment created by rapid governmental policy and regulatory changes could negatively impact our business</w:t>
      </w:r>
    </w:p>
    <w:p>
      <w:pPr>
        <w:spacing w:after="0" w:line="10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Our business operations and financial performance are significantly influenced by governmental policies, the regulatory environment and consumers' willingness to travel to our resorts. Recent and rapid changes to governmental policies worldwide and rapidly evolving governmental regulations regarding international trade and other matters have introduced substantial uncertainty and volatility into the financial markets, leading to a decline in consumer sentiment. These changes could negatively impact our supply chain, cost structure, market access and consumers' willingness to travel to our resorts and purchase our products and services. Additionally, recent and future policy and regulatory changes could disrupt our strategic planning, investments, increase maintenance fees and negatively impact owners’ ability to pay such fees, decrease consumers' disposable income and impact our ability to originate, and the payment of, vacation ownership notes receivable, among other consequences. These factors may also adversely impair our ability to execute strategies to mitigate negative impacts of the current environment.</w:t>
      </w:r>
    </w:p>
    <w:p>
      <w:pPr>
        <w:spacing w:after="0" w:line="6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6"/>
          <w:szCs w:val="16"/>
          <w:color w:val="auto"/>
        </w:rPr>
        <w:t>We are actively monitoring these developments and assessing their potential impact on our business. However, the unpredictable nature of the current global macroeconomic environment makes it challenging to anticipate and address all possible material risks. This uncertainty and its effects could have a material adverse effect on our financial condition, results of operations and cash flows.</w:t>
      </w:r>
    </w:p>
    <w:p>
      <w:pPr>
        <w:spacing w:after="0" w:line="200" w:lineRule="exact"/>
        <w:rPr>
          <w:sz w:val="20"/>
          <w:szCs w:val="20"/>
          <w:color w:val="auto"/>
        </w:rPr>
      </w:pPr>
    </w:p>
    <w:p>
      <w:pPr>
        <w:spacing w:after="0" w:line="32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3" w:name="page54"/>
    <w:bookmarkEnd w:id="53"/>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Unregistered Sales of Equity Securities and Use of Proceeds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171" w:lineRule="exact"/>
        <w:rPr>
          <w:sz w:val="20"/>
          <w:szCs w:val="20"/>
          <w:color w:val="auto"/>
        </w:rPr>
      </w:pPr>
    </w:p>
    <w:tbl>
      <w:tblPr>
        <w:tblLayout w:type="fixed"/>
        <w:tblInd w:w="1805"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Amount of Shares</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w w:val="98"/>
              </w:rPr>
              <w:t>That May Yet Be</w:t>
            </w:r>
          </w:p>
        </w:tc>
        <w:tc>
          <w:tcPr>
            <w:tcW w:w="0" w:type="dxa"/>
            <w:vAlign w:val="bottom"/>
          </w:tcPr>
          <w:p>
            <w:pPr>
              <w:spacing w:after="0"/>
              <w:rPr>
                <w:sz w:val="1"/>
                <w:szCs w:val="1"/>
                <w:color w:val="auto"/>
              </w:rPr>
            </w:pPr>
          </w:p>
        </w:tc>
      </w:tr>
      <w:tr>
        <w:trPr>
          <w:trHeight w:val="142"/>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line="189"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4"/>
                <w:szCs w:val="14"/>
                <w:b w:val="1"/>
                <w:bCs w:val="1"/>
                <w:color w:val="auto"/>
                <w:w w:val="97"/>
              </w:rPr>
              <w:t>Plans or Programs</w:t>
            </w:r>
            <w:r>
              <w:rPr>
                <w:rFonts w:ascii="Times New Roman" w:cs="Times New Roman" w:eastAsia="Times New Roman" w:hAnsi="Times New Roman"/>
                <w:sz w:val="18"/>
                <w:szCs w:val="18"/>
                <w:b w:val="1"/>
                <w:bCs w:val="1"/>
                <w:color w:val="auto"/>
                <w:w w:val="97"/>
                <w:vertAlign w:val="superscript"/>
              </w:rPr>
              <w:t>(1)(2)</w:t>
            </w:r>
          </w:p>
        </w:tc>
        <w:tc>
          <w:tcPr>
            <w:tcW w:w="0" w:type="dxa"/>
            <w:vAlign w:val="bottom"/>
          </w:tcPr>
          <w:p>
            <w:pPr>
              <w:spacing w:after="0"/>
              <w:rPr>
                <w:sz w:val="1"/>
                <w:szCs w:val="1"/>
                <w:color w:val="auto"/>
              </w:rPr>
            </w:pPr>
          </w:p>
        </w:tc>
      </w:tr>
      <w:tr>
        <w:trPr>
          <w:trHeight w:val="20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2025 – January 31, 2025</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98,932</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86.14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98,932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374,719,016</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February 1, 2025 – February 28, 2025</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374,719,016</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2025 – March 31, 2025</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397,552</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69.39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397,552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347,132,547</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496,484</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72.73</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496,484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347,132,547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85" w:right="80" w:hanging="285"/>
        <w:spacing w:after="0" w:line="230" w:lineRule="auto"/>
        <w:tabs>
          <w:tab w:leader="none" w:pos="274"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w:t>
      </w:r>
    </w:p>
    <w:p>
      <w:pPr>
        <w:spacing w:after="0" w:line="19" w:lineRule="exact"/>
        <w:rPr>
          <w:rFonts w:ascii="Times New Roman" w:cs="Times New Roman" w:eastAsia="Times New Roman" w:hAnsi="Times New Roman"/>
          <w:sz w:val="21"/>
          <w:szCs w:val="21"/>
          <w:color w:val="auto"/>
          <w:vertAlign w:val="superscript"/>
        </w:rPr>
      </w:pPr>
    </w:p>
    <w:p>
      <w:pPr>
        <w:ind w:left="265" w:hanging="265"/>
        <w:spacing w:after="0"/>
        <w:tabs>
          <w:tab w:leader="none" w:pos="265"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dollar amounts presented exclude the nondeductible 1% excise tax on the net value of certain stock repurchases that was imposed by the Inflation Reduction Act of 2022.</w:t>
      </w:r>
    </w:p>
    <w:p>
      <w:pPr>
        <w:spacing w:after="0" w:line="123"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 Trading Plans</w:t>
      </w:r>
    </w:p>
    <w:p>
      <w:pPr>
        <w:spacing w:after="0" w:line="100" w:lineRule="exact"/>
        <w:rPr>
          <w:sz w:val="20"/>
          <w:szCs w:val="20"/>
          <w:color w:val="auto"/>
        </w:rPr>
      </w:pPr>
    </w:p>
    <w:p>
      <w:pPr>
        <w:ind w:left="5" w:right="840"/>
        <w:spacing w:after="0" w:line="276" w:lineRule="auto"/>
        <w:rPr>
          <w:sz w:val="20"/>
          <w:szCs w:val="20"/>
          <w:color w:val="auto"/>
        </w:rPr>
      </w:pPr>
      <w:r>
        <w:rPr>
          <w:rFonts w:ascii="Times New Roman" w:cs="Times New Roman" w:eastAsia="Times New Roman" w:hAnsi="Times New Roman"/>
          <w:sz w:val="16"/>
          <w:szCs w:val="16"/>
          <w:color w:val="auto"/>
        </w:rPr>
        <w:t>During the quarter ended March 31, 2025, no director or Section 16 officer adopted or terminated any Rule 10b5-1 trading arrangements or non-Rule 10b5-1 trading arrangements (in each case, as defined in Item 408(a) of Regulation S-K).</w:t>
      </w:r>
    </w:p>
    <w:p>
      <w:pPr>
        <w:spacing w:after="0" w:line="96" w:lineRule="exact"/>
        <w:rPr>
          <w:sz w:val="20"/>
          <w:szCs w:val="20"/>
          <w:color w:val="auto"/>
        </w:rPr>
      </w:pPr>
    </w:p>
    <w:p>
      <w:pPr>
        <w:ind w:left="5"/>
        <w:spacing w:after="0"/>
        <w:tabs>
          <w:tab w:leader="none" w:pos="605"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All documents referenced below are being filed as a part of this Quarterly Report, unless otherwise noted.</w:t>
      </w:r>
    </w:p>
    <w:p>
      <w:pPr>
        <w:sectPr>
          <w:pgSz w:w="11900" w:h="16838" w:orient="portrait"/>
          <w:cols w:equalWidth="0" w:num="1">
            <w:col w:w="11225"/>
          </w:cols>
          <w:pgMar w:left="315" w:top="218" w:right="359" w:bottom="1440" w:gutter="0" w:footer="0" w:header="0"/>
        </w:sectPr>
      </w:pPr>
    </w:p>
    <w:p>
      <w:pPr>
        <w:spacing w:after="0" w:line="321" w:lineRule="exact"/>
        <w:rPr>
          <w:sz w:val="20"/>
          <w:szCs w:val="20"/>
          <w:color w:val="auto"/>
        </w:rPr>
      </w:pPr>
    </w:p>
    <w:p>
      <w:pPr>
        <w:ind w:left="1885"/>
        <w:spacing w:after="0"/>
        <w:rPr>
          <w:sz w:val="20"/>
          <w:szCs w:val="20"/>
          <w:color w:val="auto"/>
        </w:rPr>
      </w:pPr>
      <w:r>
        <w:rPr>
          <w:rFonts w:ascii="Times New Roman" w:cs="Times New Roman" w:eastAsia="Times New Roman" w:hAnsi="Times New Roman"/>
          <w:sz w:val="13"/>
          <w:szCs w:val="13"/>
          <w:b w:val="1"/>
          <w:bCs w:val="1"/>
          <w:color w:val="auto"/>
        </w:rPr>
        <w:t>Exhibit</w:t>
      </w:r>
    </w:p>
    <w:p>
      <w:pPr>
        <w:ind w:left="1865"/>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18415</wp:posOffset>
            </wp:positionV>
            <wp:extent cx="39814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8145" cy="7620"/>
                    </a:xfrm>
                    <a:prstGeom prst="rect">
                      <a:avLst/>
                    </a:prstGeom>
                    <a:noFill/>
                  </pic:spPr>
                </pic:pic>
              </a:graphicData>
            </a:graphic>
          </wp:anchor>
        </w:drawing>
      </w:r>
    </w:p>
    <w:p>
      <w:pPr>
        <w:spacing w:after="0" w:line="123"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3.1</w:t>
      </w:r>
    </w:p>
    <w:p>
      <w:pPr>
        <w:spacing w:after="0" w:line="337"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279"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4.2</w:t>
      </w:r>
    </w:p>
    <w:p>
      <w:pPr>
        <w:spacing w:after="0" w:line="200" w:lineRule="exact"/>
        <w:rPr>
          <w:sz w:val="20"/>
          <w:szCs w:val="20"/>
          <w:color w:val="auto"/>
        </w:rPr>
      </w:pPr>
    </w:p>
    <w:p>
      <w:pPr>
        <w:spacing w:after="0" w:line="374"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4.3</w:t>
      </w:r>
    </w:p>
    <w:p>
      <w:pPr>
        <w:spacing w:after="0" w:line="200" w:lineRule="exact"/>
        <w:rPr>
          <w:sz w:val="20"/>
          <w:szCs w:val="20"/>
          <w:color w:val="auto"/>
        </w:rPr>
      </w:pPr>
    </w:p>
    <w:p>
      <w:pPr>
        <w:spacing w:after="0" w:line="374"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23983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98395" cy="7620"/>
                    </a:xfrm>
                    <a:prstGeom prst="rect">
                      <a:avLst/>
                    </a:prstGeom>
                    <a:noFill/>
                  </pic:spPr>
                </pic:pic>
              </a:graphicData>
            </a:graphic>
          </wp:anchor>
        </w:drawing>
      </w:r>
    </w:p>
    <w:p>
      <w:pPr>
        <w:spacing w:after="0" w:line="34" w:lineRule="exact"/>
        <w:rPr>
          <w:sz w:val="20"/>
          <w:szCs w:val="20"/>
          <w:color w:val="auto"/>
        </w:rPr>
      </w:pPr>
    </w:p>
    <w:p>
      <w:pPr>
        <w:ind w:right="120"/>
        <w:spacing w:after="0" w:line="276" w:lineRule="auto"/>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Second Restated Certificate of Incorporation of Marriott</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Vacations Worldwide Corporation</w:t>
        </w:r>
      </w:hyperlink>
    </w:p>
    <w:p>
      <w:pPr>
        <w:spacing w:after="0" w:line="145" w:lineRule="exact"/>
        <w:rPr>
          <w:sz w:val="20"/>
          <w:szCs w:val="20"/>
          <w:color w:val="auto"/>
        </w:rPr>
      </w:pPr>
    </w:p>
    <w:p>
      <w:pPr>
        <w:ind w:right="500"/>
        <w:spacing w:after="0" w:line="276" w:lineRule="auto"/>
        <w:rPr>
          <w:rFonts w:ascii="Times New Roman" w:cs="Times New Roman" w:eastAsia="Times New Roman" w:hAnsi="Times New Roman"/>
          <w:sz w:val="16"/>
          <w:szCs w:val="16"/>
          <w:u w:val="single" w:color="auto"/>
          <w:color w:val="0000FF"/>
        </w:rPr>
      </w:pPr>
      <w:hyperlink r:id="rId137">
        <w:r>
          <w:rPr>
            <w:rFonts w:ascii="Times New Roman" w:cs="Times New Roman" w:eastAsia="Times New Roman" w:hAnsi="Times New Roman"/>
            <w:sz w:val="16"/>
            <w:szCs w:val="16"/>
            <w:u w:val="single" w:color="auto"/>
            <w:color w:val="0000FF"/>
          </w:rPr>
          <w:t>Restated Bylaws of Marriott Vacations Worldwide</w:t>
        </w:r>
      </w:hyperlink>
      <w:r>
        <w:rPr>
          <w:rFonts w:ascii="Times New Roman" w:cs="Times New Roman" w:eastAsia="Times New Roman" w:hAnsi="Times New Roman"/>
          <w:sz w:val="16"/>
          <w:szCs w:val="16"/>
          <w:u w:val="single" w:color="auto"/>
          <w:color w:val="0000FF"/>
        </w:rPr>
        <w:t xml:space="preserve"> </w:t>
      </w:r>
      <w:hyperlink r:id="rId137">
        <w:r>
          <w:rPr>
            <w:rFonts w:ascii="Times New Roman" w:cs="Times New Roman" w:eastAsia="Times New Roman" w:hAnsi="Times New Roman"/>
            <w:sz w:val="16"/>
            <w:szCs w:val="16"/>
            <w:u w:val="single" w:color="auto"/>
            <w:color w:val="0000FF"/>
          </w:rPr>
          <w:t>Corporation (effective May 12, 2023)</w:t>
        </w:r>
      </w:hyperlink>
    </w:p>
    <w:p>
      <w:pPr>
        <w:spacing w:after="0" w:line="98" w:lineRule="exact"/>
        <w:rPr>
          <w:sz w:val="20"/>
          <w:szCs w:val="20"/>
          <w:color w:val="auto"/>
        </w:rPr>
      </w:pPr>
    </w:p>
    <w:p>
      <w:pPr>
        <w:ind w:right="80"/>
        <w:spacing w:after="0" w:line="261" w:lineRule="auto"/>
        <w:rPr>
          <w:rFonts w:ascii="Times New Roman" w:cs="Times New Roman" w:eastAsia="Times New Roman" w:hAnsi="Times New Roman"/>
          <w:sz w:val="16"/>
          <w:szCs w:val="16"/>
          <w:u w:val="single" w:color="auto"/>
          <w:color w:val="0000FF"/>
        </w:rPr>
      </w:pPr>
      <w:hyperlink r:id="rId138">
        <w:r>
          <w:rPr>
            <w:rFonts w:ascii="Times New Roman" w:cs="Times New Roman" w:eastAsia="Times New Roman" w:hAnsi="Times New Roman"/>
            <w:sz w:val="16"/>
            <w:szCs w:val="16"/>
            <w:u w:val="single" w:color="auto"/>
            <w:color w:val="0000FF"/>
          </w:rPr>
          <w:t>Form of certificate representing shares of common stock,</w:t>
        </w:r>
      </w:hyperlink>
      <w:r>
        <w:rPr>
          <w:rFonts w:ascii="Times New Roman" w:cs="Times New Roman" w:eastAsia="Times New Roman" w:hAnsi="Times New Roman"/>
          <w:sz w:val="16"/>
          <w:szCs w:val="16"/>
          <w:u w:val="single" w:color="auto"/>
          <w:color w:val="0000FF"/>
        </w:rPr>
        <w:t xml:space="preserve"> </w:t>
      </w:r>
      <w:hyperlink r:id="rId138">
        <w:r>
          <w:rPr>
            <w:rFonts w:ascii="Times New Roman" w:cs="Times New Roman" w:eastAsia="Times New Roman" w:hAnsi="Times New Roman"/>
            <w:sz w:val="16"/>
            <w:szCs w:val="16"/>
            <w:u w:val="single" w:color="auto"/>
            <w:color w:val="0000FF"/>
          </w:rPr>
          <w:t>par value $0.01 per share, of Marriott Vacations</w:t>
        </w:r>
      </w:hyperlink>
      <w:r>
        <w:rPr>
          <w:rFonts w:ascii="Times New Roman" w:cs="Times New Roman" w:eastAsia="Times New Roman" w:hAnsi="Times New Roman"/>
          <w:sz w:val="16"/>
          <w:szCs w:val="16"/>
          <w:u w:val="single" w:color="auto"/>
          <w:color w:val="0000FF"/>
        </w:rPr>
        <w:t xml:space="preserve"> </w:t>
      </w:r>
      <w:hyperlink r:id="rId138">
        <w:r>
          <w:rPr>
            <w:rFonts w:ascii="Times New Roman" w:cs="Times New Roman" w:eastAsia="Times New Roman" w:hAnsi="Times New Roman"/>
            <w:sz w:val="16"/>
            <w:szCs w:val="16"/>
            <w:u w:val="single" w:color="auto"/>
            <w:color w:val="0000FF"/>
          </w:rPr>
          <w:t>Worldwide Corporation</w:t>
        </w:r>
      </w:hyperlink>
    </w:p>
    <w:p>
      <w:pPr>
        <w:spacing w:after="0" w:line="110" w:lineRule="exact"/>
        <w:rPr>
          <w:rFonts w:ascii="Times New Roman" w:cs="Times New Roman" w:eastAsia="Times New Roman" w:hAnsi="Times New Roman"/>
          <w:sz w:val="16"/>
          <w:szCs w:val="16"/>
          <w:u w:val="single" w:color="auto"/>
          <w:color w:val="0000FF"/>
        </w:rPr>
      </w:pPr>
    </w:p>
    <w:p>
      <w:pPr>
        <w:spacing w:after="0" w:line="254" w:lineRule="auto"/>
        <w:rPr>
          <w:rFonts w:ascii="Times New Roman" w:cs="Times New Roman" w:eastAsia="Times New Roman" w:hAnsi="Times New Roman"/>
          <w:sz w:val="16"/>
          <w:szCs w:val="16"/>
          <w:u w:val="single" w:color="auto"/>
          <w:color w:val="0000FF"/>
        </w:rPr>
      </w:pPr>
      <w:hyperlink r:id="rId139">
        <w:r>
          <w:rPr>
            <w:rFonts w:ascii="Times New Roman" w:cs="Times New Roman" w:eastAsia="Times New Roman" w:hAnsi="Times New Roman"/>
            <w:sz w:val="16"/>
            <w:szCs w:val="16"/>
            <w:u w:val="single" w:color="auto"/>
            <w:color w:val="0000FF"/>
          </w:rPr>
          <w:t>Indenture, dated as of October 1, 2019, by and among</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Marriott Ownership Resorts, Inc., Marriott Vacations</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Worldwide Corporation, as guarantor, the other guarantors</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party thereto and The Bank of New York Mellon Trust</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Company, N.A., as trustee</w:t>
        </w:r>
      </w:hyperlink>
    </w:p>
    <w:p>
      <w:pPr>
        <w:spacing w:after="0" w:line="68" w:lineRule="exact"/>
        <w:rPr>
          <w:rFonts w:ascii="Times New Roman" w:cs="Times New Roman" w:eastAsia="Times New Roman" w:hAnsi="Times New Roman"/>
          <w:sz w:val="16"/>
          <w:szCs w:val="16"/>
          <w:u w:val="single" w:color="auto"/>
          <w:color w:val="0000FF"/>
        </w:rPr>
      </w:pPr>
    </w:p>
    <w:p>
      <w:pPr>
        <w:ind w:right="360"/>
        <w:spacing w:after="0" w:line="276" w:lineRule="auto"/>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u w:val="single" w:color="auto"/>
            <w:color w:val="0000FF"/>
          </w:rPr>
          <w:t>Form of 4.750% Senior Notes due 2028</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Exhibit A to Exhibit 4.2 above)</w:t>
      </w:r>
    </w:p>
    <w:p>
      <w:pPr>
        <w:spacing w:after="0" w:line="50" w:lineRule="exact"/>
        <w:rPr>
          <w:rFonts w:ascii="Times New Roman" w:cs="Times New Roman" w:eastAsia="Times New Roman" w:hAnsi="Times New Roman"/>
          <w:sz w:val="16"/>
          <w:szCs w:val="16"/>
          <w:u w:val="single" w:color="auto"/>
          <w:color w:val="0000FF"/>
        </w:rPr>
      </w:pPr>
    </w:p>
    <w:p>
      <w:pPr>
        <w:ind w:right="80"/>
        <w:spacing w:after="0" w:line="254" w:lineRule="auto"/>
        <w:rPr>
          <w:rFonts w:ascii="Times New Roman" w:cs="Times New Roman" w:eastAsia="Times New Roman" w:hAnsi="Times New Roman"/>
          <w:sz w:val="16"/>
          <w:szCs w:val="16"/>
          <w:u w:val="single" w:color="auto"/>
          <w:color w:val="0000FF"/>
        </w:rPr>
      </w:pPr>
      <w:hyperlink r:id="rId140">
        <w:r>
          <w:rPr>
            <w:rFonts w:ascii="Times New Roman" w:cs="Times New Roman" w:eastAsia="Times New Roman" w:hAnsi="Times New Roman"/>
            <w:sz w:val="16"/>
            <w:szCs w:val="16"/>
            <w:u w:val="single" w:color="auto"/>
            <w:color w:val="0000FF"/>
          </w:rPr>
          <w:t>Registration Rights Agreement, dated as of October 1,</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2019, by and among Marriott Ownership Resorts, Inc.,</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Marriott Vacations Worldwide Corporation, as guarantor,</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the other guarantors party thereto and J.P. Morgan</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Securities LLC</w:t>
        </w:r>
      </w:hyperlink>
    </w:p>
    <w:p>
      <w:pPr>
        <w:spacing w:after="0" w:line="68" w:lineRule="exact"/>
        <w:rPr>
          <w:rFonts w:ascii="Times New Roman" w:cs="Times New Roman" w:eastAsia="Times New Roman" w:hAnsi="Times New Roman"/>
          <w:sz w:val="16"/>
          <w:szCs w:val="16"/>
          <w:u w:val="single" w:color="auto"/>
          <w:color w:val="0000FF"/>
        </w:rPr>
      </w:pPr>
    </w:p>
    <w:p>
      <w:pPr>
        <w:ind w:right="220"/>
        <w:spacing w:after="0" w:line="254" w:lineRule="auto"/>
        <w:rPr>
          <w:rFonts w:ascii="Times New Roman" w:cs="Times New Roman" w:eastAsia="Times New Roman" w:hAnsi="Times New Roman"/>
          <w:sz w:val="16"/>
          <w:szCs w:val="16"/>
          <w:u w:val="single" w:color="auto"/>
          <w:color w:val="0000FF"/>
        </w:rPr>
      </w:pPr>
      <w:hyperlink r:id="rId141">
        <w:r>
          <w:rPr>
            <w:rFonts w:ascii="Times New Roman" w:cs="Times New Roman" w:eastAsia="Times New Roman" w:hAnsi="Times New Roman"/>
            <w:sz w:val="16"/>
            <w:szCs w:val="16"/>
            <w:u w:val="single" w:color="auto"/>
            <w:color w:val="0000FF"/>
          </w:rPr>
          <w:t>Indenture, dated as of February 2, 2021, by and among</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Marriott Vacations Worldwide Corporation, Marriott</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Ownership Resorts, Inc. and the other guarantors party</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thereto and The Bank of New York Mellon Trust</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Company, N.A., as 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255"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85"/>
        </w:trPr>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2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Incorporation By Reference From</w:t>
            </w:r>
          </w:p>
        </w:tc>
      </w:tr>
      <w:tr>
        <w:trPr>
          <w:trHeight w:val="169"/>
        </w:trPr>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Date Filed</w:t>
            </w:r>
          </w:p>
        </w:tc>
      </w:tr>
      <w:tr>
        <w:trPr>
          <w:trHeight w:val="300"/>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5/15/2023</w:t>
            </w:r>
          </w:p>
        </w:tc>
      </w:tr>
      <w:tr>
        <w:trPr>
          <w:trHeight w:val="521"/>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8/4/2023</w:t>
            </w:r>
          </w:p>
        </w:tc>
      </w:tr>
      <w:tr>
        <w:trPr>
          <w:trHeight w:val="663"/>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10/14/2011</w:t>
            </w:r>
          </w:p>
        </w:tc>
      </w:tr>
      <w:tr>
        <w:trPr>
          <w:trHeight w:val="900"/>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758"/>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758"/>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104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2/3/2021</w:t>
            </w:r>
          </w:p>
        </w:tc>
      </w:tr>
    </w:tbl>
    <w:p>
      <w:pPr>
        <w:spacing w:after="0" w:line="588"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2345" w:space="200"/>
            <w:col w:w="3680" w:space="200"/>
            <w:col w:w="4800"/>
          </w:cols>
          <w:pgMar w:left="315" w:top="218" w:right="359"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272" w:lineRule="exact"/>
        <w:rPr>
          <w:rFonts w:ascii="Times New Roman" w:cs="Times New Roman" w:eastAsia="Times New Roman" w:hAnsi="Times New Roman"/>
          <w:sz w:val="16"/>
          <w:szCs w:val="16"/>
          <w:u w:val="single" w:color="auto"/>
          <w:color w:val="0000FF"/>
        </w:rPr>
      </w:pPr>
    </w:p>
    <w:p>
      <w:pPr>
        <w:ind w:left="5825"/>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218"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ectPr>
          <w:pgSz w:w="11900" w:h="16838" w:orient="portrait"/>
          <w:cols w:equalWidth="0" w:num="1">
            <w:col w:w="10139"/>
          </w:cols>
          <w:pgMar w:left="320" w:top="2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10795</wp:posOffset>
            </wp:positionV>
            <wp:extent cx="39814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3981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1580" w:type="dxa"/>
            <w:vAlign w:val="bottom"/>
          </w:tcPr>
          <w:p>
            <w:pPr>
              <w:jc w:val="center"/>
              <w:ind w:left="613"/>
              <w:spacing w:after="0"/>
              <w:rPr>
                <w:sz w:val="20"/>
                <w:szCs w:val="20"/>
                <w:color w:val="auto"/>
              </w:rPr>
            </w:pPr>
            <w:r>
              <w:rPr>
                <w:rFonts w:ascii="Times New Roman" w:cs="Times New Roman" w:eastAsia="Times New Roman" w:hAnsi="Times New Roman"/>
                <w:sz w:val="13"/>
                <w:szCs w:val="13"/>
                <w:b w:val="1"/>
                <w:bCs w:val="1"/>
                <w:color w:val="auto"/>
              </w:rPr>
              <w:t>Filed</w:t>
            </w:r>
          </w:p>
        </w:tc>
        <w:tc>
          <w:tcPr>
            <w:tcW w:w="22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Incorporation By Reference From</w:t>
            </w:r>
          </w:p>
        </w:tc>
      </w:tr>
      <w:tr>
        <w:trPr>
          <w:trHeight w:val="169"/>
        </w:trPr>
        <w:tc>
          <w:tcPr>
            <w:tcW w:w="1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580" w:type="dxa"/>
            <w:vAlign w:val="bottom"/>
          </w:tcPr>
          <w:p>
            <w:pPr>
              <w:jc w:val="center"/>
              <w:ind w:left="613"/>
              <w:spacing w:after="0"/>
              <w:rPr>
                <w:sz w:val="20"/>
                <w:szCs w:val="20"/>
                <w:color w:val="auto"/>
              </w:rPr>
            </w:pPr>
            <w:r>
              <w:rPr>
                <w:rFonts w:ascii="Times New Roman" w:cs="Times New Roman" w:eastAsia="Times New Roman" w:hAnsi="Times New Roman"/>
                <w:sz w:val="13"/>
                <w:szCs w:val="13"/>
                <w:b w:val="1"/>
                <w:bCs w:val="1"/>
                <w:color w:val="auto"/>
              </w:rPr>
              <w:t>Herewith</w:t>
            </w: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Form</w:t>
            </w: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0</wp:posOffset>
            </wp:positionV>
            <wp:extent cx="44049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4404995" cy="76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360" w:space="720"/>
            <w:col w:w="6059"/>
          </w:cols>
          <w:pgMar w:left="320" w:top="218" w:right="1440" w:bottom="1440" w:gutter="0" w:footer="0" w:header="0"/>
          <w:type w:val="continuous"/>
        </w:sectPr>
      </w:pPr>
    </w:p>
    <w:p>
      <w:pPr>
        <w:spacing w:after="0" w:line="9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4.6</w:t>
      </w:r>
    </w:p>
    <w:p>
      <w:pPr>
        <w:spacing w:after="0" w:line="200" w:lineRule="exact"/>
        <w:rPr>
          <w:sz w:val="20"/>
          <w:szCs w:val="20"/>
          <w:color w:val="auto"/>
        </w:rPr>
      </w:pPr>
    </w:p>
    <w:p>
      <w:pPr>
        <w:spacing w:after="0" w:line="3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br w:type="column"/>
      </w:r>
    </w:p>
    <w:p>
      <w:pPr>
        <w:ind w:right="940"/>
        <w:spacing w:after="0" w:line="311" w:lineRule="auto"/>
        <w:rPr>
          <w:rFonts w:ascii="Times New Roman" w:cs="Times New Roman" w:eastAsia="Times New Roman" w:hAnsi="Times New Roman"/>
          <w:sz w:val="15"/>
          <w:szCs w:val="15"/>
          <w:u w:val="single" w:color="auto"/>
          <w:color w:val="0000FF"/>
        </w:rPr>
      </w:pPr>
      <w:hyperlink r:id="rId145">
        <w:r>
          <w:rPr>
            <w:rFonts w:ascii="Times New Roman" w:cs="Times New Roman" w:eastAsia="Times New Roman" w:hAnsi="Times New Roman"/>
            <w:sz w:val="15"/>
            <w:szCs w:val="15"/>
            <w:u w:val="single" w:color="auto"/>
            <w:color w:val="0000FF"/>
          </w:rPr>
          <w:t>Form of 0.00% Convertible Senior Note due 2026</w:t>
        </w:r>
      </w:hyperlink>
      <w:r>
        <w:rPr>
          <w:rFonts w:ascii="Times New Roman" w:cs="Times New Roman" w:eastAsia="Times New Roman" w:hAnsi="Times New Roman"/>
          <w:sz w:val="15"/>
          <w:szCs w:val="15"/>
          <w:u w:val="single" w:color="auto"/>
          <w:color w:val="0000FF"/>
        </w:rPr>
        <w:t xml:space="preserve"> </w:t>
      </w:r>
      <w:r>
        <w:rPr>
          <w:rFonts w:ascii="Times New Roman" w:cs="Times New Roman" w:eastAsia="Times New Roman" w:hAnsi="Times New Roman"/>
          <w:sz w:val="15"/>
          <w:szCs w:val="15"/>
          <w:color w:val="000000"/>
        </w:rPr>
        <w:t>(included as Exhibit A to Exhibit 4.5 above)</w:t>
      </w:r>
    </w:p>
    <w:p>
      <w:pPr>
        <w:spacing w:after="0" w:line="27" w:lineRule="exact"/>
        <w:rPr>
          <w:sz w:val="20"/>
          <w:szCs w:val="20"/>
          <w:color w:val="auto"/>
        </w:rPr>
      </w:pPr>
    </w:p>
    <w:p>
      <w:pPr>
        <w:ind w:right="420"/>
        <w:spacing w:after="0" w:line="254" w:lineRule="auto"/>
        <w:rPr>
          <w:rFonts w:ascii="Times New Roman" w:cs="Times New Roman" w:eastAsia="Times New Roman" w:hAnsi="Times New Roman"/>
          <w:sz w:val="16"/>
          <w:szCs w:val="16"/>
          <w:u w:val="single" w:color="auto"/>
          <w:color w:val="0000FF"/>
        </w:rPr>
      </w:pPr>
      <w:hyperlink r:id="rId146">
        <w:r>
          <w:rPr>
            <w:rFonts w:ascii="Times New Roman" w:cs="Times New Roman" w:eastAsia="Times New Roman" w:hAnsi="Times New Roman"/>
            <w:sz w:val="16"/>
            <w:szCs w:val="16"/>
            <w:u w:val="single" w:color="auto"/>
            <w:color w:val="0000FF"/>
          </w:rPr>
          <w:t>Indenture, dated as of June 21, 2021, by and among</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Marriott Ownership Resorts, Inc., Marriott Vacations</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Worldwide Corporation, as guarantor, the other guarantors</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party thereto and The Bank of New York Mellon Trust</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Company, N.A., as 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75" w:lineRule="exact"/>
        <w:rPr>
          <w:rFonts w:ascii="Times New Roman" w:cs="Times New Roman" w:eastAsia="Times New Roman" w:hAnsi="Times New Roman"/>
          <w:sz w:val="16"/>
          <w:szCs w:val="16"/>
          <w:u w:val="single" w:color="auto"/>
          <w:color w:val="0000FF"/>
        </w:rPr>
      </w:pPr>
    </w:p>
    <w:p>
      <w:pPr>
        <w:spacing w:after="0"/>
        <w:tabs>
          <w:tab w:leader="none" w:pos="720" w:val="left"/>
          <w:tab w:leader="none" w:pos="138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2/3/2021</w:t>
      </w:r>
    </w:p>
    <w:p>
      <w:pPr>
        <w:spacing w:after="0" w:line="200" w:lineRule="exact"/>
        <w:rPr>
          <w:rFonts w:ascii="Times New Roman" w:cs="Times New Roman" w:eastAsia="Times New Roman" w:hAnsi="Times New Roman"/>
          <w:sz w:val="16"/>
          <w:szCs w:val="16"/>
          <w:u w:val="single" w:color="auto"/>
          <w:color w:val="0000FF"/>
        </w:rPr>
      </w:pPr>
    </w:p>
    <w:p>
      <w:pPr>
        <w:spacing w:after="0" w:line="374" w:lineRule="exact"/>
        <w:rPr>
          <w:rFonts w:ascii="Times New Roman" w:cs="Times New Roman" w:eastAsia="Times New Roman" w:hAnsi="Times New Roman"/>
          <w:sz w:val="16"/>
          <w:szCs w:val="16"/>
          <w:u w:val="single" w:color="auto"/>
          <w:color w:val="0000FF"/>
        </w:rPr>
      </w:pPr>
    </w:p>
    <w:p>
      <w:pPr>
        <w:spacing w:after="0"/>
        <w:tabs>
          <w:tab w:leader="none" w:pos="720" w:val="left"/>
          <w:tab w:leader="none" w:pos="13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6/22/2021</w:t>
      </w:r>
    </w:p>
    <w:p>
      <w:pPr>
        <w:spacing w:after="0" w:line="478"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2200" w:space="340"/>
            <w:col w:w="4100" w:space="720"/>
            <w:col w:w="2779"/>
          </w:cols>
          <w:pgMar w:left="320" w:top="218" w:right="1440" w:bottom="1440" w:gutter="0" w:footer="0" w:header="0"/>
          <w:type w:val="continuous"/>
        </w:sectPr>
      </w:pPr>
    </w:p>
    <w:p>
      <w:pPr>
        <w:spacing w:after="0" w:line="95" w:lineRule="exact"/>
        <w:rPr>
          <w:rFonts w:ascii="Times New Roman" w:cs="Times New Roman" w:eastAsia="Times New Roman" w:hAnsi="Times New Roman"/>
          <w:sz w:val="16"/>
          <w:szCs w:val="16"/>
          <w:u w:val="single" w:color="auto"/>
          <w:color w:val="0000FF"/>
        </w:rPr>
      </w:pPr>
    </w:p>
    <w:p>
      <w:pPr>
        <w:ind w:left="2000"/>
        <w:spacing w:after="0"/>
        <w:rPr>
          <w:sz w:val="20"/>
          <w:szCs w:val="20"/>
          <w:color w:val="auto"/>
        </w:rPr>
      </w:pPr>
      <w:r>
        <w:rPr>
          <w:rFonts w:ascii="Times New Roman" w:cs="Times New Roman" w:eastAsia="Times New Roman" w:hAnsi="Times New Roman"/>
          <w:sz w:val="16"/>
          <w:szCs w:val="16"/>
          <w:color w:val="auto"/>
        </w:rPr>
        <w:t>4.8</w:t>
      </w:r>
    </w:p>
    <w:p>
      <w:pPr>
        <w:spacing w:after="0" w:line="200" w:lineRule="exact"/>
        <w:rPr>
          <w:rFonts w:ascii="Times New Roman" w:cs="Times New Roman" w:eastAsia="Times New Roman" w:hAnsi="Times New Roman"/>
          <w:sz w:val="16"/>
          <w:szCs w:val="16"/>
          <w:u w:val="single" w:color="auto"/>
          <w:color w:val="0000FF"/>
        </w:rPr>
      </w:pPr>
    </w:p>
    <w:p>
      <w:pPr>
        <w:spacing w:after="0" w:line="374" w:lineRule="exact"/>
        <w:rPr>
          <w:rFonts w:ascii="Times New Roman" w:cs="Times New Roman" w:eastAsia="Times New Roman" w:hAnsi="Times New Roman"/>
          <w:sz w:val="16"/>
          <w:szCs w:val="16"/>
          <w:u w:val="single" w:color="auto"/>
          <w:color w:val="0000FF"/>
        </w:rPr>
      </w:pPr>
    </w:p>
    <w:p>
      <w:pPr>
        <w:ind w:left="200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ind w:right="800"/>
        <w:spacing w:after="0" w:line="276" w:lineRule="auto"/>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u w:val="single" w:color="auto"/>
            <w:color w:val="0000FF"/>
          </w:rPr>
          <w:t>Form of 4.500% Senior Notes due 2029</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Exhibit A to Exhibit 4.7 above)</w:t>
      </w:r>
    </w:p>
    <w:p>
      <w:pPr>
        <w:spacing w:after="0" w:line="50" w:lineRule="exact"/>
        <w:rPr>
          <w:rFonts w:ascii="Times New Roman" w:cs="Times New Roman" w:eastAsia="Times New Roman" w:hAnsi="Times New Roman"/>
          <w:sz w:val="16"/>
          <w:szCs w:val="16"/>
          <w:u w:val="single" w:color="auto"/>
          <w:color w:val="0000FF"/>
        </w:rPr>
      </w:pPr>
    </w:p>
    <w:p>
      <w:pPr>
        <w:ind w:right="380"/>
        <w:spacing w:after="0" w:line="254" w:lineRule="auto"/>
        <w:rPr>
          <w:rFonts w:ascii="Times New Roman" w:cs="Times New Roman" w:eastAsia="Times New Roman" w:hAnsi="Times New Roman"/>
          <w:sz w:val="16"/>
          <w:szCs w:val="16"/>
          <w:u w:val="single" w:color="auto"/>
          <w:color w:val="0000FF"/>
        </w:rPr>
      </w:pPr>
      <w:hyperlink r:id="rId148">
        <w:r>
          <w:rPr>
            <w:rFonts w:ascii="Times New Roman" w:cs="Times New Roman" w:eastAsia="Times New Roman" w:hAnsi="Times New Roman"/>
            <w:sz w:val="16"/>
            <w:szCs w:val="16"/>
            <w:u w:val="single" w:color="auto"/>
            <w:color w:val="0000FF"/>
          </w:rPr>
          <w:t>Indenture, dated as of December 8, 2022, by and among</w:t>
        </w:r>
      </w:hyperlink>
      <w:r>
        <w:rPr>
          <w:rFonts w:ascii="Times New Roman" w:cs="Times New Roman" w:eastAsia="Times New Roman" w:hAnsi="Times New Roman"/>
          <w:sz w:val="16"/>
          <w:szCs w:val="16"/>
          <w:u w:val="single" w:color="auto"/>
          <w:color w:val="0000FF"/>
        </w:rPr>
        <w:t xml:space="preserve"> </w:t>
      </w:r>
      <w:hyperlink r:id="rId148">
        <w:r>
          <w:rPr>
            <w:rFonts w:ascii="Times New Roman" w:cs="Times New Roman" w:eastAsia="Times New Roman" w:hAnsi="Times New Roman"/>
            <w:sz w:val="16"/>
            <w:szCs w:val="16"/>
            <w:u w:val="single" w:color="auto"/>
            <w:color w:val="0000FF"/>
          </w:rPr>
          <w:t>Marriott Vacations Worldwide Corporation, as issuer,</w:t>
        </w:r>
      </w:hyperlink>
      <w:r>
        <w:rPr>
          <w:rFonts w:ascii="Times New Roman" w:cs="Times New Roman" w:eastAsia="Times New Roman" w:hAnsi="Times New Roman"/>
          <w:sz w:val="16"/>
          <w:szCs w:val="16"/>
          <w:u w:val="single" w:color="auto"/>
          <w:color w:val="0000FF"/>
        </w:rPr>
        <w:t xml:space="preserve"> </w:t>
      </w:r>
      <w:hyperlink r:id="rId148">
        <w:r>
          <w:rPr>
            <w:rFonts w:ascii="Times New Roman" w:cs="Times New Roman" w:eastAsia="Times New Roman" w:hAnsi="Times New Roman"/>
            <w:sz w:val="16"/>
            <w:szCs w:val="16"/>
            <w:u w:val="single" w:color="auto"/>
            <w:color w:val="0000FF"/>
          </w:rPr>
          <w:t>Marriott Ownership Resorts, Inc. and the other guarantors</w:t>
        </w:r>
      </w:hyperlink>
      <w:r>
        <w:rPr>
          <w:rFonts w:ascii="Times New Roman" w:cs="Times New Roman" w:eastAsia="Times New Roman" w:hAnsi="Times New Roman"/>
          <w:sz w:val="16"/>
          <w:szCs w:val="16"/>
          <w:u w:val="single" w:color="auto"/>
          <w:color w:val="0000FF"/>
        </w:rPr>
        <w:t xml:space="preserve"> </w:t>
      </w:r>
      <w:hyperlink r:id="rId148">
        <w:r>
          <w:rPr>
            <w:rFonts w:ascii="Times New Roman" w:cs="Times New Roman" w:eastAsia="Times New Roman" w:hAnsi="Times New Roman"/>
            <w:sz w:val="16"/>
            <w:szCs w:val="16"/>
            <w:u w:val="single" w:color="auto"/>
            <w:color w:val="0000FF"/>
          </w:rPr>
          <w:t>party thereto from time to time and The New York Bank of</w:t>
        </w:r>
      </w:hyperlink>
      <w:r>
        <w:rPr>
          <w:rFonts w:ascii="Times New Roman" w:cs="Times New Roman" w:eastAsia="Times New Roman" w:hAnsi="Times New Roman"/>
          <w:sz w:val="16"/>
          <w:szCs w:val="16"/>
          <w:u w:val="single" w:color="auto"/>
          <w:color w:val="0000FF"/>
        </w:rPr>
        <w:t xml:space="preserve"> </w:t>
      </w:r>
      <w:hyperlink r:id="rId148">
        <w:r>
          <w:rPr>
            <w:rFonts w:ascii="Times New Roman" w:cs="Times New Roman" w:eastAsia="Times New Roman" w:hAnsi="Times New Roman"/>
            <w:sz w:val="16"/>
            <w:szCs w:val="16"/>
            <w:u w:val="single" w:color="auto"/>
            <w:color w:val="0000FF"/>
          </w:rPr>
          <w:t>Mellon Trust Company, N.A., as 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75" w:lineRule="exact"/>
        <w:rPr>
          <w:rFonts w:ascii="Times New Roman" w:cs="Times New Roman" w:eastAsia="Times New Roman" w:hAnsi="Times New Roman"/>
          <w:sz w:val="16"/>
          <w:szCs w:val="16"/>
          <w:u w:val="single" w:color="auto"/>
          <w:color w:val="0000FF"/>
        </w:rPr>
      </w:pPr>
    </w:p>
    <w:p>
      <w:pPr>
        <w:spacing w:after="0"/>
        <w:tabs>
          <w:tab w:leader="none" w:pos="720" w:val="left"/>
          <w:tab w:leader="none" w:pos="13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color w:val="auto"/>
        </w:rPr>
        <w:t>6/22/2021</w:t>
      </w:r>
    </w:p>
    <w:p>
      <w:pPr>
        <w:spacing w:after="0" w:line="200" w:lineRule="exact"/>
        <w:rPr>
          <w:rFonts w:ascii="Times New Roman" w:cs="Times New Roman" w:eastAsia="Times New Roman" w:hAnsi="Times New Roman"/>
          <w:sz w:val="16"/>
          <w:szCs w:val="16"/>
          <w:u w:val="single" w:color="auto"/>
          <w:color w:val="0000FF"/>
        </w:rPr>
      </w:pPr>
    </w:p>
    <w:p>
      <w:pPr>
        <w:spacing w:after="0" w:line="374" w:lineRule="exact"/>
        <w:rPr>
          <w:rFonts w:ascii="Times New Roman" w:cs="Times New Roman" w:eastAsia="Times New Roman" w:hAnsi="Times New Roman"/>
          <w:sz w:val="16"/>
          <w:szCs w:val="16"/>
          <w:u w:val="single" w:color="auto"/>
          <w:color w:val="0000FF"/>
        </w:rPr>
      </w:pPr>
    </w:p>
    <w:p>
      <w:pPr>
        <w:spacing w:after="0"/>
        <w:tabs>
          <w:tab w:leader="none" w:pos="720" w:val="left"/>
          <w:tab w:leader="none" w:pos="13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12/8/2022</w:t>
      </w:r>
    </w:p>
    <w:p>
      <w:pPr>
        <w:spacing w:after="0" w:line="465"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2200" w:space="340"/>
            <w:col w:w="4100" w:space="720"/>
            <w:col w:w="2779"/>
          </w:cols>
          <w:pgMar w:left="320" w:top="218" w:right="1440" w:bottom="1440" w:gutter="0" w:footer="0" w:header="0"/>
          <w:type w:val="continuous"/>
        </w:sectPr>
      </w:pPr>
    </w:p>
    <w:tbl>
      <w:tblPr>
        <w:tblLayout w:type="fixed"/>
        <w:tblInd w:w="1960" w:type="dxa"/>
        <w:tblCellMar>
          <w:top w:w="0" w:type="dxa"/>
          <w:left w:w="0" w:type="dxa"/>
          <w:bottom w:w="0" w:type="dxa"/>
          <w:right w:w="0" w:type="dxa"/>
        </w:tblCellMar>
      </w:tblPr>
      <w:tr>
        <w:trPr>
          <w:trHeight w:val="184"/>
        </w:trPr>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2"/>
              </w:rPr>
              <w:t>4.10</w:t>
            </w:r>
          </w:p>
        </w:tc>
        <w:tc>
          <w:tcPr>
            <w:tcW w:w="3400" w:type="dxa"/>
            <w:vAlign w:val="bottom"/>
            <w:gridSpan w:val="4"/>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3.25% Convertible Senior Notes due 2027</w:t>
              </w:r>
            </w:hyperlink>
          </w:p>
        </w:tc>
        <w:tc>
          <w:tcPr>
            <w:tcW w:w="0" w:type="dxa"/>
            <w:vAlign w:val="bottom"/>
          </w:tcPr>
          <w:p>
            <w:pPr>
              <w:spacing w:after="0"/>
              <w:rPr>
                <w:sz w:val="1"/>
                <w:szCs w:val="1"/>
                <w:color w:val="auto"/>
              </w:rPr>
            </w:pPr>
          </w:p>
        </w:tc>
      </w:tr>
      <w:tr>
        <w:trPr>
          <w:trHeight w:val="111"/>
        </w:trPr>
        <w:tc>
          <w:tcPr>
            <w:tcW w:w="580" w:type="dxa"/>
            <w:vAlign w:val="bottom"/>
            <w:vMerge w:val="continue"/>
          </w:tcPr>
          <w:p>
            <w:pPr>
              <w:spacing w:after="0"/>
              <w:rPr>
                <w:sz w:val="9"/>
                <w:szCs w:val="9"/>
                <w:color w:val="auto"/>
              </w:rPr>
            </w:pPr>
          </w:p>
        </w:tc>
        <w:tc>
          <w:tcPr>
            <w:tcW w:w="322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(included as Exhibit A to Exhibit 4.9 above)</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2"/>
              </w:rPr>
              <w:t>4.11</w:t>
            </w:r>
          </w:p>
        </w:tc>
        <w:tc>
          <w:tcPr>
            <w:tcW w:w="3400" w:type="dxa"/>
            <w:vAlign w:val="bottom"/>
            <w:gridSpan w:val="4"/>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Description of Registered Securities</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2"/>
              </w:rPr>
              <w:t>10.1</w:t>
            </w:r>
          </w:p>
        </w:tc>
        <w:tc>
          <w:tcPr>
            <w:tcW w:w="34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7"/>
              </w:rPr>
            </w:pPr>
            <w:hyperlink r:id="rId151">
              <w:r>
                <w:rPr>
                  <w:rFonts w:ascii="Times New Roman" w:cs="Times New Roman" w:eastAsia="Times New Roman" w:hAnsi="Times New Roman"/>
                  <w:sz w:val="16"/>
                  <w:szCs w:val="16"/>
                  <w:color w:val="0000FF"/>
                  <w:w w:val="97"/>
                </w:rPr>
                <w:t>Marriott Vacations Worldwide Corporation Change in</w:t>
              </w:r>
            </w:hyperlink>
          </w:p>
        </w:tc>
        <w:tc>
          <w:tcPr>
            <w:tcW w:w="0" w:type="dxa"/>
            <w:vAlign w:val="bottom"/>
          </w:tcPr>
          <w:p>
            <w:pPr>
              <w:spacing w:after="0"/>
              <w:rPr>
                <w:sz w:val="1"/>
                <w:szCs w:val="1"/>
                <w:color w:val="auto"/>
              </w:rPr>
            </w:pPr>
          </w:p>
        </w:tc>
      </w:tr>
      <w:tr>
        <w:trPr>
          <w:trHeight w:val="111"/>
        </w:trPr>
        <w:tc>
          <w:tcPr>
            <w:tcW w:w="580" w:type="dxa"/>
            <w:vAlign w:val="bottom"/>
            <w:vMerge w:val="continue"/>
          </w:tcPr>
          <w:p>
            <w:pPr>
              <w:spacing w:after="0"/>
              <w:rPr>
                <w:sz w:val="9"/>
                <w:szCs w:val="9"/>
                <w:color w:val="auto"/>
              </w:rPr>
            </w:pPr>
          </w:p>
        </w:tc>
        <w:tc>
          <w:tcPr>
            <w:tcW w:w="3400" w:type="dxa"/>
            <w:vAlign w:val="bottom"/>
            <w:gridSpan w:val="4"/>
            <w:vMerge w:val="restart"/>
          </w:tcPr>
          <w:p>
            <w:pPr>
              <w:spacing w:after="0" w:line="170"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Control Severance Plan**</w:t>
              </w:r>
            </w:hyperlink>
          </w:p>
        </w:tc>
        <w:tc>
          <w:tcPr>
            <w:tcW w:w="0" w:type="dxa"/>
            <w:vAlign w:val="bottom"/>
          </w:tcPr>
          <w:p>
            <w:pPr>
              <w:spacing w:after="0"/>
              <w:rPr>
                <w:sz w:val="1"/>
                <w:szCs w:val="1"/>
                <w:color w:val="auto"/>
              </w:rPr>
            </w:pPr>
          </w:p>
        </w:tc>
      </w:tr>
      <w:tr>
        <w:trPr>
          <w:trHeight w:val="59"/>
        </w:trPr>
        <w:tc>
          <w:tcPr>
            <w:tcW w:w="580" w:type="dxa"/>
            <w:vAlign w:val="bottom"/>
          </w:tcPr>
          <w:p>
            <w:pPr>
              <w:spacing w:after="0"/>
              <w:rPr>
                <w:sz w:val="5"/>
                <w:szCs w:val="5"/>
                <w:color w:val="auto"/>
              </w:rPr>
            </w:pPr>
          </w:p>
        </w:tc>
        <w:tc>
          <w:tcPr>
            <w:tcW w:w="34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tbl>
      <w:tblPr>
        <w:tblLayout w:type="fixed"/>
        <w:tblInd w:w="196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3640" w:type="dxa"/>
            <w:vAlign w:val="bottom"/>
            <w:gridSpan w:val="5"/>
          </w:tcPr>
          <w:p>
            <w:pPr>
              <w:spacing w:after="0"/>
              <w:rPr>
                <w:rFonts w:ascii="Times New Roman" w:cs="Times New Roman" w:eastAsia="Times New Roman" w:hAnsi="Times New Roman"/>
                <w:sz w:val="16"/>
                <w:szCs w:val="16"/>
                <w:color w:val="0000FF"/>
                <w:w w:val="98"/>
              </w:rPr>
            </w:pPr>
            <w:hyperlink r:id="rId152">
              <w:r>
                <w:rPr>
                  <w:rFonts w:ascii="Times New Roman" w:cs="Times New Roman" w:eastAsia="Times New Roman" w:hAnsi="Times New Roman"/>
                  <w:sz w:val="16"/>
                  <w:szCs w:val="16"/>
                  <w:color w:val="0000FF"/>
                  <w:w w:val="98"/>
                </w:rPr>
                <w:t>Incremental Facility Amendment and Amendment No. 4,</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00" w:type="dxa"/>
            <w:vAlign w:val="bottom"/>
            <w:tcBorders>
              <w:top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dated as of March 24, 2025, by and among Marriott</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2"/>
              </w:rPr>
              <w:t>10.2</w:t>
            </w:r>
          </w:p>
        </w:tc>
        <w:tc>
          <w:tcPr>
            <w:tcW w:w="3640" w:type="dxa"/>
            <w:vAlign w:val="bottom"/>
            <w:gridSpan w:val="5"/>
          </w:tcPr>
          <w:p>
            <w:pPr>
              <w:spacing w:after="0" w:line="169"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Vacations Worldwide Corporation, Marriott Ownership</w:t>
              </w:r>
            </w:hyperlink>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80" w:type="dxa"/>
            <w:vAlign w:val="bottom"/>
            <w:vMerge w:val="continue"/>
          </w:tcPr>
          <w:p>
            <w:pPr>
              <w:spacing w:after="0"/>
              <w:rPr>
                <w:sz w:val="9"/>
                <w:szCs w:val="9"/>
                <w:color w:val="auto"/>
              </w:rPr>
            </w:pPr>
          </w:p>
        </w:tc>
        <w:tc>
          <w:tcPr>
            <w:tcW w:w="3640" w:type="dxa"/>
            <w:vAlign w:val="bottom"/>
            <w:gridSpan w:val="5"/>
            <w:vMerge w:val="restart"/>
          </w:tcPr>
          <w:p>
            <w:pPr>
              <w:spacing w:after="0" w:line="169" w:lineRule="exact"/>
              <w:rPr>
                <w:rFonts w:ascii="Times New Roman" w:cs="Times New Roman" w:eastAsia="Times New Roman" w:hAnsi="Times New Roman"/>
                <w:sz w:val="16"/>
                <w:szCs w:val="16"/>
                <w:color w:val="0000FF"/>
                <w:w w:val="97"/>
              </w:rPr>
            </w:pPr>
            <w:hyperlink r:id="rId152">
              <w:r>
                <w:rPr>
                  <w:rFonts w:ascii="Times New Roman" w:cs="Times New Roman" w:eastAsia="Times New Roman" w:hAnsi="Times New Roman"/>
                  <w:sz w:val="16"/>
                  <w:szCs w:val="16"/>
                  <w:color w:val="0000FF"/>
                  <w:w w:val="97"/>
                </w:rPr>
                <w:t>Resorts, Inc., as borrower, the subsidiary guarantors party</w:t>
              </w:r>
            </w:hyperlink>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640" w:type="dxa"/>
            <w:vAlign w:val="bottom"/>
            <w:tcBorders>
              <w:bottom w:val="single" w:sz="8" w:color="0000FF"/>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50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7"/>
              </w:rPr>
            </w:pPr>
            <w:hyperlink r:id="rId152">
              <w:r>
                <w:rPr>
                  <w:rFonts w:ascii="Times New Roman" w:cs="Times New Roman" w:eastAsia="Times New Roman" w:hAnsi="Times New Roman"/>
                  <w:sz w:val="16"/>
                  <w:szCs w:val="16"/>
                  <w:color w:val="0000FF"/>
                  <w:w w:val="97"/>
                </w:rPr>
                <w:t>thereto, JPMorgan Chase Bank, N.A., as administrative</w:t>
              </w:r>
            </w:hyperlink>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40" w:type="dxa"/>
            <w:vAlign w:val="bottom"/>
            <w:gridSpan w:val="5"/>
          </w:tcPr>
          <w:p>
            <w:pPr>
              <w:spacing w:after="0" w:line="169"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agent and collateral agent, and the lenders party thereto</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2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8"/>
              </w:rPr>
              <w:t>12/8/2022</w:t>
            </w:r>
          </w:p>
        </w:tc>
      </w:tr>
      <w:tr>
        <w:trPr>
          <w:trHeight w:val="379"/>
        </w:trPr>
        <w:tc>
          <w:tcPr>
            <w:tcW w:w="52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4.16</w:t>
            </w:r>
          </w:p>
        </w:tc>
        <w:tc>
          <w:tcPr>
            <w:tcW w:w="82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8"/>
              </w:rPr>
              <w:t>3/2/2020</w:t>
            </w:r>
          </w:p>
        </w:tc>
      </w:tr>
      <w:tr>
        <w:trPr>
          <w:trHeight w:val="379"/>
        </w:trPr>
        <w:tc>
          <w:tcPr>
            <w:tcW w:w="52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82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8"/>
              </w:rPr>
              <w:t>2/28/2025</w:t>
            </w:r>
          </w:p>
        </w:tc>
      </w:tr>
      <w:tr>
        <w:trPr>
          <w:trHeight w:val="852"/>
        </w:trPr>
        <w:tc>
          <w:tcPr>
            <w:tcW w:w="52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2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8"/>
              </w:rPr>
              <w:t>3/27/2025</w:t>
            </w:r>
          </w:p>
        </w:tc>
      </w:tr>
    </w:tbl>
    <w:p>
      <w:pPr>
        <w:spacing w:after="0" w:line="537" w:lineRule="exact"/>
        <w:rPr>
          <w:sz w:val="20"/>
          <w:szCs w:val="20"/>
          <w:color w:val="auto"/>
        </w:rPr>
      </w:pPr>
    </w:p>
    <w:p>
      <w:pPr>
        <w:sectPr>
          <w:pgSz w:w="11900" w:h="16838" w:orient="portrait"/>
          <w:cols w:equalWidth="0" w:num="2">
            <w:col w:w="6600" w:space="720"/>
            <w:col w:w="2819"/>
          </w:cols>
          <w:pgMar w:left="320" w:top="218" w:right="1440" w:bottom="1440" w:gutter="0" w:footer="0" w:header="0"/>
          <w:type w:val="continuous"/>
        </w:sectPr>
      </w:pPr>
    </w:p>
    <w:tbl>
      <w:tblPr>
        <w:tblLayout w:type="fixed"/>
        <w:tblInd w:w="1960" w:type="dxa"/>
        <w:tblCellMar>
          <w:top w:w="0" w:type="dxa"/>
          <w:left w:w="0" w:type="dxa"/>
          <w:bottom w:w="0" w:type="dxa"/>
          <w:right w:w="0" w:type="dxa"/>
        </w:tblCellMar>
      </w:tblPr>
      <w:tr>
        <w:trPr>
          <w:trHeight w:val="184"/>
        </w:trPr>
        <w:tc>
          <w:tcPr>
            <w:tcW w:w="5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2"/>
              </w:rPr>
              <w:t>22.1</w:t>
            </w:r>
          </w:p>
        </w:tc>
        <w:tc>
          <w:tcPr>
            <w:tcW w:w="3620" w:type="dxa"/>
            <w:vAlign w:val="bottom"/>
            <w:gridSpan w:val="8"/>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List of the Issuer and its Guarantor Subsidiaries</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2"/>
              </w:rPr>
              <w:t>31.1</w:t>
            </w:r>
          </w:p>
        </w:tc>
        <w:tc>
          <w:tcPr>
            <w:tcW w:w="3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Certification by Chief Executive Officer Pursuant to</w:t>
            </w:r>
          </w:p>
        </w:tc>
        <w:tc>
          <w:tcPr>
            <w:tcW w:w="3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580" w:type="dxa"/>
            <w:vAlign w:val="bottom"/>
            <w:vMerge w:val="continue"/>
          </w:tcPr>
          <w:p>
            <w:pPr>
              <w:spacing w:after="0"/>
              <w:rPr>
                <w:sz w:val="9"/>
                <w:szCs w:val="9"/>
                <w:color w:val="auto"/>
              </w:rPr>
            </w:pPr>
          </w:p>
        </w:tc>
        <w:tc>
          <w:tcPr>
            <w:tcW w:w="3480" w:type="dxa"/>
            <w:vAlign w:val="bottom"/>
            <w:gridSpan w:val="6"/>
            <w:vMerge w:val="restart"/>
          </w:tcPr>
          <w:p>
            <w:pPr>
              <w:spacing w:after="0" w:line="169" w:lineRule="exact"/>
              <w:rPr>
                <w:sz w:val="20"/>
                <w:szCs w:val="20"/>
                <w:color w:val="auto"/>
              </w:rPr>
            </w:pPr>
            <w:r>
              <w:rPr>
                <w:rFonts w:ascii="Times New Roman" w:cs="Times New Roman" w:eastAsia="Times New Roman" w:hAnsi="Times New Roman"/>
                <w:sz w:val="16"/>
                <w:szCs w:val="16"/>
                <w:color w:val="0000FF"/>
                <w:w w:val="98"/>
              </w:rPr>
              <w:t>Rule 13a-14(a) of the Securities Exchange Act of 1934</w:t>
            </w:r>
          </w:p>
        </w:tc>
        <w:tc>
          <w:tcPr>
            <w:tcW w:w="1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480" w:type="dxa"/>
            <w:vAlign w:val="bottom"/>
            <w:tcBorders>
              <w:bottom w:val="single" w:sz="8" w:color="0000FF"/>
            </w:tcBorders>
            <w:gridSpan w:val="6"/>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2"/>
              </w:rPr>
              <w:t>31.2</w:t>
            </w:r>
          </w:p>
        </w:tc>
        <w:tc>
          <w:tcPr>
            <w:tcW w:w="3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7"/>
              </w:rPr>
              <w:t>Certification by Chief Financial Officer Pursuant to</w:t>
            </w:r>
          </w:p>
        </w:tc>
        <w:tc>
          <w:tcPr>
            <w:tcW w:w="3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580" w:type="dxa"/>
            <w:vAlign w:val="bottom"/>
            <w:vMerge w:val="continue"/>
          </w:tcPr>
          <w:p>
            <w:pPr>
              <w:spacing w:after="0"/>
              <w:rPr>
                <w:sz w:val="9"/>
                <w:szCs w:val="9"/>
                <w:color w:val="auto"/>
              </w:rPr>
            </w:pPr>
          </w:p>
        </w:tc>
        <w:tc>
          <w:tcPr>
            <w:tcW w:w="3480" w:type="dxa"/>
            <w:vAlign w:val="bottom"/>
            <w:gridSpan w:val="6"/>
            <w:vMerge w:val="restart"/>
          </w:tcPr>
          <w:p>
            <w:pPr>
              <w:spacing w:after="0" w:line="169" w:lineRule="exact"/>
              <w:rPr>
                <w:sz w:val="20"/>
                <w:szCs w:val="20"/>
                <w:color w:val="auto"/>
              </w:rPr>
            </w:pPr>
            <w:r>
              <w:rPr>
                <w:rFonts w:ascii="Times New Roman" w:cs="Times New Roman" w:eastAsia="Times New Roman" w:hAnsi="Times New Roman"/>
                <w:sz w:val="16"/>
                <w:szCs w:val="16"/>
                <w:color w:val="0000FF"/>
                <w:w w:val="98"/>
              </w:rPr>
              <w:t>Rule 13a-14(a) of the Securities Exchange Act of 1934</w:t>
            </w:r>
          </w:p>
        </w:tc>
        <w:tc>
          <w:tcPr>
            <w:tcW w:w="1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3480" w:type="dxa"/>
            <w:vAlign w:val="bottom"/>
            <w:tcBorders>
              <w:bottom w:val="single" w:sz="8" w:color="0000FF"/>
            </w:tcBorders>
            <w:gridSpan w:val="6"/>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3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7"/>
              </w:rPr>
              <w:t>Certification by Chief Executive Officer Pursuant to 18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80" w:type="dxa"/>
            <w:vAlign w:val="bottom"/>
          </w:tcPr>
          <w:p>
            <w:pPr>
              <w:jc w:val="right"/>
              <w:ind w:right="221"/>
              <w:spacing w:after="0" w:line="169" w:lineRule="exact"/>
              <w:rPr>
                <w:sz w:val="20"/>
                <w:szCs w:val="20"/>
                <w:color w:val="auto"/>
              </w:rPr>
            </w:pPr>
            <w:r>
              <w:rPr>
                <w:rFonts w:ascii="Times New Roman" w:cs="Times New Roman" w:eastAsia="Times New Roman" w:hAnsi="Times New Roman"/>
                <w:sz w:val="16"/>
                <w:szCs w:val="16"/>
                <w:color w:val="auto"/>
                <w:w w:val="92"/>
              </w:rPr>
              <w:t>32.1</w:t>
            </w:r>
          </w:p>
        </w:tc>
        <w:tc>
          <w:tcPr>
            <w:tcW w:w="362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w w:val="97"/>
              </w:rPr>
              <w:t>U.S.C. Section 1350, as Adopted Pursuant to Section 906</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20" w:type="dxa"/>
            <w:vAlign w:val="bottom"/>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3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Certification by Chief Financial Officer Pursuant to 18</w:t>
            </w:r>
          </w:p>
        </w:tc>
        <w:tc>
          <w:tcPr>
            <w:tcW w:w="1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80" w:type="dxa"/>
            <w:vAlign w:val="bottom"/>
          </w:tcPr>
          <w:p>
            <w:pPr>
              <w:jc w:val="right"/>
              <w:ind w:right="221"/>
              <w:spacing w:after="0" w:line="169" w:lineRule="exact"/>
              <w:rPr>
                <w:sz w:val="20"/>
                <w:szCs w:val="20"/>
                <w:color w:val="auto"/>
              </w:rPr>
            </w:pPr>
            <w:r>
              <w:rPr>
                <w:rFonts w:ascii="Times New Roman" w:cs="Times New Roman" w:eastAsia="Times New Roman" w:hAnsi="Times New Roman"/>
                <w:sz w:val="16"/>
                <w:szCs w:val="16"/>
                <w:color w:val="auto"/>
                <w:w w:val="92"/>
              </w:rPr>
              <w:t>32.2</w:t>
            </w:r>
          </w:p>
        </w:tc>
        <w:tc>
          <w:tcPr>
            <w:tcW w:w="362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w w:val="97"/>
              </w:rPr>
              <w:t>U.S.C. Section 1350, as Adopted Pursuant to Section 906</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20" w:type="dxa"/>
            <w:vAlign w:val="bottom"/>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779"/>
        <w:spacing w:after="0"/>
        <w:tabs>
          <w:tab w:leader="none" w:pos="1280" w:val="left"/>
          <w:tab w:leader="none" w:pos="62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22.1</w:t>
      </w:r>
      <w:r>
        <w:rPr>
          <w:sz w:val="20"/>
          <w:szCs w:val="20"/>
          <w:color w:val="auto"/>
        </w:rPr>
        <w:tab/>
      </w:r>
      <w:r>
        <w:rPr>
          <w:rFonts w:ascii="Times New Roman" w:cs="Times New Roman" w:eastAsia="Times New Roman" w:hAnsi="Times New Roman"/>
          <w:sz w:val="15"/>
          <w:szCs w:val="15"/>
          <w:color w:val="auto"/>
        </w:rPr>
        <w:t>2/27/2024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Furnished</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Furnished</w:t>
      </w:r>
    </w:p>
    <w:p>
      <w:pPr>
        <w:spacing w:after="0" w:line="289" w:lineRule="exact"/>
        <w:rPr>
          <w:sz w:val="20"/>
          <w:szCs w:val="20"/>
          <w:color w:val="auto"/>
        </w:rPr>
      </w:pPr>
    </w:p>
    <w:p>
      <w:pPr>
        <w:sectPr>
          <w:pgSz w:w="11900" w:h="16838" w:orient="portrait"/>
          <w:cols w:equalWidth="0" w:num="2">
            <w:col w:w="6160" w:space="540"/>
            <w:col w:w="3439"/>
          </w:cols>
          <w:pgMar w:left="320" w:top="218" w:right="1440" w:bottom="1440" w:gutter="0" w:footer="0" w:header="0"/>
          <w:type w:val="continuous"/>
        </w:sectPr>
      </w:pPr>
    </w:p>
    <w:p>
      <w:pPr>
        <w:ind w:left="2540" w:right="1079"/>
        <w:spacing w:after="0" w:line="275" w:lineRule="auto"/>
        <w:rPr>
          <w:sz w:val="20"/>
          <w:szCs w:val="20"/>
          <w:color w:val="auto"/>
        </w:rPr>
      </w:pPr>
      <w:r>
        <w:rPr>
          <w:rFonts w:ascii="Times New Roman" w:cs="Times New Roman" w:eastAsia="Times New Roman" w:hAnsi="Times New Roman"/>
          <w:sz w:val="15"/>
          <w:szCs w:val="15"/>
          <w:color w:val="auto"/>
        </w:rPr>
        <w:t>The following financial statements from the Company’s Quarterly Report on Form 10-Q for the quarter ended March 31, 2025, formatted in Inline XBRL: (i) Interim Consolidated Statements of Income, (ii)</w:t>
      </w:r>
    </w:p>
    <w:p>
      <w:pPr>
        <w:spacing w:after="0" w:line="1" w:lineRule="exact"/>
        <w:rPr>
          <w:sz w:val="20"/>
          <w:szCs w:val="20"/>
          <w:color w:val="auto"/>
        </w:rPr>
      </w:pPr>
    </w:p>
    <w:p>
      <w:pPr>
        <w:ind w:left="2540" w:right="819" w:hanging="556"/>
        <w:spacing w:after="0" w:line="247" w:lineRule="auto"/>
        <w:tabs>
          <w:tab w:leader="none" w:pos="25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Interim Consolidated Statements of Comprehensive Income, (iii) Interim Consolidated Balance Sheets, (iv) Interim Consolidated Statements of Cash Flows, (v) Interim Consolidated Statements of Stockholders’ Equity, and (vi) Notes to Interim Consolidated Financial Statements</w:t>
      </w:r>
    </w:p>
    <w:p>
      <w:pPr>
        <w:spacing w:after="0" w:line="78" w:lineRule="exact"/>
        <w:rPr>
          <w:sz w:val="20"/>
          <w:szCs w:val="20"/>
          <w:color w:val="auto"/>
        </w:rPr>
      </w:pPr>
    </w:p>
    <w:p>
      <w:pPr>
        <w:ind w:left="2540" w:right="799" w:hanging="556"/>
        <w:spacing w:after="0" w:line="183" w:lineRule="auto"/>
        <w:tabs>
          <w:tab w:leader="none" w:pos="2540" w:val="left"/>
        </w:tabs>
        <w:numPr>
          <w:ilvl w:val="0"/>
          <w:numId w:val="57"/>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5"/>
          <w:szCs w:val="15"/>
          <w:color w:val="auto"/>
        </w:rPr>
        <w:t>The cover page from the Company’s Quarterly Report on Form 10-Q for the quarter ended March 31, 2025, formatted in Inline XBRL and contained in Exhibit 101</w:t>
      </w:r>
    </w:p>
    <w:p>
      <w:pPr>
        <w:spacing w:after="0" w:line="138" w:lineRule="exact"/>
        <w:rPr>
          <w:sz w:val="20"/>
          <w:szCs w:val="20"/>
          <w:color w:val="auto"/>
        </w:rPr>
      </w:pPr>
    </w:p>
    <w:p>
      <w:pPr>
        <w:ind w:left="2580" w:hanging="539"/>
        <w:spacing w:after="0"/>
        <w:tabs>
          <w:tab w:leader="none" w:pos="2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4" w:lineRule="exact"/>
        <w:rPr>
          <w:rFonts w:ascii="Times New Roman" w:cs="Times New Roman" w:eastAsia="Times New Roman" w:hAnsi="Times New Roman"/>
          <w:sz w:val="16"/>
          <w:szCs w:val="16"/>
          <w:color w:val="auto"/>
        </w:rPr>
      </w:pPr>
    </w:p>
    <w:p>
      <w:pPr>
        <w:ind w:left="5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type w:val="continuous"/>
        </w:sectPr>
      </w:pPr>
    </w:p>
    <w:bookmarkStart w:id="55" w:name="page56"/>
    <w:bookmarkEnd w:id="55"/>
    <w:p>
      <w:pPr>
        <w:ind w:left="54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MARRIOTT VACATIONS WORLDWIDE CORPORATION</w:t>
            </w: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Date:   May 8, 2025</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E. Geller, Jr.</w:t>
            </w:r>
          </w:p>
        </w:tc>
      </w:tr>
      <w:tr>
        <w:trPr>
          <w:trHeight w:val="217"/>
        </w:trPr>
        <w:tc>
          <w:tcPr>
            <w:tcW w:w="2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John E. Geller, Jr.</w:t>
            </w:r>
          </w:p>
        </w:tc>
      </w:tr>
      <w:tr>
        <w:trPr>
          <w:trHeight w:val="237"/>
        </w:trPr>
        <w:tc>
          <w:tcPr>
            <w:tcW w:w="2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73"/>
        </w:trPr>
        <w:tc>
          <w:tcPr>
            <w:tcW w:w="29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Jason P. Marino</w:t>
            </w:r>
          </w:p>
        </w:tc>
      </w:tr>
      <w:tr>
        <w:trPr>
          <w:trHeight w:val="217"/>
        </w:trPr>
        <w:tc>
          <w:tcPr>
            <w:tcW w:w="2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Jason P. Marino</w:t>
            </w:r>
          </w:p>
        </w:tc>
      </w:tr>
      <w:tr>
        <w:trPr>
          <w:trHeight w:val="237"/>
        </w:trPr>
        <w:tc>
          <w:tcPr>
            <w:tcW w:w="2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817"/>
        </w:trPr>
        <w:tc>
          <w:tcPr>
            <w:tcW w:w="2920" w:type="dxa"/>
            <w:vAlign w:val="bottom"/>
          </w:tcPr>
          <w:p>
            <w:pPr>
              <w:spacing w:after="0"/>
              <w:rPr>
                <w:sz w:val="24"/>
                <w:szCs w:val="24"/>
                <w:color w:val="auto"/>
              </w:rPr>
            </w:pPr>
          </w:p>
        </w:tc>
        <w:tc>
          <w:tcPr>
            <w:tcW w:w="4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54</w:t>
            </w:r>
          </w:p>
        </w:tc>
      </w:tr>
    </w:tbl>
    <w:p>
      <w:pPr>
        <w:sectPr>
          <w:pgSz w:w="11900" w:h="16838" w:orient="portrait"/>
          <w:cols w:equalWidth="0" w:num="1">
            <w:col w:w="10760"/>
          </w:cols>
          <w:pgMar w:left="320" w:top="1044" w:right="8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John E. Geller, Jr., certify that:</w:t>
      </w:r>
    </w:p>
    <w:p>
      <w:pPr>
        <w:spacing w:after="0" w:line="100" w:lineRule="exact"/>
        <w:rPr>
          <w:sz w:val="20"/>
          <w:szCs w:val="20"/>
          <w:color w:val="auto"/>
        </w:rPr>
      </w:pPr>
    </w:p>
    <w:p>
      <w:pPr>
        <w:ind w:left="565" w:hanging="565"/>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Marriott Vacations Worldwide Corporation;</w:t>
      </w:r>
    </w:p>
    <w:p>
      <w:pPr>
        <w:spacing w:after="0" w:line="10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2" w:lineRule="exact"/>
        <w:rPr>
          <w:rFonts w:ascii="Times New Roman" w:cs="Times New Roman" w:eastAsia="Times New Roman" w:hAnsi="Times New Roman"/>
          <w:sz w:val="16"/>
          <w:szCs w:val="16"/>
          <w:color w:val="auto"/>
        </w:rPr>
      </w:pPr>
    </w:p>
    <w:p>
      <w:pPr>
        <w:ind w:left="5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6"/>
          <w:szCs w:val="16"/>
          <w:color w:val="auto"/>
        </w:rPr>
      </w:pPr>
    </w:p>
    <w:p>
      <w:pPr>
        <w:ind w:left="1145" w:right="220" w:hanging="577"/>
        <w:spacing w:after="0" w:line="261" w:lineRule="auto"/>
        <w:tabs>
          <w:tab w:leader="none" w:pos="114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145" w:right="40" w:hanging="577"/>
        <w:spacing w:after="0" w:line="261" w:lineRule="auto"/>
        <w:tabs>
          <w:tab w:leader="none" w:pos="114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145" w:right="360" w:hanging="577"/>
        <w:spacing w:after="0" w:line="276" w:lineRule="auto"/>
        <w:tabs>
          <w:tab w:leader="none" w:pos="114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6"/>
          <w:szCs w:val="16"/>
          <w:color w:val="auto"/>
        </w:rPr>
      </w:pPr>
    </w:p>
    <w:p>
      <w:pPr>
        <w:ind w:left="1145" w:right="20" w:hanging="577"/>
        <w:spacing w:after="0" w:line="261" w:lineRule="auto"/>
        <w:tabs>
          <w:tab w:leader="none" w:pos="114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65" w:right="520" w:hanging="565"/>
        <w:spacing w:after="0" w:line="276" w:lineRule="auto"/>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6"/>
          <w:szCs w:val="16"/>
          <w:color w:val="auto"/>
        </w:rPr>
      </w:pPr>
    </w:p>
    <w:p>
      <w:pPr>
        <w:ind w:left="1145" w:right="540" w:hanging="577"/>
        <w:spacing w:after="0" w:line="276" w:lineRule="auto"/>
        <w:tabs>
          <w:tab w:leader="none" w:pos="1143"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6"/>
          <w:szCs w:val="16"/>
          <w:color w:val="auto"/>
        </w:rPr>
      </w:pPr>
    </w:p>
    <w:p>
      <w:pPr>
        <w:ind w:left="1145" w:right="140" w:hanging="577"/>
        <w:spacing w:after="0" w:line="276" w:lineRule="auto"/>
        <w:tabs>
          <w:tab w:leader="none" w:pos="114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 May 8, 2025</w:t>
      </w:r>
    </w:p>
    <w:p>
      <w:pPr>
        <w:spacing w:after="0" w:line="361"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29210</wp:posOffset>
            </wp:positionV>
            <wp:extent cx="302958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33"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John E. Geller, Jr.</w:t>
      </w:r>
    </w:p>
    <w:p>
      <w:pPr>
        <w:spacing w:after="0" w:line="29"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41"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5"/>
          </w:cols>
          <w:pgMar w:left="315" w:top="1115"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Jason P. Marino, certify that:</w:t>
      </w:r>
    </w:p>
    <w:p>
      <w:pPr>
        <w:spacing w:after="0" w:line="100" w:lineRule="exact"/>
        <w:rPr>
          <w:sz w:val="20"/>
          <w:szCs w:val="20"/>
          <w:color w:val="auto"/>
        </w:rPr>
      </w:pPr>
    </w:p>
    <w:p>
      <w:pPr>
        <w:ind w:left="565" w:hanging="565"/>
        <w:spacing w:after="0"/>
        <w:tabs>
          <w:tab w:leader="none" w:pos="56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Marriott Vacations Worldwide Corporation;</w:t>
      </w:r>
    </w:p>
    <w:p>
      <w:pPr>
        <w:spacing w:after="0" w:line="10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2" w:lineRule="exact"/>
        <w:rPr>
          <w:rFonts w:ascii="Times New Roman" w:cs="Times New Roman" w:eastAsia="Times New Roman" w:hAnsi="Times New Roman"/>
          <w:sz w:val="16"/>
          <w:szCs w:val="16"/>
          <w:color w:val="auto"/>
        </w:rPr>
      </w:pPr>
    </w:p>
    <w:p>
      <w:pPr>
        <w:ind w:left="5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6"/>
          <w:szCs w:val="16"/>
          <w:color w:val="auto"/>
        </w:rPr>
      </w:pPr>
    </w:p>
    <w:p>
      <w:pPr>
        <w:ind w:left="1145" w:right="220" w:hanging="577"/>
        <w:spacing w:after="0" w:line="261" w:lineRule="auto"/>
        <w:tabs>
          <w:tab w:leader="none" w:pos="114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145" w:right="40" w:hanging="577"/>
        <w:spacing w:after="0" w:line="261" w:lineRule="auto"/>
        <w:tabs>
          <w:tab w:leader="none" w:pos="114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145" w:right="360" w:hanging="577"/>
        <w:spacing w:after="0" w:line="276" w:lineRule="auto"/>
        <w:tabs>
          <w:tab w:leader="none" w:pos="114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6"/>
          <w:szCs w:val="16"/>
          <w:color w:val="auto"/>
        </w:rPr>
      </w:pPr>
    </w:p>
    <w:p>
      <w:pPr>
        <w:ind w:left="1145" w:right="20" w:hanging="577"/>
        <w:spacing w:after="0" w:line="261" w:lineRule="auto"/>
        <w:tabs>
          <w:tab w:leader="none" w:pos="114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65" w:right="520" w:hanging="565"/>
        <w:spacing w:after="0" w:line="276" w:lineRule="auto"/>
        <w:tabs>
          <w:tab w:leader="none" w:pos="56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6"/>
          <w:szCs w:val="16"/>
          <w:color w:val="auto"/>
        </w:rPr>
      </w:pPr>
    </w:p>
    <w:p>
      <w:pPr>
        <w:ind w:left="1145" w:right="540" w:hanging="577"/>
        <w:spacing w:after="0" w:line="276" w:lineRule="auto"/>
        <w:tabs>
          <w:tab w:leader="none" w:pos="114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6"/>
          <w:szCs w:val="16"/>
          <w:color w:val="auto"/>
        </w:rPr>
      </w:pPr>
    </w:p>
    <w:p>
      <w:pPr>
        <w:ind w:left="1145" w:right="140" w:hanging="577"/>
        <w:spacing w:after="0" w:line="276" w:lineRule="auto"/>
        <w:tabs>
          <w:tab w:leader="none" w:pos="114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 May 8, 2025</w:t>
      </w:r>
    </w:p>
    <w:p>
      <w:pPr>
        <w:spacing w:after="0" w:line="372"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13970</wp:posOffset>
            </wp:positionV>
            <wp:extent cx="316484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3164840" cy="7620"/>
                    </a:xfrm>
                    <a:prstGeom prst="rect">
                      <a:avLst/>
                    </a:prstGeom>
                    <a:noFill/>
                  </pic:spPr>
                </pic:pic>
              </a:graphicData>
            </a:graphic>
          </wp:anchor>
        </w:drawing>
      </w:r>
    </w:p>
    <w:p>
      <w:pPr>
        <w:spacing w:after="0" w:line="21"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Jason P. Marino</w:t>
      </w:r>
    </w:p>
    <w:p>
      <w:pPr>
        <w:spacing w:after="0" w:line="53"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1"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65"/>
          </w:cols>
          <w:pgMar w:left="315" w:top="1115"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 Pursuant to Section 906 of the Sarbanes-Oxley Act of 2002</w:t>
      </w:r>
    </w:p>
    <w:p>
      <w:pPr>
        <w:spacing w:after="0" w:line="3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John E. Geller, Jr., President and Chief Executive Officer of Marriott Vacations Worldwide Corporation (the “Company”) certify that:</w:t>
      </w:r>
    </w:p>
    <w:p>
      <w:pPr>
        <w:spacing w:after="0" w:line="100" w:lineRule="exact"/>
        <w:rPr>
          <w:sz w:val="20"/>
          <w:szCs w:val="20"/>
          <w:color w:val="auto"/>
        </w:rPr>
      </w:pPr>
    </w:p>
    <w:p>
      <w:pPr>
        <w:ind w:left="565" w:right="20" w:hanging="565"/>
        <w:spacing w:after="0" w:line="276" w:lineRule="auto"/>
        <w:tabs>
          <w:tab w:leader="none" w:pos="56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March 31, 2025 (the “Quarterly Report”), fully complies with the requirements of section 13(a) or 15(d) of the Securities Exchange Act of 1934 (15 U.S.C. 78m or 78o(d)); and</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 May 8, 2025</w:t>
      </w:r>
    </w:p>
    <w:p>
      <w:pPr>
        <w:spacing w:after="0" w:line="31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13970</wp:posOffset>
            </wp:positionV>
            <wp:extent cx="302958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3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John E. Geller, Jr.</w:t>
      </w:r>
    </w:p>
    <w:p>
      <w:pPr>
        <w:spacing w:after="0" w:line="5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5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5"/>
          </w:cols>
          <w:pgMar w:left="315" w:top="1115"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 Pursuant to Section 906 of the Sarbanes-Oxley Act of 2002</w:t>
      </w:r>
    </w:p>
    <w:p>
      <w:pPr>
        <w:spacing w:after="0" w:line="3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Jason P. Marino, Executive Vice President and Chief Financial Officer of Marriott Vacations Worldwide Corporation (the “Company”) certify that:</w:t>
      </w:r>
    </w:p>
    <w:p>
      <w:pPr>
        <w:spacing w:after="0" w:line="100" w:lineRule="exact"/>
        <w:rPr>
          <w:sz w:val="20"/>
          <w:szCs w:val="20"/>
          <w:color w:val="auto"/>
        </w:rPr>
      </w:pPr>
    </w:p>
    <w:p>
      <w:pPr>
        <w:ind w:left="565" w:right="20" w:hanging="565"/>
        <w:spacing w:after="0" w:line="276" w:lineRule="auto"/>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March 31, 2025 (the “Quarterly Report”), fully complies with the requirements of section 13(a) or 15(d) of the Securities Exchange Act of 1934 (15 U.S.C. 78m or 78o(d)); and</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 May 8, 2025</w:t>
      </w:r>
    </w:p>
    <w:p>
      <w:pPr>
        <w:spacing w:after="0" w:line="384"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13970</wp:posOffset>
            </wp:positionV>
            <wp:extent cx="31496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line="2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Jason P. Marino</w:t>
      </w:r>
    </w:p>
    <w:p>
      <w:pPr>
        <w:spacing w:after="0" w:line="4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65"/>
      </w:cols>
      <w:pgMar w:left="315" w:top="1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407"/>
    </w:lvl>
  </w:abstractNum>
  <w:abstractNum w:abstractNumId="3">
    <w:nsid w:val="4516DDE9"/>
    <w:multiLevelType w:val="hybridMultilevel"/>
    <w:lvl w:ilvl="0">
      <w:lvlJc w:val="left"/>
      <w:lvlText w:val="(%1)"/>
      <w:numFmt w:val="decimal"/>
      <w:start w:val="197"/>
    </w:lvl>
  </w:abstractNum>
  <w:abstractNum w:abstractNumId="4">
    <w:nsid w:val="3006C83E"/>
    <w:multiLevelType w:val="hybridMultilevel"/>
    <w:lvl w:ilvl="0">
      <w:lvlJc w:val="left"/>
      <w:lvlText w:val="(%1)"/>
      <w:numFmt w:val="decimal"/>
      <w:start w:val="277"/>
    </w:lvl>
  </w:abstractNum>
  <w:abstractNum w:abstractNumId="5">
    <w:nsid w:val="614FD4A1"/>
    <w:multiLevelType w:val="hybridMultilevel"/>
    <w:lvl w:ilvl="0">
      <w:lvlJc w:val="left"/>
      <w:lvlText w:val="(%1)"/>
      <w:numFmt w:val="decimal"/>
      <w:start w:val="2"/>
    </w:lvl>
  </w:abstractNum>
  <w:abstractNum w:abstractNumId="6">
    <w:nsid w:val="419AC241"/>
    <w:multiLevelType w:val="hybridMultilevel"/>
    <w:lvl w:ilvl="0">
      <w:lvlJc w:val="left"/>
      <w:lvlText w:val="(%1)"/>
      <w:numFmt w:val="decimal"/>
      <w:start w:val="5"/>
    </w:lvl>
    <w:lvl w:ilvl="1">
      <w:lvlJc w:val="left"/>
      <w:lvlText w:val="%2"/>
      <w:numFmt w:val="decimal"/>
      <w:start w:val="1"/>
    </w:lvl>
  </w:abstractNum>
  <w:abstractNum w:abstractNumId="7">
    <w:nsid w:val="5577F8E1"/>
    <w:multiLevelType w:val="hybridMultilevel"/>
    <w:lvl w:ilvl="0">
      <w:lvlJc w:val="left"/>
      <w:lvlText w:val="(%1)"/>
      <w:numFmt w:val="decimal"/>
      <w:start w:val="36"/>
    </w:lvl>
    <w:lvl w:ilvl="1">
      <w:lvlJc w:val="left"/>
      <w:lvlText w:val="%2"/>
      <w:numFmt w:val="decimal"/>
      <w:start w:val="1"/>
    </w:lvl>
  </w:abstractNum>
  <w:abstractNum w:abstractNumId="8">
    <w:nsid w:val="440BADFC"/>
    <w:multiLevelType w:val="hybridMultilevel"/>
    <w:lvl w:ilvl="0">
      <w:lvlJc w:val="left"/>
      <w:lvlText w:val="(%1)"/>
      <w:numFmt w:val="decimal"/>
      <w:start w:val="55"/>
    </w:lvl>
    <w:lvl w:ilvl="1">
      <w:lvlJc w:val="left"/>
      <w:lvlText w:val="%2"/>
      <w:numFmt w:val="decimal"/>
      <w:start w:val="1"/>
    </w:lvl>
  </w:abstractNum>
  <w:abstractNum w:abstractNumId="9">
    <w:nsid w:val="5072367"/>
    <w:multiLevelType w:val="hybridMultilevel"/>
    <w:lvl w:ilvl="0">
      <w:lvlJc w:val="left"/>
      <w:lvlText w:val="(%1)"/>
      <w:numFmt w:val="decimal"/>
      <w:start w:val="6"/>
    </w:lvl>
    <w:lvl w:ilvl="1">
      <w:lvlJc w:val="left"/>
      <w:lvlText w:val="%2"/>
      <w:numFmt w:val="decimal"/>
      <w:start w:val="1"/>
    </w:lvl>
  </w:abstractNum>
  <w:abstractNum w:abstractNumId="10">
    <w:nsid w:val="3804823E"/>
    <w:multiLevelType w:val="hybridMultilevel"/>
    <w:lvl w:ilvl="0">
      <w:lvlJc w:val="left"/>
      <w:lvlText w:val="(%1)"/>
      <w:numFmt w:val="decimal"/>
      <w:start w:val="32"/>
    </w:lvl>
    <w:lvl w:ilvl="1">
      <w:lvlJc w:val="left"/>
      <w:lvlText w:val="%2"/>
      <w:numFmt w:val="decimal"/>
      <w:start w:val="1"/>
    </w:lvl>
  </w:abstractNum>
  <w:abstractNum w:abstractNumId="11">
    <w:nsid w:val="77465F01"/>
    <w:multiLevelType w:val="hybridMultilevel"/>
    <w:lvl w:ilvl="0">
      <w:lvlJc w:val="left"/>
      <w:lvlText w:val="1"/>
      <w:numFmt w:val="bullet"/>
      <w:start w:val="1"/>
    </w:lvl>
  </w:abstractNum>
  <w:abstractNum w:abstractNumId="12">
    <w:nsid w:val="7724C67E"/>
    <w:multiLevelType w:val="hybridMultilevel"/>
    <w:lvl w:ilvl="0">
      <w:lvlJc w:val="left"/>
      <w:lvlText w:val="(%1)"/>
      <w:numFmt w:val="decimal"/>
      <w:start w:val="4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2"/>
    </w:lvl>
  </w:abstractNum>
  <w:abstractNum w:abstractNumId="15">
    <w:nsid w:val="5E884ADC"/>
    <w:multiLevelType w:val="hybridMultilevel"/>
    <w:lvl w:ilvl="0">
      <w:lvlJc w:val="left"/>
      <w:lvlText w:val="%1."/>
      <w:numFmt w:val="decimal"/>
      <w:start w:val="4"/>
    </w:lvl>
  </w:abstractNum>
  <w:abstractNum w:abstractNumId="16">
    <w:nsid w:val="51EAD36B"/>
    <w:multiLevelType w:val="hybridMultilevel"/>
    <w:lvl w:ilvl="0">
      <w:lvlJc w:val="left"/>
      <w:lvlText w:val="%1."/>
      <w:numFmt w:val="decimal"/>
      <w:start w:val="5"/>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7"/>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9"/>
    </w:lvl>
  </w:abstractNum>
  <w:abstractNum w:abstractNumId="22">
    <w:nsid w:val="6A2342EC"/>
    <w:multiLevelType w:val="hybridMultilevel"/>
    <w:lvl w:ilvl="0">
      <w:lvlJc w:val="left"/>
      <w:lvlText w:val="•"/>
      <w:numFmt w:val="bullet"/>
      <w:start w:val="1"/>
    </w:lvl>
    <w:lvl w:ilvl="1">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0"/>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2"/>
    </w:lvl>
  </w:abstractNum>
  <w:abstractNum w:abstractNumId="31">
    <w:nsid w:val="6DE91B18"/>
    <w:multiLevelType w:val="hybridMultilevel"/>
    <w:lvl w:ilvl="0">
      <w:lvlJc w:val="left"/>
      <w:lvlText w:val="%1."/>
      <w:numFmt w:val="decimal"/>
      <w:start w:val="13"/>
    </w:lvl>
  </w:abstractNum>
  <w:abstractNum w:abstractNumId="32">
    <w:nsid w:val="38437FDB"/>
    <w:multiLevelType w:val="hybridMultilevel"/>
    <w:lvl w:ilvl="0">
      <w:lvlJc w:val="left"/>
      <w:lvlText w:val="%1."/>
      <w:numFmt w:val="decimal"/>
      <w:start w:val="14"/>
    </w:lvl>
  </w:abstractNum>
  <w:abstractNum w:abstractNumId="33">
    <w:nsid w:val="7644A45C"/>
    <w:multiLevelType w:val="hybridMultilevel"/>
    <w:lvl w:ilvl="0">
      <w:lvlJc w:val="left"/>
      <w:lvlText w:val="%1."/>
      <w:numFmt w:val="decimal"/>
      <w:start w:val="15"/>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6"/>
    </w:lvl>
  </w:abstractNum>
  <w:abstractNum w:abstractNumId="36">
    <w:nsid w:val="579478FE"/>
    <w:multiLevelType w:val="hybridMultilevel"/>
    <w:lvl w:ilvl="0">
      <w:lvlJc w:val="left"/>
      <w:lvlText w:val="•"/>
      <w:numFmt w:val="bullet"/>
      <w:start w:val="1"/>
    </w:lvl>
    <w:lvl w:ilvl="1">
      <w:lvlJc w:val="left"/>
      <w:lvlText w:val="•"/>
      <w:numFmt w:val="bullet"/>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
      <w:numFmt w:val="bullet"/>
      <w:start w:val="1"/>
    </w:lvl>
    <w:lvl w:ilvl="1">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2"/>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6"/>
    </w:lvl>
    <w:lvl w:ilvl="1">
      <w:lvlJc w:val="left"/>
      <w:lvlText w:val="(%2)"/>
      <w:numFmt w:val="decimal"/>
      <w:start w:val="3"/>
    </w:lvl>
  </w:abstractNum>
  <w:abstractNum w:abstractNumId="48">
    <w:nsid w:val="649BB77C"/>
    <w:multiLevelType w:val="hybridMultilevel"/>
    <w:lvl w:ilvl="0">
      <w:lvlJc w:val="left"/>
      <w:lvlText w:val="(%1)"/>
      <w:numFmt w:val="decimal"/>
      <w:start w:val="7"/>
    </w:lvl>
  </w:abstractNum>
  <w:abstractNum w:abstractNumId="49">
    <w:nsid w:val="275AC794"/>
    <w:multiLevelType w:val="hybridMultilevel"/>
    <w:lvl w:ilvl="0">
      <w:lvlJc w:val="left"/>
      <w:lvlText w:val="6"/>
      <w:numFmt w:val="bullet"/>
      <w:start w:val="1"/>
    </w:lvl>
  </w:abstractNum>
  <w:abstractNum w:abstractNumId="50">
    <w:nsid w:val="39386575"/>
    <w:multiLevelType w:val="hybridMultilevel"/>
    <w:lvl w:ilvl="0">
      <w:lvlJc w:val="left"/>
      <w:lvlText w:val="1"/>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01"/>
    </w:lvl>
  </w:abstractNum>
  <w:abstractNum w:abstractNumId="56">
    <w:nsid w:val="15B5AF5C"/>
    <w:multiLevelType w:val="hybridMultilevel"/>
    <w:lvl w:ilvl="0">
      <w:lvlJc w:val="left"/>
      <w:lvlText w:val="%1"/>
      <w:numFmt w:val="decimal"/>
      <w:start w:val="104"/>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36" Type="http://schemas.openxmlformats.org/officeDocument/2006/relationships/hyperlink" Target="https://www.sec.gov/Archives/edgar/data/1524358/000152435823000022/exhibit32secondrestatedcer.htm" TargetMode="External"/><Relationship Id="rId137" Type="http://schemas.openxmlformats.org/officeDocument/2006/relationships/hyperlink" Target="https://www.sec.gov/Archives/edgar/data/1524358/000152435823000031/a2023q2ex33restatedbylawso.htm" TargetMode="External"/><Relationship Id="rId138" Type="http://schemas.openxmlformats.org/officeDocument/2006/relationships/hyperlink" Target="https://www.sec.gov/Archives/edgar/data/1524358/000119312511271851/d197736dex41.htm" TargetMode="External"/><Relationship Id="rId139" Type="http://schemas.openxmlformats.org/officeDocument/2006/relationships/hyperlink" Target="https://www.sec.gov/Archives/edgar/data/1524358/000119312519259964/d812229dex41.htm" TargetMode="External"/><Relationship Id="rId140" Type="http://schemas.openxmlformats.org/officeDocument/2006/relationships/hyperlink" Target="https://www.sec.gov/Archives/edgar/data/1524358/000119312519259964/d812229dex43.htm" TargetMode="External"/><Relationship Id="rId141" Type="http://schemas.openxmlformats.org/officeDocument/2006/relationships/hyperlink" Target="https://www.sec.gov/Archives/edgar/data/0001524358/000119312521027303/d41256dex41.htm" TargetMode="External"/><Relationship Id="rId145" Type="http://schemas.openxmlformats.org/officeDocument/2006/relationships/hyperlink" Target="https://www.sec.gov/Archives/edgar/data/0001524358/000119312521027303/d41256dex41.htm#exa" TargetMode="External"/><Relationship Id="rId146" Type="http://schemas.openxmlformats.org/officeDocument/2006/relationships/hyperlink" Target="https://www.sec.gov/Archives/edgar/data/0001524358/000119312521195243/d158882dex41.htm" TargetMode="External"/><Relationship Id="rId147" Type="http://schemas.openxmlformats.org/officeDocument/2006/relationships/hyperlink" Target="https://www.sec.gov/Archives/edgar/data/0001524358/000119312521195243/d158882dex41.htm#tx158882_515" TargetMode="External"/><Relationship Id="rId148" Type="http://schemas.openxmlformats.org/officeDocument/2006/relationships/hyperlink" Target="https://www.sec.gov/Archives/edgar/data/1524358/000119312522301061/d433395dex41.htm" TargetMode="External"/><Relationship Id="rId149" Type="http://schemas.openxmlformats.org/officeDocument/2006/relationships/hyperlink" Target="https://www.sec.gov/Archives/edgar/data/1524358/000119312522301061/d433395dex41.htm#tx433395_1" TargetMode="External"/><Relationship Id="rId150" Type="http://schemas.openxmlformats.org/officeDocument/2006/relationships/hyperlink" Target="https://www.sec.gov/Archives/edgar/data/1524358/000152435820000011/a201910-kex416descript.htm" TargetMode="External"/><Relationship Id="rId151" Type="http://schemas.openxmlformats.org/officeDocument/2006/relationships/hyperlink" Target="https://www.sec.gov/Archives/edgar/data/1524358/000152435825000044/a2024ex1018changeinctrlsev.htm" TargetMode="External"/><Relationship Id="rId152" Type="http://schemas.openxmlformats.org/officeDocument/2006/relationships/hyperlink" Target="https://www.sec.gov/Archives/edgar/data/1524358/000152435825000093/ex101-incrementalfacilitya.htm" TargetMode="External"/><Relationship Id="rId153" Type="http://schemas.openxmlformats.org/officeDocument/2006/relationships/hyperlink" Target="https://www.sec.gov/Archives/edgar/data/1524358/000152435824000006/a2023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2025-05-08T08:33:15Z</dcterms:created>
  <dcterms:modified xsi:type="dcterms:W3CDTF">2025-05-08T08:33:15Z</dcterms:modified>
</cp:coreProperties>
</file>