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60"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50"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5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19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76"/>
        </w:trPr>
        <w:tc>
          <w:tcPr>
            <w:tcW w:w="2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740" w:type="dxa"/>
            <w:vAlign w:val="bottom"/>
            <w:gridSpan w:val="8"/>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7"/>
              </w:rPr>
              <w:t>Commission File No. 001-35219</w:t>
            </w:r>
          </w:p>
        </w:tc>
        <w:tc>
          <w:tcPr>
            <w:tcW w:w="190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88"/>
        </w:trPr>
        <w:tc>
          <w:tcPr>
            <w:tcW w:w="2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60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4"/>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gridSpan w:val="3"/>
          </w:tcPr>
          <w:p>
            <w:pPr>
              <w:spacing w:after="0"/>
              <w:rPr>
                <w:sz w:val="7"/>
                <w:szCs w:val="7"/>
                <w:color w:val="auto"/>
              </w:rPr>
            </w:pPr>
          </w:p>
        </w:tc>
        <w:tc>
          <w:tcPr>
            <w:tcW w:w="1760" w:type="dxa"/>
            <w:vAlign w:val="bottom"/>
          </w:tcPr>
          <w:p>
            <w:pPr>
              <w:spacing w:after="0"/>
              <w:rPr>
                <w:sz w:val="7"/>
                <w:szCs w:val="7"/>
                <w:color w:val="auto"/>
              </w:rPr>
            </w:pPr>
          </w:p>
        </w:tc>
      </w:tr>
      <w:tr>
        <w:trPr>
          <w:trHeight w:val="544"/>
        </w:trPr>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0" w:type="dxa"/>
            <w:vAlign w:val="bottom"/>
            <w:gridSpan w:val="12"/>
          </w:tcPr>
          <w:p>
            <w:pPr>
              <w:jc w:val="center"/>
              <w:ind w:right="1780"/>
              <w:spacing w:after="0"/>
              <w:rPr>
                <w:sz w:val="20"/>
                <w:szCs w:val="20"/>
                <w:color w:val="auto"/>
              </w:rPr>
            </w:pPr>
            <w:r>
              <w:rPr>
                <w:rFonts w:ascii="Times New Roman" w:cs="Times New Roman" w:eastAsia="Times New Roman" w:hAnsi="Times New Roman"/>
                <w:sz w:val="31"/>
                <w:szCs w:val="31"/>
                <w:b w:val="1"/>
                <w:bCs w:val="1"/>
                <w:color w:val="auto"/>
                <w:w w:val="98"/>
              </w:rPr>
              <w:t>Marriott Vacations Worldwide Corporation</w:t>
            </w:r>
          </w:p>
        </w:tc>
      </w:tr>
      <w:tr>
        <w:trPr>
          <w:trHeight w:val="179"/>
        </w:trPr>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5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13"/>
        </w:trPr>
        <w:tc>
          <w:tcPr>
            <w:tcW w:w="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r>
      <w:tr>
        <w:trPr>
          <w:trHeight w:val="454"/>
        </w:trPr>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0" w:type="dxa"/>
            <w:vAlign w:val="bottom"/>
            <w:gridSpan w:val="5"/>
          </w:tcPr>
          <w:p>
            <w:pPr>
              <w:jc w:val="center"/>
              <w:ind w:right="124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jc w:val="right"/>
              <w:ind w:right="902"/>
              <w:spacing w:after="0"/>
              <w:rPr>
                <w:sz w:val="20"/>
                <w:szCs w:val="20"/>
                <w:color w:val="auto"/>
              </w:rPr>
            </w:pPr>
            <w:r>
              <w:rPr>
                <w:rFonts w:ascii="Times New Roman" w:cs="Times New Roman" w:eastAsia="Times New Roman" w:hAnsi="Times New Roman"/>
                <w:sz w:val="17"/>
                <w:szCs w:val="17"/>
                <w:b w:val="1"/>
                <w:bCs w:val="1"/>
                <w:color w:val="auto"/>
              </w:rPr>
              <w:t>45-2598330</w:t>
            </w:r>
          </w:p>
        </w:tc>
        <w:tc>
          <w:tcPr>
            <w:tcW w:w="1760" w:type="dxa"/>
            <w:vAlign w:val="bottom"/>
          </w:tcPr>
          <w:p>
            <w:pPr>
              <w:spacing w:after="0"/>
              <w:rPr>
                <w:sz w:val="24"/>
                <w:szCs w:val="24"/>
                <w:color w:val="auto"/>
              </w:rPr>
            </w:pPr>
          </w:p>
        </w:tc>
      </w:tr>
      <w:tr>
        <w:trPr>
          <w:trHeight w:val="179"/>
        </w:trPr>
        <w:tc>
          <w:tcPr>
            <w:tcW w:w="240" w:type="dxa"/>
            <w:vAlign w:val="bottom"/>
          </w:tcPr>
          <w:p>
            <w:pPr>
              <w:spacing w:after="0"/>
              <w:rPr>
                <w:sz w:val="15"/>
                <w:szCs w:val="15"/>
                <w:color w:val="auto"/>
              </w:rPr>
            </w:pPr>
          </w:p>
        </w:tc>
        <w:tc>
          <w:tcPr>
            <w:tcW w:w="6180" w:type="dxa"/>
            <w:vAlign w:val="bottom"/>
            <w:gridSpan w:val="6"/>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w w:val="97"/>
              </w:rPr>
              <w:t>(State or other jurisdiction of incorporation or organization)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0" w:type="dxa"/>
            <w:vAlign w:val="bottom"/>
            <w:gridSpan w:val="4"/>
          </w:tcPr>
          <w:p>
            <w:pPr>
              <w:jc w:val="center"/>
              <w:ind w:right="2100"/>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r>
        <w:trPr>
          <w:trHeight w:val="268"/>
        </w:trPr>
        <w:tc>
          <w:tcPr>
            <w:tcW w:w="2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8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7812 Palm Parkway</w:t>
            </w:r>
          </w:p>
        </w:tc>
        <w:tc>
          <w:tcPr>
            <w:tcW w:w="258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Orlando  FL</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00" w:type="dxa"/>
            <w:vAlign w:val="bottom"/>
          </w:tcPr>
          <w:p>
            <w:pPr>
              <w:jc w:val="right"/>
              <w:ind w:right="1102"/>
              <w:spacing w:after="0"/>
              <w:rPr>
                <w:sz w:val="20"/>
                <w:szCs w:val="20"/>
                <w:color w:val="auto"/>
              </w:rPr>
            </w:pPr>
            <w:r>
              <w:rPr>
                <w:rFonts w:ascii="Times New Roman" w:cs="Times New Roman" w:eastAsia="Times New Roman" w:hAnsi="Times New Roman"/>
                <w:sz w:val="17"/>
                <w:szCs w:val="17"/>
                <w:b w:val="1"/>
                <w:bCs w:val="1"/>
                <w:color w:val="auto"/>
              </w:rPr>
              <w:t>32836</w:t>
            </w:r>
          </w:p>
        </w:tc>
        <w:tc>
          <w:tcPr>
            <w:tcW w:w="1760" w:type="dxa"/>
            <w:vAlign w:val="bottom"/>
          </w:tcPr>
          <w:p>
            <w:pPr>
              <w:spacing w:after="0"/>
              <w:rPr>
                <w:sz w:val="23"/>
                <w:szCs w:val="23"/>
                <w:color w:val="auto"/>
              </w:rPr>
            </w:pPr>
          </w:p>
        </w:tc>
      </w:tr>
      <w:tr>
        <w:trPr>
          <w:trHeight w:val="179"/>
        </w:trPr>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400" w:type="dxa"/>
            <w:vAlign w:val="bottom"/>
            <w:gridSpan w:val="5"/>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60" w:type="dxa"/>
            <w:vAlign w:val="bottom"/>
            <w:gridSpan w:val="2"/>
          </w:tcPr>
          <w:p>
            <w:pPr>
              <w:jc w:val="center"/>
              <w:ind w:right="2640"/>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77"/>
        </w:trPr>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0" w:type="dxa"/>
            <w:vAlign w:val="bottom"/>
            <w:gridSpan w:val="12"/>
          </w:tcPr>
          <w:p>
            <w:pPr>
              <w:jc w:val="center"/>
              <w:ind w:right="180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(407) 206-6000</w:t>
            </w:r>
          </w:p>
        </w:tc>
      </w:tr>
      <w:tr>
        <w:trPr>
          <w:trHeight w:val="263"/>
        </w:trPr>
        <w:tc>
          <w:tcPr>
            <w:tcW w:w="2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c>
          <w:tcPr>
            <w:tcW w:w="190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90"/>
        </w:trPr>
        <w:tc>
          <w:tcPr>
            <w:tcW w:w="240" w:type="dxa"/>
            <w:vAlign w:val="bottom"/>
          </w:tcPr>
          <w:p>
            <w:pPr>
              <w:spacing w:after="0"/>
              <w:rPr>
                <w:sz w:val="24"/>
                <w:szCs w:val="24"/>
                <w:color w:val="auto"/>
              </w:rPr>
            </w:pPr>
          </w:p>
        </w:tc>
        <w:tc>
          <w:tcPr>
            <w:tcW w:w="3600" w:type="dxa"/>
            <w:vAlign w:val="bottom"/>
            <w:tcBorders>
              <w:bottom w:val="single" w:sz="8" w:color="auto"/>
            </w:tcBorders>
            <w:gridSpan w:val="2"/>
          </w:tcPr>
          <w:p>
            <w:pPr>
              <w:jc w:val="center"/>
              <w:ind w:left="706"/>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bottom w:val="single" w:sz="8" w:color="auto"/>
            </w:tcBorders>
            <w:gridSpan w:val="2"/>
          </w:tcPr>
          <w:p>
            <w:pPr>
              <w:jc w:val="center"/>
              <w:ind w:left="243"/>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5"/>
        </w:trPr>
        <w:tc>
          <w:tcPr>
            <w:tcW w:w="240" w:type="dxa"/>
            <w:vAlign w:val="bottom"/>
          </w:tcPr>
          <w:p>
            <w:pPr>
              <w:spacing w:after="0"/>
              <w:rPr>
                <w:sz w:val="16"/>
                <w:szCs w:val="16"/>
                <w:color w:val="auto"/>
              </w:rPr>
            </w:pPr>
          </w:p>
        </w:tc>
        <w:tc>
          <w:tcPr>
            <w:tcW w:w="3600" w:type="dxa"/>
            <w:vAlign w:val="bottom"/>
            <w:gridSpan w:val="2"/>
          </w:tcPr>
          <w:p>
            <w:pPr>
              <w:jc w:val="center"/>
              <w:ind w:left="706"/>
              <w:spacing w:after="0"/>
              <w:rPr>
                <w:sz w:val="20"/>
                <w:szCs w:val="20"/>
                <w:color w:val="auto"/>
              </w:rPr>
            </w:pPr>
            <w:r>
              <w:rPr>
                <w:rFonts w:ascii="Times New Roman" w:cs="Times New Roman" w:eastAsia="Times New Roman" w:hAnsi="Times New Roman"/>
                <w:sz w:val="15"/>
                <w:szCs w:val="15"/>
                <w:color w:val="auto"/>
              </w:rPr>
              <w:t>Common Stock, $0.01 Par Value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center"/>
              <w:ind w:left="243"/>
              <w:spacing w:after="0"/>
              <w:rPr>
                <w:sz w:val="20"/>
                <w:szCs w:val="20"/>
                <w:color w:val="auto"/>
              </w:rPr>
            </w:pPr>
            <w:r>
              <w:rPr>
                <w:rFonts w:ascii="Times New Roman" w:cs="Times New Roman" w:eastAsia="Times New Roman" w:hAnsi="Times New Roman"/>
                <w:sz w:val="15"/>
                <w:szCs w:val="15"/>
                <w:color w:val="auto"/>
              </w:rPr>
              <w:t>VAC</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60" w:type="dxa"/>
            <w:vAlign w:val="bottom"/>
            <w:gridSpan w:val="2"/>
          </w:tcPr>
          <w:p>
            <w:pPr>
              <w:jc w:val="center"/>
              <w:ind w:right="560"/>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288"/>
        </w:trPr>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0" w:type="dxa"/>
            <w:vAlign w:val="bottom"/>
            <w:gridSpan w:val="1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12(g) of the Act: NONE</w:t>
            </w:r>
          </w:p>
        </w:tc>
      </w:tr>
      <w:tr>
        <w:trPr>
          <w:trHeight w:val="75"/>
        </w:trPr>
        <w:tc>
          <w:tcPr>
            <w:tcW w:w="2020" w:type="dxa"/>
            <w:vAlign w:val="bottom"/>
            <w:gridSpan w:val="2"/>
          </w:tcPr>
          <w:p>
            <w:pPr>
              <w:spacing w:after="0"/>
              <w:rPr>
                <w:sz w:val="6"/>
                <w:szCs w:val="6"/>
                <w:color w:val="auto"/>
              </w:rPr>
            </w:pPr>
          </w:p>
        </w:tc>
        <w:tc>
          <w:tcPr>
            <w:tcW w:w="5340" w:type="dxa"/>
            <w:vAlign w:val="bottom"/>
            <w:tcBorders>
              <w:bottom w:val="single" w:sz="8" w:color="auto"/>
            </w:tcBorders>
            <w:gridSpan w:val="10"/>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760" w:type="dxa"/>
            <w:vAlign w:val="bottom"/>
          </w:tcPr>
          <w:p>
            <w:pPr>
              <w:spacing w:after="0"/>
              <w:rPr>
                <w:sz w:val="6"/>
                <w:szCs w:val="6"/>
                <w:color w:val="auto"/>
              </w:rPr>
            </w:pPr>
          </w:p>
        </w:tc>
      </w:tr>
      <w:tr>
        <w:trPr>
          <w:trHeight w:val="303"/>
        </w:trPr>
        <w:tc>
          <w:tcPr>
            <w:tcW w:w="7360" w:type="dxa"/>
            <w:vAlign w:val="bottom"/>
            <w:gridSpan w:val="12"/>
          </w:tcPr>
          <w:p>
            <w:pPr>
              <w:jc w:val="center"/>
              <w:ind w:right="16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3660" w:type="dxa"/>
            <w:vAlign w:val="bottom"/>
            <w:gridSpan w:val="2"/>
          </w:tcPr>
          <w:p>
            <w:pPr>
              <w:jc w:val="center"/>
              <w:ind w:right="26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r>
        <w:trPr>
          <w:trHeight w:val="258"/>
        </w:trPr>
        <w:tc>
          <w:tcPr>
            <w:tcW w:w="736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tc>
        <w:tc>
          <w:tcPr>
            <w:tcW w:w="3660" w:type="dxa"/>
            <w:vAlign w:val="bottom"/>
            <w:gridSpan w:val="2"/>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bl>
    <w:p>
      <w:pPr>
        <w:spacing w:after="0" w:line="20" w:lineRule="exact"/>
        <w:rPr>
          <w:sz w:val="24"/>
          <w:szCs w:val="24"/>
          <w:color w:val="auto"/>
        </w:rPr>
      </w:pPr>
    </w:p>
    <w:p>
      <w:pPr>
        <w:ind w:right="26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12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80" w:type="dxa"/>
            <w:vAlign w:val="bottom"/>
            <w:vMerge w:val="restart"/>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420" w:type="dxa"/>
            <w:vAlign w:val="bottom"/>
          </w:tcPr>
          <w:p>
            <w:pPr>
              <w:ind w:left="234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26"/>
        </w:trPr>
        <w:tc>
          <w:tcPr>
            <w:tcW w:w="1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80" w:type="dxa"/>
            <w:vAlign w:val="bottom"/>
            <w:vMerge w:val="continue"/>
          </w:tcPr>
          <w:p>
            <w:pPr>
              <w:spacing w:after="0"/>
              <w:rPr>
                <w:sz w:val="10"/>
                <w:szCs w:val="10"/>
                <w:color w:val="auto"/>
              </w:rPr>
            </w:pPr>
          </w:p>
        </w:tc>
        <w:tc>
          <w:tcPr>
            <w:tcW w:w="4420" w:type="dxa"/>
            <w:vAlign w:val="bottom"/>
            <w:vMerge w:val="restart"/>
          </w:tcPr>
          <w:p>
            <w:pPr>
              <w:ind w:left="23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80" w:type="dxa"/>
            <w:vAlign w:val="bottom"/>
            <w:vMerge w:val="continue"/>
          </w:tcPr>
          <w:p>
            <w:pPr>
              <w:spacing w:after="0"/>
              <w:rPr>
                <w:sz w:val="15"/>
                <w:szCs w:val="15"/>
                <w:color w:val="auto"/>
              </w:rPr>
            </w:pPr>
          </w:p>
        </w:tc>
        <w:tc>
          <w:tcPr>
            <w:tcW w:w="2780" w:type="dxa"/>
            <w:vAlign w:val="bottom"/>
            <w:vMerge w:val="restart"/>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420" w:type="dxa"/>
            <w:vAlign w:val="bottom"/>
            <w:vMerge w:val="continue"/>
          </w:tcPr>
          <w:p>
            <w:pPr>
              <w:spacing w:after="0"/>
              <w:rPr>
                <w:sz w:val="15"/>
                <w:szCs w:val="15"/>
                <w:color w:val="auto"/>
              </w:rPr>
            </w:pP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4420" w:type="dxa"/>
            <w:vAlign w:val="bottom"/>
            <w:vMerge w:val="restart"/>
          </w:tcPr>
          <w:p>
            <w:pPr>
              <w:ind w:left="2340"/>
              <w:spacing w:after="0"/>
              <w:rPr>
                <w:sz w:val="20"/>
                <w:szCs w:val="20"/>
                <w:color w:val="auto"/>
              </w:rPr>
            </w:pPr>
            <w:r>
              <w:rPr>
                <w:rFonts w:ascii="Times New Roman" w:cs="Times New Roman" w:eastAsia="Times New Roman" w:hAnsi="Times New Roman"/>
                <w:sz w:val="15"/>
                <w:szCs w:val="15"/>
                <w:color w:val="auto"/>
              </w:rPr>
              <w:t>Emerging growth company</w:t>
            </w: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420" w:type="dxa"/>
            <w:vAlign w:val="bottom"/>
            <w:vMerge w:val="continue"/>
          </w:tcPr>
          <w:p>
            <w:pPr>
              <w:spacing w:after="0"/>
              <w:rPr>
                <w:sz w:val="15"/>
                <w:szCs w:val="15"/>
                <w:color w:val="auto"/>
              </w:rPr>
            </w:pP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560"/>
        <w:spacing w:after="0" w:line="20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1" w:lineRule="exact"/>
        <w:rPr>
          <w:sz w:val="24"/>
          <w:szCs w:val="24"/>
          <w:color w:val="auto"/>
        </w:rPr>
      </w:pPr>
    </w:p>
    <w:p>
      <w:pPr>
        <w:ind w:right="18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 w:lineRule="exact"/>
        <w:rPr>
          <w:sz w:val="24"/>
          <w:szCs w:val="24"/>
          <w:color w:val="auto"/>
        </w:rPr>
      </w:pPr>
    </w:p>
    <w:p>
      <w:pPr>
        <w:ind w:right="40"/>
        <w:spacing w:after="0" w:line="207"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8" w:lineRule="exact"/>
        <w:rPr>
          <w:sz w:val="24"/>
          <w:szCs w:val="24"/>
          <w:color w:val="auto"/>
        </w:rPr>
      </w:pPr>
    </w:p>
    <w:p>
      <w:pPr>
        <w:ind w:right="160"/>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6460" w:val="left"/>
          <w:tab w:leader="none" w:pos="70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65"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The aggregate market value of shares of common stock held by non-affiliates at June 30, 2025, was $2,180,020,753. There were 34,305,473 shares of common stock outstanding as of February 23, 2026.</w:t>
      </w:r>
    </w:p>
    <w:p>
      <w:pPr>
        <w:spacing w:after="0" w:line="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Portions of the Proxy Statement prepared for the 2026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364490</wp:posOffset>
            </wp:positionV>
            <wp:extent cx="716470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730" w:right="359" w:bottom="1440" w:gutter="0" w:footer="0" w:header="0"/>
        </w:sectPr>
      </w:pPr>
    </w:p>
    <w:bookmarkStart w:id="1" w:name="page2"/>
    <w:bookmarkEnd w:id="1"/>
    <w:tbl>
      <w:tblPr>
        <w:tblLayout w:type="fixed"/>
        <w:tblInd w:w="36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300" w:type="dxa"/>
            <w:vAlign w:val="bottom"/>
            <w:gridSpan w:val="10"/>
          </w:tcPr>
          <w:p>
            <w:pPr>
              <w:ind w:left="8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843"/>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6"/>
              </w:rPr>
              <w:t>Part I.</w:t>
            </w:r>
          </w:p>
        </w:tc>
        <w:tc>
          <w:tcPr>
            <w:tcW w:w="44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6"/>
        </w:trPr>
        <w:tc>
          <w:tcPr>
            <w:tcW w:w="320" w:type="dxa"/>
            <w:vAlign w:val="bottom"/>
          </w:tcPr>
          <w:p>
            <w:pPr>
              <w:spacing w:after="0"/>
              <w:rPr>
                <w:sz w:val="20"/>
                <w:szCs w:val="20"/>
                <w:color w:val="auto"/>
              </w:rPr>
            </w:pPr>
          </w:p>
        </w:tc>
        <w:tc>
          <w:tcPr>
            <w:tcW w:w="4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7"/>
              </w:rPr>
              <w:t>Item 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Business</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2"/>
              </w:rPr>
              <w:t>Item 1A.</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Risk Factors</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3"/>
              </w:rPr>
              <w:t>Item 1B.</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3"/>
              </w:rPr>
              <w:t>Item 1C.</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Cybersecurity</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4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7"/>
              </w:rPr>
              <w:t>Item 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Properties</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4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7"/>
              </w:rPr>
              <w:t>Item 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Legal Proceedings</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4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7"/>
              </w:rPr>
              <w:t>Item 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Mine Safety Disclosures</w:t>
            </w:r>
          </w:p>
        </w:tc>
      </w:tr>
      <w:tr>
        <w:trPr>
          <w:trHeight w:val="20"/>
        </w:trPr>
        <w:tc>
          <w:tcPr>
            <w:tcW w:w="3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7"/>
        </w:trPr>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7"/>
              </w:rPr>
              <w:t>Part II.</w:t>
            </w:r>
          </w:p>
        </w:tc>
        <w:tc>
          <w:tcPr>
            <w:tcW w:w="38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320" w:type="dxa"/>
            <w:vAlign w:val="bottom"/>
          </w:tcPr>
          <w:p>
            <w:pPr>
              <w:spacing w:after="0"/>
              <w:rPr>
                <w:sz w:val="17"/>
                <w:szCs w:val="17"/>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5.</w:t>
            </w:r>
          </w:p>
        </w:tc>
        <w:tc>
          <w:tcPr>
            <w:tcW w:w="360" w:type="dxa"/>
            <w:vAlign w:val="bottom"/>
          </w:tcPr>
          <w:p>
            <w:pPr>
              <w:spacing w:after="0"/>
              <w:rPr>
                <w:sz w:val="17"/>
                <w:szCs w:val="17"/>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w w:val="99"/>
              </w:rPr>
              <w:t>Market for Registrant’s Common Equity, Related Stockholder Matters and Issuer Purchases</w:t>
            </w:r>
          </w:p>
        </w:tc>
      </w:tr>
      <w:tr>
        <w:trPr>
          <w:trHeight w:val="146"/>
        </w:trPr>
        <w:tc>
          <w:tcPr>
            <w:tcW w:w="32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20" w:type="dxa"/>
            <w:vAlign w:val="bottom"/>
            <w:tcBorders>
              <w:top w:val="single" w:sz="8" w:color="0000FF"/>
            </w:tcBorders>
            <w:gridSpan w:val="21"/>
          </w:tcPr>
          <w:p>
            <w:pPr>
              <w:spacing w:after="0" w:line="146" w:lineRule="exact"/>
              <w:rPr>
                <w:sz w:val="20"/>
                <w:szCs w:val="20"/>
                <w:color w:val="auto"/>
              </w:rPr>
            </w:pPr>
            <w:r>
              <w:rPr>
                <w:rFonts w:ascii="Times New Roman" w:cs="Times New Roman" w:eastAsia="Times New Roman" w:hAnsi="Times New Roman"/>
                <w:sz w:val="16"/>
                <w:szCs w:val="16"/>
                <w:color w:val="0000FF"/>
              </w:rPr>
              <w:t>of Equity Securities</w:t>
            </w:r>
          </w:p>
        </w:tc>
      </w:tr>
      <w:tr>
        <w:trPr>
          <w:trHeight w:val="223"/>
        </w:trPr>
        <w:tc>
          <w:tcPr>
            <w:tcW w:w="320" w:type="dxa"/>
            <w:vAlign w:val="bottom"/>
          </w:tcPr>
          <w:p>
            <w:pPr>
              <w:spacing w:after="0"/>
              <w:rPr>
                <w:sz w:val="19"/>
                <w:szCs w:val="19"/>
                <w:color w:val="auto"/>
              </w:rPr>
            </w:pPr>
          </w:p>
        </w:tc>
        <w:tc>
          <w:tcPr>
            <w:tcW w:w="4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7"/>
              </w:rPr>
              <w:t>Item 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Reserved</w:t>
            </w:r>
          </w:p>
        </w:tc>
        <w:tc>
          <w:tcPr>
            <w:tcW w:w="4900" w:type="dxa"/>
            <w:vAlign w:val="bottom"/>
            <w:gridSpan w:val="14"/>
          </w:tcPr>
          <w:p>
            <w:pPr>
              <w:spacing w:after="0"/>
              <w:rPr>
                <w:sz w:val="19"/>
                <w:szCs w:val="19"/>
                <w:color w:val="auto"/>
              </w:rPr>
            </w:pP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4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7"/>
              </w:rPr>
              <w:t>Item 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2"/>
              </w:rPr>
              <w:t>Item 7A.</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4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7"/>
              </w:rPr>
              <w:t>Item 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4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7"/>
              </w:rPr>
              <w:t>Item 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2"/>
              </w:rPr>
              <w:t>Item 9A.</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Controls and Procedures</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3"/>
              </w:rPr>
              <w:t>Item 9B.</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Other Information</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3"/>
              </w:rPr>
              <w:t>Item 9C.</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r>
      <w:tr>
        <w:trPr>
          <w:trHeight w:val="20"/>
        </w:trPr>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5"/>
        </w:trPr>
        <w:tc>
          <w:tcPr>
            <w:tcW w:w="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Part III.</w:t>
            </w:r>
          </w:p>
        </w:tc>
        <w:tc>
          <w:tcPr>
            <w:tcW w:w="3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320" w:type="dxa"/>
            <w:vAlign w:val="bottom"/>
          </w:tcPr>
          <w:p>
            <w:pPr>
              <w:spacing w:after="0"/>
              <w:rPr>
                <w:sz w:val="17"/>
                <w:szCs w:val="17"/>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8"/>
              </w:rPr>
              <w:t>Item 10.</w:t>
            </w:r>
          </w:p>
        </w:tc>
        <w:tc>
          <w:tcPr>
            <w:tcW w:w="360" w:type="dxa"/>
            <w:vAlign w:val="bottom"/>
          </w:tcPr>
          <w:p>
            <w:pPr>
              <w:spacing w:after="0"/>
              <w:rPr>
                <w:sz w:val="17"/>
                <w:szCs w:val="17"/>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8"/>
              </w:rPr>
              <w:t>Item 11.</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Executive Compensation</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8"/>
              </w:rPr>
              <w:t>Item 12.</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w:t>
            </w:r>
          </w:p>
        </w:tc>
      </w:tr>
      <w:tr>
        <w:trPr>
          <w:trHeight w:val="146"/>
        </w:trPr>
        <w:tc>
          <w:tcPr>
            <w:tcW w:w="32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360" w:type="dxa"/>
            <w:vAlign w:val="bottom"/>
            <w:tcBorders>
              <w:top w:val="single" w:sz="8" w:color="0000FF"/>
              <w:bottom w:val="single" w:sz="8" w:color="0000FF"/>
            </w:tcBorders>
            <w:gridSpan w:val="8"/>
          </w:tcPr>
          <w:p>
            <w:pPr>
              <w:spacing w:after="0" w:line="146" w:lineRule="exact"/>
              <w:rPr>
                <w:sz w:val="20"/>
                <w:szCs w:val="20"/>
                <w:color w:val="auto"/>
              </w:rPr>
            </w:pPr>
            <w:r>
              <w:rPr>
                <w:rFonts w:ascii="Times New Roman" w:cs="Times New Roman" w:eastAsia="Times New Roman" w:hAnsi="Times New Roman"/>
                <w:sz w:val="16"/>
                <w:szCs w:val="16"/>
                <w:color w:val="0000FF"/>
              </w:rPr>
              <w:t>Stockholder Matters</w:t>
            </w:r>
          </w:p>
        </w:tc>
        <w:tc>
          <w:tcPr>
            <w:tcW w:w="4080" w:type="dxa"/>
            <w:vAlign w:val="bottom"/>
            <w:tcBorders>
              <w:top w:val="single" w:sz="8" w:color="0000FF"/>
            </w:tcBorders>
            <w:gridSpan w:val="11"/>
          </w:tcPr>
          <w:p>
            <w:pPr>
              <w:spacing w:after="0"/>
              <w:rPr>
                <w:sz w:val="12"/>
                <w:szCs w:val="12"/>
                <w:color w:val="auto"/>
              </w:rPr>
            </w:pPr>
          </w:p>
        </w:tc>
        <w:tc>
          <w:tcPr>
            <w:tcW w:w="780" w:type="dxa"/>
            <w:vAlign w:val="bottom"/>
            <w:gridSpan w:val="2"/>
          </w:tcPr>
          <w:p>
            <w:pPr>
              <w:spacing w:after="0"/>
              <w:rPr>
                <w:sz w:val="12"/>
                <w:szCs w:val="12"/>
                <w:color w:val="auto"/>
              </w:rPr>
            </w:pPr>
          </w:p>
        </w:tc>
      </w:tr>
      <w:tr>
        <w:trPr>
          <w:trHeight w:val="223"/>
        </w:trPr>
        <w:tc>
          <w:tcPr>
            <w:tcW w:w="320" w:type="dxa"/>
            <w:vAlign w:val="bottom"/>
          </w:tcPr>
          <w:p>
            <w:pPr>
              <w:spacing w:after="0"/>
              <w:rPr>
                <w:sz w:val="19"/>
                <w:szCs w:val="19"/>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8"/>
              </w:rPr>
              <w:t>Item 13.</w:t>
            </w:r>
          </w:p>
        </w:tc>
        <w:tc>
          <w:tcPr>
            <w:tcW w:w="360" w:type="dxa"/>
            <w:vAlign w:val="bottom"/>
          </w:tcPr>
          <w:p>
            <w:pPr>
              <w:spacing w:after="0"/>
              <w:rPr>
                <w:sz w:val="19"/>
                <w:szCs w:val="19"/>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8"/>
              </w:rPr>
              <w:t>Item 14.</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r>
      <w:tr>
        <w:trPr>
          <w:trHeight w:val="20"/>
        </w:trPr>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5"/>
        </w:trPr>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2"/>
              </w:rPr>
              <w:t>Part IV.</w:t>
            </w:r>
          </w:p>
        </w:tc>
        <w:tc>
          <w:tcPr>
            <w:tcW w:w="34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8"/>
              </w:rPr>
              <w:t>Item 15.</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88"/>
              </w:rPr>
              <w:t>Item 16.</w:t>
            </w:r>
          </w:p>
        </w:tc>
        <w:tc>
          <w:tcPr>
            <w:tcW w:w="360" w:type="dxa"/>
            <w:vAlign w:val="bottom"/>
          </w:tcPr>
          <w:p>
            <w:pPr>
              <w:spacing w:after="0"/>
              <w:rPr>
                <w:sz w:val="20"/>
                <w:szCs w:val="20"/>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Form 10-K Summary</w:t>
            </w:r>
          </w:p>
        </w:tc>
      </w:tr>
      <w:tr>
        <w:trPr>
          <w:trHeight w:val="20"/>
        </w:trPr>
        <w:tc>
          <w:tcPr>
            <w:tcW w:w="32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4780" w:type="dxa"/>
            <w:vAlign w:val="bottom"/>
            <w:gridSpan w:val="12"/>
          </w:tcPr>
          <w:p>
            <w:pPr>
              <w:spacing w:after="0" w:line="20" w:lineRule="exact"/>
              <w:rPr>
                <w:sz w:val="1"/>
                <w:szCs w:val="1"/>
                <w:color w:val="auto"/>
              </w:rPr>
            </w:pPr>
          </w:p>
        </w:tc>
      </w:tr>
      <w:tr>
        <w:trPr>
          <w:trHeight w:val="267"/>
        </w:trPr>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7"/>
              </w:rPr>
              <w:t>Signatures</w:t>
            </w:r>
          </w:p>
        </w:tc>
        <w:tc>
          <w:tcPr>
            <w:tcW w:w="5520" w:type="dxa"/>
            <w:vAlign w:val="bottom"/>
            <w:gridSpan w:val="18"/>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864235</wp:posOffset>
            </wp:positionV>
            <wp:extent cx="716470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19050</wp:posOffset>
            </wp:positionV>
            <wp:extent cx="52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0065" cy="8255"/>
                    </a:xfrm>
                    <a:prstGeom prst="rect">
                      <a:avLst/>
                    </a:prstGeom>
                    <a:noFill/>
                  </pic:spPr>
                </pic:pic>
              </a:graphicData>
            </a:graphic>
          </wp:anchor>
        </w:drawing>
      </w:r>
    </w:p>
    <w:p>
      <w:pPr>
        <w:spacing w:after="0" w:line="3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u w:val="single" w:color="auto"/>
          <w:color w:val="0000FF"/>
        </w:rPr>
        <w:t>3</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23</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37</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37</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39</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39</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39</w:t>
      </w: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39</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40</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41</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65</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67</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125</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125</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125</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125</w:t>
      </w: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125</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130</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131</w:t>
      </w:r>
    </w:p>
    <w:p>
      <w:pPr>
        <w:sectPr>
          <w:pgSz w:w="11900" w:h="16838" w:orient="portrait"/>
          <w:cols w:equalWidth="0" w:num="2">
            <w:col w:w="7820" w:space="260"/>
            <w:col w:w="939"/>
          </w:cols>
          <w:pgMar w:left="1440" w:top="1040" w:right="1440" w:bottom="1440" w:gutter="0" w:footer="0" w:header="0"/>
        </w:sectPr>
      </w:pPr>
    </w:p>
    <w:bookmarkStart w:id="2" w:name="page3"/>
    <w:bookmarkEnd w:id="2"/>
    <w:p>
      <w:pPr>
        <w:ind w:right="580"/>
        <w:spacing w:after="0" w:line="283" w:lineRule="auto"/>
        <w:rPr>
          <w:sz w:val="20"/>
          <w:szCs w:val="20"/>
          <w:color w:val="auto"/>
        </w:rPr>
      </w:pPr>
      <w:r>
        <w:rPr>
          <w:rFonts w:ascii="Times New Roman" w:cs="Times New Roman" w:eastAsia="Times New Roman" w:hAnsi="Times New Roman"/>
          <w:sz w:val="17"/>
          <w:szCs w:val="17"/>
          <w:color w:val="auto"/>
        </w:rPr>
        <w:t>Throughout this Annual Report on Form 10-K (this “Annual Report”), we refer to Marriott Vacations Worldwide Corporation, together with its consolidated subsidiaries, as “Marriott Vacations Worldwide,” “MVW,” “we,” “us,” or the “Company.”</w:t>
      </w:r>
    </w:p>
    <w:p>
      <w:pPr>
        <w:spacing w:after="0" w:line="5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order to make this Annual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References throughout to numbered “Footnotes” refer to the numbered Notes to our Financial Statements that we include in Part II, Item 8. “Financial Statements and Supplementary Data” of this Annual Report. When discussing our properties or markets, we refer to the United States (the “U.S.”), Mexico, Central America, and the Caribbean as “North America.”</w:t>
      </w:r>
    </w:p>
    <w:p>
      <w:pPr>
        <w:spacing w:after="0" w:line="7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 xml:space="preserve">Additionally, throughout this Annual Report, we refer to brands that we own, as well as those brands that we license, as our brands. All brand names, trademarks, trade names, and service marks cited in this Annual Report are the property of their respective owners, including those of other companies and organizations. Solely for convenience, trademarks, trade names, and service marks referred to in this Annual Report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86"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7"/>
          <w:szCs w:val="17"/>
          <w:color w:val="auto"/>
        </w:rPr>
        <w:t>Brand names, trademarks, trade names, and service marks that we own or license from Marriott International, Inc. or its affiliates (“Marriott International”) include Marriott Vacation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Marriott Vacation Club Destinations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Abound by Marriott Vacations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The Marriott Vacation Clubs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Marriott Grand Residence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Grand Residences by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Ritz-Carlton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Westin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Sheraton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(to a limited extent) St. Regis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The Luxury Collection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Marriott International’s affiliates include Starwood Hotels and Resorts Worldwide, Inc. (“Starwood”) and The Ritz-Carlton Hotel Company, L.L.C. (“The Ritz-Carlton Hotel Company”). We use the term “Marriott Vacation Ownership” to refer to our Marriott-, Sheraton-, and Westin-branded businesses, and we also refer to Marriott International’s Marriott Bonvoy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customer loyalty program as “Marriott Bonvoy.”</w:t>
      </w:r>
    </w:p>
    <w:p>
      <w:pPr>
        <w:spacing w:after="0" w:line="24" w:lineRule="exact"/>
        <w:rPr>
          <w:sz w:val="20"/>
          <w:szCs w:val="20"/>
          <w:color w:val="auto"/>
        </w:rPr>
      </w:pPr>
    </w:p>
    <w:p>
      <w:pPr>
        <w:jc w:val="both"/>
        <w:ind w:right="200"/>
        <w:spacing w:after="0" w:line="241" w:lineRule="auto"/>
        <w:rPr>
          <w:sz w:val="20"/>
          <w:szCs w:val="20"/>
          <w:color w:val="auto"/>
        </w:rPr>
      </w:pPr>
      <w:r>
        <w:rPr>
          <w:rFonts w:ascii="Times New Roman" w:cs="Times New Roman" w:eastAsia="Times New Roman" w:hAnsi="Times New Roman"/>
          <w:sz w:val="17"/>
          <w:szCs w:val="17"/>
          <w:color w:val="auto"/>
        </w:rPr>
        <w:t>Brand names, trademarks, trade names, and service marks that we own or license from a subsidiary of Hyatt Hotels Corporation (“Hyatt”) include Hyatt Vacation Ownership and Hyatt Vacation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Hyatt Vacation Ownership business refers to our group of businesses using the Hyatt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in the vacation ownership business pursuant to an exclusive, global master license agreement with a subsidiary of Hyatt. We use the term “Hyatt Vacation Ownership” to refer to our Hyatt-branded business, and we also refer to Hyatt’s World of Hyatt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customer loyalty program as “World of Hyatt.”</w:t>
      </w:r>
    </w:p>
    <w:p>
      <w:pPr>
        <w:spacing w:after="0" w:line="2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In 2021, we completed the acquisition of Welk Hospitality Group, Inc. (“Welk”) through a series of transactions (the “Welk Acquisition”), after which Welk became our indirect wholly-owned subsidiary. We refer to the business and brand that we acquired from Welk as “Legacy-Welk.” During 2023, we rebranded all Legacy-Welk resorts as Hyatt Vacation Club resorts.</w:t>
      </w:r>
    </w:p>
    <w:p>
      <w:pPr>
        <w:spacing w:after="0" w:line="6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In 2018, we completed the acquisition of ILG, LLC, formerly known as ILG, Inc. (“ILG”), through a series of transactions (the “ILG Acquisition”), after which ILG became our indirect wholly-owned subsidiary. We refer to the business and brands that we acquired in the ILG Acquisition as “Legacy-ILG.” We refer to the business we conducted prior to the ILG Acquisition and the associated brands as “Legacy-MVW.” The businesses acquired from ILG that we currently operate as part of our Vacation Ownership business include Vistana Signature Experiences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(“Vistana”), which includes vacation ownership products branded as Sheraton or Westin, and Hyatt Vacation Ownership. The businesses acquired from ILG that we currently operate as part of our Exchange &amp; Third-Party Management business include Interval International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Aqua-Aston Hospitality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(“Aqua-Aston”).</w:t>
      </w:r>
    </w:p>
    <w:p>
      <w:pPr>
        <w:spacing w:after="0" w:line="21"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By referring to our corporate website, www.marriottvacationsworldwide.com, or any other website, we do not incorporate any such website or its contents in this Annual Report.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reclassified certain prior year amounts to conform with our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cash flows, revenues, financial condition, leverage, liquidity, returns on investments, margins and related financing, development and rental profits and trends that we anticipate will impact our results of operations; dividend payments; business strategies and management priorities for 2026, including plans to drive stronger profitability and improve cash flow, focus on higher quality tour tours, tighten our cost structure, focus our Asia Pacific business and refine our development strategy; financing plans, financing terms and the adequacy of capital to meet short-term and long-term liquidity requirements and provide financial flexibility; customer satisfaction; our competitive position; our plans to pursue growth opportunities, including any plans to selectively add desirable new destinations to our systems with new on-site sales locations and plans to grow our recurring revenue, and their expected benefits; our beliefs about our industry; our expectations regarding our average consumer financing interest rates and our financing profit margin; our expectations regarding future securitization transactions; our beliefs regarding the expected benefits of digital tools and analytics; our expectations regarding the objectives, costs and benefits of our modernization efforts; our beliefs regarding the benefits of our culture on our business; our plan to reduce our corporate debt, net of cash and equivalents, to Adjusted EBITDA ratio; our expectations regarding inventory spending; the impact of inventory repurchases and timing of payments for inventory; our ability to securitize consumer loans; and expectations related to sales reserves, delinquencies and default rates relating to vacation ownership notes receivable.</w:t>
      </w:r>
    </w:p>
    <w:p>
      <w:pPr>
        <w:spacing w:after="0" w:line="8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uncertainty in the current global macroeconomic environment created by rapid governmental policy and regulatory changes, including those affecting international trade or travel; a future health crisis and responses to a health crisis, including possible quarantines or other government imposed travel or health-related restrictions and the effects of a health crisis, including the short and longer-term impact on consumer confidence and demand for travel and the pace of recovery following a health crisis; variations in demand for vacation ownership and exchange products and services; failure of vendors and other third parties to timely comply with their contractual obligations; worker absenteeism; price inflation; difficulties associated with implementing new or maintaining existing technologies; the ability to use artificial intelligence (“AI”) technologies successfully and potential business, compliance, or reputational risks associated with the use of AI technologies; changes in privacy and other laws and regulations affecting our business; the impact of a future banking crisis; impacts from natural or man-made disasters; delinquency and default rates; global supply chain disruptions; volatility in the international and national economy and credit markets, including as a result of the ongoing conflicts between Russia and Ukraine, Israel and Hamas, and elsewhere in the world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and accelerate growth and profitability; political or social strife; and other matters referred to under the heading “Risk Factors” contained in this Annual Report. All forward-looking statements in this Annual Report apply only as of the date of this Annual Report or as of the date they were made or as otherwise specified herein. We do not undertake any obligation to publicly update or revise any forward-looking statement, whether as a result of new information, future events, or otherwise, except as required by law. You should not put undue reliance on any forward-looking statements in this Annual Report.</w:t>
      </w:r>
    </w:p>
    <w:p>
      <w:pPr>
        <w:spacing w:after="0" w:line="7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risk factors discussed in “Risk Factors” in this Annual Report could cause actual results to differ materially from those expressed or implied in forward-looking statements in this Annual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6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As the first major hospitality-branded vacation ownership company, Marriott Vacations Worldwide helped establish the industry and was the first major pure-play independent, public company in the field. Today we are more than a vacation ownership company; we are about vacation experiences.</w:t>
      </w:r>
    </w:p>
    <w:p>
      <w:pPr>
        <w:spacing w:after="0" w:line="6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We are a global leader in vacation ownership with some of the most iconic brands in the industry.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 Interval International is our high-quality vacation ownership exchange service provider that serves as the gateway to vacation experiences around the world, including access to its affiliated resorts. Our Aqua-Aston business provides management services for resorts, hotels, and other third-party vacation property owners.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 operates in two reportable segments: Vacation Ownership and Exchange &amp; Third-Party Management.</w:t>
      </w: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205"/>
        </w:trPr>
        <w:tc>
          <w:tcPr>
            <w:tcW w:w="3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20" w:type="dxa"/>
            <w:vAlign w:val="bottom"/>
            <w:tcBorders>
              <w:bottom w:val="single" w:sz="8" w:color="auto"/>
            </w:tcBorders>
          </w:tcPr>
          <w:p>
            <w:pPr>
              <w:spacing w:after="0"/>
              <w:rPr>
                <w:sz w:val="17"/>
                <w:szCs w:val="17"/>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19"/>
                <w:szCs w:val="19"/>
                <w:color w:val="auto"/>
              </w:rPr>
            </w:pPr>
          </w:p>
        </w:tc>
        <w:tc>
          <w:tcPr>
            <w:tcW w:w="174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Segment Revenue</w:t>
            </w:r>
          </w:p>
        </w:tc>
        <w:tc>
          <w:tcPr>
            <w:tcW w:w="16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of Segment Revenue</w:t>
            </w:r>
          </w:p>
        </w:tc>
      </w:tr>
      <w:tr>
        <w:trPr>
          <w:trHeight w:val="238"/>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Vacation Ownership</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4,805</w:t>
            </w: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96%</w:t>
            </w:r>
          </w:p>
        </w:tc>
      </w:tr>
      <w:tr>
        <w:trPr>
          <w:trHeight w:val="256"/>
        </w:trPr>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4%</w:t>
            </w:r>
          </w:p>
        </w:tc>
      </w:tr>
      <w:tr>
        <w:trPr>
          <w:trHeight w:val="235"/>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Segment Revenue</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Vacation Ownership Industry</w:t>
      </w:r>
    </w:p>
    <w:p>
      <w:pPr>
        <w:spacing w:after="0" w:line="1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vacation ownership industry, also known as the timeshare industry, enables customers to share ownership and use of fully-furnished vacation accommodations. Typically, a purchaser acquires an interest (known as a “vacation ownership interest” or a “VOI”)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a deeded real estate interest in a specified accommodation unit, an undivided interest in a building or an entire resort, or a beneficial interest in a trust that owns one or more resort properties. For many purchasers, vacation ownership provides an attractive alternative to traditional lodging accommodations (such as hotels, resorts and condominium rentals). Vacation ownership accommodations are, on average, more than twice the size of traditional hotel rooms and typically have more features, such as kitchens and separate living areas, than traditional hotel rooms. Purchasers who might otherwise buy a second home find vacation ownership a preferable alternative because it is more affordable and reduces maintenance and upkeep concerns, and because they are interested in buying a lifetime of vacations.</w:t>
      </w:r>
    </w:p>
    <w:p>
      <w:pPr>
        <w:spacing w:after="0" w:line="7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Vacation ownership resorts are often operated by a not-for-profit owners’ association of which owners of the VOIs are members. Most owners’ associations are governed by a board of directors that includes owners and which may include representatives of the resort developer. Some vacation ownership resorts are held through a trust structure in which a trustee holds title and manages the property. The board of the owners’ association, or trustee, as applicable, typically delegates much of the responsibility for managing the resort to a management company, which is often affiliated with the resort developer. Owners typically reserve their usage of vacation accommodations in advance through a reservation system (often provided by the management company or an affiliated entity), unless a VOI specifies fixed usage dates and a particular unit every year.</w:t>
      </w:r>
    </w:p>
    <w:p>
      <w:pPr>
        <w:spacing w:after="0" w:line="7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Typically, resort developers sell VOIs for a fixed purchase price that is paid in full at closing or financed with a loan. Although certain financial institutions participate in the securitization or hypothecation of portfolios of timeshare receivables, financial institutions typically do not finance the purchase of individual timeshare interests. As a result, a majority of the sales price is often financed by the developer through a note receivable. The note receivable is usually a recourse note secured by the VOI. It is common business practice for developers to repossess timeshare interests upon buyer default.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040" w:right="379" w:bottom="1440" w:gutter="0" w:footer="0" w:header="0"/>
        </w:sectPr>
      </w:pPr>
    </w:p>
    <w:bookmarkStart w:id="5" w:name="page6"/>
    <w:bookmarkEnd w:id="5"/>
    <w:p>
      <w:pPr>
        <w:ind w:right="100"/>
        <w:spacing w:after="0" w:line="257" w:lineRule="auto"/>
        <w:rPr>
          <w:sz w:val="20"/>
          <w:szCs w:val="20"/>
          <w:color w:val="auto"/>
        </w:rPr>
      </w:pPr>
      <w:r>
        <w:rPr>
          <w:rFonts w:ascii="Times New Roman" w:cs="Times New Roman" w:eastAsia="Times New Roman" w:hAnsi="Times New Roman"/>
          <w:sz w:val="17"/>
          <w:szCs w:val="17"/>
          <w:color w:val="auto"/>
        </w:rPr>
        <w:t>After the initial purchase, most vacation ownership programs require the owner of the VOI to pay an annual maintenance fee. This fee represents the owner’s allocable share of the costs and expenses of operating and maintaining the vacation ownership property and providing program services. This fee typically covers expenses such as: housekeeping, landscaping, taxes, insurance, and resort labor; a property management fee payable to the management company for providing management services; and an assessment to fund a capital asset reserve account used to renovate, refurbish and replace furnishings, common areas and other assets (such as parking lots or roofs) as needed over time. By locking in their purchase price, vacation ownership purchasers avoid most of the volatility in room rates to which traditional lodging customers are subject because only annual maintenance fees and club dues are subject to inflation.</w:t>
      </w:r>
    </w:p>
    <w:p>
      <w:pPr>
        <w:spacing w:after="0" w:line="7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The vacation ownership industry has grown through expansion of established vacation ownership developers as well as entrance into the market of well-known lodging and entertainment brands, including Marriott, Sheraton, Hilton, Hyatt, Westin and Disney. The industry’s growth can also be attributed to increased market acceptance of vacation ownership products, stronger consumer protection laws and the evolution of VOIs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7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To enhance the flexibility and appeal of their products, many vacation ownership developers affiliate their projects with vacation ownership exchange service providers so that owners may exchange their rights to use the developer’s resorts in which they have purchased an interest for accommodations at other resorts in the exchange service provider’s broader network of properties. The two leading exchange service providers are our subsidiary Interval International, and RCI, LLC (“RCI”), a subsidiary of Travel + Leisure Co.</w:t>
      </w:r>
    </w:p>
    <w:p>
      <w:pPr>
        <w:spacing w:after="0" w:line="6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According to the American Resort Development Association (“ARDA”), a trade association representing the vacation ownership and resort development industries, as of December 31, 2024, the U.S. vacation ownership community was comprised of approximately 1,500 resorts, representing nearly 200,000 units. According to ARDA, sales in the U.S. market were approximately $10.5 billion in 2024. We believe there is potential for further growth in the industry both in the U.S. and globally.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 Agreements and Intellectual Property</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have a long-term license agreement with Marriott International that expires in 2095, subject to renewal, under which we are granted the exclusive right, for the term of the license agreement, to use certain Marriott, Sheraton, and Westin marks and intellectual property in our vacation ownership business and to use the Grand Residences by Marriott marks and intellectual property in our residential real estate business. Under the license agreement, we also have the right to use the St. Regis brand for specified fractional ownership products. We also have a long-term license agreement with The Ritz-Carlton Hotel Company, a subsidiary of Marriott International, under which we are granted the exclusive right, for the term of the license agreement, to use certain Ritz-Carlton marks and intellectual property in our vacation ownership business and the nonexclusive right to use certain Ritz-Carlton marks and intellectual property in our residential real estate business.</w:t>
      </w:r>
    </w:p>
    <w:p>
      <w:pPr>
        <w:spacing w:after="0" w:line="75"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7"/>
          <w:szCs w:val="17"/>
          <w:color w:val="auto"/>
        </w:rPr>
        <w:t>We have a long-term license agreement with Hyatt that expires in 2093, subject to renewal, under which we are granted the exclusive right, for the term of the license agreement, to use certain Hyatt marks and intellectual property in connection with our Hyatt Vacation Ownership business.</w:t>
      </w:r>
    </w:p>
    <w:p>
      <w:pPr>
        <w:spacing w:after="0" w:line="5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We operate in a highly competitive industry and our brand names, trademarks, trade names, and service marks are very important to the marketing and sales of our products and services. We believe that our licensed brand names and other intellectual property represent high standards of quality, caring, service and value to our customers and the traveling public. We register and protect our intellectual property where we deem appropriate and otherwise seek to protect against its unauthorized use.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Licensor Customer Loyalty Programs</w:t>
      </w:r>
    </w:p>
    <w:p>
      <w:pPr>
        <w:spacing w:after="0" w:line="11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Under our affiliation agreements with Marriott International and its affiliates, our owners who are Marriott Bonvoy members generally have the ability to redeem their vacation ownership usage rights to access participating Marriott-, Sheraton-, and Westin-branded properties or other products and services offered through the Marriott Bonvoy program.</w:t>
      </w:r>
    </w:p>
    <w:p>
      <w:pPr>
        <w:spacing w:after="0" w:line="64" w:lineRule="exact"/>
        <w:rPr>
          <w:sz w:val="20"/>
          <w:szCs w:val="20"/>
          <w:color w:val="auto"/>
        </w:rPr>
      </w:pPr>
    </w:p>
    <w:p>
      <w:pPr>
        <w:jc w:val="both"/>
        <w:ind w:right="480"/>
        <w:spacing w:after="0" w:line="283" w:lineRule="auto"/>
        <w:rPr>
          <w:sz w:val="20"/>
          <w:szCs w:val="20"/>
          <w:color w:val="auto"/>
        </w:rPr>
      </w:pPr>
      <w:r>
        <w:rPr>
          <w:rFonts w:ascii="Times New Roman" w:cs="Times New Roman" w:eastAsia="Times New Roman" w:hAnsi="Times New Roman"/>
          <w:sz w:val="17"/>
          <w:szCs w:val="17"/>
          <w:color w:val="auto"/>
        </w:rPr>
        <w:t>Through our relationship with Hyatt, our owners who are members of the World of Hyatt customer loyalty program generally have the ability to redeem their vacation ownership usage rights to access participating Hyatt-branded properties or other products and services offered through the World of Hyatt program.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strategic goal is to excel in the vacation industry by further enhancing the vacation experience for our owners and guests of every type.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Drive profitable revenue growth</w:t>
      </w:r>
    </w:p>
    <w:p>
      <w:pPr>
        <w:spacing w:after="0" w:line="118"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7"/>
          <w:szCs w:val="17"/>
          <w:color w:val="auto"/>
        </w:rPr>
        <w:t>We intend to drive long-term growth by leveraging our trusted hospitality brands and membership programs to attract new owners and members and expand revenues in an overall cost-efficient manner. We may selectively add desirable destinations with new on-site sales centers to our portfolio utilizing our integrated platform. This utilizes access to the loyalty programs of Marriott International and Hyatt. We also intend to continue to focus on further engaging with our global base of approximately 700,000 owner families.</w:t>
      </w:r>
    </w:p>
    <w:p>
      <w:pPr>
        <w:spacing w:after="0" w:line="29" w:lineRule="exact"/>
        <w:rPr>
          <w:sz w:val="20"/>
          <w:szCs w:val="20"/>
          <w:color w:val="auto"/>
        </w:rPr>
      </w:pPr>
    </w:p>
    <w:p>
      <w:pPr>
        <w:jc w:val="both"/>
        <w:ind w:right="60"/>
        <w:spacing w:after="0" w:line="224" w:lineRule="exact"/>
        <w:rPr>
          <w:sz w:val="20"/>
          <w:szCs w:val="20"/>
          <w:color w:val="auto"/>
        </w:rPr>
      </w:pPr>
      <w:r>
        <w:rPr>
          <w:rFonts w:ascii="Times New Roman" w:cs="Times New Roman" w:eastAsia="Times New Roman" w:hAnsi="Times New Roman"/>
          <w:sz w:val="17"/>
          <w:szCs w:val="17"/>
          <w:color w:val="auto"/>
        </w:rPr>
        <w:t>We seek to increase sales efficiency by growing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quality tour flow and volume per guest (“VPG”) through a mix of existing and emerging marketing channels, including digital and social media, while expanding the use of remote sales presentations to address evolving consumer preferences. We may also seek to grow new lead and tour sources which may have different efficiency models but are intended to grow revenues and profitability.</w:t>
      </w:r>
    </w:p>
    <w:p>
      <w:pPr>
        <w:spacing w:after="0" w:line="8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In addition, we aim to expand recurring revenues, which are generally less capital intensive than VOI sales. Recurring revenues include resort and owners’ association management, financing, and membership and club fees. These revenues are expected to grow as VOIs are sold and benefit from greater predictability, supported by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contractual arrangements for management and exchange services and the predictability of financing revenues, which are primarily derived from note originations in prior years. Although demand for our Exchange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Management businesses has softened over the past five years, this segment continues to generate recurring, higher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margin fee income with modest capital requirements. We intend to continue evolving our core product offerings and driving revenue growth by expanding membership programs and leisure travel products and services that complement our current business to address changing consumer preferences to increase our capture of leisure travel wallet share.</w:t>
      </w:r>
    </w:p>
    <w:p>
      <w:pPr>
        <w:spacing w:after="0" w:line="183"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Drive cash flow by better matching inventory and sales levels, selectively pursuing capital efficient vacation ownership deal structures and business models, and regularly monitoring our asset base for any appropriate dispositions</w:t>
      </w:r>
    </w:p>
    <w:p>
      <w:pPr>
        <w:spacing w:after="0" w:line="5" w:lineRule="exact"/>
        <w:rPr>
          <w:sz w:val="20"/>
          <w:szCs w:val="20"/>
          <w:color w:val="auto"/>
        </w:rPr>
      </w:pPr>
    </w:p>
    <w:p>
      <w:pPr>
        <w:ind w:right="180"/>
        <w:spacing w:after="0" w:line="219" w:lineRule="exact"/>
        <w:rPr>
          <w:sz w:val="20"/>
          <w:szCs w:val="20"/>
          <w:color w:val="auto"/>
        </w:rPr>
      </w:pPr>
      <w:r>
        <w:rPr>
          <w:rFonts w:ascii="Times New Roman" w:cs="Times New Roman" w:eastAsia="Times New Roman" w:hAnsi="Times New Roman"/>
          <w:sz w:val="17"/>
          <w:szCs w:val="17"/>
          <w:color w:val="auto"/>
        </w:rPr>
        <w:t>We seek to grow cash flow and improve returns on invested capital by proactively reducing inventory holdings. By leveraging our points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products, we have the ability to better align inventory investment with sales pace, reduce maintenance fees associated with unsold inventory, and generate strong, sustainable cash flows over time. In addition, we may selectively reacquire previously sold vacation ownership interests at costs below those necessary to develop new inventory, which can enhance margins on subsequent VOI sales.</w:t>
      </w:r>
    </w:p>
    <w:p>
      <w:pPr>
        <w:spacing w:after="0" w:line="48"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7"/>
          <w:szCs w:val="17"/>
          <w:color w:val="auto"/>
        </w:rPr>
        <w:t>Our business model is designed to deliver steady and consistent cash flow, supported by an asset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light, capital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efficient framework that seeks to achieve a balanced leverage profile. We believe our access to capital markets and credit facilities, together with our ability to monetize certain non-core assets, provides sufficient liquidity and financial flexibility to support strategic growth initiatives, manage potential economic downturns, optimize our cost of capital, and return excess capital to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Enhance digital capabilities and data analytics</w:t>
      </w:r>
    </w:p>
    <w:p>
      <w:pPr>
        <w:spacing w:after="0" w:line="118"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7"/>
          <w:szCs w:val="17"/>
          <w:color w:val="auto"/>
        </w:rPr>
        <w:t>We are focused on expanding our digital capabilities to drive more efficient marketing activities and enhance the experience of our owners and members across our vacation ownership, exchange and other membership programs. We believe innovation in digital tools presents meaningful opportunities to improve operating efficiency, customer engagement, and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growth.</w:t>
      </w:r>
    </w:p>
    <w:p>
      <w:pPr>
        <w:spacing w:after="0" w:line="23" w:lineRule="exact"/>
        <w:rPr>
          <w:sz w:val="20"/>
          <w:szCs w:val="20"/>
          <w:color w:val="auto"/>
        </w:rPr>
      </w:pPr>
    </w:p>
    <w:p>
      <w:pPr>
        <w:ind w:right="100"/>
        <w:spacing w:after="0" w:line="224" w:lineRule="exact"/>
        <w:rPr>
          <w:sz w:val="20"/>
          <w:szCs w:val="20"/>
          <w:color w:val="auto"/>
        </w:rPr>
      </w:pPr>
      <w:r>
        <w:rPr>
          <w:rFonts w:ascii="Times New Roman" w:cs="Times New Roman" w:eastAsia="Times New Roman" w:hAnsi="Times New Roman"/>
          <w:sz w:val="17"/>
          <w:szCs w:val="17"/>
          <w:color w:val="auto"/>
        </w:rPr>
        <w:t>We are investing in the development and enhancement of customer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facing digital platforms to support our existing and future product offerings, including enabling customers to transact online via self-service capabilities across our portfolio of brands and products. In addition, we are leveraging data and advanced analytics to improve operational efficiency, enhance the customer experience, refine targeted marketing efforts, and drive increased profitability.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i w:val="1"/>
          <w:iCs w:val="1"/>
          <w:color w:val="auto"/>
        </w:rPr>
        <w:t>Focus on the satisfaction of our owners, members, and guests as well as the engagement of our associates</w:t>
      </w:r>
    </w:p>
    <w:p>
      <w:pPr>
        <w:spacing w:after="0" w:line="79" w:lineRule="exact"/>
        <w:rPr>
          <w:sz w:val="20"/>
          <w:szCs w:val="20"/>
          <w:color w:val="auto"/>
        </w:rPr>
      </w:pPr>
    </w:p>
    <w:p>
      <w:pPr>
        <w:ind w:right="100"/>
        <w:spacing w:after="0" w:line="214" w:lineRule="exact"/>
        <w:rPr>
          <w:sz w:val="20"/>
          <w:szCs w:val="20"/>
          <w:color w:val="auto"/>
        </w:rPr>
      </w:pPr>
      <w:r>
        <w:rPr>
          <w:rFonts w:ascii="Times New Roman" w:cs="Times New Roman" w:eastAsia="Times New Roman" w:hAnsi="Times New Roman"/>
          <w:sz w:val="17"/>
          <w:szCs w:val="17"/>
          <w:color w:val="auto"/>
        </w:rPr>
        <w:t>We seek to deliver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quality vacation experiences to our owners, members, and guests worldwide, and we believe that sustained engagement across these customer groups is fundamental to our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success. Our strategy is centered on maintaining and enhancing owner, member, and guest satisfaction through consistent service quality, operational excellence, and continuous improvement in our products and offerings. Higher customer satisfaction can support incremental sales growth, as engaged customers elect to spend more time at our resorts and participate more actively in our programs. Because existing owners, members, and guests represent our most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effective source of vacation ownership sales, we intend to continue leveraging strong satisfaction levels to drive higher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margin sales volumes.</w:t>
      </w:r>
    </w:p>
    <w:p>
      <w:pPr>
        <w:spacing w:after="0" w:line="88" w:lineRule="exact"/>
        <w:rPr>
          <w:sz w:val="20"/>
          <w:szCs w:val="20"/>
          <w:color w:val="auto"/>
        </w:rPr>
      </w:pPr>
    </w:p>
    <w:p>
      <w:pPr>
        <w:spacing w:after="0" w:line="211" w:lineRule="exact"/>
        <w:rPr>
          <w:sz w:val="20"/>
          <w:szCs w:val="20"/>
          <w:color w:val="auto"/>
        </w:rPr>
      </w:pPr>
      <w:r>
        <w:rPr>
          <w:rFonts w:ascii="Times New Roman" w:cs="Times New Roman" w:eastAsia="Times New Roman" w:hAnsi="Times New Roman"/>
          <w:sz w:val="17"/>
          <w:szCs w:val="17"/>
          <w:color w:val="auto"/>
        </w:rPr>
        <w:t>We remain focused on delivering operational excellence while aligning our services and experiences with core customer expectations, which we believe will support sustainable growth and improved efficiency. In addition, we continue to enhance the customer experience through a combination of expanded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service capabilities and the ongoing streamlining of business processes enabled by technology.</w:t>
      </w:r>
    </w:p>
    <w:p>
      <w:pPr>
        <w:spacing w:after="0" w:line="86"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7"/>
          <w:szCs w:val="17"/>
          <w:color w:val="auto"/>
        </w:rPr>
        <w:t>We also believe that our associates play a critical role in delivering exceptional customer experiences and executing our strategy. From our inception, we have emphasized a culture grounded in welcoming service and authentic care for both customers and associates. Our commitment to attracting, developing, engaging, and retaining a diverse pool of top talent is intended to foster innovation, strengthen our leadership pipeline, and support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business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Selectively pursue compelling new business opportunities</w:t>
      </w:r>
    </w:p>
    <w:p>
      <w:pPr>
        <w:spacing w:after="0" w:line="118" w:lineRule="exact"/>
        <w:rPr>
          <w:sz w:val="20"/>
          <w:szCs w:val="20"/>
          <w:color w:val="auto"/>
        </w:rPr>
      </w:pPr>
    </w:p>
    <w:p>
      <w:pPr>
        <w:ind w:right="80"/>
        <w:spacing w:after="0" w:line="209" w:lineRule="exact"/>
        <w:rPr>
          <w:sz w:val="20"/>
          <w:szCs w:val="20"/>
          <w:color w:val="auto"/>
        </w:rPr>
      </w:pPr>
      <w:r>
        <w:rPr>
          <w:rFonts w:ascii="Times New Roman" w:cs="Times New Roman" w:eastAsia="Times New Roman" w:hAnsi="Times New Roman"/>
          <w:sz w:val="17"/>
          <w:szCs w:val="17"/>
          <w:color w:val="auto"/>
        </w:rPr>
        <w:t>We selectively evaluate and pursue strategic growth opportunities that are complementary to our core vacation ownership and exchange businesses. These opportunities may include acquisitions of existing vacation ownership and related businesses, enhancements to our exchange programs, new management affiliations, and the development of innovative leisure travel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products and services. In assessing potential opportunities, we focus on those that are expected to generate recurring revenue streams and sustainable profitability with modest capital requirements.</w:t>
      </w:r>
    </w:p>
    <w:p>
      <w:pPr>
        <w:spacing w:after="0" w:line="87"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7"/>
          <w:szCs w:val="17"/>
          <w:color w:val="auto"/>
        </w:rPr>
        <w:t>Before entering into any new business opportunity, we conduct a disciplined evaluation of its strategic fit, including an assessment of its alignment with our existing operations, brand portfolio, culture, and core competencies, as well as expected financial returns. We may pursue opportunities that we believe can enhance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stockholder value while maintaining our capital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efficient operating model and balanced risk profile.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Global scale, diversified platform, and strong brand access</w:t>
      </w:r>
    </w:p>
    <w:p>
      <w:pPr>
        <w:spacing w:after="0" w:line="118"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7"/>
          <w:szCs w:val="17"/>
          <w:color w:val="auto"/>
        </w:rPr>
        <w:t>We are one of the world’s largest vacation ownership and exchange companies based on the number of owners, members, resorts, and revenues. Since becoming a standalone public company in 2011, our vacation ownership business has expanded from 64 resorts serving approximately 420,000 owners to 120 resorts serving approximately 700,000 owner families as of December 31, 2025. Our exchange network and membership programs include more than 3,200 affiliated resorts and 1.5 million members, and we also provide management services to 23 other resorts and lodging properties as of the end of 2025.</w:t>
      </w:r>
    </w:p>
    <w:p>
      <w:pPr>
        <w:spacing w:after="0" w:line="67" w:lineRule="exact"/>
        <w:rPr>
          <w:sz w:val="20"/>
          <w:szCs w:val="20"/>
          <w:color w:val="auto"/>
        </w:rPr>
      </w:pPr>
    </w:p>
    <w:p>
      <w:pPr>
        <w:ind w:right="200"/>
        <w:spacing w:after="0" w:line="211" w:lineRule="exact"/>
        <w:rPr>
          <w:sz w:val="20"/>
          <w:szCs w:val="20"/>
          <w:color w:val="auto"/>
        </w:rPr>
      </w:pPr>
      <w:r>
        <w:rPr>
          <w:rFonts w:ascii="Times New Roman" w:cs="Times New Roman" w:eastAsia="Times New Roman" w:hAnsi="Times New Roman"/>
          <w:sz w:val="17"/>
          <w:szCs w:val="17"/>
          <w:color w:val="auto"/>
        </w:rPr>
        <w:t>Our global scale, diversified portfolio, and integrated capabilities across development, marketing, sales, exchange, and resort management support operational efficiencies, cost advantages, and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growth. These strengths enable us to offer a broad range of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quality vacation experiences across traditional resort destinations and select urban offerings, while supporting a balanced leverage profile and our ability to attract and retain experienced management and associates.</w:t>
      </w:r>
    </w:p>
    <w:p>
      <w:pPr>
        <w:spacing w:after="0" w:line="48"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7"/>
          <w:szCs w:val="17"/>
          <w:color w:val="auto"/>
        </w:rPr>
        <w:t>Through our owned and licensed brands and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relationships with Marriott International and Hyatt, we benefit from exclusive access to large, established loyalty programs, including Marriott Bonvoy and World of Hyatt. Through the brands we license from Marriott International for use in vacation ownership, we benefit from exclusive long-term access to members in the Marriott Bonvoy loyalty program, which includes nearly 271 million members as of December 31, 2025. Similarly, through our relationship with Hyatt, we benefit from access to members of Hyatt’s award-winning guest loyalty program, the World of Hyatt, which includes approximately 63 million members as of December 31, 2025. Access to these brand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affiliated customers enhances marketing efficiency and supports future sales, as a substantial portion of our VOI sales are generated through brand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loyalty channels.</w:t>
      </w:r>
    </w:p>
    <w:p>
      <w:pPr>
        <w:spacing w:after="0" w:line="25" w:lineRule="exact"/>
        <w:rPr>
          <w:sz w:val="20"/>
          <w:szCs w:val="20"/>
          <w:color w:val="auto"/>
        </w:rPr>
      </w:pPr>
    </w:p>
    <w:p>
      <w:pPr>
        <w:ind w:right="200"/>
        <w:spacing w:after="0" w:line="224" w:lineRule="exact"/>
        <w:rPr>
          <w:sz w:val="20"/>
          <w:szCs w:val="20"/>
          <w:color w:val="auto"/>
        </w:rPr>
      </w:pPr>
      <w:r>
        <w:rPr>
          <w:rFonts w:ascii="Times New Roman" w:cs="Times New Roman" w:eastAsia="Times New Roman" w:hAnsi="Times New Roman"/>
          <w:sz w:val="17"/>
          <w:szCs w:val="17"/>
          <w:color w:val="auto"/>
        </w:rPr>
        <w:t>Within our exchange business, Interval International’s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quality membership program, the Interval Network, provides access to premium vacation experiences and includes resorts and members from Marriott, Westin, Sheraton, and Hyatt branded products, as well as other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quality branded and independent resorts, making it an attractive platform for developers and owners’ associations.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i w:val="1"/>
          <w:iCs w:val="1"/>
          <w:color w:val="auto"/>
        </w:rPr>
        <w:t>Loyal and highly satisfied customer base</w:t>
      </w:r>
    </w:p>
    <w:p>
      <w:pPr>
        <w:spacing w:after="0" w:line="118" w:lineRule="exact"/>
        <w:rPr>
          <w:sz w:val="20"/>
          <w:szCs w:val="20"/>
          <w:color w:val="auto"/>
        </w:rPr>
      </w:pPr>
    </w:p>
    <w:p>
      <w:pPr>
        <w:ind w:right="40"/>
        <w:spacing w:after="0" w:line="208" w:lineRule="exact"/>
        <w:rPr>
          <w:sz w:val="20"/>
          <w:szCs w:val="20"/>
          <w:color w:val="auto"/>
        </w:rPr>
      </w:pPr>
      <w:r>
        <w:rPr>
          <w:rFonts w:ascii="Times New Roman" w:cs="Times New Roman" w:eastAsia="Times New Roman" w:hAnsi="Times New Roman"/>
          <w:sz w:val="17"/>
          <w:szCs w:val="17"/>
          <w:color w:val="auto"/>
        </w:rPr>
        <w:t>We benefit from a large and highly satisfied customer base, as evidenced by strong repeat purchasing behavior, with approximately 70% of VOI sales in 2025 generated from existing owners, which typically carry lower sales and marketing costs than those for new owners. High customer satisfaction is further reflected in consistent, favorable historical survey results, sustained engagement across customer and associate care channels, and consistently above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industry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average resort occupancy levels within our Vacation Ownership segment. We believe this customer loyalty supports increased product utilization, higher retention rates, incremental product purchases, and referral activity, which collectively contribute to revenue growth.</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Capital-efficient business model generating strong cash flow and financial flexibility</w:t>
      </w:r>
    </w:p>
    <w:p>
      <w:pPr>
        <w:spacing w:after="0" w:line="79" w:lineRule="exact"/>
        <w:rPr>
          <w:sz w:val="20"/>
          <w:szCs w:val="20"/>
          <w:color w:val="auto"/>
        </w:rPr>
      </w:pPr>
    </w:p>
    <w:p>
      <w:pPr>
        <w:ind w:right="60"/>
        <w:spacing w:after="0" w:line="216" w:lineRule="exact"/>
        <w:rPr>
          <w:sz w:val="20"/>
          <w:szCs w:val="20"/>
          <w:color w:val="auto"/>
        </w:rPr>
      </w:pPr>
      <w:r>
        <w:rPr>
          <w:rFonts w:ascii="Times New Roman" w:cs="Times New Roman" w:eastAsia="Times New Roman" w:hAnsi="Times New Roman"/>
          <w:sz w:val="17"/>
          <w:szCs w:val="17"/>
          <w:color w:val="auto"/>
        </w:rPr>
        <w:t>Our scale, recurring fee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revenue streams, and enhanced margin profile provide meaningful financial flexibility to support organic growth, strategic acquisitions, debt reduction, and return of capital to stockholders. Vacation Ownership segment revenue derived from sources other than VOI sales, excluding cost reimbursements, has consistently increased annually since 2020 and is expected to continue to grow in both the short and long term. Although demand for our Exchange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Management businesses has moderated over the past five years, this segment continues to generate recurring, higher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margin fee income with modest capital requirements.</w:t>
      </w:r>
    </w:p>
    <w:p>
      <w:pPr>
        <w:spacing w:after="0" w:line="89" w:lineRule="exact"/>
        <w:rPr>
          <w:sz w:val="20"/>
          <w:szCs w:val="20"/>
          <w:color w:val="auto"/>
        </w:rPr>
      </w:pPr>
    </w:p>
    <w:p>
      <w:pPr>
        <w:ind w:right="40"/>
        <w:spacing w:after="0" w:line="211" w:lineRule="exact"/>
        <w:rPr>
          <w:sz w:val="20"/>
          <w:szCs w:val="20"/>
          <w:color w:val="auto"/>
        </w:rPr>
      </w:pPr>
      <w:r>
        <w:rPr>
          <w:rFonts w:ascii="Times New Roman" w:cs="Times New Roman" w:eastAsia="Times New Roman" w:hAnsi="Times New Roman"/>
          <w:sz w:val="17"/>
          <w:szCs w:val="17"/>
          <w:color w:val="auto"/>
        </w:rPr>
        <w:t>Available inventory and future commitments are sufficient to support sales operations without significant incremental development, enabling growth while limiting investment to reacquire low cost previously sold VOIs. Our intended disciplined use of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development and demand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aligned acquisitions and our willingness to divest of excess inventory is expected to support stable cash flow generation.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Long-standing track record, experienced management, and engaged associates driving customer loyalty</w:t>
      </w:r>
    </w:p>
    <w:p>
      <w:pPr>
        <w:spacing w:after="0" w:line="118"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7"/>
          <w:szCs w:val="17"/>
          <w:color w:val="auto"/>
        </w:rPr>
        <w:t>We have been a pioneer in the vacation ownership industry since 1984, when Marriott International became the first major hospitality company to introduce a lodging-branded vacation ownership product. Since our early days, we have sought to create a culture that emphasizes authentic care for associates.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Our seasoned management team is led by Matthew E. Avril, who became our Chief Executive Officer on February 16, 2026. He previously served as our interim President and Chief Executive Officer since November 2025 and has been a member of our Board of Directors since March 2025. Mr. Avril has over 30 years of executive leadership experience in the hospitality and vacation ownership industry, including serving as Chief Executive Officer of Diamond Resorts International, Inc. (a hospitality and vacation ownership company) from November 2016 to March 2017. Prior to that, he was Chief Executive Officer-elect for Vistana Signature Experiences, Inc. (a vacation ownership business) from February 2015 to May 2016, after his retirement as President, Hotel Group for Starwood Hotels &amp; Resorts Worldwide, Inc., (a publicly traded hotel and leisure company) – a position he held from September 2008 to December 2012. Mr. Avril has served in a number of executive leadership positions with Starwood and held various senior leadership positions with Vistana.</w:t>
      </w:r>
    </w:p>
    <w:p>
      <w:pPr>
        <w:spacing w:after="0" w:line="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Additionally, Michael A. Flaskey joined as our President and Chief Operating Officer on February 16, 2026. He is a seasoned vacation and hospitality executive with more than 25 years of leadership experience. Most recently, Mr. Flaskey served as Chief Executive Officer and a member of the Board of Directors of Hornblower Group (a leading maritime hospitality company) from August 2024 to January 2026. Prior to that he spent more than a decade leading Diamond Group International, including serving as Chief Executive Officer from 2017 to 2021, where he led a transformation that ultimately culminated in the sale of the company to Hilton Grand Vacations. Mr. Flaskey has served in senior executive leadership roles with Starwood Vacation Ownership and Fairfield Resorts (now Travel + Leisure), where he developed deep expertise across brand, sales, marketing, operations and resort management functions.</w:t>
      </w:r>
    </w:p>
    <w:p>
      <w:pPr>
        <w:spacing w:after="0" w:line="74" w:lineRule="exact"/>
        <w:rPr>
          <w:sz w:val="20"/>
          <w:szCs w:val="20"/>
          <w:color w:val="auto"/>
        </w:rPr>
      </w:pPr>
    </w:p>
    <w:p>
      <w:pPr>
        <w:ind w:right="800"/>
        <w:spacing w:after="0" w:line="283" w:lineRule="auto"/>
        <w:rPr>
          <w:sz w:val="20"/>
          <w:szCs w:val="20"/>
          <w:color w:val="auto"/>
        </w:rPr>
      </w:pPr>
      <w:r>
        <w:rPr>
          <w:rFonts w:ascii="Times New Roman" w:cs="Times New Roman" w:eastAsia="Times New Roman" w:hAnsi="Times New Roman"/>
          <w:sz w:val="17"/>
          <w:szCs w:val="17"/>
          <w:color w:val="auto"/>
        </w:rPr>
        <w:t>William J. Shaw, the Chairman of our Board of Directors (the “Board”), is the former Vice Chairman, President and Chief Operating Officer of Marriott International and spent nearly 37 years with Marriott International.</w:t>
      </w:r>
    </w:p>
    <w:p>
      <w:pPr>
        <w:spacing w:after="0" w:line="5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Our management team has extensive public company, vacation ownership, and hospitality experience, enabling effective responses to changing market conditions and consumer preferences. This expertise in a highly regulated industry supports the expansion of existing offerings and the development of new products. In addition, we believe our ability and willingness to attract and integrate talent from both within and outside the industry, including executive talent that can expand the experience of our leadership team, enhances our capacity to innovate and adapt.</w:t>
      </w:r>
    </w:p>
    <w:p>
      <w:pPr>
        <w:spacing w:after="0" w:line="29"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17"/>
          <w:szCs w:val="17"/>
          <w:color w:val="auto"/>
        </w:rPr>
        <w:t>We believe our associates deliver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quality customer service that strengthens our competitive position. We leverage associate engagement and a strong corporate culture to consistently deliver positive customer experiences across sales, marketing, exchange, management, and resort operations.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140"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VACATION OWNERSHIP SEGMENT</w:t>
      </w:r>
    </w:p>
    <w:p>
      <w:pPr>
        <w:spacing w:after="0" w:line="11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Vacation Ownership segment develops, markets, sells, finances, rents, and manages vacation ownership and related products under our licensed brands. Our vacation ownership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67" w:lineRule="exact"/>
        <w:rPr>
          <w:sz w:val="20"/>
          <w:szCs w:val="20"/>
          <w:color w:val="auto"/>
        </w:rPr>
      </w:pPr>
    </w:p>
    <w:p>
      <w:pPr>
        <w:ind w:right="680"/>
        <w:spacing w:after="0" w:line="283" w:lineRule="auto"/>
        <w:rPr>
          <w:sz w:val="20"/>
          <w:szCs w:val="20"/>
          <w:color w:val="auto"/>
        </w:rPr>
      </w:pPr>
      <w:r>
        <w:rPr>
          <w:rFonts w:ascii="Times New Roman" w:cs="Times New Roman" w:eastAsia="Times New Roman" w:hAnsi="Times New Roman"/>
          <w:sz w:val="17"/>
          <w:szCs w:val="17"/>
          <w:color w:val="auto"/>
        </w:rPr>
        <w:t>As of December 31, 2025, our Vacation Ownership segment had 120 resorts and approximately 700,000 owner families. The Vacation Ownership segment represented 95% of our consolidated revenue for 2025.</w:t>
      </w:r>
    </w:p>
    <w:p>
      <w:pPr>
        <w:spacing w:after="0" w:line="10" w:lineRule="exact"/>
        <w:rPr>
          <w:sz w:val="20"/>
          <w:szCs w:val="20"/>
          <w:color w:val="auto"/>
        </w:rPr>
      </w:pPr>
    </w:p>
    <w:tbl>
      <w:tblPr>
        <w:tblLayout w:type="fixed"/>
        <w:tblInd w:w="2220" w:type="dxa"/>
        <w:tblCellMar>
          <w:top w:w="0" w:type="dxa"/>
          <w:left w:w="0" w:type="dxa"/>
          <w:bottom w:w="0" w:type="dxa"/>
          <w:right w:w="0" w:type="dxa"/>
        </w:tblCellMar>
      </w:tblPr>
      <w:tr>
        <w:trPr>
          <w:trHeight w:val="172"/>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53"/>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center"/>
              <w:ind w:right="98"/>
              <w:spacing w:after="0" w:line="154" w:lineRule="exact"/>
              <w:rPr>
                <w:sz w:val="20"/>
                <w:szCs w:val="20"/>
                <w:color w:val="auto"/>
              </w:rPr>
            </w:pPr>
            <w:r>
              <w:rPr>
                <w:rFonts w:ascii="Times New Roman" w:cs="Times New Roman" w:eastAsia="Times New Roman" w:hAnsi="Times New Roman"/>
                <w:sz w:val="15"/>
                <w:szCs w:val="15"/>
                <w:b w:val="1"/>
                <w:bCs w:val="1"/>
                <w:color w:val="auto"/>
              </w:rPr>
              <w:t>Vacation Ownership</w:t>
            </w:r>
          </w:p>
        </w:tc>
      </w:tr>
      <w:tr>
        <w:trPr>
          <w:trHeight w:val="204"/>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rPr>
              <w:t>Segment Revenues</w:t>
            </w: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w:t>
            </w: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w:t>
            </w:r>
          </w:p>
        </w:tc>
      </w:tr>
      <w:tr>
        <w:trPr>
          <w:trHeight w:val="210"/>
        </w:trPr>
        <w:tc>
          <w:tcPr>
            <w:tcW w:w="50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4,805</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Brands</w:t>
      </w:r>
    </w:p>
    <w:p>
      <w:pPr>
        <w:spacing w:after="0" w:line="77"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7"/>
          <w:szCs w:val="17"/>
          <w:color w:val="auto"/>
        </w:rPr>
        <w:t>Founded as a single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brand hospitality company, Marriott Vacations Worldwide has evolved into a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branded organization with a diversified portfolio of vacation and leisure destinations. The Company designs, develops, manages, and maintains properties operating primarily in the upper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upscale and luxury segments of the hospitality industry.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Brands Licensed from Marriott International</w:t>
      </w:r>
    </w:p>
    <w:p>
      <w:pPr>
        <w:spacing w:after="0" w:line="116"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We offer vacation ownership products in the upper upscale segment through the following brands, which provide timeshare villas and other accommodations across the United States, the Caribbean, Mexico, Europe, Asia and Australia:</w:t>
      </w:r>
    </w:p>
    <w:p>
      <w:pPr>
        <w:spacing w:after="0" w:line="51" w:lineRule="exact"/>
        <w:rPr>
          <w:sz w:val="20"/>
          <w:szCs w:val="20"/>
          <w:color w:val="auto"/>
        </w:rPr>
      </w:pPr>
    </w:p>
    <w:p>
      <w:pPr>
        <w:ind w:left="800"/>
        <w:spacing w:after="0"/>
        <w:tabs>
          <w:tab w:leader="none" w:pos="4820" w:val="left"/>
          <w:tab w:leader="none" w:pos="8860" w:val="left"/>
        </w:tabs>
        <w:rPr>
          <w:sz w:val="20"/>
          <w:szCs w:val="20"/>
          <w:color w:val="auto"/>
        </w:rPr>
      </w:pPr>
      <w:r>
        <w:rPr>
          <w:rFonts w:ascii="Times New Roman" w:cs="Times New Roman" w:eastAsia="Times New Roman" w:hAnsi="Times New Roman"/>
          <w:sz w:val="17"/>
          <w:szCs w:val="17"/>
          <w:color w:val="auto"/>
        </w:rPr>
        <w:t>Marriott Vacation Club</w:t>
      </w:r>
      <w:r>
        <w:rPr>
          <w:sz w:val="20"/>
          <w:szCs w:val="20"/>
          <w:color w:val="auto"/>
        </w:rPr>
        <w:tab/>
      </w:r>
      <w:r>
        <w:rPr>
          <w:rFonts w:ascii="Times New Roman" w:cs="Times New Roman" w:eastAsia="Times New Roman" w:hAnsi="Times New Roman"/>
          <w:sz w:val="17"/>
          <w:szCs w:val="17"/>
          <w:color w:val="auto"/>
        </w:rPr>
        <w:t>Sheraton Vacation Club</w:t>
      </w:r>
      <w:r>
        <w:rPr>
          <w:sz w:val="20"/>
          <w:szCs w:val="20"/>
          <w:color w:val="auto"/>
        </w:rPr>
        <w:tab/>
      </w:r>
      <w:r>
        <w:rPr>
          <w:rFonts w:ascii="Times New Roman" w:cs="Times New Roman" w:eastAsia="Times New Roman" w:hAnsi="Times New Roman"/>
          <w:sz w:val="16"/>
          <w:szCs w:val="16"/>
          <w:color w:val="auto"/>
        </w:rPr>
        <w:t>Westin Vacation Club</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In addition, we operate a portfolio of luxury tier vacation ownership resorts in the United States, the Caribbean, and the United Kingdom under brands that generally feature longer duration VOIs, ranging from three to thirteen weeks. These brands include:</w:t>
      </w:r>
    </w:p>
    <w:p>
      <w:pPr>
        <w:sectPr>
          <w:pgSz w:w="11900" w:h="16838" w:orient="portrait"/>
          <w:cols w:equalWidth="0" w:num="1">
            <w:col w:w="11240"/>
          </w:cols>
          <w:pgMar w:left="320" w:top="1245" w:right="339" w:bottom="1440" w:gutter="0" w:footer="0" w:header="0"/>
        </w:sectPr>
      </w:pPr>
    </w:p>
    <w:p>
      <w:pPr>
        <w:spacing w:after="0" w:line="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Grand Residences by Marriott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St. Regis Residence Club</w:t>
      </w:r>
    </w:p>
    <w:p>
      <w:pPr>
        <w:spacing w:after="0" w:line="60" w:lineRule="exact"/>
        <w:rPr>
          <w:sz w:val="20"/>
          <w:szCs w:val="20"/>
          <w:color w:val="auto"/>
        </w:rPr>
      </w:pPr>
    </w:p>
    <w:p>
      <w:pPr>
        <w:sectPr>
          <w:pgSz w:w="11900" w:h="16838" w:orient="portrait"/>
          <w:cols w:equalWidth="0" w:num="2">
            <w:col w:w="6940" w:space="720"/>
            <w:col w:w="3580"/>
          </w:cols>
          <w:pgMar w:left="320" w:top="1245" w:right="3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7"/>
          <w:szCs w:val="17"/>
          <w:color w:val="auto"/>
        </w:rPr>
        <w:t>The Ritz-Carlton Club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Luxury Collection</w:t>
      </w:r>
    </w:p>
    <w:p>
      <w:pPr>
        <w:spacing w:after="0" w:line="163" w:lineRule="exact"/>
        <w:rPr>
          <w:sz w:val="20"/>
          <w:szCs w:val="20"/>
          <w:color w:val="auto"/>
        </w:rPr>
      </w:pPr>
    </w:p>
    <w:p>
      <w:pPr>
        <w:sectPr>
          <w:pgSz w:w="11900" w:h="16838" w:orient="portrait"/>
          <w:cols w:equalWidth="0" w:num="2">
            <w:col w:w="7020" w:space="720"/>
            <w:col w:w="3500"/>
          </w:cols>
          <w:pgMar w:left="320" w:top="1245" w:right="339" w:bottom="1440" w:gutter="0" w:footer="0" w:header="0"/>
          <w:type w:val="continuous"/>
        </w:sectPr>
      </w:pPr>
    </w:p>
    <w:p>
      <w:pPr>
        <w:ind w:right="100"/>
        <w:spacing w:after="0" w:line="283" w:lineRule="auto"/>
        <w:rPr>
          <w:sz w:val="20"/>
          <w:szCs w:val="20"/>
          <w:color w:val="auto"/>
        </w:rPr>
      </w:pPr>
      <w:r>
        <w:rPr>
          <w:rFonts w:ascii="Times New Roman" w:cs="Times New Roman" w:eastAsia="Times New Roman" w:hAnsi="Times New Roman"/>
          <w:sz w:val="17"/>
          <w:szCs w:val="17"/>
          <w:color w:val="auto"/>
        </w:rPr>
        <w:t>Our luxury tier whole ownership residential offerings include residential condominiums co-located with The Ritz-Carlton Club resorts in the United States. On-site management and services at both The Ritz-Carlton Club and The Ritz-Carlton Residences are provided by The Ritz-Carlton Hotel Company.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Brand Licensed from Hyatt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Hyatt Vacation Club is a collection of upper upscale vacation ownership resorts offering timeshare villas located in the United States and Mexico.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Products and Services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Points-Based Vacation Ownership Products</w:t>
      </w:r>
    </w:p>
    <w:p>
      <w:pPr>
        <w:spacing w:after="0" w:line="1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We sell the majority of our products through points-based ownership programs affiliated with the Marriott and Hyatt brands. Our points-based systems and exchange networks enable owners and members to access a large variety of different vacation experiences.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programs enable our owners to exchange their points for a wide variety of innovative vacation experiences, which may include cruises, airline travel, guided tours, safaris and other unique vacation alternatives. Owners who are members of our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0" w:name="page11"/>
    <w:bookmarkEnd w:id="10"/>
    <w:p>
      <w:pPr>
        <w:ind w:right="40"/>
        <w:spacing w:after="0" w:line="267" w:lineRule="auto"/>
        <w:rPr>
          <w:sz w:val="20"/>
          <w:szCs w:val="20"/>
          <w:color w:val="auto"/>
        </w:rPr>
      </w:pPr>
      <w:r>
        <w:rPr>
          <w:rFonts w:ascii="Times New Roman" w:cs="Times New Roman" w:eastAsia="Times New Roman" w:hAnsi="Times New Roman"/>
          <w:sz w:val="17"/>
          <w:szCs w:val="17"/>
          <w:color w:val="auto"/>
        </w:rPr>
        <w:t>points-based programs typically pay annual fees in exchange for the ability to participate in the program. In addition to points-based ownership programs that allow owners to access multiple destinations within a single program, we offer points programs at certain resorts, such as in St. John and Hawaii, that allow owners to access only that particular site using points in a similar fashion to the other points-based products.</w:t>
      </w:r>
    </w:p>
    <w:p>
      <w:pPr>
        <w:spacing w:after="0" w:line="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Our points programs allow owners to bank and borrow their annual point allotments, access other locations through the applicable internal exchange programs that we operate, and access Interval International’s network of more than 3,200 affiliated resorts. Owners who are Marriott Bonvoy or World of Hyatt customer loyalty program members can exchange their vacation ownership usage rights for Marriott Bonvoy points or World of Hyatt points, as applicable, which can be used to access participating hotels or redeemed for airline miles or other merchandise or rewards offered through such customer loyalty programs. Through our exchange networks and points systems, owners can also use points toward vacation experiences such as a bicycle tour, a culinary journey, an adventure cruise or a once-in-a-lifetime trip to a major sporting event. Our points-based products offer usage in perpetuity or for a specified term of years and may consist of real estate interests or a contractual right-to-use.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Weeks-Based Vacation Ownership Products</w:t>
      </w:r>
    </w:p>
    <w:p>
      <w:pPr>
        <w:spacing w:after="0" w:line="11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continue to sell weeks-based vacation ownership products in select markets, including in countries where legal and tax constraints currently limit our ability to include those locations in one of our existing points-based programs. Our products include multi-week VOIs in specific Grand Residences by Marriott, St. Regis Residence Club, The Luxury Collection Residence Club, and The Ritz-Carlton Club resorts. Our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VOIs as a contractual right-to-use product subject to a finite term in Asia Pacific and Europe.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Global Exchange Opportunities</w:t>
      </w:r>
    </w:p>
    <w:p>
      <w:pPr>
        <w:spacing w:after="0" w:line="1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Most of our vacation ownership products, including our Marriott and Hyatt -branded products, are affiliated with the Interval Network, the high-quality membership brand that serves as the gateway to premium vacation experiences.</w:t>
      </w:r>
    </w:p>
    <w:p>
      <w:pPr>
        <w:spacing w:after="0" w:line="5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In 2022, we launched Abound by Marriott Vacations, an owner benefit and exchange program which affiliates the Marriott Vacation Club-, Sheraton Vacation Club-and Westin Vacation Club- brands, which allows us to offer similar benefits to owners of our products under these brands. Under this program, owners of Marriott Vacation Club, Sheraton Vacation Club and Westin Vacation Club branded VOIs can access resorts under the Marriott Vacation Club, Sheraton Vacation Club and Westin Vacation Club brands using a common currency. The program harmonized fee structures and owner benefit levels between these brands and has allowed us to sell various products at our sales centers.</w:t>
      </w:r>
    </w:p>
    <w:p>
      <w:pPr>
        <w:spacing w:after="0" w:line="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We offer our existing Marriott Vacation Club owners who hold weeks-based products the opportunity to participate, on a voluntary basis, in an exchange program through which many vacation experiences are offered. All existing owners, whether or not they elect to participate in the Abound by Marriott Vacations exchange program, retain their existing rights and privileges of vacation ownership. Owners who elect to participate in the exchange program receive the ability to trade their weeks-based VOI usage for vacation club points usage each year, typically subject to payment of an initial enrollment fee and annual club dues.</w:t>
      </w:r>
    </w:p>
    <w:p>
      <w:pPr>
        <w:spacing w:after="0" w:line="6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VSN provides Westin Vacation Club and Sheraton Vacation Club owners access to its affiliated resorts as well as the opportunity to exchange their points through the Marriott Bonvoy program for access to Marriott vacation ownership resorts, through the Interval International network, or for a cruise. Based on the point value of the home resort interest owned, customers can choose other VSN affiliated resorts, the type of villa, the date of travel and the length of stay. VSN members have a home resort priority period in which they have exclusive reservation rights for the related resort or points program without competition from other network members. During this home resort priority period, they can reserve occupancy based on the season and unit type purchased.</w:t>
      </w:r>
    </w:p>
    <w:p>
      <w:pPr>
        <w:spacing w:after="0" w:line="7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Hyatt Vacation Club provides its owners exchange rights through Interval International. Eligible members may redeem their club points for World of Hyatt points, which may be redeemed at participating Hyatt-branded vacation ownership and hotel properties. In late 2023, we launched the BEYOND program for Hyatt Vacation Club. This program is designed to give owners of Hyatt Vacation Club Platinum or Hyatt Vacation Club Portfolio the opportunity for flexible access to exciting global travel experiences such as cruises, guided tours, and more, while enjoying their ownership benefits and Hyatt Vacation Club resorts.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Sources of Revenue</w:t>
      </w:r>
    </w:p>
    <w:p>
      <w:pPr>
        <w:spacing w:after="0" w:line="1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We generate most of our revenues from four primary sources: (1) selling vacation ownership products; (2) managing vacation ownership resorts, clubs, and owners’ associations; (3) financing consumer purchases of vacation ownership products; and (4) renting vacation ownership inventory.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Vacation Ownership Products</w:t>
      </w:r>
    </w:p>
    <w:p>
      <w:pPr>
        <w:spacing w:after="0" w:line="116"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color w:val="auto"/>
        </w:rPr>
        <w:t>Our principal source of revenue is the sale of VOIs. Our remaining sources of revenue either support and/or are derived from the sale of VOIs (such as financing revenue) or are a result of the development and sale of VOIs (such as resort management and other services revenue).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Resort Management and Other Services</w:t>
      </w:r>
    </w:p>
    <w:p>
      <w:pPr>
        <w:spacing w:after="0" w:line="116"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We generate revenue from fees we earn for managing each of our resorts. In addition, we earn revenue for providing ancillary offerings, including food and beverage, retail, and golf and spa offerings at our resorts. We also receive annual fees, club dues, and certain transaction-based fees from owners and other third parties, including exchange service providers with which we are associated.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w:t>
      </w:r>
    </w:p>
    <w:p>
      <w:pPr>
        <w:spacing w:after="0" w:line="116"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7"/>
          <w:szCs w:val="17"/>
          <w:color w:val="auto"/>
        </w:rPr>
        <w:t>We offer financing to qualified customers for the purchase of most types of our vacation ownership products. As a result, we earn interest income on loans that we provide to purchasers of our VOIs, as well as loan servicing and other fees.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Rental</w:t>
      </w:r>
    </w:p>
    <w:p>
      <w:pPr>
        <w:spacing w:after="0" w:line="11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generate revenue from rentals of inventory that we hold for sale as interests in our vacation ownership programs or as residences, or inventory that we control because our owners have elected alternative usage options permitted under our vacation ownership programs. By using Marriott.com and other direct booking channels to rent available inventory, we are able to reach potential new members who may already have an affinity for and loyalty to the Marriott, Sheraton, Westin and Ritz-Carlton brands and introduce them to our products. Similarly, by using Hyatt.com and other direct booking channels to rent available inventory, we are able to reach potential new members who may already have an affinity for and loyalty to the Hyatt brand and introduce them to our products.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 and Sales Activities</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sell our upper upscale tier vacation ownership products under our brands primarily through our worldwide network of resort-based sales centers and certain off-site sales locations. Our VOIs are currently marketed for sale throughout the United States and in 30 countries and territories around the world, targeting customers who vacation regularly with a focus on family, relaxation and recreational activities. In 2025, 90% of our vacation ownership contract sales originated in North America and 90% of our vacation ownership contract sales originated at sales centers that are co-located with one of our resorts. We maintain a range of different off-site sales centers, including our central telesales organization based in Orlando, offsite galleries in Singapore and Japan, and our network of third-party brokers in Latin America and Europe. We have approximately 90 global sales locations focused on the sale of VOIs. We utilize a number of marketing channels to attract qualified customers to our sales locations, including digital and social media marketing.</w:t>
      </w:r>
    </w:p>
    <w:p>
      <w:pPr>
        <w:spacing w:after="0" w:line="7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solicit our existing owners primarily while they are staying in our resorts, but also offer our owners the opportunity to make additional purchases through direct phone sales, owner events and inquiries from our central customer service centers located in Salt Lake City, Utah, Orlando, Florida, and Mexico City, Mexico. In 2025, approximately 70% of our vacation ownership contract sales were to our existing owners. In addition, we are concentrating on growing our high-quality tour flow and VPGs cost effectively through new and existing marketing channels.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also market to existing Marriott and Hyatt customer loyalty program members and travelers who are staying in locations where we have resorts affiliated with those brands. We market extensively to guests in Marriott International or Hyatt hotels that are located near one of our sales locations. We also market through call transfer arrangements with Marriott International pursuant to which callers to certain reservation centers are asked if they would like to be transferred to one of our representatives who can tell them about our products. In addition, we operate other local marketing venues in various high-traffic areas. A significant part of our direct marketing activities is focused on members in the Marriott and Hyatt customer loyalty program databases and our in-house databases of qualified prospective customers. We offer guests who do not buy a VOI during their initial tour the opportunity to purchase a return package for a future stay at our resorts. These return guests have historically and consistently been nearly twice as likely to purchase a VOI as a first-time visitor.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245" w:right="399" w:bottom="1440" w:gutter="0" w:footer="0" w:header="0"/>
        </w:sectPr>
      </w:pPr>
    </w:p>
    <w:bookmarkStart w:id="12" w:name="page13"/>
    <w:bookmarkEnd w:id="12"/>
    <w:p>
      <w:pPr>
        <w:ind w:right="180"/>
        <w:spacing w:after="0" w:line="256" w:lineRule="auto"/>
        <w:rPr>
          <w:sz w:val="20"/>
          <w:szCs w:val="20"/>
          <w:color w:val="auto"/>
        </w:rPr>
      </w:pPr>
      <w:r>
        <w:rPr>
          <w:rFonts w:ascii="Times New Roman" w:cs="Times New Roman" w:eastAsia="Times New Roman" w:hAnsi="Times New Roman"/>
          <w:sz w:val="17"/>
          <w:szCs w:val="17"/>
          <w:color w:val="auto"/>
        </w:rPr>
        <w:t>Our sales tours are designed to provide our guests with an overview of our company and our products, as well as a customized presentation to explain how our products and services can meet their vacationing needs. The vacation experience we provide today is not just about a visit to a resort. It can be a bicycle tour, a culinary journey, an adventure cruise, or a once-in-a-lifetime trip to a major sporting event. That is why our sales force is highly trained in a consultative sales approach designed to enable us to meet customers’ needs on an individual basis. We hire our sales executives based on stringent selection criteria. After they are hired, they spend a minimum of four weeks in product and sales training, of which the final week is typically site-driven and tailored to the learning needs of each respective site and new hire. We manage our sales executives’ consistency of presentation and professionalism using a variety of sales tools and technology and through a post-presentation survey of our guests that measures many aspects of each guest’s interactions during the sales process.</w:t>
      </w:r>
    </w:p>
    <w:p>
      <w:pPr>
        <w:spacing w:after="0" w:line="7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believe consumers place a great deal of trust in our brands and the strength of these brands is important to our ability to attract qualified prospects in the marketplace. We maintain a presence on the www.marriott.com, www.ritzcarlton.com and www.hyatt.com websites. Our proprietary websites include www.marriottvacationsworldwide.com, www.marriottvacationclubs.com, www.ritzcarltonclub.com, www.theresidenceclub.com, www.grandresidenceclub.com and www.hyattvacationclub.com.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 and Development Activities</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secure inventory by developing or acquiring inventory in strategic markets, reacquiring previously sold inventory in the secondary market, reacquiring inventory as a result of owner loan or maintenance fee defaults, or building additional phases at our existing resorts. We proactively buy back previously sold VOIs under our repurchase programs at lower costs than would be required to develop new inventory. Efficient use of our capital is also achieved through our points-based business model, which allows us to supply many sales locations with new inventory sourced from a small number of resort locations.</w:t>
      </w:r>
    </w:p>
    <w:p>
      <w:pPr>
        <w:spacing w:after="0" w:line="6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may selectively pursue growth opportunities by targeting high-quality inventory that allows us to selectively add desirable new destinations to our system with new on-site sales locations in ways that optimize the timing of our capital investments. These capital efficient vacation ownership transaction structures may include working with third parties to develop new inventory or to convert previously built units to be sold to us close to when we need such inventory to support growth in VOI sales.</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Approximately 25% of our Vacation Ownership segment resorts are co-located with same-branded or affiliated hotel properties. Co-location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customer loyalty program members, who are visiting co-located hotels also provides us with a cost-effective marketing channel for our vacation ownership products.</w:t>
      </w:r>
    </w:p>
    <w:p>
      <w:pPr>
        <w:spacing w:after="0" w:line="75"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color w:val="auto"/>
        </w:rPr>
        <w:t>Co-located resorts require cooperation and coordination among all parties and are subject to cost sharing and integration agreements among us, the applicable owners’ association and managers and owners of the co-located hotel. Our license agreements with Marriott International and Hyatt allow for the development of co-located properties in the future, and we intend to opportunistically pursue co-located projects with them.</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Owners generally can offer their VOIs for resale on the secondary market, which can create pricing pressure on the sale of developer inventory. However, owners who purchase VOIs on the secondary market typically do not receive all of the benefits that owners who purchase products directly from us receive. When an owner purchases a VOI directly from us or a resale on the secondary market, the owner receives certain entitlements that are tied to the underlying VOI, such as the right to reserve a resort unit that underlies their VOI in order to occupy that unit or exchange its use for use of a unit at another resort through an external exchange service provider, as well as benefits that are incidental to the purchase of the VOI. However, the purchaser on the secondary market may not be entitled to receive certain ancillary benefits such as full access to our internal exchange programs or the right to trade their usage rights for customer loyalty program points. Additionally, many of our VOIs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owners’ association, as well as any exchange service membership dues or service fees.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Management Activities</w:t>
      </w:r>
    </w:p>
    <w:p>
      <w:pPr>
        <w:spacing w:after="0" w:line="116"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7"/>
          <w:szCs w:val="17"/>
          <w:color w:val="auto"/>
        </w:rPr>
        <w:t>We enter into a management agreement with the owners’ association or other governing body at our resorts and, when a trust holds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costs to operate the applicable resort or a fixed fee arrangement. We earn these fees independent of usage or occupancy. We also receive revenues that represent reimbursement for certain costs we incur under our management agreements, which costs are principally payroll-related costs at the locations where we employ the associates providing on-site services (such as housekeeping or landscaping), costs associated with property refurbishments (including those where we act as the project manager), and insurance costs. Cost reimbursements consist of actual expenses with no added margin.</w:t>
      </w:r>
    </w:p>
    <w:p>
      <w:pPr>
        <w:spacing w:after="0" w:line="7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branded resort is not renewed or is terminated, the resort loses the ability to use our relevant brand and trademarks. The owners at such resorts also lose their ability to trade their vacation ownership usage rights for customer loyalty program points and to access other resorts and other vacation travel options through our internal exchange programs.</w:t>
      </w:r>
    </w:p>
    <w:p>
      <w:pPr>
        <w:spacing w:after="0" w:line="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certain locations, affiliates of Marriott International or other third parties manage the on-site operations for properties in our portfolio under separate management agreements with us. We provide owners’ association governance and vacation ownership program management services for these properties, including preparing association budgets, facilitating association meetings, billing and collecting maintenance fees, and supporting reservations, vacation experience planning and other off-site member services. We and the on-site property manager typically split the management fees for these resorts.</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Each management agreement requires the owners’ association, trust association or other governing body to provide sufficient funds to pay for the vacation ownership program and operating costs. To satisfy this requirement, owners of VOIs pay an annual maintenance fee. This fee represents the owner’s allocable share of the costs of operating and maintaining the resorts or interests in the timeshare plan in which they hold a VOI,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We may enter into subsidy agreements with the owners’ associations under which we agree to pay costs that otherwise would be covered by annual maintenance fees associated with VOIs or units that have not yet been built or committed to a timeshare plan.</w:t>
      </w:r>
    </w:p>
    <w:p>
      <w:pPr>
        <w:spacing w:after="0" w:line="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If an owner defaults in payment of maintenance fees or other assessments, the owners’ association typically has the right to foreclose on or revoke the defaulting owner’s VOI. We have arrangements with the majority of our vacation ownership property owners’ associations in North America to assist in reselling foreclosed or revoked VOIs in exchange for a fee, or to reacquire such foreclosed or revoked VOIs from the owners’ associations. These arrangements are generally cancellable within 30 to 45 days notice.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Consumer Financing</w:t>
      </w:r>
    </w:p>
    <w:p>
      <w:pPr>
        <w:spacing w:after="0" w:line="116"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7"/>
          <w:szCs w:val="17"/>
          <w:color w:val="auto"/>
        </w:rPr>
        <w:t>We offer purchase money financing for purchasers of our vacation ownership products who meet our underwriting guidelines. By offering or eliminating financing incentives, we have been able to increase or decrease the volume of our financing activities depending on market conditions. We do not provide financing to buyers of our residential products. We generally do not face competition in our consumer financing business to finance sales of vacation ownership products.</w:t>
      </w:r>
    </w:p>
    <w:p>
      <w:pPr>
        <w:spacing w:after="0" w:line="64"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7"/>
          <w:szCs w:val="17"/>
          <w:color w:val="auto"/>
        </w:rPr>
        <w:t>For financing on the majority of our VOIs, we require a minimum down payment of 10% of the purchase price, although down payments and interest rates are typically higher for applicants with credit scores below certain levels and for purchasers who do not have credit scores, such as non-U.S. resident purchasers. Existing customers may apply any or all of their existing ownership interests as part of the down payment for additional VOIs (also referred to as an equity upgrade). Interest rates are fixed and a loan fully amortizes over the life of the loan. We do not impose any prepayment penalties.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2" w:right="359" w:bottom="1440" w:gutter="0" w:footer="0" w:header="0"/>
        </w:sectPr>
      </w:pPr>
    </w:p>
    <w:bookmarkStart w:id="14" w:name="page15"/>
    <w:bookmarkEnd w:id="14"/>
    <w:p>
      <w:pPr>
        <w:ind w:right="20"/>
        <w:spacing w:after="0" w:line="256" w:lineRule="auto"/>
        <w:rPr>
          <w:sz w:val="20"/>
          <w:szCs w:val="20"/>
          <w:color w:val="auto"/>
        </w:rPr>
      </w:pPr>
      <w:r>
        <w:rPr>
          <w:rFonts w:ascii="Times New Roman" w:cs="Times New Roman" w:eastAsia="Times New Roman" w:hAnsi="Times New Roman"/>
          <w:sz w:val="17"/>
          <w:szCs w:val="17"/>
          <w:color w:val="auto"/>
        </w:rPr>
        <w:t>In our vacation ownership business, in many of our markets,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Fair Isaac Corporation credit score (“FICO”),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75"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The table below provides information related to loans originated by us for vacation ownership products, including any refinancing by purchasers who upgraded a prior purchase, during each of the last three fiscal years.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b w:val="1"/>
          <w:bCs w:val="1"/>
          <w:color w:val="auto"/>
        </w:rPr>
        <w:t>Fiscal Years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2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Borders>
              <w:top w:val="single" w:sz="8" w:color="auto"/>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top w:val="single" w:sz="8" w:color="auto"/>
              <w:bottom w:val="single" w:sz="8" w:color="CCEEFF"/>
            </w:tcBorders>
          </w:tcPr>
          <w:p>
            <w:pPr>
              <w:spacing w:after="0"/>
              <w:rPr>
                <w:sz w:val="17"/>
                <w:szCs w:val="17"/>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loan amount</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$30,900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$30,400</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$28,600</w:t>
            </w: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interest rate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13.1%</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term (years)</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mortgage payment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$505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$492</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$454</w:t>
            </w:r>
          </w:p>
        </w:tc>
      </w:tr>
      <w:tr>
        <w:trPr>
          <w:trHeight w:val="243"/>
        </w:trPr>
        <w:tc>
          <w:tcPr>
            <w:tcW w:w="392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Average FICO score</w:t>
            </w:r>
            <w:r>
              <w:rPr>
                <w:rFonts w:ascii="Times New Roman" w:cs="Times New Roman" w:eastAsia="Times New Roman" w:hAnsi="Times New Roman"/>
                <w:sz w:val="22"/>
                <w:szCs w:val="22"/>
                <w:color w:val="auto"/>
                <w:vertAlign w:val="superscript"/>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740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735</w:t>
            </w:r>
          </w:p>
        </w:tc>
      </w:tr>
      <w:tr>
        <w:trPr>
          <w:trHeight w:val="243"/>
        </w:trPr>
        <w:tc>
          <w:tcPr>
            <w:tcW w:w="39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7"/>
                <w:szCs w:val="17"/>
                <w:color w:val="auto"/>
              </w:rPr>
              <w:t>% of purchasers with FICO score over 700</w:t>
            </w:r>
            <w:r>
              <w:rPr>
                <w:rFonts w:ascii="Times New Roman" w:cs="Times New Roman" w:eastAsia="Times New Roman" w:hAnsi="Times New Roman"/>
                <w:sz w:val="22"/>
                <w:szCs w:val="22"/>
                <w:color w:val="auto"/>
                <w:vertAlign w:val="superscript"/>
              </w:rPr>
              <w:t>(1)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76%</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72%</w:t>
            </w:r>
          </w:p>
        </w:tc>
      </w:tr>
      <w:tr>
        <w:trPr>
          <w:trHeight w:val="243"/>
        </w:trPr>
        <w:tc>
          <w:tcPr>
            <w:tcW w:w="392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 of purchasers with FICO score over 650</w:t>
            </w:r>
            <w:r>
              <w:rPr>
                <w:rFonts w:ascii="Times New Roman" w:cs="Times New Roman" w:eastAsia="Times New Roman" w:hAnsi="Times New Roman"/>
                <w:sz w:val="22"/>
                <w:szCs w:val="22"/>
                <w:color w:val="auto"/>
                <w:vertAlign w:val="superscript"/>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91%</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w:t>
            </w:r>
          </w:p>
        </w:tc>
      </w:tr>
      <w:tr>
        <w:trPr>
          <w:trHeight w:val="243"/>
        </w:trPr>
        <w:tc>
          <w:tcPr>
            <w:tcW w:w="39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7"/>
                <w:szCs w:val="17"/>
                <w:color w:val="auto"/>
              </w:rPr>
              <w:t>% of purchasers with FICO score over 600</w:t>
            </w:r>
            <w:r>
              <w:rPr>
                <w:rFonts w:ascii="Times New Roman" w:cs="Times New Roman" w:eastAsia="Times New Roman" w:hAnsi="Times New Roman"/>
                <w:sz w:val="22"/>
                <w:szCs w:val="22"/>
                <w:color w:val="auto"/>
                <w:vertAlign w:val="superscript"/>
              </w:rPr>
              <w:t>(1)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98%</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w:t>
            </w:r>
          </w:p>
        </w:tc>
      </w:tr>
    </w:tbl>
    <w:p>
      <w:pPr>
        <w:spacing w:after="0" w:line="97" w:lineRule="exact"/>
        <w:rPr>
          <w:sz w:val="20"/>
          <w:szCs w:val="20"/>
          <w:color w:val="auto"/>
        </w:rPr>
      </w:pPr>
    </w:p>
    <w:p>
      <w:pPr>
        <w:ind w:left="300" w:hanging="298"/>
        <w:spacing w:after="0"/>
        <w:tabs>
          <w:tab w:leader="none" w:pos="30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FICO scores of our customers who were U.S. citizens or residents who financed a vacation ownership purchase and for whom FICO scores were available.</w:t>
      </w:r>
    </w:p>
    <w:p>
      <w:pPr>
        <w:spacing w:after="0" w:line="78"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In the event of a default, we generally have the right to foreclose on or revoke the defaulting owner’s VOI. We typically resell interests that we reacquire through foreclosure or revocation or place such interests into one of our points-based programs.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securitize the majority of the consumer loans we originate in our vacation ownership business. Historically, we have sold these loans to institutional investors in the asset-backed securities (“ABS”) market on a non-recourse basis. These vacation ownership notes receivable securitizations provide funding for us at interest rates similar to those available to companies with investment grade credit ratings, and transfer the economic risks and a significant portion of the benefits of the consumer loans we originate to third parties. In a vacation ownership notes receivable securitization, several classes of debt securities issued by a special purpose entity are generally collateralized by a single pool of transferred assets, which consist of vacation ownership notes receivable. During 2025, we completed two securitization transactions, which are discussed in detail in Footnote 14 “Securitized Debt” to our Financial Statements. On an ongoing basis, we have the ability to use our warehouse credit facility (“Warehouse Credit Facility”) to securitize eligible consumer loans derived from certain branded vacation ownership sales. Those loans may later be transferred to term securitization transactions in the ABS market, which we intend to continue to complete at least twice a year. Since 2000, we have issued approximately $10.7 billion of debt securities in securitization transactions in the ABS market, excluding amounts securitized through warehouse credit facilities or private bank transactions. We retain the servicing and collection responsibilities for the loans we securitize, for which we receive a servicing fee.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146"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Our Resorts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December 31, 2025, our vacation ownership portfolio consisted of 120 properties with over 22,000 vacation ownership villas, also referred to as units, and over 31,000 keys in the following locations. A “key” is the lowest increment for reporting occupancy statistics based upon the mix of non-lock-off and lock-off villas. Lock-off villas represent two keys and non-lock-off villas represent one key.</w:t>
      </w:r>
    </w:p>
    <w:p>
      <w:pPr>
        <w:sectPr>
          <w:pgSz w:w="11900" w:h="16838" w:orient="portrait"/>
          <w:cols w:equalWidth="0" w:num="1">
            <w:col w:w="10960"/>
          </w:cols>
          <w:pgMar w:left="320" w:top="1245" w:right="619" w:bottom="1440" w:gutter="0" w:footer="0" w:header="0"/>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Mainland U.S. and Hawaii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 of</w:t>
            </w: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120" w:type="dxa"/>
            <w:vAlign w:val="bottom"/>
            <w:gridSpan w:val="2"/>
          </w:tcPr>
          <w:p>
            <w:pPr>
              <w:spacing w:after="0"/>
              <w:rPr>
                <w:sz w:val="17"/>
                <w:szCs w:val="17"/>
                <w:color w:val="auto"/>
              </w:rPr>
            </w:pPr>
          </w:p>
        </w:tc>
        <w:tc>
          <w:tcPr>
            <w:tcW w:w="6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Keys</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Arizona</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1,190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Missouri</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640" w:type="dxa"/>
            <w:vAlign w:val="bottom"/>
            <w:gridSpan w:val="3"/>
          </w:tcPr>
          <w:p>
            <w:pPr>
              <w:jc w:val="center"/>
              <w:ind w:left="135"/>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6,248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Nevada</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Colorado</w:t>
            </w:r>
          </w:p>
        </w:tc>
        <w:tc>
          <w:tcPr>
            <w:tcW w:w="640" w:type="dxa"/>
            <w:vAlign w:val="bottom"/>
            <w:gridSpan w:val="3"/>
          </w:tcPr>
          <w:p>
            <w:pPr>
              <w:jc w:val="center"/>
              <w:ind w:left="135"/>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640" w:type="dxa"/>
            <w:vAlign w:val="bottom"/>
            <w:gridSpan w:val="3"/>
          </w:tcPr>
          <w:p>
            <w:pPr>
              <w:jc w:val="center"/>
              <w:ind w:left="135"/>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8,005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Mexico</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Hawaii</w:t>
            </w:r>
          </w:p>
        </w:tc>
        <w:tc>
          <w:tcPr>
            <w:tcW w:w="640" w:type="dxa"/>
            <w:vAlign w:val="bottom"/>
            <w:gridSpan w:val="3"/>
          </w:tcPr>
          <w:p>
            <w:pPr>
              <w:jc w:val="center"/>
              <w:ind w:left="135"/>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4,894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York</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Massachusetts</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7"/>
              </w:rPr>
              <w:t>South Carolina</w:t>
            </w:r>
          </w:p>
        </w:tc>
        <w:tc>
          <w:tcPr>
            <w:tcW w:w="0" w:type="dxa"/>
            <w:vAlign w:val="bottom"/>
          </w:tcPr>
          <w:p>
            <w:pPr>
              <w:spacing w:after="0"/>
              <w:rPr>
                <w:sz w:val="1"/>
                <w:szCs w:val="1"/>
                <w:color w:val="auto"/>
              </w:rPr>
            </w:pPr>
          </w:p>
        </w:tc>
      </w:tr>
      <w:tr>
        <w:trPr>
          <w:trHeight w:val="448"/>
        </w:trPr>
        <w:tc>
          <w:tcPr>
            <w:tcW w:w="3860" w:type="dxa"/>
            <w:vAlign w:val="bottom"/>
            <w:gridSpan w:val="11"/>
          </w:tcPr>
          <w:p>
            <w:pPr>
              <w:spacing w:after="0"/>
              <w:rPr>
                <w:sz w:val="20"/>
                <w:szCs w:val="20"/>
                <w:color w:val="auto"/>
              </w:rPr>
            </w:pPr>
            <w:r>
              <w:rPr>
                <w:rFonts w:ascii="Times New Roman" w:cs="Times New Roman" w:eastAsia="Times New Roman" w:hAnsi="Times New Roman"/>
                <w:sz w:val="17"/>
                <w:szCs w:val="17"/>
                <w:i w:val="1"/>
                <w:iCs w:val="1"/>
                <w:color w:val="auto"/>
              </w:rPr>
              <w:t>Caribbean, Mexico, and Central America</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 of</w:t>
            </w: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60" w:type="dxa"/>
            <w:vAlign w:val="bottom"/>
            <w:gridSpan w:val="6"/>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Resorts</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Keys</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Aruba</w:t>
            </w:r>
          </w:p>
        </w:tc>
        <w:tc>
          <w:tcPr>
            <w:tcW w:w="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center"/>
              <w:ind w:right="18"/>
              <w:spacing w:after="0"/>
              <w:rPr>
                <w:sz w:val="20"/>
                <w:szCs w:val="20"/>
                <w:color w:val="auto"/>
              </w:rPr>
            </w:pPr>
            <w:r>
              <w:rPr>
                <w:rFonts w:ascii="Times New Roman" w:cs="Times New Roman" w:eastAsia="Times New Roman" w:hAnsi="Times New Roman"/>
                <w:sz w:val="17"/>
                <w:szCs w:val="17"/>
                <w:color w:val="auto"/>
                <w:w w:val="93"/>
              </w:rPr>
              <w:t>1,211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0" w:type="dxa"/>
            <w:vAlign w:val="bottom"/>
          </w:tcPr>
          <w:p>
            <w:pPr>
              <w:spacing w:after="0"/>
              <w:rPr>
                <w:sz w:val="1"/>
                <w:szCs w:val="1"/>
                <w:color w:val="auto"/>
              </w:rPr>
            </w:pPr>
          </w:p>
        </w:tc>
      </w:tr>
      <w:tr>
        <w:trPr>
          <w:trHeight w:val="170"/>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Bahamas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U.S. Virgin</w:t>
            </w:r>
          </w:p>
        </w:tc>
        <w:tc>
          <w:tcPr>
            <w:tcW w:w="0" w:type="dxa"/>
            <w:vAlign w:val="bottom"/>
          </w:tcPr>
          <w:p>
            <w:pPr>
              <w:spacing w:after="0"/>
              <w:rPr>
                <w:sz w:val="1"/>
                <w:szCs w:val="1"/>
                <w:color w:val="auto"/>
              </w:rPr>
            </w:pPr>
          </w:p>
        </w:tc>
      </w:tr>
      <w:tr>
        <w:trPr>
          <w:trHeight w:val="142"/>
        </w:trPr>
        <w:tc>
          <w:tcPr>
            <w:tcW w:w="1220" w:type="dxa"/>
            <w:vAlign w:val="bottom"/>
            <w:vMerge w:val="continue"/>
          </w:tcPr>
          <w:p>
            <w:pPr>
              <w:spacing w:after="0"/>
              <w:rPr>
                <w:sz w:val="12"/>
                <w:szCs w:val="12"/>
                <w:color w:val="auto"/>
              </w:rPr>
            </w:pP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center"/>
              <w:ind w:right="18"/>
              <w:spacing w:after="0"/>
              <w:rPr>
                <w:sz w:val="20"/>
                <w:szCs w:val="20"/>
                <w:color w:val="auto"/>
              </w:rPr>
            </w:pPr>
            <w:r>
              <w:rPr>
                <w:rFonts w:ascii="Times New Roman" w:cs="Times New Roman" w:eastAsia="Times New Roman" w:hAnsi="Times New Roman"/>
                <w:sz w:val="17"/>
                <w:szCs w:val="17"/>
                <w:color w:val="auto"/>
                <w:w w:val="93"/>
              </w:rPr>
              <w:t>382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Islands</w:t>
            </w: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Costa Rica</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center"/>
              <w:ind w:right="18"/>
              <w:spacing w:after="0"/>
              <w:rPr>
                <w:sz w:val="20"/>
                <w:szCs w:val="20"/>
                <w:color w:val="auto"/>
              </w:rPr>
            </w:pPr>
            <w:r>
              <w:rPr>
                <w:rFonts w:ascii="Times New Roman" w:cs="Times New Roman" w:eastAsia="Times New Roman" w:hAnsi="Times New Roman"/>
                <w:sz w:val="17"/>
                <w:szCs w:val="17"/>
                <w:color w:val="auto"/>
                <w:w w:val="93"/>
              </w:rPr>
              <w:t>48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 Indies</w:t>
            </w:r>
          </w:p>
        </w:tc>
        <w:tc>
          <w:tcPr>
            <w:tcW w:w="0" w:type="dxa"/>
            <w:vAlign w:val="bottom"/>
          </w:tcPr>
          <w:p>
            <w:pPr>
              <w:spacing w:after="0"/>
              <w:rPr>
                <w:sz w:val="1"/>
                <w:szCs w:val="1"/>
                <w:color w:val="auto"/>
              </w:rPr>
            </w:pPr>
          </w:p>
        </w:tc>
      </w:tr>
      <w:tr>
        <w:trPr>
          <w:trHeight w:val="435"/>
        </w:trPr>
        <w:tc>
          <w:tcPr>
            <w:tcW w:w="2080" w:type="dxa"/>
            <w:vAlign w:val="bottom"/>
            <w:gridSpan w:val="7"/>
          </w:tcPr>
          <w:p>
            <w:pPr>
              <w:spacing w:after="0"/>
              <w:rPr>
                <w:sz w:val="20"/>
                <w:szCs w:val="20"/>
                <w:color w:val="auto"/>
              </w:rPr>
            </w:pPr>
            <w:r>
              <w:rPr>
                <w:rFonts w:ascii="Times New Roman" w:cs="Times New Roman" w:eastAsia="Times New Roman" w:hAnsi="Times New Roman"/>
                <w:sz w:val="17"/>
                <w:szCs w:val="17"/>
                <w:i w:val="1"/>
                <w:iCs w:val="1"/>
                <w:color w:val="auto"/>
              </w:rPr>
              <w:t>Europe and Asia Pacific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 of</w:t>
            </w: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100" w:type="dxa"/>
            <w:vAlign w:val="bottom"/>
          </w:tcPr>
          <w:p>
            <w:pPr>
              <w:spacing w:after="0"/>
              <w:rPr>
                <w:sz w:val="17"/>
                <w:szCs w:val="17"/>
                <w:color w:val="auto"/>
              </w:rPr>
            </w:pPr>
          </w:p>
        </w:tc>
        <w:tc>
          <w:tcPr>
            <w:tcW w:w="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Keys</w:t>
            </w:r>
          </w:p>
        </w:tc>
        <w:tc>
          <w:tcPr>
            <w:tcW w:w="4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France</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auto"/>
                <w:w w:val="93"/>
              </w:rPr>
              <w:t>202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Indonesia</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Spain</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auto"/>
                <w:w w:val="93"/>
              </w:rPr>
              <w:t>715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Thailand</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auto"/>
                <w:w w:val="93"/>
              </w:rPr>
              <w:t>49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362267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2675" cy="1625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-487045</wp:posOffset>
            </wp:positionV>
            <wp:extent cx="362267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2675" cy="16256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Brands</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Marriott Vacation Club</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Sheraton Vacation Club</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Westin Vacation Club</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Grand Residences by Marriott</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Ritz-Carlton Club</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 Regis Residence Club and The Luxury Collection</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Hyatt Vacation Club</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Hotels</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Sheraton Kauai Resort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Westin Resort &amp; Spa, Cancun</w:t>
      </w:r>
      <w:r>
        <w:rPr>
          <w:rFonts w:ascii="Times New Roman" w:cs="Times New Roman" w:eastAsia="Times New Roman" w:hAnsi="Times New Roman"/>
          <w:sz w:val="22"/>
          <w:szCs w:val="22"/>
          <w:color w:val="auto"/>
          <w:vertAlign w:val="superscript"/>
        </w:rPr>
        <w:t>(1)</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Hyatt Highlands Inn</w:t>
      </w:r>
    </w:p>
    <w:p>
      <w:pPr>
        <w:spacing w:after="0" w:line="111" w:lineRule="exact"/>
        <w:rPr>
          <w:sz w:val="20"/>
          <w:szCs w:val="20"/>
          <w:color w:val="auto"/>
        </w:rPr>
      </w:pPr>
    </w:p>
    <w:p>
      <w:pPr>
        <w:ind w:left="160" w:hanging="158"/>
        <w:spacing w:after="0"/>
        <w:tabs>
          <w:tab w:leader="none" w:pos="16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We sold this hotel in January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c>
          <w:tcPr>
            <w:tcW w:w="15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203"/>
        </w:trPr>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Resorts</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Keys</w:t>
            </w:r>
          </w:p>
        </w:tc>
        <w:tc>
          <w:tcPr>
            <w:tcW w:w="1580" w:type="dxa"/>
            <w:vAlign w:val="bottom"/>
          </w:tcPr>
          <w:p>
            <w:pPr>
              <w:spacing w:after="0"/>
              <w:rPr>
                <w:sz w:val="17"/>
                <w:szCs w:val="17"/>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Resorts</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Keys</w:t>
            </w:r>
          </w:p>
        </w:tc>
      </w:tr>
      <w:tr>
        <w:trPr>
          <w:trHeight w:val="239"/>
        </w:trPr>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320</w:t>
            </w:r>
          </w:p>
        </w:tc>
        <w:tc>
          <w:tcPr>
            <w:tcW w:w="1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Texas</w:t>
            </w: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195</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1,174</w:t>
            </w:r>
          </w:p>
        </w:tc>
        <w:tc>
          <w:tcPr>
            <w:tcW w:w="1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Utah</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634</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180</w:t>
            </w:r>
          </w:p>
        </w:tc>
        <w:tc>
          <w:tcPr>
            <w:tcW w:w="1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Virginia</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276</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1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Washington, D.C.</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-649605</wp:posOffset>
            </wp:positionV>
            <wp:extent cx="527939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79390" cy="16256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-324485</wp:posOffset>
            </wp:positionV>
            <wp:extent cx="527939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79390" cy="16256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0</wp:posOffset>
            </wp:positionV>
            <wp:extent cx="527939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79390" cy="162560"/>
                    </a:xfrm>
                    <a:prstGeom prst="rect">
                      <a:avLst/>
                    </a:prstGeom>
                    <a:noFill/>
                  </pic:spPr>
                </pic:pic>
              </a:graphicData>
            </a:graphic>
          </wp:anchor>
        </w:drawing>
      </w:r>
    </w:p>
    <w:p>
      <w:pPr>
        <w:spacing w:after="0" w:line="14" w:lineRule="exact"/>
        <w:rPr>
          <w:sz w:val="20"/>
          <w:szCs w:val="20"/>
          <w:color w:val="auto"/>
        </w:rPr>
      </w:pPr>
    </w:p>
    <w:p>
      <w:pPr>
        <w:ind w:left="940" w:hanging="664"/>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228</w:t>
      </w:r>
    </w:p>
    <w:p>
      <w:pPr>
        <w:spacing w:after="0" w:line="60" w:lineRule="exact"/>
        <w:rPr>
          <w:sz w:val="20"/>
          <w:szCs w:val="20"/>
          <w:color w:val="auto"/>
        </w:rPr>
      </w:pPr>
    </w:p>
    <w:p>
      <w:pPr>
        <w:ind w:left="240"/>
        <w:spacing w:after="0"/>
        <w:tabs>
          <w:tab w:leader="none" w:pos="840" w:val="left"/>
        </w:tabs>
        <w:rPr>
          <w:sz w:val="20"/>
          <w:szCs w:val="20"/>
          <w:color w:val="auto"/>
        </w:rPr>
      </w:pPr>
      <w:r>
        <w:rPr>
          <w:rFonts w:ascii="Times New Roman" w:cs="Times New Roman" w:eastAsia="Times New Roman" w:hAnsi="Times New Roman"/>
          <w:sz w:val="17"/>
          <w:szCs w:val="17"/>
          <w:color w:val="auto"/>
        </w:rPr>
        <w:t>10</w:t>
      </w:r>
      <w:r>
        <w:rPr>
          <w:sz w:val="20"/>
          <w:szCs w:val="20"/>
          <w:color w:val="auto"/>
        </w:rPr>
        <w:tab/>
      </w:r>
      <w:r>
        <w:rPr>
          <w:rFonts w:ascii="Times New Roman" w:cs="Times New Roman" w:eastAsia="Times New Roman" w:hAnsi="Times New Roman"/>
          <w:sz w:val="17"/>
          <w:szCs w:val="17"/>
          <w:color w:val="auto"/>
        </w:rPr>
        <w:t>1,865</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c>
          <w:tcPr>
            <w:tcW w:w="15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 of</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203"/>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Keys</w:t>
            </w:r>
          </w:p>
        </w:tc>
        <w:tc>
          <w:tcPr>
            <w:tcW w:w="1500" w:type="dxa"/>
            <w:vAlign w:val="bottom"/>
          </w:tcPr>
          <w:p>
            <w:pPr>
              <w:spacing w:after="0"/>
              <w:rPr>
                <w:sz w:val="17"/>
                <w:szCs w:val="17"/>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Resorts</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Keys</w:t>
            </w:r>
          </w:p>
        </w:tc>
      </w:tr>
      <w:tr>
        <w:trPr>
          <w:trHeight w:val="226"/>
        </w:trPr>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164</w:t>
            </w:r>
          </w:p>
        </w:tc>
        <w:tc>
          <w:tcPr>
            <w:tcW w:w="1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Mexico</w:t>
            </w: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20" w:type="dxa"/>
            <w:vAlign w:val="bottom"/>
          </w:tcPr>
          <w:p>
            <w:pPr>
              <w:spacing w:after="0"/>
              <w:rPr>
                <w:sz w:val="19"/>
                <w:szCs w:val="19"/>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524700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47005" cy="154305"/>
                    </a:xfrm>
                    <a:prstGeom prst="rect">
                      <a:avLst/>
                    </a:prstGeom>
                    <a:noFill/>
                  </pic:spPr>
                </pic:pic>
              </a:graphicData>
            </a:graphic>
          </wp:anchor>
        </w:drawing>
      </w:r>
    </w:p>
    <w:p>
      <w:pPr>
        <w:spacing w:after="0" w:line="155" w:lineRule="exact"/>
        <w:rPr>
          <w:sz w:val="20"/>
          <w:szCs w:val="20"/>
          <w:color w:val="auto"/>
        </w:rPr>
      </w:pPr>
    </w:p>
    <w:p>
      <w:pPr>
        <w:ind w:left="940" w:hanging="651"/>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16510</wp:posOffset>
            </wp:positionV>
            <wp:extent cx="524700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47005" cy="154305"/>
                    </a:xfrm>
                    <a:prstGeom prst="rect">
                      <a:avLst/>
                    </a:prstGeom>
                    <a:noFill/>
                  </pic:spPr>
                </pic:pic>
              </a:graphicData>
            </a:graphic>
          </wp:anchor>
        </w:drawing>
      </w:r>
    </w:p>
    <w:p>
      <w:pPr>
        <w:spacing w:after="0" w:line="28" w:lineRule="exact"/>
        <w:rPr>
          <w:sz w:val="20"/>
          <w:szCs w:val="20"/>
          <w:color w:val="auto"/>
        </w:rPr>
      </w:pPr>
    </w:p>
    <w:p>
      <w:pPr>
        <w:ind w:left="980" w:hanging="691"/>
        <w:spacing w:after="0"/>
        <w:tabs>
          <w:tab w:leader="none" w:pos="9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w:t>
      </w:r>
    </w:p>
    <w:p>
      <w:pPr>
        <w:spacing w:after="0" w:line="200" w:lineRule="exact"/>
        <w:rPr>
          <w:sz w:val="20"/>
          <w:szCs w:val="20"/>
          <w:color w:val="auto"/>
        </w:rPr>
      </w:pPr>
    </w:p>
    <w:p>
      <w:pPr>
        <w:spacing w:after="0" w:line="3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b w:val="1"/>
          <w:bCs w:val="1"/>
          <w:color w:val="auto"/>
        </w:rPr>
        <w:t># of</w:t>
      </w:r>
    </w:p>
    <w:p>
      <w:pPr>
        <w:spacing w:after="0" w:line="1"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Resorts</w:t>
        <w:tab/>
        <w:t># of Keys</w:t>
      </w:r>
    </w:p>
    <w:p>
      <w:pPr>
        <w:spacing w:after="0" w:line="50" w:lineRule="exact"/>
        <w:rPr>
          <w:sz w:val="20"/>
          <w:szCs w:val="20"/>
          <w:color w:val="auto"/>
        </w:rPr>
      </w:pPr>
    </w:p>
    <w:p>
      <w:pPr>
        <w:ind w:left="1240" w:hanging="676"/>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161</w:t>
      </w:r>
    </w:p>
    <w:p>
      <w:pPr>
        <w:spacing w:after="0" w:line="60" w:lineRule="exact"/>
        <w:rPr>
          <w:sz w:val="20"/>
          <w:szCs w:val="20"/>
          <w:color w:val="auto"/>
        </w:rPr>
      </w:pPr>
    </w:p>
    <w:p>
      <w:pPr>
        <w:ind w:left="1240" w:hanging="676"/>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384</w:t>
      </w:r>
    </w:p>
    <w:p>
      <w:pPr>
        <w:spacing w:after="0" w:line="60"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177</w:t>
      </w:r>
    </w:p>
    <w:p>
      <w:pPr>
        <w:spacing w:after="0" w:line="200" w:lineRule="exact"/>
        <w:rPr>
          <w:sz w:val="20"/>
          <w:szCs w:val="20"/>
          <w:color w:val="auto"/>
        </w:rPr>
      </w:pPr>
    </w:p>
    <w:p>
      <w:pPr>
        <w:spacing w:after="0" w:line="296" w:lineRule="exact"/>
        <w:rPr>
          <w:sz w:val="20"/>
          <w:szCs w:val="20"/>
          <w:color w:val="auto"/>
        </w:rPr>
      </w:pPr>
    </w:p>
    <w:p>
      <w:pPr>
        <w:jc w:val="right"/>
        <w:ind w:right="3040"/>
        <w:spacing w:after="0"/>
        <w:tabs>
          <w:tab w:leader="none" w:pos="980" w:val="left"/>
        </w:tabs>
        <w:rPr>
          <w:sz w:val="20"/>
          <w:szCs w:val="20"/>
          <w:color w:val="auto"/>
        </w:rPr>
      </w:pPr>
      <w:r>
        <w:rPr>
          <w:rFonts w:ascii="Times New Roman" w:cs="Times New Roman" w:eastAsia="Times New Roman" w:hAnsi="Times New Roman"/>
          <w:sz w:val="15"/>
          <w:szCs w:val="15"/>
          <w:b w:val="1"/>
          <w:bCs w:val="1"/>
          <w:color w:val="auto"/>
        </w:rPr>
        <w:t># of Resorts</w:t>
      </w:r>
      <w:r>
        <w:rPr>
          <w:sz w:val="20"/>
          <w:szCs w:val="20"/>
          <w:color w:val="auto"/>
        </w:rPr>
        <w:tab/>
      </w:r>
      <w:r>
        <w:rPr>
          <w:rFonts w:ascii="Times New Roman" w:cs="Times New Roman" w:eastAsia="Times New Roman" w:hAnsi="Times New Roman"/>
          <w:sz w:val="15"/>
          <w:szCs w:val="15"/>
          <w:b w:val="1"/>
          <w:bCs w:val="1"/>
          <w:color w:val="auto"/>
        </w:rPr>
        <w:t># of 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22225</wp:posOffset>
            </wp:positionV>
            <wp:extent cx="528764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87645" cy="162560"/>
                    </a:xfrm>
                    <a:prstGeom prst="rect">
                      <a:avLst/>
                    </a:prstGeom>
                    <a:noFill/>
                  </pic:spPr>
                </pic:pic>
              </a:graphicData>
            </a:graphic>
          </wp:anchor>
        </w:drawing>
      </w:r>
    </w:p>
    <w:p>
      <w:pPr>
        <w:spacing w:after="0" w:line="50" w:lineRule="exact"/>
        <w:rPr>
          <w:sz w:val="20"/>
          <w:szCs w:val="20"/>
          <w:color w:val="auto"/>
        </w:rPr>
      </w:pPr>
    </w:p>
    <w:p>
      <w:pPr>
        <w:ind w:left="2000"/>
        <w:spacing w:after="0"/>
        <w:tabs>
          <w:tab w:leader="none" w:pos="3360" w:val="left"/>
        </w:tabs>
        <w:rPr>
          <w:sz w:val="20"/>
          <w:szCs w:val="20"/>
          <w:color w:val="auto"/>
        </w:rPr>
      </w:pPr>
      <w:r>
        <w:rPr>
          <w:rFonts w:ascii="Times New Roman" w:cs="Times New Roman" w:eastAsia="Times New Roman" w:hAnsi="Times New Roman"/>
          <w:sz w:val="17"/>
          <w:szCs w:val="17"/>
          <w:color w:val="auto"/>
        </w:rPr>
        <w:t>65</w:t>
      </w:r>
      <w:r>
        <w:rPr>
          <w:sz w:val="20"/>
          <w:szCs w:val="20"/>
          <w:color w:val="auto"/>
        </w:rPr>
        <w:tab/>
      </w:r>
      <w:r>
        <w:rPr>
          <w:rFonts w:ascii="Times New Roman" w:cs="Times New Roman" w:eastAsia="Times New Roman" w:hAnsi="Times New Roman"/>
          <w:sz w:val="17"/>
          <w:szCs w:val="17"/>
          <w:color w:val="auto"/>
        </w:rPr>
        <w:t>19,076</w:t>
      </w:r>
    </w:p>
    <w:p>
      <w:pPr>
        <w:spacing w:after="0" w:line="60" w:lineRule="exact"/>
        <w:rPr>
          <w:sz w:val="20"/>
          <w:szCs w:val="20"/>
          <w:color w:val="auto"/>
        </w:rPr>
      </w:pPr>
    </w:p>
    <w:p>
      <w:pPr>
        <w:ind w:left="2040"/>
        <w:spacing w:after="0"/>
        <w:tabs>
          <w:tab w:leader="none" w:pos="3400" w:val="left"/>
        </w:tabs>
        <w:rPr>
          <w:sz w:val="20"/>
          <w:szCs w:val="20"/>
          <w:color w:val="auto"/>
        </w:rPr>
      </w:pPr>
      <w:r>
        <w:rPr>
          <w:rFonts w:ascii="Times New Roman" w:cs="Times New Roman" w:eastAsia="Times New Roman" w:hAnsi="Times New Roman"/>
          <w:sz w:val="17"/>
          <w:szCs w:val="17"/>
          <w:color w:val="auto"/>
        </w:rPr>
        <w:t>9</w:t>
      </w:r>
      <w:r>
        <w:rPr>
          <w:sz w:val="20"/>
          <w:szCs w:val="20"/>
          <w:color w:val="auto"/>
        </w:rPr>
        <w:tab/>
      </w:r>
      <w:r>
        <w:rPr>
          <w:rFonts w:ascii="Times New Roman" w:cs="Times New Roman" w:eastAsia="Times New Roman" w:hAnsi="Times New Roman"/>
          <w:sz w:val="17"/>
          <w:szCs w:val="17"/>
          <w:color w:val="auto"/>
        </w:rPr>
        <w:t>4,377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16510</wp:posOffset>
            </wp:positionV>
            <wp:extent cx="528764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87645" cy="162560"/>
                    </a:xfrm>
                    <a:prstGeom prst="rect">
                      <a:avLst/>
                    </a:prstGeom>
                    <a:noFill/>
                  </pic:spPr>
                </pic:pic>
              </a:graphicData>
            </a:graphic>
          </wp:anchor>
        </w:drawing>
      </w:r>
    </w:p>
    <w:p>
      <w:pPr>
        <w:spacing w:after="0" w:line="40" w:lineRule="exact"/>
        <w:rPr>
          <w:sz w:val="20"/>
          <w:szCs w:val="20"/>
          <w:color w:val="auto"/>
        </w:rPr>
      </w:pPr>
    </w:p>
    <w:p>
      <w:pPr>
        <w:ind w:left="2000"/>
        <w:spacing w:after="0"/>
        <w:tabs>
          <w:tab w:leader="none" w:pos="340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color w:val="auto"/>
        </w:rPr>
        <w:t>4,334</w:t>
      </w:r>
    </w:p>
    <w:p>
      <w:pPr>
        <w:spacing w:after="0" w:line="60" w:lineRule="exact"/>
        <w:rPr>
          <w:sz w:val="20"/>
          <w:szCs w:val="20"/>
          <w:color w:val="auto"/>
        </w:rPr>
      </w:pPr>
    </w:p>
    <w:p>
      <w:pPr>
        <w:ind w:left="2040"/>
        <w:spacing w:after="0"/>
        <w:tabs>
          <w:tab w:leader="none" w:pos="346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7"/>
          <w:szCs w:val="17"/>
          <w:color w:val="auto"/>
        </w:rPr>
        <w:t>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16510</wp:posOffset>
            </wp:positionV>
            <wp:extent cx="528764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87645" cy="162560"/>
                    </a:xfrm>
                    <a:prstGeom prst="rect">
                      <a:avLst/>
                    </a:prstGeom>
                    <a:noFill/>
                  </pic:spPr>
                </pic:pic>
              </a:graphicData>
            </a:graphic>
          </wp:anchor>
        </w:drawing>
      </w:r>
    </w:p>
    <w:p>
      <w:pPr>
        <w:spacing w:after="0" w:line="40" w:lineRule="exact"/>
        <w:rPr>
          <w:sz w:val="20"/>
          <w:szCs w:val="20"/>
          <w:color w:val="auto"/>
        </w:rPr>
      </w:pPr>
    </w:p>
    <w:p>
      <w:pPr>
        <w:ind w:left="2040"/>
        <w:spacing w:after="0"/>
        <w:tabs>
          <w:tab w:leader="none" w:pos="3460" w:val="left"/>
        </w:tabs>
        <w:rPr>
          <w:sz w:val="20"/>
          <w:szCs w:val="20"/>
          <w:color w:val="auto"/>
        </w:rPr>
      </w:pPr>
      <w:r>
        <w:rPr>
          <w:rFonts w:ascii="Times New Roman" w:cs="Times New Roman" w:eastAsia="Times New Roman" w:hAnsi="Times New Roman"/>
          <w:sz w:val="17"/>
          <w:szCs w:val="17"/>
          <w:color w:val="auto"/>
        </w:rPr>
        <w:t>5</w:t>
      </w:r>
      <w:r>
        <w:rPr>
          <w:sz w:val="20"/>
          <w:szCs w:val="20"/>
          <w:color w:val="auto"/>
        </w:rPr>
        <w:tab/>
      </w:r>
      <w:r>
        <w:rPr>
          <w:rFonts w:ascii="Times New Roman" w:cs="Times New Roman" w:eastAsia="Times New Roman" w:hAnsi="Times New Roman"/>
          <w:sz w:val="17"/>
          <w:szCs w:val="17"/>
          <w:color w:val="auto"/>
        </w:rPr>
        <w:t>259</w:t>
      </w:r>
    </w:p>
    <w:p>
      <w:pPr>
        <w:spacing w:after="0" w:line="60" w:lineRule="exact"/>
        <w:rPr>
          <w:sz w:val="20"/>
          <w:szCs w:val="20"/>
          <w:color w:val="auto"/>
        </w:rPr>
      </w:pPr>
    </w:p>
    <w:p>
      <w:pPr>
        <w:ind w:left="2040"/>
        <w:spacing w:after="0"/>
        <w:tabs>
          <w:tab w:leader="none" w:pos="3500" w:val="left"/>
        </w:tabs>
        <w:rPr>
          <w:sz w:val="20"/>
          <w:szCs w:val="20"/>
          <w:color w:val="auto"/>
        </w:rPr>
      </w:pPr>
      <w:r>
        <w:rPr>
          <w:rFonts w:ascii="Times New Roman" w:cs="Times New Roman" w:eastAsia="Times New Roman" w:hAnsi="Times New Roman"/>
          <w:sz w:val="17"/>
          <w:szCs w:val="17"/>
          <w:color w:val="auto"/>
        </w:rPr>
        <w:t>3</w:t>
      </w:r>
      <w:r>
        <w:rPr>
          <w:sz w:val="20"/>
          <w:szCs w:val="20"/>
          <w:color w:val="auto"/>
        </w:rPr>
        <w:tab/>
      </w: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16510</wp:posOffset>
            </wp:positionV>
            <wp:extent cx="528764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87645" cy="162560"/>
                    </a:xfrm>
                    <a:prstGeom prst="rect">
                      <a:avLst/>
                    </a:prstGeom>
                    <a:noFill/>
                  </pic:spPr>
                </pic:pic>
              </a:graphicData>
            </a:graphic>
          </wp:anchor>
        </w:drawing>
      </w:r>
    </w:p>
    <w:p>
      <w:pPr>
        <w:spacing w:after="0" w:line="40" w:lineRule="exact"/>
        <w:rPr>
          <w:sz w:val="20"/>
          <w:szCs w:val="20"/>
          <w:color w:val="auto"/>
        </w:rPr>
      </w:pPr>
    </w:p>
    <w:p>
      <w:pPr>
        <w:ind w:left="2000"/>
        <w:spacing w:after="0"/>
        <w:tabs>
          <w:tab w:leader="none" w:pos="34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color w:val="auto"/>
        </w:rPr>
        <w:t>2,672</w:t>
      </w:r>
    </w:p>
    <w:p>
      <w:pPr>
        <w:spacing w:after="0" w:line="60" w:lineRule="exact"/>
        <w:rPr>
          <w:sz w:val="20"/>
          <w:szCs w:val="20"/>
          <w:color w:val="auto"/>
        </w:rPr>
      </w:pPr>
    </w:p>
    <w:p>
      <w:pPr>
        <w:ind w:left="2040"/>
        <w:spacing w:after="0"/>
        <w:tabs>
          <w:tab w:leader="none" w:pos="346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7"/>
          <w:szCs w:val="17"/>
          <w:color w:val="auto"/>
        </w:rPr>
        <w:t>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16510</wp:posOffset>
            </wp:positionV>
            <wp:extent cx="528764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87645" cy="162560"/>
                    </a:xfrm>
                    <a:prstGeom prst="rect">
                      <a:avLst/>
                    </a:prstGeom>
                    <a:noFill/>
                  </pic:spPr>
                </pic:pic>
              </a:graphicData>
            </a:graphic>
          </wp:anchor>
        </w:drawing>
      </w:r>
    </w:p>
    <w:p>
      <w:pPr>
        <w:spacing w:after="0" w:line="40" w:lineRule="exact"/>
        <w:rPr>
          <w:sz w:val="20"/>
          <w:szCs w:val="20"/>
          <w:color w:val="auto"/>
        </w:rPr>
      </w:pPr>
    </w:p>
    <w:p>
      <w:pPr>
        <w:ind w:left="1960"/>
        <w:spacing w:after="0"/>
        <w:tabs>
          <w:tab w:leader="none" w:pos="3360" w:val="left"/>
        </w:tabs>
        <w:rPr>
          <w:sz w:val="20"/>
          <w:szCs w:val="20"/>
          <w:color w:val="auto"/>
        </w:rPr>
      </w:pPr>
      <w:r>
        <w:rPr>
          <w:rFonts w:ascii="Times New Roman" w:cs="Times New Roman" w:eastAsia="Times New Roman" w:hAnsi="Times New Roman"/>
          <w:sz w:val="17"/>
          <w:szCs w:val="17"/>
          <w:color w:val="auto"/>
        </w:rPr>
        <w:t>120</w:t>
      </w:r>
      <w:r>
        <w:rPr>
          <w:sz w:val="20"/>
          <w:szCs w:val="20"/>
          <w:color w:val="auto"/>
        </w:rPr>
        <w:tab/>
      </w:r>
      <w:r>
        <w:rPr>
          <w:rFonts w:ascii="Times New Roman" w:cs="Times New Roman" w:eastAsia="Times New Roman" w:hAnsi="Times New Roman"/>
          <w:sz w:val="17"/>
          <w:szCs w:val="17"/>
          <w:color w:val="auto"/>
        </w:rPr>
        <w:t>31,640</w:t>
      </w:r>
    </w:p>
    <w:p>
      <w:pPr>
        <w:spacing w:after="0" w:line="200" w:lineRule="exact"/>
        <w:rPr>
          <w:sz w:val="20"/>
          <w:szCs w:val="20"/>
          <w:color w:val="auto"/>
        </w:rPr>
      </w:pPr>
    </w:p>
    <w:p>
      <w:pPr>
        <w:spacing w:after="0" w:line="29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22225</wp:posOffset>
            </wp:positionV>
            <wp:extent cx="528764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87645" cy="162560"/>
                    </a:xfrm>
                    <a:prstGeom prst="rect">
                      <a:avLst/>
                    </a:prstGeom>
                    <a:noFill/>
                  </pic:spPr>
                </pic:pic>
              </a:graphicData>
            </a:graphic>
          </wp:anchor>
        </w:drawing>
      </w:r>
    </w:p>
    <w:p>
      <w:pPr>
        <w:spacing w:after="0" w:line="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Kauai, HI</w:t>
      </w:r>
    </w:p>
    <w:p>
      <w:pPr>
        <w:spacing w:after="0" w:line="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Cancun,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16510</wp:posOffset>
            </wp:positionV>
            <wp:extent cx="5287645"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87645" cy="162560"/>
                    </a:xfrm>
                    <a:prstGeom prst="rect">
                      <a:avLst/>
                    </a:prstGeom>
                    <a:noFill/>
                  </pic:spPr>
                </pic:pic>
              </a:graphicData>
            </a:graphic>
          </wp:anchor>
        </w:drawing>
      </w:r>
    </w:p>
    <w:p>
      <w:pPr>
        <w:spacing w:after="0" w:line="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Carmel, CA</w:t>
      </w:r>
    </w:p>
    <w:p>
      <w:pPr>
        <w:spacing w:after="0" w:line="559" w:lineRule="exact"/>
        <w:rPr>
          <w:sz w:val="20"/>
          <w:szCs w:val="20"/>
          <w:color w:val="auto"/>
        </w:rPr>
      </w:pPr>
    </w:p>
    <w:p>
      <w:pPr>
        <w:sectPr>
          <w:pgSz w:w="11900" w:h="16838" w:orient="portrait"/>
          <w:cols w:equalWidth="0" w:num="2">
            <w:col w:w="3860" w:space="160"/>
            <w:col w:w="6940"/>
          </w:cols>
          <w:pgMar w:left="320" w:top="1245" w:right="61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4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960"/>
          </w:cols>
          <w:pgMar w:left="320" w:top="1245" w:right="6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 SEGMENT</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Exchange &amp; Third-Party Management segment is comprised of the Interval International and Aqua-Aston businesses. The Interval International business offers a variety of membership programs and travel related products to approximately 1.5 million members globally and the Aqua-Aston business provides property management and rental services to property owners at 23 resorts and lodging properties. The segment revenue generally is fee-based and derived from membership, exchange and rental transactions, property and owners’ association management, and other related products and services. The Exchange &amp; Third-Party Management segment represented 4% of our consolidated revenue for 2025.</w:t>
      </w:r>
    </w:p>
    <w:p>
      <w:pPr>
        <w:spacing w:after="0" w:line="30" w:lineRule="exact"/>
        <w:rPr>
          <w:sz w:val="20"/>
          <w:szCs w:val="20"/>
          <w:color w:val="auto"/>
        </w:rPr>
      </w:pPr>
    </w:p>
    <w:tbl>
      <w:tblPr>
        <w:tblLayout w:type="fixed"/>
        <w:tblInd w:w="2780" w:type="dxa"/>
        <w:tblCellMar>
          <w:top w:w="0" w:type="dxa"/>
          <w:left w:w="0" w:type="dxa"/>
          <w:bottom w:w="0" w:type="dxa"/>
          <w:right w:w="0" w:type="dxa"/>
        </w:tblCellMar>
      </w:tblPr>
      <w:tr>
        <w:trPr>
          <w:trHeight w:val="172"/>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53"/>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tcPr>
          <w:p>
            <w:pPr>
              <w:jc w:val="center"/>
              <w:ind w:right="58"/>
              <w:spacing w:after="0" w:line="154" w:lineRule="exact"/>
              <w:rPr>
                <w:sz w:val="20"/>
                <w:szCs w:val="20"/>
                <w:color w:val="auto"/>
              </w:rPr>
            </w:pPr>
            <w:r>
              <w:rPr>
                <w:rFonts w:ascii="Times New Roman" w:cs="Times New Roman" w:eastAsia="Times New Roman" w:hAnsi="Times New Roman"/>
                <w:sz w:val="15"/>
                <w:szCs w:val="15"/>
                <w:b w:val="1"/>
                <w:bCs w:val="1"/>
                <w:color w:val="auto"/>
              </w:rPr>
              <w:t>Exchange &amp; Third-Party Management</w:t>
            </w:r>
          </w:p>
        </w:tc>
      </w:tr>
      <w:tr>
        <w:trPr>
          <w:trHeight w:val="204"/>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Segment Revenues</w:t>
            </w:r>
          </w:p>
        </w:tc>
      </w:tr>
      <w:tr>
        <w:trPr>
          <w:trHeight w:val="23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 and exchange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56"/>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Rental</w:t>
            </w:r>
          </w:p>
        </w:tc>
        <w:tc>
          <w:tcPr>
            <w:tcW w:w="140" w:type="dxa"/>
            <w:vAlign w:val="bottom"/>
          </w:tcPr>
          <w:p>
            <w:pPr>
              <w:spacing w:after="0"/>
              <w:rPr>
                <w:sz w:val="22"/>
                <w:szCs w:val="22"/>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5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reimbursements</w:t>
            </w:r>
          </w:p>
        </w:tc>
        <w:tc>
          <w:tcPr>
            <w:tcW w:w="140" w:type="dxa"/>
            <w:vAlign w:val="bottom"/>
            <w:tcBorders>
              <w:bottom w:val="single" w:sz="8" w:color="auto"/>
            </w:tcBorders>
            <w:shd w:val="clear" w:color="auto" w:fill="CCEEFF"/>
          </w:tcPr>
          <w:p>
            <w:pPr>
              <w:spacing w:after="0"/>
              <w:rPr>
                <w:sz w:val="22"/>
                <w:szCs w:val="22"/>
                <w:color w:val="auto"/>
              </w:rPr>
            </w:pPr>
          </w:p>
        </w:tc>
        <w:tc>
          <w:tcPr>
            <w:tcW w:w="2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0"/>
        </w:trPr>
        <w:tc>
          <w:tcPr>
            <w:tcW w:w="28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Membership Programs, Products and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Exchange Products - </w:t>
      </w:r>
      <w:r>
        <w:rPr>
          <w:rFonts w:ascii="Times New Roman" w:cs="Times New Roman" w:eastAsia="Times New Roman" w:hAnsi="Times New Roman"/>
          <w:sz w:val="17"/>
          <w:szCs w:val="17"/>
          <w:b w:val="1"/>
          <w:bCs w:val="1"/>
          <w:i w:val="1"/>
          <w:iCs w:val="1"/>
          <w:color w:val="auto"/>
        </w:rPr>
        <w:t>Interval Network</w:t>
      </w:r>
    </w:p>
    <w:p>
      <w:pPr>
        <w:spacing w:after="0" w:line="1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Interval International’s principal membership program is the Interval Network, which is comprised of more than 3,200 affiliated resorts in over 90 countries and territories. The Interval Network allows its members to exchange their VOI for a stay at another resort destination or during a different time period, or another travel product. A membership in the Interval Network also provides a comprehensive package of value-added products and services to members. Generally, individuals are enrolled in the Interval Network at the point of sale by resort developers in connection with their purchase of VOIs. Members may also self-enroll when they purchase a VOI through resale or an owners’ association at a resort that participates in the Interval Network.</w:t>
      </w:r>
    </w:p>
    <w:p>
      <w:pPr>
        <w:spacing w:after="0" w:line="7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Additionally, Interval International has relationships with resort developers that incorporate the Interval Network membership fee into certain annual fees they charge to owners of VOIs at their resorts or vacation ownership clubs. As a result, membership in the Interval Network for those owners is automatically renewed through the term of the resort’s or club’s participation in the Interval Network, so long as the owners are in good standing with the applicable resort or vacation ownership club. We sometimes refer to these members as corporate members and other members as traditional members. As of December 31, 2025, approximately 40% of total Interval Network members were traditional members and approximately 60% were corporate members.</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Members of the Interval Network are offered the ability to exchange points or usage rights in their VOI for accommodations generally of comparable trading value to those relinquished, based on factors including location, quality, seasonality, unit attributes and time of relinquishment prior to occupancy. Members also have the ability to exchange their VOI for a cruise vacation or hotel stay, which requires payment of an exchange transaction fee and a supplemental fee, which vary based on the cruise vacation or hotel stay selected and the VOI relinquished to the Interval Network.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Getaways</w:t>
      </w:r>
    </w:p>
    <w:p>
      <w:pPr>
        <w:spacing w:after="0" w:line="11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also offer additional vacation rental opportunities at attractive rates to members of the Interval Network, as well as to members of certain other membership programs provided by Interval International or through third-party membership programs. These opportunities are offered as “Getaways” and allow members to rent resort accommodations for a fee, plus applicable taxes. Resort accommodations available as Getaways consist of seasonal oversupply of vacation ownership accommodations within the Interval Network, as well as resort accommodations that are specifically sourced for use as Getaways.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Operational Support for Interval Network Resorts</w:t>
      </w:r>
    </w:p>
    <w:p>
      <w:pPr>
        <w:spacing w:after="0" w:line="11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Interval International has established multi-year relationships with resort developers, including leading independent developers, as well as owners’ associations and our related branded vacation ownership programs, under affiliation agreements, which typically provide for continued resort participation in the Interval Network following the end of the agreement’s term. Resort developers promote membership in our exchange programs and related value-added services as an important benefit of owning a VOI.</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7" w:name="page18"/>
    <w:bookmarkEnd w:id="17"/>
    <w:p>
      <w:pPr>
        <w:ind w:right="20"/>
        <w:spacing w:after="0" w:line="259" w:lineRule="auto"/>
        <w:rPr>
          <w:sz w:val="20"/>
          <w:szCs w:val="20"/>
          <w:color w:val="auto"/>
        </w:rPr>
      </w:pPr>
      <w:r>
        <w:rPr>
          <w:rFonts w:ascii="Times New Roman" w:cs="Times New Roman" w:eastAsia="Times New Roman" w:hAnsi="Times New Roman"/>
          <w:sz w:val="17"/>
          <w:szCs w:val="17"/>
          <w:color w:val="auto"/>
        </w:rPr>
        <w:t>Our business development personnel proactively seek to establish strong relationships with developers and owners’ associations, providing input on consumer preferences and industry trends based upon years of experience. We believe that we have established a strong reputation within the vacation ownership industry as being highly responsive to the needs of resort developers, owners’ associations, management companies and owners of VOIs. In addition, we sponsor, participate in and attend numerous industry conferences around the world to provide potential and existing industry participants with opportunities to network and learn more about vacation ownership.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Third-Party Management</w:t>
      </w:r>
    </w:p>
    <w:p>
      <w:pPr>
        <w:spacing w:after="0" w:line="116"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7"/>
          <w:szCs w:val="17"/>
          <w:color w:val="auto"/>
        </w:rPr>
        <w:t>We provide management services for hotels, condominium resorts, and other third-party vacation property owners through our Aqua-Aston business. Our services may include day-to-day operations of the properties, maintenance of the properties, preparation of reports and budgets, owners’ association administration, quality assurance and employee training. As of December 31, 2025, we provided third-party management services to 23 properties.</w:t>
      </w:r>
    </w:p>
    <w:p>
      <w:pPr>
        <w:spacing w:after="0" w:line="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Our Aqua-Aston business, which is concentrated in Hawaii, provides management and rental services for individual condominium owners, hotel owners, and owners’ associations. Generally, owners’ association management services, including administrative, fiscal and quality assurance services, are provided pursuant to exclusive agreements with terms typically ranging from one to fifteen years or more, many of which are automatically renewable. Revenue is derived principally from fees for management of the hotel, condominium resort, or owners’ association as well as related rental services. Management fees consist of a base management fee and, in some instances for hotels or condominium resorts, an incentive management fee which is generally a percentage of operating profits or improvement in operating profits. Service fee revenue is based on the services provided internally or through third-party providers to owners, including reservation, sales and marketing, property accounting and information technology services. We offer a variety of leisure accommodations to visitors from around the world through various consumer websites, including www.aquaaston.com, www.aquaresorts.com, www.mauicondo.com, and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AND OTHER</w:t>
      </w:r>
    </w:p>
    <w:p>
      <w:pPr>
        <w:spacing w:after="0" w:line="11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relating to owners’ associations consolidated under the relevant accounting guidance (“Consolidated Property Owners’ Associations”), which are not included in operating segment resource allocation decision-making.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revenue is influenced by the seasonal nature of travel. Within our Vacation Ownership segment, our sale of vacation ownership business experiences a modest impact from seasonality, with higher sales volumes during the traditional vacation periods. Business at properties in some locations may experience a greater impact from seasonality than those in other locations.</w:t>
      </w:r>
    </w:p>
    <w:p>
      <w:pPr>
        <w:spacing w:after="0" w:line="64"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Within our Exchange &amp; Third-Party Management segment, we recognize exchange and non-refundable Getaways revenue based on confirmation of the vacation; revenue is generally higher in the first quarter and lower in the fourth quarter. Remaining rental revenue is recognized based on occupancy.</w:t>
      </w:r>
    </w:p>
    <w:p>
      <w:pPr>
        <w:spacing w:after="0" w:line="51"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7"/>
          <w:szCs w:val="17"/>
          <w:color w:val="auto"/>
        </w:rPr>
        <w:t>Refer to “Liquidity and Capital Resources” within Part I, Item 7. “Management’s Discussion and Analysis of Financial Condition and Results of Operations” for information regarding the seasonality of our cash flow.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Competition in the vacation ownership industry is driven primarily by the quality, number and location of vacation ownership resorts, the quality and capability of the related property management program, trust in the brand, pricing of product offerings, cost of ownership (e.g., ongoing maintenance and other fees)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upper upscale and luxury tiers of the vacation ownership segment of the industry and the upper upscale and luxury tiers of the whole ownership segment (also referred to as the residential segment) of the industry.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18" w:name="page19"/>
    <w:bookmarkEnd w:id="18"/>
    <w:p>
      <w:pPr>
        <w:ind w:right="60"/>
        <w:spacing w:after="0" w:line="257" w:lineRule="auto"/>
        <w:rPr>
          <w:sz w:val="20"/>
          <w:szCs w:val="20"/>
          <w:color w:val="auto"/>
        </w:rPr>
      </w:pPr>
      <w:r>
        <w:rPr>
          <w:rFonts w:ascii="Times New Roman" w:cs="Times New Roman" w:eastAsia="Times New Roman" w:hAnsi="Times New Roman"/>
          <w:sz w:val="17"/>
          <w:szCs w:val="17"/>
          <w:color w:val="auto"/>
        </w:rPr>
        <w:t>Our competitors in the vacation ownership industry range from small vacation ownership companies to large branded hospitality companies that operate or license vacation ownership businesses. In North America, we typically compete with companies that sell upper upscale tier vacation ownership products under a lodging or entertainment brand umbrella, such as Hilton Grand Vacations Club and Disney Vacation Club, as well as numerous regional vacation ownership operators. In addition, the vacation ownership industry competes generally with other vacation rental options (such as hotels, resorts and condominium rentals) offered by the lodging industry as well as alternative lodging marketplaces such as Airbnb and VRBO, which offer rentals of homes and condominiums. Innovations that impact the industry may also lead to new products and services that could disrupt our business model and create new and stronger competitors.</w:t>
      </w:r>
    </w:p>
    <w:p>
      <w:pPr>
        <w:spacing w:after="0" w:line="7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Outside North America, we operate vacation ownership resorts in two primary regions, Asia Pacific and Europe. In both regions, we are one of the largest lodging-branded vacation ownership companies operating in the upper upscale tier, with regional operators dominating the competitive landscape. Where possible, our vacation ownership properties in these regions are co-located with Marriott International branded hotels. In Asia Pacific, our owner base is derived primarily from the Asia Pacific region. In Europe, our owner base is derived primarily from the North America, Europe and Middle East regions.</w:t>
      </w:r>
    </w:p>
    <w:p>
      <w:pPr>
        <w:spacing w:after="0" w:line="6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Recent and potential future consolidation in the vacation ownership industry may increase competition. Consolidation may create competitors that enjoy significant advantages resulting from, among other things, a lower cost of, and greater access to, capital and enhanced operating efficiencies.</w:t>
      </w:r>
    </w:p>
    <w:p>
      <w:pPr>
        <w:spacing w:after="0" w:line="51" w:lineRule="exact"/>
        <w:rPr>
          <w:sz w:val="20"/>
          <w:szCs w:val="20"/>
          <w:color w:val="auto"/>
        </w:rPr>
      </w:pPr>
    </w:p>
    <w:p>
      <w:pPr>
        <w:jc w:val="both"/>
        <w:ind w:right="400"/>
        <w:spacing w:after="0" w:line="209" w:lineRule="exact"/>
        <w:rPr>
          <w:sz w:val="20"/>
          <w:szCs w:val="20"/>
          <w:color w:val="auto"/>
        </w:rPr>
      </w:pPr>
      <w:r>
        <w:rPr>
          <w:rFonts w:ascii="Times New Roman" w:cs="Times New Roman" w:eastAsia="Times New Roman" w:hAnsi="Times New Roman"/>
          <w:sz w:val="17"/>
          <w:szCs w:val="17"/>
          <w:color w:val="auto"/>
        </w:rPr>
        <w:t>Our Interval International exchange business principally competes for developer and consumer market share with Travel + Leisure Co.’s subsidiary, RCI. This business also faces increasing competition from points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vacation clubs and large resort developers, which operate their own internal exchange systems to facilitate exchanges for owners of VOIs at their resorts as they increase in size and scope. Increased consolidation in the industry enhances this competition. In addition, vacation clubs and resort developers may have direct exchange relationships with other developers.</w:t>
      </w:r>
    </w:p>
    <w:p>
      <w:pPr>
        <w:spacing w:after="0" w:line="87"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7"/>
          <w:szCs w:val="17"/>
          <w:color w:val="auto"/>
        </w:rPr>
        <w:t>We believe that developers and owners’ associations generally choose to affiliate with an exchange network based on the quality of resorts participating in the network; the level of service provided to members; the range and level of support services; the flexibility of the exchange program; the demographics of the membership base; the costs for annual membership and exchanges; and the continuity of management and its strategic relationships within the industry.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116"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17"/>
          <w:szCs w:val="17"/>
          <w:color w:val="auto"/>
        </w:rPr>
        <w:t>Our business is heavily regulated and the cost of compliance has a significant impact on our results of operations. We are subject to a wide variety of complex international, national, federal, state and local laws, regulations and policies in jurisdictions around the world. We have proactively worked with industry trade associations, including ARDA, to encourage the enactment of responsible consumer-protection legislation and state regulation that enhance the reputation and respectability of the overall vacation ownership industry. We believe that, over time, our vacation ownership products and services helped improve the public perception of the vacation ownership industry.</w:t>
      </w:r>
    </w:p>
    <w:p>
      <w:pPr>
        <w:spacing w:after="0" w:line="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Some laws, regulations and policies may impact multiple areas of our business, such as securities, anti-discrimination, anti-fraud, access for those with disabilities, data protection and security, artificial intelligence, anti-corruption and bribery laws and regulations or government economic sanctions, including applicable regulations of the Consumer Financial Protection Bureau (the “CFPB”), the U.S. Department of the Treasury’s Office of Foreign Asset Control and the U.S. Foreign Corrupt Practices Act (the “FCPA”). The FCPA and similar anti-corruption and bribery laws in other jurisdictions generally prohibit companies and their intermediaries from making improper payments to government officials for the purpose of obtaining or generating business. The collection, use and protection of personal data of our customers, as well as the sharing of our customer data with affiliates and third parties, are governed by privacy, security, and artificial intelligence laws and regulations enacted in the United States, individual states, and other jurisdictions around the world. Other laws, regulations and policies primarily affect one of five areas of our business: real estate development activities; marketing and sales activities; lending activities; resort management activities; and exchange and travel activities.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Real Estate Development Regulation</w:t>
      </w:r>
    </w:p>
    <w:p>
      <w:pPr>
        <w:spacing w:after="0" w:line="11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real estate development activities are regulated under a number of different timeshare, condominium and land sales disclosure statutes in many jurisdictions. We are generally subject to laws and regulations applicable to real estate development, subdivision, and construction activities, such as laws relating to zoning, land use restrictions, environmental regulation, accessibility, title transfers, title insurance, and taxation. In the United States, these include, with respect to some of our products, the Fair Housing Act and the Americans with Disabilities Act. In addition, we are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9" w:name="page20"/>
    <w:bookmarkEnd w:id="19"/>
    <w:p>
      <w:pPr>
        <w:ind w:right="200"/>
        <w:spacing w:after="0" w:line="283" w:lineRule="auto"/>
        <w:rPr>
          <w:sz w:val="20"/>
          <w:szCs w:val="20"/>
          <w:color w:val="auto"/>
        </w:rPr>
      </w:pPr>
      <w:r>
        <w:rPr>
          <w:rFonts w:ascii="Times New Roman" w:cs="Times New Roman" w:eastAsia="Times New Roman" w:hAnsi="Times New Roman"/>
          <w:sz w:val="17"/>
          <w:szCs w:val="17"/>
          <w:color w:val="auto"/>
        </w:rPr>
        <w:t>subject to laws in some jurisdictions that impose liability on property developers for construction defects discovered or repairs made by future owners of property developed by the developer.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and Sales Regulation</w:t>
      </w:r>
    </w:p>
    <w:p>
      <w:pPr>
        <w:spacing w:after="0" w:line="1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Our marketing and sales activities are closely regulated pursuant to laws and regulations enacted specifically for the vacation ownership and land sales industries, as well as a wide variety of laws and regulations that govern our marketing and sales activities in the jurisdictions in which we carry out such activities. These laws and regulations include the USA PATRIOT Act, Foreign Investment In Real Property Tax Act, the Federal Interstate Land Sales Full Disclosure Act and fair housing statutes, U.S. Federal Trade Commission (the “FTC”) and state “Little FTC Acts” and other laws and regulations governing unfair, deceptive or abusive acts or practices, including unfair or deceptive trade practices and unfair competition, state attorney general regulations, anti-fraud laws, anti-discrimination, prize, gift and sweepstakes laws, real estate, title agency or insurance, travel insurance and other licensing or registration laws and regulations, anti-money laundering, consumer information privacy and security, breach notification, information sharing and telemarketing laws, home solicitation sales laws, tour operator laws, lodging certificate and seller of travel laws, securities laws, and other consumer protection laws.</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Many jurisdictions, including those in the United States, Asia Pacific, Mexico, Europe, and Central America, require that we file detailed registration or offering statements with regulatory authorities disclosing certain information regarding the VOIs and other real estate interests we market and sell, such as information concerning the interests being offered, any projects, resorts or programs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jurisdictions in which our clubs and resorts operate, such as the European Union, Singapore and Mexico, among others. Among other things, the European and Singaporean regulations: (1) require delivery of specified disclosure (some of which must be provided in a specific format or language) to purchasers; (2) require a specified “cooling off” rescission period after a purchase contract is signed; and (3) prohibit any advance payments during the “cooling off” rescission period.</w:t>
      </w:r>
    </w:p>
    <w:p>
      <w:pPr>
        <w:spacing w:after="0" w:line="7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We must obtain the approval of numerous governmental authorities for our marketing and sales activities. Changes in circumstances or applicable law may necessitate the application for or modification of existing approvals. Currently, we are permitted to market and sell vacation ownership products in all 50 states and the District of Columbia in the United States and numerous countries in North and South America, the Caribbean, Europe, Asia and the Middle East. Our Marriott Vacation Club Destinations, Australia points-based program is subject to regulation as a “managed investment scheme” by the Australian Securities &amp; Investments Commission. In some countries, our vacation ownership products are marketed by third-party brokers.</w:t>
      </w:r>
    </w:p>
    <w:p>
      <w:pPr>
        <w:spacing w:after="0" w:line="7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Laws in many jurisdictions in which we sell VOIs grant the purchaser of a VOI the right to cancel a purchase contract during a specified rescission period following the later of the date the contract was signed or the date the purchaser received the last of the documents we are required to provide.</w:t>
      </w:r>
    </w:p>
    <w:p>
      <w:pPr>
        <w:spacing w:after="0" w:line="5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Many jurisdictions regulate telemarketing operations, including requiring adherence to the federal Telephone Consumer Protection Act and similar “do not call” legislation. These measures significantly increase the costs and reduce the efficiencies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Lending Regulation</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Our lending activities are subject to a number of laws and regulations, including those of applicable supervisory, regulatory and enforcement agencies such as, in the United States, the CFPB, the FTC, and the Financial Crimes Enforcement Network. These laws and regulations, some of which contain exceptions applicable to the timeshare industry or may not apply to some of our products,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Protection Act, the USA PATRIOT Act, the Right to Financial Privacy Act, the Gramm-Leach-Bliley Act, the Servicemembers Civil Relief Act and the Bank Secrecy Act. Our lending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0" w:name="page21"/>
    <w:bookmarkEnd w:id="20"/>
    <w:p>
      <w:pPr>
        <w:ind w:right="420"/>
        <w:spacing w:after="0" w:line="267" w:lineRule="auto"/>
        <w:rPr>
          <w:sz w:val="20"/>
          <w:szCs w:val="20"/>
          <w:color w:val="auto"/>
        </w:rPr>
      </w:pPr>
      <w:r>
        <w:rPr>
          <w:rFonts w:ascii="Times New Roman" w:cs="Times New Roman" w:eastAsia="Times New Roman" w:hAnsi="Times New Roman"/>
          <w:sz w:val="17"/>
          <w:szCs w:val="17"/>
          <w:color w:val="auto"/>
        </w:rPr>
        <w:t>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Resort Management Regulation</w:t>
      </w:r>
    </w:p>
    <w:p>
      <w:pPr>
        <w:spacing w:after="0" w:line="1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Our resort management activities are subject to laws and regulations regarding community association management, timeshare and condominium management (including real estate broker licensing), public lodging, food and beverage services (including liquor licensing), labor, employment, health care, health and safety, accessibility, anti-discrimination, immigration, gaming, certain communication devices, transient rentals, structural audits of improvements and reserve accounts associated with such improvements, and the environment (including climate change). In addition, many jurisdictions in which we manage our resorts have statutory provisions that limit the duration of the initial and renewal terms of our management agreements for owners’ associations or permit the owners’ association for a resort to terminate our management agreement under certain circumstances (for example, upon a super-majority vote of the owners), even if we are not in default under the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Exchange and Travel Regulations</w:t>
      </w:r>
    </w:p>
    <w:p>
      <w:pPr>
        <w:spacing w:after="0" w:line="11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Many jurisdictions regulate businesses engaged in timeshare exchange activity, typically requiring annual filing of prescribed disclosures with regulatory agencies. Such disclosure must be provided to persons enrolling in a timeshare exchange program prior to completion of enrollment. The disclosure generally provides information on the terms and conditions of membership as well as audited key operating statistics of the exchange program.</w:t>
      </w:r>
    </w:p>
    <w:p>
      <w:pPr>
        <w:spacing w:after="0" w:line="6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In connection with our exchange businesses, we also offer other travel-related products and services that are subject to regulation in certain jurisdictions, including requirements that we register as a “seller of travel” and comply with applicable bonding and disclosure requirements. Additionally, operation of our travel membership programs can trigger requirements that we register as a discount buying organization. Other products and services we offer (e.g., travel insurance) are subject to regulations imposed on our suppliers, and as a result we are subject to travel reseller requirements and licensing in certain jurisdictions.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Compliance and Awareness</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property management and development activities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applicable environmental laws and regulations. Our compliance with such requirements has not had a material impact on our capital expenditures, earnings or competitive position, nor do we anticipate that such compliance will have a material impact in the future.</w:t>
      </w:r>
    </w:p>
    <w:p>
      <w:pPr>
        <w:spacing w:after="0" w:line="7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We do not exercise complete control over all resorts and properties that we manage; rather, our control over these properties is generally limited by the terms of the applicable management agreements. As a result, our ability to achieve some or all of our corporate responsibility initiatives or goals may be limited without additional support or action by the owners of resorts and properties we manage.</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take our commitment to protecting the environment seriously. In such work, we balance our role as stewards of the funds of the owners’ associations we manage and the role of steward of the environments where we do business. For example, we have collaborated with Audubon International to further the “greening” of our Marriott Vacation Club resorts in the U.S. through our initiatives such as the Audubon Green Leaf Eco-Rating Program for Hotels. We have more than 20 years of energy conservation experience that we have put to use in implementing our environmental strategy across each of our segments. This strategy includes further reducing energy and water consumption, expanding our portfolio of green resorts, educating and inspiring associates and guests to support the environment, and embracing innovation.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1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We believe that attracting, engaging, and retaining talented associates and cultivating their career development at our locations around the world helps us remain a leader in our industry. With that focus in mind, we implement programs and initiatives rooted in our Core Values: Caring Culture, Integrity First, Excellence Always, Customer Obsessed, and Better Together. Our approach is thoughtfully designed to attract, engage, and retain our associates and promote their career development by:</w:t>
      </w:r>
    </w:p>
    <w:p>
      <w:pPr>
        <w:spacing w:after="0" w:line="67" w:lineRule="exact"/>
        <w:rPr>
          <w:sz w:val="20"/>
          <w:szCs w:val="20"/>
          <w:color w:val="auto"/>
        </w:rPr>
      </w:pPr>
    </w:p>
    <w:p>
      <w:pPr>
        <w:ind w:left="460" w:hanging="304"/>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competitive, fair, and transparent compensation and benefits;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supporting the overall well-being of our associates physically, mentally, and socially;</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creating opportunities for associate growth, career development, recognition, training, and education; and</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fostering an inclusive workplace that promotes equal opportunity employment, where all individuals are respected.</w:t>
      </w:r>
    </w:p>
    <w:p>
      <w:pPr>
        <w:spacing w:after="0" w:line="1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2025, we were recognized as a Mercer Best Employer in five out of our six eligible countries (United States, United Kingdom, France, Mexico, and Spain) as part of Mercer’s robust assessment that identifies organizations that have transformed their people practices to drive better business results. As part of the Mercer Best Employers 2025 assessment, we conducted an associate survey that achieved a 92% response rate and an 81% overall engagement score, which demonstrated a strong level of overall associate engagement. The survey results identified several areas of strength, including a welcoming and positive company culture, strong and supportive supervisors, a focus on sustainability and taking care of the community, and a company-wide commitment to fostering a culture of inclusion. We believe that our distinction as a Mercer Best Employer and our strengths identified by current associates demonstrate the incredible care we have for each other and for the associate experience and will make us an employer of choice for potential future associates.</w:t>
      </w:r>
    </w:p>
    <w:p>
      <w:pPr>
        <w:spacing w:after="0" w:line="7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7"/>
          <w:szCs w:val="17"/>
          <w:color w:val="auto"/>
        </w:rPr>
        <w:t>We believe the success of our commitment to our associates is reflected in our employee tenure, which is approximately eight years on a global basis, and recognition by Fortune of our Company in its ranking of the World’s Most Admired Companies for 2025, as well as our fifteenth place ranking in the hospitality industry in Newsweek’s list of “America’s Most Responsible Companies for 2025” and being named in Newsweek’s list of “America’s Greatest Workplaces for Inclusion and Diversity for 2025.”</w:t>
      </w:r>
    </w:p>
    <w:p>
      <w:pPr>
        <w:spacing w:after="0" w:line="67"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color w:val="auto"/>
        </w:rPr>
        <w:t>As of December 31, 2025, we had a global workforce consisting of approximately 21,100 associates, of which approximately 16,200 (77%) were based in the United States.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Inclusive Culture</w:t>
      </w:r>
    </w:p>
    <w:p>
      <w:pPr>
        <w:spacing w:after="0" w:line="11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Grounded in our culture of caring and collaboration, we strive to empower both our customers and our associates to live their most fulfilling lives. For example, we develop and offer programs like our Veterans Associate Network (VAN), which provides a supportive and empowering community for associates who currently serve or have served in the U.S. Armed Forces.</w:t>
      </w:r>
    </w:p>
    <w:p>
      <w:pPr>
        <w:spacing w:after="0" w:line="6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continue to receive positive feedback from our associates about our inclusive work environment, as our Inclusive Culture Index was the highest rated workplace topic on our 2025 annual associate engagement survey. In the survey, 88% of our associates reported positive perceptions when responding to questions about leaders’ support for inclusion, service to customers with diverse backgrounds, respect and well-being of all people as a Company priority, a work environment that is accepting of diverse backgrounds and ways of thinking, and a company culture in which persons of all backgrounds are encouraged to pursue their career aspirations. We believe that these results demonstrate the value of championing an inclusive culture.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Associate Development</w:t>
      </w:r>
    </w:p>
    <w:p>
      <w:pPr>
        <w:spacing w:after="0" w:line="11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We seek to support our associates with their growth and development by creating a work environment that embraces learning and provides opportunities for associate career development through training and education. Our functional training teams provide our associates with the skills they need to deliver exceptional experiences for our customers and our Global Talent Development team creates and deploys skill development programs and resources for our associates. Our various learning programs are one of the many features that make our Company a desirable place to start and cultivate a fulfilling career, with increased opportunities for growth.</w:t>
      </w:r>
    </w:p>
    <w:p>
      <w:pPr>
        <w:spacing w:after="0" w:line="7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Company also strives to provide leaders with the opportunity to develop their leadership skills and create a positive work environment for all associates. We offer leadership development programming that provides associates with tools, resources, and practices that we believe are important to becoming successful leaders and strengthening our diverse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22" w:name="page23"/>
    <w:bookmarkEnd w:id="22"/>
    <w:p>
      <w:pPr>
        <w:ind w:right="160"/>
        <w:spacing w:after="0" w:line="267" w:lineRule="auto"/>
        <w:rPr>
          <w:sz w:val="20"/>
          <w:szCs w:val="20"/>
          <w:color w:val="auto"/>
        </w:rPr>
      </w:pPr>
      <w:r>
        <w:rPr>
          <w:rFonts w:ascii="Times New Roman" w:cs="Times New Roman" w:eastAsia="Times New Roman" w:hAnsi="Times New Roman"/>
          <w:sz w:val="17"/>
          <w:szCs w:val="17"/>
          <w:color w:val="auto"/>
        </w:rPr>
        <w:t>talent pipeline. We believe that leaders have great influence over the development of associates; as such, we seek to equip leaders with the skills they need to support their associates. Our Company also offers tuition reimbursement to our associates, supporting them in achieving their future career aspirations. We believe these efforts help us continue to support current and future leaders.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Collective Bargaining Agreements</w:t>
      </w:r>
    </w:p>
    <w:p>
      <w:pPr>
        <w:spacing w:after="0" w:line="116"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We are party to collective bargaining agreements in the United States, Spain, and Mexico, primarily with regard to employees working in food service, laundry, and hospitality and tourism.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Human Rights</w:t>
      </w:r>
    </w:p>
    <w:p>
      <w:pPr>
        <w:spacing w:after="0" w:line="11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We maintain a Human Rights Policy that aligns with government, business, and public concerns about issues such as human trafficking and the exploitation of children. We support programs and partnerships that help at-risk youth and their families prepare for and find meaningful employment. Our Human Rights Policy is available on our website at www.marriottvacationsworldwide.com under the “Our Values” tab.</w:t>
      </w:r>
    </w:p>
    <w:p>
      <w:pPr>
        <w:spacing w:after="0" w:line="6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also have a human trafficking awareness training course that promotes our Human Rights Policy and core values. We recognize the risks associated with human trafficking in our properties and have implemented training for our property-based associates to be able to recognize and report suspected cases of human trafficking. Our training in the U.S., U.S. Virgin Islands, and Puerto Rico was developed based upon best practices established by federal law enforcement agencies.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1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7"/>
          <w:szCs w:val="17"/>
          <w:color w:val="auto"/>
        </w:rPr>
        <w:t>Our investor relations website address is www.ir.marriottvacationsworldwide.com. Our Annual Reports on Form 10-K, Quarterly Reports on Form 10-Q, Current Reports on Form 8-K, proxy statements, and any and all amendments thereto are available free of charge through our investor relations website as soon as reasonably practicable after they are filed or furnished to the Securities and Exchange Commission (the “SEC”). These materials are also accessible on the SEC’s website at www.sec.gov.</w:t>
      </w:r>
    </w:p>
    <w:p>
      <w:pPr>
        <w:spacing w:after="0" w:line="6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We also routinely post important information, including news releases, announcements and other statements about our business and results of operations, that may be deemed material to investors on our investor relations website. We use our website as a means of disclosing material, nonpublic information and for complying with our disclosure obligations under Regulation FD. Investors should monitor our investor relations website in addition to following our press releases, filings with the SEC, public conference calls and webcasts.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below is certain information with respect to our executive officers. The information set forth below is as of February 27, 2026, except where indicated.</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Name and Title</w:t>
            </w:r>
          </w:p>
        </w:tc>
        <w:tc>
          <w:tcPr>
            <w:tcW w:w="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Age</w:t>
            </w:r>
          </w:p>
        </w:tc>
        <w:tc>
          <w:tcPr>
            <w:tcW w:w="8800" w:type="dxa"/>
            <w:vAlign w:val="bottom"/>
            <w:tcBorders>
              <w:top w:val="single" w:sz="8" w:color="auto"/>
              <w:bottom w:val="single" w:sz="8" w:color="auto"/>
              <w:right w:val="single" w:sz="8" w:color="auto"/>
            </w:tcBorders>
          </w:tcPr>
          <w:p>
            <w:pPr>
              <w:ind w:left="3640"/>
              <w:spacing w:after="0"/>
              <w:rPr>
                <w:sz w:val="20"/>
                <w:szCs w:val="20"/>
                <w:color w:val="auto"/>
              </w:rPr>
            </w:pPr>
            <w:r>
              <w:rPr>
                <w:rFonts w:ascii="Times New Roman" w:cs="Times New Roman" w:eastAsia="Times New Roman" w:hAnsi="Times New Roman"/>
                <w:sz w:val="17"/>
                <w:szCs w:val="17"/>
                <w:b w:val="1"/>
                <w:bCs w:val="1"/>
                <w:color w:val="auto"/>
              </w:rPr>
              <w:t>Business Experience</w:t>
            </w: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E. Avril was appointed as our Chief Executive Officer effective February 16, 2026. He previously served as our</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interim President and Chief Executive Officer from November 10, 2025 until his appointment as Chief Executive Officer. Mr.</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Avril has been a member of our Board since March 2025. Mr. Avril was a self-employed consultant from March 2017 to</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November 2025. He previously served as Chief Executive Officer of Diamond Resorts International, Inc., a hospitality and</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Matthew E. Avril</w:t>
            </w: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vacation ownership company, from November 2016 to March 2017. Prior to that, Mr. Avril served as Chief Executive Officer-</w:t>
            </w:r>
          </w:p>
        </w:tc>
        <w:tc>
          <w:tcPr>
            <w:tcW w:w="0" w:type="dxa"/>
            <w:vAlign w:val="bottom"/>
          </w:tcPr>
          <w:p>
            <w:pPr>
              <w:spacing w:after="0"/>
              <w:rPr>
                <w:sz w:val="1"/>
                <w:szCs w:val="1"/>
                <w:color w:val="auto"/>
              </w:rPr>
            </w:pPr>
          </w:p>
        </w:tc>
      </w:tr>
      <w:tr>
        <w:trPr>
          <w:trHeight w:val="120"/>
        </w:trPr>
        <w:tc>
          <w:tcPr>
            <w:tcW w:w="18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65</w:t>
            </w: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elect for Vistana Signature Experiences, Inc. (“Vistana”), a vacation ownership business, from February 2015 to May 2016,</w:t>
            </w:r>
          </w:p>
        </w:tc>
        <w:tc>
          <w:tcPr>
            <w:tcW w:w="0" w:type="dxa"/>
            <w:vAlign w:val="bottom"/>
          </w:tcPr>
          <w:p>
            <w:pPr>
              <w:spacing w:after="0"/>
              <w:rPr>
                <w:sz w:val="1"/>
                <w:szCs w:val="1"/>
                <w:color w:val="auto"/>
              </w:rPr>
            </w:pPr>
          </w:p>
        </w:tc>
      </w:tr>
      <w:tr>
        <w:trPr>
          <w:trHeight w:val="85"/>
        </w:trPr>
        <w:tc>
          <w:tcPr>
            <w:tcW w:w="1880" w:type="dxa"/>
            <w:vAlign w:val="bottom"/>
            <w:tcBorders>
              <w:left w:val="single" w:sz="8" w:color="auto"/>
              <w:right w:val="single" w:sz="8" w:color="auto"/>
            </w:tcBorders>
            <w:shd w:val="clear" w:color="auto" w:fill="CCEEFF"/>
          </w:tcPr>
          <w:p>
            <w:pPr>
              <w:spacing w:after="0"/>
              <w:rPr>
                <w:sz w:val="7"/>
                <w:szCs w:val="7"/>
                <w:color w:val="auto"/>
              </w:rPr>
            </w:pPr>
          </w:p>
        </w:tc>
        <w:tc>
          <w:tcPr>
            <w:tcW w:w="580" w:type="dxa"/>
            <w:vAlign w:val="bottom"/>
            <w:tcBorders>
              <w:right w:val="single" w:sz="8" w:color="auto"/>
            </w:tcBorders>
            <w:vMerge w:val="continue"/>
            <w:shd w:val="clear" w:color="auto" w:fill="CCEEFF"/>
          </w:tcPr>
          <w:p>
            <w:pPr>
              <w:spacing w:after="0"/>
              <w:rPr>
                <w:sz w:val="7"/>
                <w:szCs w:val="7"/>
                <w:color w:val="auto"/>
              </w:rPr>
            </w:pPr>
          </w:p>
        </w:tc>
        <w:tc>
          <w:tcPr>
            <w:tcW w:w="88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Chief Executive Officer</w:t>
            </w:r>
          </w:p>
        </w:tc>
        <w:tc>
          <w:tcPr>
            <w:tcW w:w="580" w:type="dxa"/>
            <w:vAlign w:val="bottom"/>
            <w:tcBorders>
              <w:right w:val="single" w:sz="8" w:color="auto"/>
            </w:tcBorders>
            <w:vMerge w:val="continue"/>
            <w:shd w:val="clear" w:color="auto" w:fill="CCEEFF"/>
          </w:tcPr>
          <w:p>
            <w:pPr>
              <w:spacing w:after="0"/>
              <w:rPr>
                <w:sz w:val="10"/>
                <w:szCs w:val="10"/>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after his retirement as President, Hotel Group for Starwood Hotels &amp; Resorts Worldwide, Inc., a publicly traded hotel and</w:t>
            </w:r>
          </w:p>
        </w:tc>
        <w:tc>
          <w:tcPr>
            <w:tcW w:w="0" w:type="dxa"/>
            <w:vAlign w:val="bottom"/>
          </w:tcPr>
          <w:p>
            <w:pPr>
              <w:spacing w:after="0"/>
              <w:rPr>
                <w:sz w:val="1"/>
                <w:szCs w:val="1"/>
                <w:color w:val="auto"/>
              </w:rPr>
            </w:pPr>
          </w:p>
        </w:tc>
      </w:tr>
      <w:tr>
        <w:trPr>
          <w:trHeight w:val="85"/>
        </w:trPr>
        <w:tc>
          <w:tcPr>
            <w:tcW w:w="188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580" w:type="dxa"/>
            <w:vAlign w:val="bottom"/>
            <w:tcBorders>
              <w:right w:val="single" w:sz="8" w:color="auto"/>
            </w:tcBorders>
            <w:shd w:val="clear" w:color="auto" w:fill="CCEEFF"/>
          </w:tcPr>
          <w:p>
            <w:pPr>
              <w:spacing w:after="0"/>
              <w:rPr>
                <w:sz w:val="7"/>
                <w:szCs w:val="7"/>
                <w:color w:val="auto"/>
              </w:rPr>
            </w:pPr>
          </w:p>
        </w:tc>
        <w:tc>
          <w:tcPr>
            <w:tcW w:w="88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leisure company (“Starwood”), a position he held from September 2008 to December 2012. Before that, from 2002 to 2008, he</w:t>
            </w:r>
          </w:p>
        </w:tc>
        <w:tc>
          <w:tcPr>
            <w:tcW w:w="0" w:type="dxa"/>
            <w:vAlign w:val="bottom"/>
          </w:tcPr>
          <w:p>
            <w:pPr>
              <w:spacing w:after="0"/>
              <w:rPr>
                <w:sz w:val="1"/>
                <w:szCs w:val="1"/>
                <w:color w:val="auto"/>
              </w:rPr>
            </w:pPr>
          </w:p>
        </w:tc>
      </w:tr>
      <w:tr>
        <w:trPr>
          <w:trHeight w:val="98"/>
        </w:trPr>
        <w:tc>
          <w:tcPr>
            <w:tcW w:w="1880" w:type="dxa"/>
            <w:vAlign w:val="bottom"/>
            <w:tcBorders>
              <w:left w:val="single" w:sz="8" w:color="auto"/>
              <w:right w:val="single" w:sz="8" w:color="auto"/>
            </w:tcBorders>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88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served in a number of executive leadership positions with Starwood, and from 1989 to 1998, held various senior leadership</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positions with Vistana including President and Managing Director of Operations. Mr. Avril previously served as a director and</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 of the Board of Babcock &amp; Wilcox Enterprises, Inc., a public company focused on clean energy, environmental</w:t>
            </w:r>
          </w:p>
        </w:tc>
        <w:tc>
          <w:tcPr>
            <w:tcW w:w="0" w:type="dxa"/>
            <w:vAlign w:val="bottom"/>
          </w:tcPr>
          <w:p>
            <w:pPr>
              <w:spacing w:after="0"/>
              <w:rPr>
                <w:sz w:val="1"/>
                <w:szCs w:val="1"/>
                <w:color w:val="auto"/>
              </w:rPr>
            </w:pPr>
          </w:p>
        </w:tc>
      </w:tr>
      <w:tr>
        <w:trPr>
          <w:trHeight w:val="227"/>
        </w:trPr>
        <w:tc>
          <w:tcPr>
            <w:tcW w:w="188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580" w:type="dxa"/>
            <w:vAlign w:val="bottom"/>
            <w:tcBorders>
              <w:bottom w:val="single" w:sz="8" w:color="CCEEFF"/>
              <w:right w:val="single" w:sz="8" w:color="auto"/>
            </w:tcBorders>
            <w:shd w:val="clear" w:color="auto" w:fill="CCEEFF"/>
          </w:tcPr>
          <w:p>
            <w:pPr>
              <w:spacing w:after="0"/>
              <w:rPr>
                <w:sz w:val="19"/>
                <w:szCs w:val="19"/>
                <w:color w:val="auto"/>
              </w:rPr>
            </w:pPr>
          </w:p>
        </w:tc>
        <w:tc>
          <w:tcPr>
            <w:tcW w:w="880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technologies, and industrial power generation, from 2018 to 2022.</w:t>
            </w:r>
          </w:p>
        </w:tc>
        <w:tc>
          <w:tcPr>
            <w:tcW w:w="0" w:type="dxa"/>
            <w:vAlign w:val="bottom"/>
          </w:tcPr>
          <w:p>
            <w:pPr>
              <w:spacing w:after="0"/>
              <w:rPr>
                <w:sz w:val="1"/>
                <w:szCs w:val="1"/>
                <w:color w:val="auto"/>
              </w:rPr>
            </w:pPr>
          </w:p>
        </w:tc>
      </w:tr>
      <w:tr>
        <w:trPr>
          <w:trHeight w:val="20"/>
        </w:trPr>
        <w:tc>
          <w:tcPr>
            <w:tcW w:w="18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60"/>
          </w:cols>
          <w:pgMar w:left="320" w:top="1146" w:right="31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30"/>
        </w:trPr>
        <w:tc>
          <w:tcPr>
            <w:tcW w:w="1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Name and Title</w:t>
            </w:r>
          </w:p>
        </w:tc>
        <w:tc>
          <w:tcPr>
            <w:tcW w:w="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Age</w:t>
            </w:r>
          </w:p>
        </w:tc>
        <w:tc>
          <w:tcPr>
            <w:tcW w:w="8800" w:type="dxa"/>
            <w:vAlign w:val="bottom"/>
            <w:tcBorders>
              <w:top w:val="single" w:sz="8" w:color="auto"/>
              <w:bottom w:val="single" w:sz="8" w:color="auto"/>
              <w:right w:val="single" w:sz="8" w:color="auto"/>
            </w:tcBorders>
          </w:tcPr>
          <w:p>
            <w:pPr>
              <w:ind w:left="3640"/>
              <w:spacing w:after="0"/>
              <w:rPr>
                <w:sz w:val="20"/>
                <w:szCs w:val="20"/>
                <w:color w:val="auto"/>
              </w:rPr>
            </w:pPr>
            <w:r>
              <w:rPr>
                <w:rFonts w:ascii="Times New Roman" w:cs="Times New Roman" w:eastAsia="Times New Roman" w:hAnsi="Times New Roman"/>
                <w:sz w:val="17"/>
                <w:szCs w:val="17"/>
                <w:b w:val="1"/>
                <w:bCs w:val="1"/>
                <w:color w:val="auto"/>
              </w:rPr>
              <w:t>Business Experience</w:t>
            </w: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Michael A. Flaskey was appointed as our President and Chief Operating Officer effective February 16, 2026. Mr. Flaskey</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served as Chief Executive Officer and a member of the Board of Directors of maritime hospitality company Hornblower Group</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from August 2024 to January 2026. Mr. Flaskey served as a Senior Advisor for McKinsey and Company, a private management</w:t>
            </w: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Michael A. Flaskey</w:t>
            </w:r>
          </w:p>
        </w:tc>
        <w:tc>
          <w:tcPr>
            <w:tcW w:w="580" w:type="dxa"/>
            <w:vAlign w:val="bottom"/>
            <w:tcBorders>
              <w:right w:val="single" w:sz="8" w:color="auto"/>
            </w:tcBorders>
          </w:tcPr>
          <w:p>
            <w:pPr>
              <w:spacing w:after="0"/>
              <w:rPr>
                <w:sz w:val="19"/>
                <w:szCs w:val="19"/>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consulting firm, between fall 2023 and August 2024. Between July 2021 and July 2024, Mr. Flaskey was the Chief Executive</w:t>
            </w:r>
          </w:p>
        </w:tc>
        <w:tc>
          <w:tcPr>
            <w:tcW w:w="0" w:type="dxa"/>
            <w:vAlign w:val="bottom"/>
          </w:tcPr>
          <w:p>
            <w:pPr>
              <w:spacing w:after="0"/>
              <w:rPr>
                <w:sz w:val="1"/>
                <w:szCs w:val="1"/>
                <w:color w:val="auto"/>
              </w:rPr>
            </w:pPr>
          </w:p>
        </w:tc>
      </w:tr>
      <w:tr>
        <w:trPr>
          <w:trHeight w:val="188"/>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President and Chief</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8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Officer of Mike Flaskey Entertainment, a private full-service sports, music and entertainment company, of which Mr. Flaskey is</w:t>
            </w:r>
          </w:p>
        </w:tc>
        <w:tc>
          <w:tcPr>
            <w:tcW w:w="0" w:type="dxa"/>
            <w:vAlign w:val="bottom"/>
          </w:tcPr>
          <w:p>
            <w:pPr>
              <w:spacing w:after="0"/>
              <w:rPr>
                <w:sz w:val="1"/>
                <w:szCs w:val="1"/>
                <w:color w:val="auto"/>
              </w:rPr>
            </w:pPr>
          </w:p>
        </w:tc>
      </w:tr>
      <w:tr>
        <w:trPr>
          <w:trHeight w:val="120"/>
        </w:trPr>
        <w:tc>
          <w:tcPr>
            <w:tcW w:w="1880" w:type="dxa"/>
            <w:vAlign w:val="bottom"/>
            <w:tcBorders>
              <w:left w:val="single" w:sz="8" w:color="auto"/>
              <w:right w:val="single" w:sz="8" w:color="auto"/>
            </w:tcBorders>
            <w:vMerge w:val="continue"/>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8800" w:type="dxa"/>
            <w:vAlign w:val="bottom"/>
            <w:tcBorders>
              <w:right w:val="single" w:sz="8" w:color="auto"/>
            </w:tcBorders>
            <w:vMerge w:val="restart"/>
          </w:tcPr>
          <w:p>
            <w:pPr>
              <w:spacing w:after="0" w:line="170" w:lineRule="exact"/>
              <w:rPr>
                <w:sz w:val="20"/>
                <w:szCs w:val="20"/>
                <w:color w:val="auto"/>
              </w:rPr>
            </w:pPr>
            <w:r>
              <w:rPr>
                <w:rFonts w:ascii="Times New Roman" w:cs="Times New Roman" w:eastAsia="Times New Roman" w:hAnsi="Times New Roman"/>
                <w:sz w:val="17"/>
                <w:szCs w:val="17"/>
                <w:color w:val="auto"/>
              </w:rPr>
              <w:t>also the founder and Chairman. Prior to that, he spent more than a decade at Diamond Resorts International, including serving</w:t>
            </w:r>
          </w:p>
        </w:tc>
        <w:tc>
          <w:tcPr>
            <w:tcW w:w="0" w:type="dxa"/>
            <w:vAlign w:val="bottom"/>
          </w:tcPr>
          <w:p>
            <w:pPr>
              <w:spacing w:after="0"/>
              <w:rPr>
                <w:sz w:val="1"/>
                <w:szCs w:val="1"/>
                <w:color w:val="auto"/>
              </w:rPr>
            </w:pPr>
          </w:p>
        </w:tc>
      </w:tr>
      <w:tr>
        <w:trPr>
          <w:trHeight w:val="50"/>
        </w:trPr>
        <w:tc>
          <w:tcPr>
            <w:tcW w:w="1880" w:type="dxa"/>
            <w:vAlign w:val="bottom"/>
            <w:tcBorders>
              <w:left w:val="single" w:sz="8" w:color="auto"/>
              <w:right w:val="single" w:sz="8" w:color="auto"/>
            </w:tcBorders>
            <w:vMerge w:val="continue"/>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8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Operating Officer</w:t>
            </w:r>
          </w:p>
        </w:tc>
        <w:tc>
          <w:tcPr>
            <w:tcW w:w="580" w:type="dxa"/>
            <w:vAlign w:val="bottom"/>
            <w:tcBorders>
              <w:right w:val="single" w:sz="8" w:color="auto"/>
            </w:tcBorders>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as Chief Executive Officer from 2017 to 2021, where he led the sale of the company to Hilton Grand Vacations. Earlier in his</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career, Mr. Flaskey held senior executive leadership roles with Starwood Vacation Ownership and Fairfield Resorts (now</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Wyndham Vacation Ownership, the vacation ownership business segment of Travel + Leisure Co.), where he developed deep</w:t>
            </w:r>
          </w:p>
        </w:tc>
        <w:tc>
          <w:tcPr>
            <w:tcW w:w="0" w:type="dxa"/>
            <w:vAlign w:val="bottom"/>
          </w:tcPr>
          <w:p>
            <w:pPr>
              <w:spacing w:after="0"/>
              <w:rPr>
                <w:sz w:val="1"/>
                <w:szCs w:val="1"/>
                <w:color w:val="auto"/>
              </w:rPr>
            </w:pPr>
          </w:p>
        </w:tc>
      </w:tr>
      <w:tr>
        <w:trPr>
          <w:trHeight w:val="222"/>
        </w:trPr>
        <w:tc>
          <w:tcPr>
            <w:tcW w:w="1880" w:type="dxa"/>
            <w:vAlign w:val="bottom"/>
            <w:tcBorders>
              <w:left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expertise across brand, sales, marketing, operations and resort management functions.</w:t>
            </w:r>
          </w:p>
        </w:tc>
        <w:tc>
          <w:tcPr>
            <w:tcW w:w="0" w:type="dxa"/>
            <w:vAlign w:val="bottom"/>
          </w:tcPr>
          <w:p>
            <w:pPr>
              <w:spacing w:after="0"/>
              <w:rPr>
                <w:sz w:val="1"/>
                <w:szCs w:val="1"/>
                <w:color w:val="auto"/>
              </w:rPr>
            </w:pPr>
          </w:p>
        </w:tc>
      </w:tr>
      <w:tr>
        <w:trPr>
          <w:trHeight w:val="25"/>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8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Jason P. Marino has served as our Executive Vice President and Chief Financial Officer since September 30, 2023. Mr. Marino</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Jason P. Marino</w:t>
            </w: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served as Senior Vice President, Strategy, Financial Planning &amp; Analysis (“FP&amp;A”) and Operational Finance - Vacation</w:t>
            </w:r>
          </w:p>
        </w:tc>
        <w:tc>
          <w:tcPr>
            <w:tcW w:w="0" w:type="dxa"/>
            <w:vAlign w:val="bottom"/>
          </w:tcPr>
          <w:p>
            <w:pPr>
              <w:spacing w:after="0"/>
              <w:rPr>
                <w:sz w:val="1"/>
                <w:szCs w:val="1"/>
                <w:color w:val="auto"/>
              </w:rPr>
            </w:pPr>
          </w:p>
        </w:tc>
      </w:tr>
      <w:tr>
        <w:trPr>
          <w:trHeight w:val="120"/>
        </w:trPr>
        <w:tc>
          <w:tcPr>
            <w:tcW w:w="18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Ownership for the Company from December 2021 to September 2023. He served as the Company’s Senior Vice President of</w:t>
            </w:r>
          </w:p>
        </w:tc>
        <w:tc>
          <w:tcPr>
            <w:tcW w:w="0" w:type="dxa"/>
            <w:vAlign w:val="bottom"/>
          </w:tcPr>
          <w:p>
            <w:pPr>
              <w:spacing w:after="0"/>
              <w:rPr>
                <w:sz w:val="1"/>
                <w:szCs w:val="1"/>
                <w:color w:val="auto"/>
              </w:rPr>
            </w:pPr>
          </w:p>
        </w:tc>
      </w:tr>
      <w:tr>
        <w:trPr>
          <w:trHeight w:val="85"/>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80" w:type="dxa"/>
            <w:vAlign w:val="bottom"/>
            <w:tcBorders>
              <w:right w:val="single" w:sz="8" w:color="auto"/>
            </w:tcBorders>
            <w:shd w:val="clear" w:color="auto" w:fill="CCEEFF"/>
          </w:tcPr>
          <w:p>
            <w:pPr>
              <w:spacing w:after="0"/>
              <w:rPr>
                <w:sz w:val="7"/>
                <w:szCs w:val="7"/>
                <w:color w:val="auto"/>
              </w:rPr>
            </w:pPr>
          </w:p>
        </w:tc>
        <w:tc>
          <w:tcPr>
            <w:tcW w:w="88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880" w:type="dxa"/>
            <w:vAlign w:val="bottom"/>
            <w:tcBorders>
              <w:left w:val="single" w:sz="8" w:color="auto"/>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7"/>
                <w:szCs w:val="17"/>
                <w:color w:val="auto"/>
              </w:rPr>
              <w:t>50</w:t>
            </w:r>
          </w:p>
        </w:tc>
        <w:tc>
          <w:tcPr>
            <w:tcW w:w="8800" w:type="dxa"/>
            <w:vAlign w:val="bottom"/>
            <w:tcBorders>
              <w:right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Strategy and FP&amp;A from June 2019 to December 2021 and Vice President - Corporate Finance from May 2014 to June 2019.</w:t>
            </w:r>
          </w:p>
        </w:tc>
        <w:tc>
          <w:tcPr>
            <w:tcW w:w="0" w:type="dxa"/>
            <w:vAlign w:val="bottom"/>
          </w:tcPr>
          <w:p>
            <w:pPr>
              <w:spacing w:after="0"/>
              <w:rPr>
                <w:sz w:val="1"/>
                <w:szCs w:val="1"/>
                <w:color w:val="auto"/>
              </w:rPr>
            </w:pPr>
          </w:p>
        </w:tc>
      </w:tr>
      <w:tr>
        <w:trPr>
          <w:trHeight w:val="141"/>
        </w:trPr>
        <w:tc>
          <w:tcPr>
            <w:tcW w:w="1880" w:type="dxa"/>
            <w:vAlign w:val="bottom"/>
            <w:tcBorders>
              <w:left w:val="single" w:sz="8" w:color="auto"/>
              <w:right w:val="single" w:sz="8" w:color="auto"/>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6"/>
                <w:szCs w:val="16"/>
                <w:color w:val="auto"/>
              </w:rPr>
              <w:t>and Chief Financial</w:t>
            </w:r>
          </w:p>
        </w:tc>
        <w:tc>
          <w:tcPr>
            <w:tcW w:w="580" w:type="dxa"/>
            <w:vAlign w:val="bottom"/>
            <w:tcBorders>
              <w:right w:val="single" w:sz="8" w:color="auto"/>
            </w:tcBorders>
            <w:shd w:val="clear" w:color="auto" w:fill="CCEEFF"/>
          </w:tcPr>
          <w:p>
            <w:pPr>
              <w:spacing w:after="0"/>
              <w:rPr>
                <w:sz w:val="12"/>
                <w:szCs w:val="12"/>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Prior to joining the Company in 2014, Mr. Marino worked at Cantor Commercial Real Estate, L.P. and in the investment</w:t>
            </w:r>
          </w:p>
        </w:tc>
        <w:tc>
          <w:tcPr>
            <w:tcW w:w="0" w:type="dxa"/>
            <w:vAlign w:val="bottom"/>
          </w:tcPr>
          <w:p>
            <w:pPr>
              <w:spacing w:after="0"/>
              <w:rPr>
                <w:sz w:val="1"/>
                <w:szCs w:val="1"/>
                <w:color w:val="auto"/>
              </w:rPr>
            </w:pPr>
          </w:p>
        </w:tc>
      </w:tr>
      <w:tr>
        <w:trPr>
          <w:trHeight w:val="99"/>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Officer</w:t>
            </w:r>
          </w:p>
        </w:tc>
        <w:tc>
          <w:tcPr>
            <w:tcW w:w="580" w:type="dxa"/>
            <w:vAlign w:val="bottom"/>
            <w:tcBorders>
              <w:right w:val="single" w:sz="8" w:color="auto"/>
            </w:tcBorders>
            <w:shd w:val="clear" w:color="auto" w:fill="CCEEFF"/>
          </w:tcPr>
          <w:p>
            <w:pPr>
              <w:spacing w:after="0"/>
              <w:rPr>
                <w:sz w:val="8"/>
                <w:szCs w:val="8"/>
                <w:color w:val="auto"/>
              </w:rPr>
            </w:pPr>
          </w:p>
        </w:tc>
        <w:tc>
          <w:tcPr>
            <w:tcW w:w="88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8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banking divisions of Cantor Fitzgerald, Credit Suisse Securities (USA) LLC and Bear, Stearns &amp; Co. Inc., holding positions of</w:t>
            </w:r>
          </w:p>
        </w:tc>
        <w:tc>
          <w:tcPr>
            <w:tcW w:w="0" w:type="dxa"/>
            <w:vAlign w:val="bottom"/>
          </w:tcPr>
          <w:p>
            <w:pPr>
              <w:spacing w:after="0"/>
              <w:rPr>
                <w:sz w:val="1"/>
                <w:szCs w:val="1"/>
                <w:color w:val="auto"/>
              </w:rPr>
            </w:pPr>
          </w:p>
        </w:tc>
      </w:tr>
      <w:tr>
        <w:trPr>
          <w:trHeight w:val="81"/>
        </w:trPr>
        <w:tc>
          <w:tcPr>
            <w:tcW w:w="1880" w:type="dxa"/>
            <w:vAlign w:val="bottom"/>
            <w:tcBorders>
              <w:left w:val="single" w:sz="8" w:color="auto"/>
              <w:right w:val="single" w:sz="8" w:color="auto"/>
            </w:tcBorders>
            <w:shd w:val="clear" w:color="auto" w:fill="CCEEFF"/>
          </w:tcPr>
          <w:p>
            <w:pPr>
              <w:spacing w:after="0"/>
              <w:rPr>
                <w:sz w:val="7"/>
                <w:szCs w:val="7"/>
                <w:color w:val="auto"/>
              </w:rPr>
            </w:pPr>
          </w:p>
        </w:tc>
        <w:tc>
          <w:tcPr>
            <w:tcW w:w="580" w:type="dxa"/>
            <w:vAlign w:val="bottom"/>
            <w:tcBorders>
              <w:right w:val="single" w:sz="8" w:color="auto"/>
            </w:tcBorders>
            <w:shd w:val="clear" w:color="auto" w:fill="CCEEFF"/>
          </w:tcPr>
          <w:p>
            <w:pPr>
              <w:spacing w:after="0"/>
              <w:rPr>
                <w:sz w:val="7"/>
                <w:szCs w:val="7"/>
                <w:color w:val="auto"/>
              </w:rPr>
            </w:pPr>
          </w:p>
        </w:tc>
        <w:tc>
          <w:tcPr>
            <w:tcW w:w="88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88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580" w:type="dxa"/>
            <w:vAlign w:val="bottom"/>
            <w:tcBorders>
              <w:bottom w:val="single" w:sz="8" w:color="CCEEFF"/>
              <w:right w:val="single" w:sz="8" w:color="auto"/>
            </w:tcBorders>
            <w:shd w:val="clear" w:color="auto" w:fill="CCEEFF"/>
          </w:tcPr>
          <w:p>
            <w:pPr>
              <w:spacing w:after="0"/>
              <w:rPr>
                <w:sz w:val="21"/>
                <w:szCs w:val="21"/>
                <w:color w:val="auto"/>
              </w:rPr>
            </w:pPr>
          </w:p>
        </w:tc>
        <w:tc>
          <w:tcPr>
            <w:tcW w:w="880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increasing responsibility.</w:t>
            </w:r>
          </w:p>
        </w:tc>
        <w:tc>
          <w:tcPr>
            <w:tcW w:w="0" w:type="dxa"/>
            <w:vAlign w:val="bottom"/>
          </w:tcPr>
          <w:p>
            <w:pPr>
              <w:spacing w:after="0"/>
              <w:rPr>
                <w:sz w:val="1"/>
                <w:szCs w:val="1"/>
                <w:color w:val="auto"/>
              </w:rPr>
            </w:pPr>
          </w:p>
        </w:tc>
      </w:tr>
      <w:tr>
        <w:trPr>
          <w:trHeight w:val="309"/>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8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Raman T. Bukkapatnam has served as our Executive Vice President and Chief Information Officer since July 10, 2023. Prior to</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Raman T. Bukkapatnam</w:t>
            </w:r>
          </w:p>
        </w:tc>
        <w:tc>
          <w:tcPr>
            <w:tcW w:w="580" w:type="dxa"/>
            <w:vAlign w:val="bottom"/>
            <w:tcBorders>
              <w:right w:val="single" w:sz="8" w:color="auto"/>
            </w:tcBorders>
          </w:tcPr>
          <w:p>
            <w:pPr>
              <w:spacing w:after="0"/>
              <w:rPr>
                <w:sz w:val="17"/>
                <w:szCs w:val="17"/>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joining the Company, Mr. Bukkapatnam served as Vice President, Global Technology at Nike, Inc., a global provider of athletic</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footwear and apparel, from August 2020 to July 2023. Prior to Nike, Mr. Bukkapatnam had a more than 20 year career at</w:t>
            </w:r>
          </w:p>
        </w:tc>
        <w:tc>
          <w:tcPr>
            <w:tcW w:w="0" w:type="dxa"/>
            <w:vAlign w:val="bottom"/>
          </w:tcPr>
          <w:p>
            <w:pPr>
              <w:spacing w:after="0"/>
              <w:rPr>
                <w:sz w:val="1"/>
                <w:szCs w:val="1"/>
                <w:color w:val="auto"/>
              </w:rPr>
            </w:pPr>
          </w:p>
        </w:tc>
      </w:tr>
      <w:tr>
        <w:trPr>
          <w:trHeight w:val="38"/>
        </w:trPr>
        <w:tc>
          <w:tcPr>
            <w:tcW w:w="1880" w:type="dxa"/>
            <w:vAlign w:val="bottom"/>
            <w:tcBorders>
              <w:left w:val="single" w:sz="8" w:color="auto"/>
              <w:right w:val="single" w:sz="8" w:color="auto"/>
            </w:tcBorders>
            <w:vMerge w:val="continue"/>
          </w:tcPr>
          <w:p>
            <w:pPr>
              <w:spacing w:after="0"/>
              <w:rPr>
                <w:sz w:val="3"/>
                <w:szCs w:val="3"/>
                <w:color w:val="auto"/>
              </w:rPr>
            </w:pPr>
          </w:p>
        </w:tc>
        <w:tc>
          <w:tcPr>
            <w:tcW w:w="580" w:type="dxa"/>
            <w:vAlign w:val="bottom"/>
            <w:tcBorders>
              <w:right w:val="single" w:sz="8" w:color="auto"/>
            </w:tcBorders>
            <w:vMerge w:val="continue"/>
          </w:tcPr>
          <w:p>
            <w:pPr>
              <w:spacing w:after="0"/>
              <w:rPr>
                <w:sz w:val="3"/>
                <w:szCs w:val="3"/>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Starbucks Corporation, a roaster, marketer and retailer of specialty coffee, serving in multiple leadership roles including Vice</w:t>
            </w:r>
          </w:p>
        </w:tc>
        <w:tc>
          <w:tcPr>
            <w:tcW w:w="0" w:type="dxa"/>
            <w:vAlign w:val="bottom"/>
          </w:tcPr>
          <w:p>
            <w:pPr>
              <w:spacing w:after="0" w:line="20" w:lineRule="exact"/>
              <w:rPr>
                <w:sz w:val="1"/>
                <w:szCs w:val="1"/>
                <w:color w:val="auto"/>
              </w:rPr>
            </w:pPr>
          </w:p>
        </w:tc>
      </w:tr>
      <w:tr>
        <w:trPr>
          <w:trHeight w:val="170"/>
        </w:trPr>
        <w:tc>
          <w:tcPr>
            <w:tcW w:w="1880" w:type="dxa"/>
            <w:vAlign w:val="bottom"/>
            <w:tcBorders>
              <w:left w:val="single" w:sz="8" w:color="auto"/>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7"/>
                <w:szCs w:val="17"/>
                <w:color w:val="auto"/>
              </w:rPr>
              <w:t>and Chief Information</w:t>
            </w:r>
          </w:p>
        </w:tc>
        <w:tc>
          <w:tcPr>
            <w:tcW w:w="580" w:type="dxa"/>
            <w:vAlign w:val="bottom"/>
            <w:tcBorders>
              <w:right w:val="single" w:sz="8" w:color="auto"/>
            </w:tcBorders>
          </w:tcPr>
          <w:p>
            <w:pPr>
              <w:spacing w:after="0"/>
              <w:rPr>
                <w:sz w:val="14"/>
                <w:szCs w:val="14"/>
                <w:color w:val="auto"/>
              </w:rPr>
            </w:pPr>
          </w:p>
        </w:tc>
        <w:tc>
          <w:tcPr>
            <w:tcW w:w="88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Officer</w:t>
            </w:r>
          </w:p>
        </w:tc>
        <w:tc>
          <w:tcPr>
            <w:tcW w:w="580" w:type="dxa"/>
            <w:vAlign w:val="bottom"/>
            <w:tcBorders>
              <w:right w:val="single" w:sz="8" w:color="auto"/>
            </w:tcBorders>
          </w:tcPr>
          <w:p>
            <w:pPr>
              <w:spacing w:after="0"/>
              <w:rPr>
                <w:sz w:val="17"/>
                <w:szCs w:val="17"/>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President, Global Technology, Supply Chain Analytics, Data Engineering, and Store Development, from March 1999 to August</w:t>
            </w:r>
          </w:p>
        </w:tc>
        <w:tc>
          <w:tcPr>
            <w:tcW w:w="0" w:type="dxa"/>
            <w:vAlign w:val="bottom"/>
          </w:tcPr>
          <w:p>
            <w:pPr>
              <w:spacing w:after="0"/>
              <w:rPr>
                <w:sz w:val="1"/>
                <w:szCs w:val="1"/>
                <w:color w:val="auto"/>
              </w:rPr>
            </w:pPr>
          </w:p>
        </w:tc>
      </w:tr>
      <w:tr>
        <w:trPr>
          <w:trHeight w:val="222"/>
        </w:trPr>
        <w:tc>
          <w:tcPr>
            <w:tcW w:w="1880" w:type="dxa"/>
            <w:vAlign w:val="bottom"/>
            <w:tcBorders>
              <w:left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2020.</w:t>
            </w:r>
          </w:p>
        </w:tc>
        <w:tc>
          <w:tcPr>
            <w:tcW w:w="0" w:type="dxa"/>
            <w:vAlign w:val="bottom"/>
          </w:tcPr>
          <w:p>
            <w:pPr>
              <w:spacing w:after="0"/>
              <w:rPr>
                <w:sz w:val="1"/>
                <w:szCs w:val="1"/>
                <w:color w:val="auto"/>
              </w:rPr>
            </w:pPr>
          </w:p>
        </w:tc>
      </w:tr>
      <w:tr>
        <w:trPr>
          <w:trHeight w:val="127"/>
        </w:trPr>
        <w:tc>
          <w:tcPr>
            <w:tcW w:w="1880" w:type="dxa"/>
            <w:vAlign w:val="bottom"/>
            <w:tcBorders>
              <w:left w:val="single" w:sz="8" w:color="auto"/>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88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Stephanie S. Butera</w:t>
            </w: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Stephanie S. Butera has served as our Executive Vice President and Chief Operating Officer, Hyatt Vacation Ownership since</w:t>
            </w:r>
          </w:p>
        </w:tc>
        <w:tc>
          <w:tcPr>
            <w:tcW w:w="0" w:type="dxa"/>
            <w:vAlign w:val="bottom"/>
          </w:tcPr>
          <w:p>
            <w:pPr>
              <w:spacing w:after="0"/>
              <w:rPr>
                <w:sz w:val="1"/>
                <w:szCs w:val="1"/>
                <w:color w:val="auto"/>
              </w:rPr>
            </w:pPr>
          </w:p>
        </w:tc>
      </w:tr>
      <w:tr>
        <w:trPr>
          <w:trHeight w:val="132"/>
        </w:trPr>
        <w:tc>
          <w:tcPr>
            <w:tcW w:w="1880" w:type="dxa"/>
            <w:vAlign w:val="bottom"/>
            <w:tcBorders>
              <w:left w:val="single" w:sz="8" w:color="auto"/>
              <w:right w:val="single" w:sz="8" w:color="auto"/>
            </w:tcBorders>
            <w:vMerge w:val="continue"/>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2023. She served as our Senior Vice President and Chief Operating Officer, Hyatt Vacation Ownership from April 2021</w:t>
            </w:r>
          </w:p>
        </w:tc>
        <w:tc>
          <w:tcPr>
            <w:tcW w:w="0" w:type="dxa"/>
            <w:vAlign w:val="bottom"/>
          </w:tcPr>
          <w:p>
            <w:pPr>
              <w:spacing w:after="0"/>
              <w:rPr>
                <w:sz w:val="1"/>
                <w:szCs w:val="1"/>
                <w:color w:val="auto"/>
              </w:rPr>
            </w:pPr>
          </w:p>
        </w:tc>
      </w:tr>
      <w:tr>
        <w:trPr>
          <w:trHeight w:val="72"/>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80" w:type="dxa"/>
            <w:vAlign w:val="bottom"/>
            <w:tcBorders>
              <w:right w:val="single" w:sz="8" w:color="auto"/>
            </w:tcBorders>
            <w:shd w:val="clear" w:color="auto" w:fill="CCEEFF"/>
          </w:tcPr>
          <w:p>
            <w:pPr>
              <w:spacing w:after="0"/>
              <w:rPr>
                <w:sz w:val="6"/>
                <w:szCs w:val="6"/>
                <w:color w:val="auto"/>
              </w:rPr>
            </w:pPr>
          </w:p>
        </w:tc>
        <w:tc>
          <w:tcPr>
            <w:tcW w:w="880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880" w:type="dxa"/>
            <w:vAlign w:val="bottom"/>
            <w:tcBorders>
              <w:left w:val="single" w:sz="8" w:color="auto"/>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8800" w:type="dxa"/>
            <w:vAlign w:val="bottom"/>
            <w:tcBorders>
              <w:right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to December 2022. Prior to leading Hyatt Vacation Ownership, Ms. Butera held a number of leadership positions with the</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and Chief Operating</w:t>
            </w:r>
          </w:p>
        </w:tc>
        <w:tc>
          <w:tcPr>
            <w:tcW w:w="580" w:type="dxa"/>
            <w:vAlign w:val="bottom"/>
            <w:tcBorders>
              <w:right w:val="single" w:sz="8" w:color="auto"/>
            </w:tcBorders>
            <w:vMerge w:val="continue"/>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serving as Vice President, Asset Management for The Ritz-Carlton Destination Club from August 2014 to October</w:t>
            </w: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right w:val="single" w:sz="8" w:color="auto"/>
            </w:tcBorders>
            <w:shd w:val="clear" w:color="auto" w:fill="CCEEFF"/>
          </w:tcPr>
          <w:p>
            <w:pPr>
              <w:ind w:left="40"/>
              <w:spacing w:after="0" w:line="115" w:lineRule="exact"/>
              <w:rPr>
                <w:sz w:val="20"/>
                <w:szCs w:val="20"/>
                <w:color w:val="auto"/>
              </w:rPr>
            </w:pPr>
            <w:r>
              <w:rPr>
                <w:rFonts w:ascii="Times New Roman" w:cs="Times New Roman" w:eastAsia="Times New Roman" w:hAnsi="Times New Roman"/>
                <w:sz w:val="13"/>
                <w:szCs w:val="13"/>
                <w:color w:val="auto"/>
              </w:rPr>
              <w:t>Officer, Hyatt Vacation</w:t>
            </w:r>
          </w:p>
        </w:tc>
        <w:tc>
          <w:tcPr>
            <w:tcW w:w="580" w:type="dxa"/>
            <w:vAlign w:val="bottom"/>
            <w:tcBorders>
              <w:right w:val="single" w:sz="8" w:color="auto"/>
            </w:tcBorders>
            <w:shd w:val="clear" w:color="auto" w:fill="CCEEFF"/>
          </w:tcPr>
          <w:p>
            <w:pPr>
              <w:spacing w:after="0"/>
              <w:rPr>
                <w:sz w:val="10"/>
                <w:szCs w:val="10"/>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2018, before moving into the position of Senior Vice President, Vacation Ownership for the Americas, Florida, Mexico, and</w:t>
            </w:r>
          </w:p>
        </w:tc>
        <w:tc>
          <w:tcPr>
            <w:tcW w:w="0" w:type="dxa"/>
            <w:vAlign w:val="bottom"/>
          </w:tcPr>
          <w:p>
            <w:pPr>
              <w:spacing w:after="0"/>
              <w:rPr>
                <w:sz w:val="1"/>
                <w:szCs w:val="1"/>
                <w:color w:val="auto"/>
              </w:rPr>
            </w:pPr>
          </w:p>
        </w:tc>
      </w:tr>
      <w:tr>
        <w:trPr>
          <w:trHeight w:val="124"/>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Ownership</w:t>
            </w:r>
          </w:p>
        </w:tc>
        <w:tc>
          <w:tcPr>
            <w:tcW w:w="580" w:type="dxa"/>
            <w:vAlign w:val="bottom"/>
            <w:tcBorders>
              <w:right w:val="single" w:sz="8" w:color="auto"/>
            </w:tcBorders>
            <w:shd w:val="clear" w:color="auto" w:fill="CCEEFF"/>
          </w:tcPr>
          <w:p>
            <w:pPr>
              <w:spacing w:after="0"/>
              <w:rPr>
                <w:sz w:val="10"/>
                <w:szCs w:val="10"/>
                <w:color w:val="auto"/>
              </w:rPr>
            </w:pPr>
          </w:p>
        </w:tc>
        <w:tc>
          <w:tcPr>
            <w:tcW w:w="880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8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Caribbean from October 2018 to April 2021. Ms. Butera joined the Company in 1999.</w:t>
            </w: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580" w:type="dxa"/>
            <w:vAlign w:val="bottom"/>
            <w:tcBorders>
              <w:bottom w:val="single" w:sz="8" w:color="CCEEFF"/>
              <w:right w:val="single" w:sz="8" w:color="auto"/>
            </w:tcBorders>
            <w:shd w:val="clear" w:color="auto" w:fill="CCEEFF"/>
          </w:tcPr>
          <w:p>
            <w:pPr>
              <w:spacing w:after="0"/>
              <w:rPr>
                <w:sz w:val="12"/>
                <w:szCs w:val="12"/>
                <w:color w:val="auto"/>
              </w:rPr>
            </w:pPr>
          </w:p>
        </w:tc>
        <w:tc>
          <w:tcPr>
            <w:tcW w:w="8800" w:type="dxa"/>
            <w:vAlign w:val="bottom"/>
            <w:tcBorders>
              <w:bottom w:val="single" w:sz="8" w:color="CCEEFF"/>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8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John D. Fitzgerald</w:t>
            </w:r>
          </w:p>
        </w:tc>
        <w:tc>
          <w:tcPr>
            <w:tcW w:w="580" w:type="dxa"/>
            <w:vAlign w:val="bottom"/>
            <w:tcBorders>
              <w:top w:val="single" w:sz="8" w:color="auto"/>
              <w:right w:val="single" w:sz="8" w:color="auto"/>
            </w:tcBorders>
          </w:tcPr>
          <w:p>
            <w:pPr>
              <w:spacing w:after="0"/>
              <w:rPr>
                <w:sz w:val="21"/>
                <w:szCs w:val="21"/>
                <w:color w:val="auto"/>
              </w:rPr>
            </w:pPr>
          </w:p>
        </w:tc>
        <w:tc>
          <w:tcPr>
            <w:tcW w:w="8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John D. Fitzgerald has served as our Executive Vice President and Chief Marketing, Sales and Service Officer since June 2025.</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Prior to that time, he served as our Executive Vice President and Chief Marketing and Sales Officer from January 2024 to June</w:t>
            </w: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right w:val="single" w:sz="8" w:color="auto"/>
            </w:tcBorders>
            <w:vMerge w:val="continue"/>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2025 and Senior Vice President of Marketing from September 2017 to December 2023. Mr. Fitzgerald joined the Company in</w:t>
            </w:r>
          </w:p>
        </w:tc>
        <w:tc>
          <w:tcPr>
            <w:tcW w:w="0" w:type="dxa"/>
            <w:vAlign w:val="bottom"/>
          </w:tcPr>
          <w:p>
            <w:pPr>
              <w:spacing w:after="0"/>
              <w:rPr>
                <w:sz w:val="1"/>
                <w:szCs w:val="1"/>
                <w:color w:val="auto"/>
              </w:rPr>
            </w:pPr>
          </w:p>
        </w:tc>
      </w:tr>
      <w:tr>
        <w:trPr>
          <w:trHeight w:val="90"/>
        </w:trPr>
        <w:tc>
          <w:tcPr>
            <w:tcW w:w="1880" w:type="dxa"/>
            <w:vAlign w:val="bottom"/>
            <w:tcBorders>
              <w:left w:val="single" w:sz="8" w:color="auto"/>
              <w:right w:val="single" w:sz="8" w:color="auto"/>
            </w:tcBorders>
            <w:vMerge w:val="restart"/>
          </w:tcPr>
          <w:p>
            <w:pPr>
              <w:ind w:left="40"/>
              <w:spacing w:after="0" w:line="170" w:lineRule="exact"/>
              <w:rPr>
                <w:sz w:val="20"/>
                <w:szCs w:val="20"/>
                <w:color w:val="auto"/>
              </w:rPr>
            </w:pPr>
            <w:r>
              <w:rPr>
                <w:rFonts w:ascii="Times New Roman" w:cs="Times New Roman" w:eastAsia="Times New Roman" w:hAnsi="Times New Roman"/>
                <w:sz w:val="17"/>
                <w:szCs w:val="17"/>
                <w:color w:val="auto"/>
              </w:rPr>
              <w:t>and Chief Marketing,</w:t>
            </w:r>
          </w:p>
        </w:tc>
        <w:tc>
          <w:tcPr>
            <w:tcW w:w="580" w:type="dxa"/>
            <w:vAlign w:val="bottom"/>
            <w:tcBorders>
              <w:right w:val="single" w:sz="8" w:color="auto"/>
            </w:tcBorders>
          </w:tcPr>
          <w:p>
            <w:pPr>
              <w:spacing w:after="0"/>
              <w:rPr>
                <w:sz w:val="7"/>
                <w:szCs w:val="7"/>
                <w:color w:val="auto"/>
              </w:rPr>
            </w:pPr>
          </w:p>
        </w:tc>
        <w:tc>
          <w:tcPr>
            <w:tcW w:w="88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880" w:type="dxa"/>
            <w:vAlign w:val="bottom"/>
            <w:tcBorders>
              <w:left w:val="single" w:sz="8" w:color="auto"/>
              <w:right w:val="single" w:sz="8" w:color="auto"/>
            </w:tcBorders>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January 1999 and has held a number of positions of increasing responsibility during his tenure.</w:t>
            </w:r>
          </w:p>
        </w:tc>
        <w:tc>
          <w:tcPr>
            <w:tcW w:w="0" w:type="dxa"/>
            <w:vAlign w:val="bottom"/>
          </w:tcPr>
          <w:p>
            <w:pPr>
              <w:spacing w:after="0"/>
              <w:rPr>
                <w:sz w:val="1"/>
                <w:szCs w:val="1"/>
                <w:color w:val="auto"/>
              </w:rPr>
            </w:pPr>
          </w:p>
        </w:tc>
      </w:tr>
      <w:tr>
        <w:trPr>
          <w:trHeight w:val="142"/>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Sales and Service Officer</w:t>
            </w:r>
          </w:p>
        </w:tc>
        <w:tc>
          <w:tcPr>
            <w:tcW w:w="580" w:type="dxa"/>
            <w:vAlign w:val="bottom"/>
            <w:tcBorders>
              <w:right w:val="single" w:sz="8" w:color="auto"/>
            </w:tcBorders>
          </w:tcPr>
          <w:p>
            <w:pPr>
              <w:spacing w:after="0"/>
              <w:rPr>
                <w:sz w:val="12"/>
                <w:szCs w:val="12"/>
                <w:color w:val="auto"/>
              </w:rPr>
            </w:pPr>
          </w:p>
        </w:tc>
        <w:tc>
          <w:tcPr>
            <w:tcW w:w="8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8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8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60"/>
          </w:cols>
          <w:pgMar w:left="320" w:top="1220" w:right="31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30"/>
        </w:trPr>
        <w:tc>
          <w:tcPr>
            <w:tcW w:w="1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Name and Title</w:t>
            </w:r>
          </w:p>
        </w:tc>
        <w:tc>
          <w:tcPr>
            <w:tcW w:w="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Age</w:t>
            </w:r>
          </w:p>
        </w:tc>
        <w:tc>
          <w:tcPr>
            <w:tcW w:w="8800" w:type="dxa"/>
            <w:vAlign w:val="bottom"/>
            <w:tcBorders>
              <w:top w:val="single" w:sz="8" w:color="auto"/>
              <w:bottom w:val="single" w:sz="8" w:color="auto"/>
              <w:right w:val="single" w:sz="8" w:color="auto"/>
            </w:tcBorders>
          </w:tcPr>
          <w:p>
            <w:pPr>
              <w:ind w:left="3640"/>
              <w:spacing w:after="0"/>
              <w:rPr>
                <w:sz w:val="20"/>
                <w:szCs w:val="20"/>
                <w:color w:val="auto"/>
              </w:rPr>
            </w:pPr>
            <w:r>
              <w:rPr>
                <w:rFonts w:ascii="Times New Roman" w:cs="Times New Roman" w:eastAsia="Times New Roman" w:hAnsi="Times New Roman"/>
                <w:sz w:val="17"/>
                <w:szCs w:val="17"/>
                <w:b w:val="1"/>
                <w:bCs w:val="1"/>
                <w:color w:val="auto"/>
              </w:rPr>
              <w:t>Business Experience</w:t>
            </w: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Lori M. Gustafson has served as our Executive Vice President and Chief Membership and Commercial Services Officer since</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Lori M. Gustafson</w:t>
            </w:r>
          </w:p>
        </w:tc>
        <w:tc>
          <w:tcPr>
            <w:tcW w:w="580" w:type="dxa"/>
            <w:vAlign w:val="bottom"/>
            <w:tcBorders>
              <w:right w:val="single" w:sz="8" w:color="auto"/>
            </w:tcBorders>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2024. Ms. Gustafson joined the Company in November 2020 and served as our Executive Vice President and Chief</w:t>
            </w:r>
          </w:p>
        </w:tc>
        <w:tc>
          <w:tcPr>
            <w:tcW w:w="0" w:type="dxa"/>
            <w:vAlign w:val="bottom"/>
          </w:tcPr>
          <w:p>
            <w:pPr>
              <w:spacing w:after="0"/>
              <w:rPr>
                <w:sz w:val="1"/>
                <w:szCs w:val="1"/>
                <w:color w:val="auto"/>
              </w:rPr>
            </w:pPr>
          </w:p>
        </w:tc>
      </w:tr>
      <w:tr>
        <w:trPr>
          <w:trHeight w:val="81"/>
        </w:trPr>
        <w:tc>
          <w:tcPr>
            <w:tcW w:w="188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580" w:type="dxa"/>
            <w:vAlign w:val="bottom"/>
            <w:tcBorders>
              <w:right w:val="single" w:sz="8" w:color="auto"/>
            </w:tcBorders>
            <w:shd w:val="clear" w:color="auto" w:fill="CCEEFF"/>
          </w:tcPr>
          <w:p>
            <w:pPr>
              <w:spacing w:after="0"/>
              <w:rPr>
                <w:sz w:val="7"/>
                <w:szCs w:val="7"/>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Brand and Digital Officer from November 2020 to December 2023. Prior to joining the Company, she held positions of</w:t>
            </w:r>
          </w:p>
        </w:tc>
        <w:tc>
          <w:tcPr>
            <w:tcW w:w="0" w:type="dxa"/>
            <w:vAlign w:val="bottom"/>
          </w:tcPr>
          <w:p>
            <w:pPr>
              <w:spacing w:after="0"/>
              <w:rPr>
                <w:sz w:val="1"/>
                <w:szCs w:val="1"/>
                <w:color w:val="auto"/>
              </w:rPr>
            </w:pPr>
          </w:p>
        </w:tc>
      </w:tr>
      <w:tr>
        <w:trPr>
          <w:trHeight w:val="123"/>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80" w:type="dxa"/>
            <w:vAlign w:val="bottom"/>
            <w:tcBorders>
              <w:right w:val="single" w:sz="8" w:color="auto"/>
            </w:tcBorders>
            <w:shd w:val="clear" w:color="auto" w:fill="CCEEFF"/>
          </w:tcPr>
          <w:p>
            <w:pPr>
              <w:spacing w:after="0"/>
              <w:rPr>
                <w:sz w:val="10"/>
                <w:szCs w:val="10"/>
                <w:color w:val="auto"/>
              </w:rPr>
            </w:pPr>
          </w:p>
        </w:tc>
        <w:tc>
          <w:tcPr>
            <w:tcW w:w="880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88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5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increasing responsibility at Wyndham Destinations, the vacation ownership business segment of Travel + Leisure Co. from</w:t>
            </w:r>
          </w:p>
        </w:tc>
        <w:tc>
          <w:tcPr>
            <w:tcW w:w="0" w:type="dxa"/>
            <w:vAlign w:val="bottom"/>
          </w:tcPr>
          <w:p>
            <w:pPr>
              <w:spacing w:after="0"/>
              <w:rPr>
                <w:sz w:val="1"/>
                <w:szCs w:val="1"/>
                <w:color w:val="auto"/>
              </w:rPr>
            </w:pPr>
          </w:p>
        </w:tc>
      </w:tr>
      <w:tr>
        <w:trPr>
          <w:trHeight w:val="102"/>
        </w:trPr>
        <w:tc>
          <w:tcPr>
            <w:tcW w:w="1880" w:type="dxa"/>
            <w:vAlign w:val="bottom"/>
            <w:tcBorders>
              <w:left w:val="single" w:sz="8" w:color="auto"/>
              <w:right w:val="single" w:sz="8" w:color="auto"/>
            </w:tcBorders>
            <w:vMerge w:val="restart"/>
            <w:shd w:val="clear" w:color="auto" w:fill="CCEEFF"/>
          </w:tcPr>
          <w:p>
            <w:pPr>
              <w:ind w:left="40"/>
              <w:spacing w:after="0" w:line="170" w:lineRule="exact"/>
              <w:rPr>
                <w:sz w:val="20"/>
                <w:szCs w:val="20"/>
                <w:color w:val="auto"/>
              </w:rPr>
            </w:pPr>
            <w:r>
              <w:rPr>
                <w:rFonts w:ascii="Times New Roman" w:cs="Times New Roman" w:eastAsia="Times New Roman" w:hAnsi="Times New Roman"/>
                <w:sz w:val="17"/>
                <w:szCs w:val="17"/>
                <w:color w:val="auto"/>
              </w:rPr>
              <w:t>and Chief Membership</w:t>
            </w:r>
          </w:p>
        </w:tc>
        <w:tc>
          <w:tcPr>
            <w:tcW w:w="580" w:type="dxa"/>
            <w:vAlign w:val="bottom"/>
            <w:tcBorders>
              <w:right w:val="single" w:sz="8" w:color="auto"/>
            </w:tcBorders>
            <w:vMerge w:val="continue"/>
            <w:shd w:val="clear" w:color="auto" w:fill="CCEEFF"/>
          </w:tcPr>
          <w:p>
            <w:pPr>
              <w:spacing w:after="0"/>
              <w:rPr>
                <w:sz w:val="8"/>
                <w:szCs w:val="8"/>
                <w:color w:val="auto"/>
              </w:rPr>
            </w:pPr>
          </w:p>
        </w:tc>
        <w:tc>
          <w:tcPr>
            <w:tcW w:w="88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580" w:type="dxa"/>
            <w:vAlign w:val="bottom"/>
            <w:tcBorders>
              <w:right w:val="single" w:sz="8" w:color="auto"/>
            </w:tcBorders>
            <w:shd w:val="clear" w:color="auto" w:fill="CCEEFF"/>
          </w:tcPr>
          <w:p>
            <w:pPr>
              <w:spacing w:after="0"/>
              <w:rPr>
                <w:sz w:val="5"/>
                <w:szCs w:val="5"/>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2018 to November 2020, including as Senior Vice President, Global Brands &amp; Digital from May 2019 to November</w:t>
            </w:r>
          </w:p>
        </w:tc>
        <w:tc>
          <w:tcPr>
            <w:tcW w:w="0" w:type="dxa"/>
            <w:vAlign w:val="bottom"/>
          </w:tcPr>
          <w:p>
            <w:pPr>
              <w:spacing w:after="0"/>
              <w:rPr>
                <w:sz w:val="1"/>
                <w:szCs w:val="1"/>
                <w:color w:val="auto"/>
              </w:rPr>
            </w:pPr>
          </w:p>
        </w:tc>
      </w:tr>
      <w:tr>
        <w:trPr>
          <w:trHeight w:val="137"/>
        </w:trPr>
        <w:tc>
          <w:tcPr>
            <w:tcW w:w="1880" w:type="dxa"/>
            <w:vAlign w:val="bottom"/>
            <w:tcBorders>
              <w:left w:val="single" w:sz="8" w:color="auto"/>
              <w:right w:val="single" w:sz="8" w:color="auto"/>
            </w:tcBorders>
            <w:vMerge w:val="restart"/>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and Commercial Services</w:t>
            </w:r>
          </w:p>
        </w:tc>
        <w:tc>
          <w:tcPr>
            <w:tcW w:w="580" w:type="dxa"/>
            <w:vAlign w:val="bottom"/>
            <w:tcBorders>
              <w:right w:val="single" w:sz="8" w:color="auto"/>
            </w:tcBorders>
            <w:shd w:val="clear" w:color="auto" w:fill="CCEEFF"/>
          </w:tcPr>
          <w:p>
            <w:pPr>
              <w:spacing w:after="0"/>
              <w:rPr>
                <w:sz w:val="11"/>
                <w:szCs w:val="11"/>
                <w:color w:val="auto"/>
              </w:rPr>
            </w:pPr>
          </w:p>
        </w:tc>
        <w:tc>
          <w:tcPr>
            <w:tcW w:w="880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right w:val="single" w:sz="8" w:color="auto"/>
            </w:tcBorders>
            <w:vMerge w:val="continue"/>
            <w:shd w:val="clear" w:color="auto" w:fill="CCEEFF"/>
          </w:tcPr>
          <w:p>
            <w:pPr>
              <w:spacing w:after="0"/>
              <w:rPr>
                <w:sz w:val="2"/>
                <w:szCs w:val="2"/>
                <w:color w:val="auto"/>
              </w:rPr>
            </w:pPr>
          </w:p>
        </w:tc>
        <w:tc>
          <w:tcPr>
            <w:tcW w:w="580" w:type="dxa"/>
            <w:vAlign w:val="bottom"/>
            <w:tcBorders>
              <w:right w:val="single" w:sz="8" w:color="auto"/>
            </w:tcBorders>
            <w:shd w:val="clear" w:color="auto" w:fill="CCEEFF"/>
          </w:tcPr>
          <w:p>
            <w:pPr>
              <w:spacing w:after="0"/>
              <w:rPr>
                <w:sz w:val="2"/>
                <w:szCs w:val="2"/>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 Prior to that, she held progressive leadership positions at SeaWorld Parks &amp; Entertainment, Inc. in brand and digital</w:t>
            </w:r>
          </w:p>
        </w:tc>
        <w:tc>
          <w:tcPr>
            <w:tcW w:w="0" w:type="dxa"/>
            <w:vAlign w:val="bottom"/>
          </w:tcPr>
          <w:p>
            <w:pPr>
              <w:spacing w:after="0" w:line="20" w:lineRule="exact"/>
              <w:rPr>
                <w:sz w:val="1"/>
                <w:szCs w:val="1"/>
                <w:color w:val="auto"/>
              </w:rPr>
            </w:pPr>
          </w:p>
        </w:tc>
      </w:tr>
      <w:tr>
        <w:trPr>
          <w:trHeight w:val="175"/>
        </w:trPr>
        <w:tc>
          <w:tcPr>
            <w:tcW w:w="1880" w:type="dxa"/>
            <w:vAlign w:val="bottom"/>
            <w:tcBorders>
              <w:left w:val="single" w:sz="8" w:color="auto"/>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7"/>
                <w:szCs w:val="17"/>
                <w:color w:val="auto"/>
              </w:rPr>
              <w:t>Officer</w:t>
            </w:r>
          </w:p>
        </w:tc>
        <w:tc>
          <w:tcPr>
            <w:tcW w:w="580" w:type="dxa"/>
            <w:vAlign w:val="bottom"/>
            <w:tcBorders>
              <w:right w:val="single" w:sz="8" w:color="auto"/>
            </w:tcBorders>
            <w:shd w:val="clear" w:color="auto" w:fill="CCEEFF"/>
          </w:tcPr>
          <w:p>
            <w:pPr>
              <w:spacing w:after="0"/>
              <w:rPr>
                <w:sz w:val="15"/>
                <w:szCs w:val="15"/>
                <w:color w:val="auto"/>
              </w:rPr>
            </w:pPr>
          </w:p>
        </w:tc>
        <w:tc>
          <w:tcPr>
            <w:tcW w:w="880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88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580" w:type="dxa"/>
            <w:vAlign w:val="bottom"/>
            <w:tcBorders>
              <w:bottom w:val="single" w:sz="8" w:color="CCEEFF"/>
              <w:right w:val="single" w:sz="8" w:color="auto"/>
            </w:tcBorders>
            <w:shd w:val="clear" w:color="auto" w:fill="CCEEFF"/>
          </w:tcPr>
          <w:p>
            <w:pPr>
              <w:spacing w:after="0"/>
              <w:rPr>
                <w:sz w:val="21"/>
                <w:szCs w:val="21"/>
                <w:color w:val="auto"/>
              </w:rPr>
            </w:pPr>
          </w:p>
        </w:tc>
        <w:tc>
          <w:tcPr>
            <w:tcW w:w="880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 and eCommerce from September 2011 to January 2018.</w:t>
            </w:r>
          </w:p>
        </w:tc>
        <w:tc>
          <w:tcPr>
            <w:tcW w:w="0" w:type="dxa"/>
            <w:vAlign w:val="bottom"/>
          </w:tcPr>
          <w:p>
            <w:pPr>
              <w:spacing w:after="0"/>
              <w:rPr>
                <w:sz w:val="1"/>
                <w:szCs w:val="1"/>
                <w:color w:val="auto"/>
              </w:rPr>
            </w:pPr>
          </w:p>
        </w:tc>
      </w:tr>
      <w:tr>
        <w:trPr>
          <w:trHeight w:val="309"/>
        </w:trPr>
        <w:tc>
          <w:tcPr>
            <w:tcW w:w="18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James H Hunter, IV</w:t>
            </w:r>
          </w:p>
        </w:tc>
        <w:tc>
          <w:tcPr>
            <w:tcW w:w="580" w:type="dxa"/>
            <w:vAlign w:val="bottom"/>
            <w:tcBorders>
              <w:top w:val="single" w:sz="8" w:color="auto"/>
              <w:right w:val="single" w:sz="8" w:color="auto"/>
            </w:tcBorders>
          </w:tcPr>
          <w:p>
            <w:pPr>
              <w:spacing w:after="0"/>
              <w:rPr>
                <w:sz w:val="24"/>
                <w:szCs w:val="24"/>
                <w:color w:val="auto"/>
              </w:rPr>
            </w:pPr>
          </w:p>
        </w:tc>
        <w:tc>
          <w:tcPr>
            <w:tcW w:w="8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James H Hunter, IV has served as our Executive Vice President and General Counsel and as our Corporate Secretary since</w:t>
            </w: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November 2011. Prior to that time, he had served as our Senior Vice President and General Counsel since 2006. Mr. Hunter</w:t>
            </w:r>
          </w:p>
        </w:tc>
        <w:tc>
          <w:tcPr>
            <w:tcW w:w="0" w:type="dxa"/>
            <w:vAlign w:val="bottom"/>
          </w:tcPr>
          <w:p>
            <w:pPr>
              <w:spacing w:after="0"/>
              <w:rPr>
                <w:sz w:val="1"/>
                <w:szCs w:val="1"/>
                <w:color w:val="auto"/>
              </w:rPr>
            </w:pPr>
          </w:p>
        </w:tc>
      </w:tr>
      <w:tr>
        <w:trPr>
          <w:trHeight w:val="231"/>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and General Counsel</w:t>
            </w:r>
          </w:p>
        </w:tc>
        <w:tc>
          <w:tcPr>
            <w:tcW w:w="580" w:type="dxa"/>
            <w:vAlign w:val="bottom"/>
            <w:tcBorders>
              <w:right w:val="single" w:sz="8" w:color="auto"/>
            </w:tcBorders>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joined Marriott International in 1994.</w:t>
            </w:r>
          </w:p>
        </w:tc>
        <w:tc>
          <w:tcPr>
            <w:tcW w:w="0" w:type="dxa"/>
            <w:vAlign w:val="bottom"/>
          </w:tcPr>
          <w:p>
            <w:pPr>
              <w:spacing w:after="0"/>
              <w:rPr>
                <w:sz w:val="1"/>
                <w:szCs w:val="1"/>
                <w:color w:val="auto"/>
              </w:rPr>
            </w:pPr>
          </w:p>
        </w:tc>
      </w:tr>
      <w:tr>
        <w:trPr>
          <w:trHeight w:val="101"/>
        </w:trPr>
        <w:tc>
          <w:tcPr>
            <w:tcW w:w="188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8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Michael E. Yonker</w:t>
            </w:r>
          </w:p>
        </w:tc>
        <w:tc>
          <w:tcPr>
            <w:tcW w:w="580" w:type="dxa"/>
            <w:vAlign w:val="bottom"/>
            <w:tcBorders>
              <w:right w:val="single" w:sz="8" w:color="auto"/>
            </w:tcBorders>
            <w:shd w:val="clear" w:color="auto" w:fill="CCEEFF"/>
          </w:tcPr>
          <w:p>
            <w:pPr>
              <w:spacing w:after="0"/>
              <w:rPr>
                <w:sz w:val="20"/>
                <w:szCs w:val="20"/>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E. Yonker has served as our Executive Vice President and Chief Human Resources and Global Communications</w:t>
            </w:r>
          </w:p>
        </w:tc>
        <w:tc>
          <w:tcPr>
            <w:tcW w:w="0" w:type="dxa"/>
            <w:vAlign w:val="bottom"/>
          </w:tcPr>
          <w:p>
            <w:pPr>
              <w:spacing w:after="0"/>
              <w:rPr>
                <w:sz w:val="1"/>
                <w:szCs w:val="1"/>
                <w:color w:val="auto"/>
              </w:rPr>
            </w:pPr>
          </w:p>
        </w:tc>
      </w:tr>
      <w:tr>
        <w:trPr>
          <w:trHeight w:val="72"/>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80" w:type="dxa"/>
            <w:vAlign w:val="bottom"/>
            <w:tcBorders>
              <w:right w:val="single" w:sz="8" w:color="auto"/>
            </w:tcBorders>
            <w:shd w:val="clear" w:color="auto" w:fill="CCEEFF"/>
          </w:tcPr>
          <w:p>
            <w:pPr>
              <w:spacing w:after="0"/>
              <w:rPr>
                <w:sz w:val="6"/>
                <w:szCs w:val="6"/>
                <w:color w:val="auto"/>
              </w:rPr>
            </w:pPr>
          </w:p>
        </w:tc>
        <w:tc>
          <w:tcPr>
            <w:tcW w:w="880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880" w:type="dxa"/>
            <w:vAlign w:val="bottom"/>
            <w:tcBorders>
              <w:left w:val="single" w:sz="8" w:color="auto"/>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8800" w:type="dxa"/>
            <w:vAlign w:val="bottom"/>
            <w:tcBorders>
              <w:right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Officer since January 2024. Mr. Yonker has served as our Executive Vice President and Chief Human Resources Officer from</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and Chief Human</w:t>
            </w:r>
          </w:p>
        </w:tc>
        <w:tc>
          <w:tcPr>
            <w:tcW w:w="580" w:type="dxa"/>
            <w:vAlign w:val="bottom"/>
            <w:tcBorders>
              <w:right w:val="single" w:sz="8" w:color="auto"/>
            </w:tcBorders>
            <w:vMerge w:val="continue"/>
            <w:shd w:val="clear" w:color="auto" w:fill="CCEEFF"/>
          </w:tcPr>
          <w:p>
            <w:pPr>
              <w:spacing w:after="0"/>
              <w:rPr>
                <w:sz w:val="17"/>
                <w:szCs w:val="17"/>
                <w:color w:val="auto"/>
              </w:rPr>
            </w:pPr>
          </w:p>
        </w:tc>
        <w:tc>
          <w:tcPr>
            <w:tcW w:w="8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2011 to December 2023. Prior to that time, he served as our Chief Human Resources Officer since 2010. Mr. Yonker</w:t>
            </w: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right w:val="single" w:sz="8" w:color="auto"/>
            </w:tcBorders>
            <w:shd w:val="clear" w:color="auto" w:fill="CCEEFF"/>
          </w:tcPr>
          <w:p>
            <w:pPr>
              <w:ind w:left="40"/>
              <w:spacing w:after="0" w:line="115" w:lineRule="exact"/>
              <w:rPr>
                <w:sz w:val="20"/>
                <w:szCs w:val="20"/>
                <w:color w:val="auto"/>
              </w:rPr>
            </w:pPr>
            <w:r>
              <w:rPr>
                <w:rFonts w:ascii="Times New Roman" w:cs="Times New Roman" w:eastAsia="Times New Roman" w:hAnsi="Times New Roman"/>
                <w:sz w:val="13"/>
                <w:szCs w:val="13"/>
                <w:color w:val="auto"/>
              </w:rPr>
              <w:t>Resources and Global</w:t>
            </w:r>
          </w:p>
        </w:tc>
        <w:tc>
          <w:tcPr>
            <w:tcW w:w="580" w:type="dxa"/>
            <w:vAlign w:val="bottom"/>
            <w:tcBorders>
              <w:right w:val="single" w:sz="8" w:color="auto"/>
            </w:tcBorders>
            <w:shd w:val="clear" w:color="auto" w:fill="CCEEFF"/>
          </w:tcPr>
          <w:p>
            <w:pPr>
              <w:spacing w:after="0"/>
              <w:rPr>
                <w:sz w:val="10"/>
                <w:szCs w:val="10"/>
                <w:color w:val="auto"/>
              </w:rPr>
            </w:pPr>
          </w:p>
        </w:tc>
        <w:tc>
          <w:tcPr>
            <w:tcW w:w="88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joined Marriott International in 1983. In January 2026, Mr. Yonker announced his decision to retire on February 28, 2026.</w:t>
            </w:r>
          </w:p>
        </w:tc>
        <w:tc>
          <w:tcPr>
            <w:tcW w:w="0" w:type="dxa"/>
            <w:vAlign w:val="bottom"/>
          </w:tcPr>
          <w:p>
            <w:pPr>
              <w:spacing w:after="0"/>
              <w:rPr>
                <w:sz w:val="1"/>
                <w:szCs w:val="1"/>
                <w:color w:val="auto"/>
              </w:rPr>
            </w:pPr>
          </w:p>
        </w:tc>
      </w:tr>
      <w:tr>
        <w:trPr>
          <w:trHeight w:val="142"/>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Communications Officer</w:t>
            </w:r>
          </w:p>
        </w:tc>
        <w:tc>
          <w:tcPr>
            <w:tcW w:w="580" w:type="dxa"/>
            <w:vAlign w:val="bottom"/>
            <w:tcBorders>
              <w:right w:val="single" w:sz="8" w:color="auto"/>
            </w:tcBorders>
            <w:shd w:val="clear" w:color="auto" w:fill="CCEEFF"/>
          </w:tcPr>
          <w:p>
            <w:pPr>
              <w:spacing w:after="0"/>
              <w:rPr>
                <w:sz w:val="12"/>
                <w:szCs w:val="12"/>
                <w:color w:val="auto"/>
              </w:rPr>
            </w:pPr>
          </w:p>
        </w:tc>
        <w:tc>
          <w:tcPr>
            <w:tcW w:w="880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880" w:type="dxa"/>
            <w:vAlign w:val="bottom"/>
            <w:tcBorders>
              <w:left w:val="single" w:sz="8" w:color="auto"/>
              <w:bottom w:val="single" w:sz="8" w:color="CCEEFF"/>
              <w:right w:val="single" w:sz="8" w:color="auto"/>
            </w:tcBorders>
            <w:vMerge w:val="continue"/>
            <w:shd w:val="clear" w:color="auto" w:fill="CCEEFF"/>
          </w:tcPr>
          <w:p>
            <w:pPr>
              <w:spacing w:after="0"/>
              <w:rPr>
                <w:sz w:val="9"/>
                <w:szCs w:val="9"/>
                <w:color w:val="auto"/>
              </w:rPr>
            </w:pPr>
          </w:p>
        </w:tc>
        <w:tc>
          <w:tcPr>
            <w:tcW w:w="580" w:type="dxa"/>
            <w:vAlign w:val="bottom"/>
            <w:tcBorders>
              <w:bottom w:val="single" w:sz="8" w:color="CCEEFF"/>
              <w:right w:val="single" w:sz="8" w:color="auto"/>
            </w:tcBorders>
            <w:shd w:val="clear" w:color="auto" w:fill="CCEEFF"/>
          </w:tcPr>
          <w:p>
            <w:pPr>
              <w:spacing w:after="0"/>
              <w:rPr>
                <w:sz w:val="9"/>
                <w:szCs w:val="9"/>
                <w:color w:val="auto"/>
              </w:rPr>
            </w:pPr>
          </w:p>
        </w:tc>
        <w:tc>
          <w:tcPr>
            <w:tcW w:w="8800" w:type="dxa"/>
            <w:vAlign w:val="bottom"/>
            <w:tcBorders>
              <w:bottom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1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and/or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adversely affected by factors that disrupt or deter travel.</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Our success and results of operations depend, in substantial part, upon the health of the worldwide vacation ownership and leisure travel industries, and may be adversely affected by a number of factors that can disrupt or deter travel. A substantial amount of our sales activity occurs at our resorts, and sales volume is affected by the number of visitors at our resorts. Fear of exposure to contagious illnesses, natural or man-made disasters, the physical effects of climate change, such as more frequent or severe storms, droughts, hurricanes, wildfires, erosion and flooding, weakened consumer confidence, limited availability or increased costs of consumer credit, damage to infrastructure caused by natural or man-made disasters, changes in government policies affecting travel such as modifications to visa processing, entry requirements, border controls, or other travel-related regulations or policies or other changes that impact travelers’ interest in traveling to locations in which our resorts are located, and other causes that impede travel have caused, and may in the future cause, travelers to delay or cancel plans to tour or visit our resorts. For example, hurricanes and wildfires have caused a number of Interval International exchange network resorts and our managed vacation ownership resorts to close for prolonged periods. The 2023 wildfires in Maui also resulted in the temporary closure of our resorts and sales centers in Maui, which had an adverse effect on our business and results of operations for 2023 and 2024. At times, beach access at certain of our resorts and our managed resorts has been impeded by weather conditions or due to the effects of erosion. Actual or threatened war, civil unrest and terrorist activity, as well as heightened travel security measures, could also interrupt or deter travel plans. In addition, demand for our products and services may decrease if the cost of travel, including the cost of transportation and fuel, increases, airlift to vacation destinations decreases, airline or airport disruptions, flight cancellations or unreliability of various modes of transportation increases, or if general economic conditions decline.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60"/>
          </w:cols>
          <w:pgMar w:left="320" w:top="1220" w:right="319" w:bottom="1440" w:gutter="0" w:footer="0" w:header="0"/>
        </w:sectPr>
      </w:pPr>
    </w:p>
    <w:bookmarkStart w:id="25" w:name="page26"/>
    <w:bookmarkEnd w:id="25"/>
    <w:p>
      <w:pPr>
        <w:ind w:right="80"/>
        <w:spacing w:after="0" w:line="262" w:lineRule="auto"/>
        <w:rPr>
          <w:sz w:val="20"/>
          <w:szCs w:val="20"/>
          <w:color w:val="auto"/>
        </w:rPr>
      </w:pPr>
      <w:r>
        <w:rPr>
          <w:rFonts w:ascii="Times New Roman" w:cs="Times New Roman" w:eastAsia="Times New Roman" w:hAnsi="Times New Roman"/>
          <w:sz w:val="17"/>
          <w:szCs w:val="17"/>
          <w:color w:val="auto"/>
        </w:rPr>
        <w:t>Our ability to process exchanges for members and to find purchasers and renters for accommodations we market or manage, as well as the need for the vacation rental and property management services we provide, largely depends on the continued desirability of the key vacation destinations in which our branded, managed or exchange properties are concentrated. Changes in the desirability of the destinations where these resorts are located and changes in vacation and travel patterns may adversely affect our cash flows and results of operations.</w:t>
      </w:r>
    </w:p>
    <w:p>
      <w:pPr>
        <w:spacing w:after="0" w:line="61"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Uncertainty in the current global macroeconomic environment created by rapid governmental policy and regulatory changes could negatively impact our business.</w:t>
      </w:r>
    </w:p>
    <w:p>
      <w:pPr>
        <w:spacing w:after="0" w:line="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business operations and financial performance are significantly influenced by governmental policies, the regulatory environment and consumers' willingness to travel to our resorts. Rapid changes to governmental policies worldwide and, evolving governmental regulations regarding international trade and other matters have introduced substantial uncertainty and volatility into the financial markets which can negatively impact consumer sentiment. These changes could negatively impact our supply chain, cost structure, market access and consumers' willingness to travel to our resorts and purchase our products and services. Additionally, recent and future policy and regulatory changes could disrupt our strategic planning and investments, require us to increase maintenance fees and negatively impact owners’ ability to pay such fees, decrease consumers' disposable income and impact our ability to originate, and the borrowers’ repayment of, vacation ownership notes receivable, among other consequences. These factors may also adversely impair our ability to execute strategies to mitigate negative impacts of the current environment.</w:t>
      </w:r>
    </w:p>
    <w:p>
      <w:pPr>
        <w:spacing w:after="0" w:line="7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color w:val="auto"/>
        </w:rPr>
        <w:t>The unpredictable nature of the current global macroeconomic environment makes it challenging to anticipate and address possible material risks. This uncertainty and its effects could have a material adverse effect on our financial condition, results of operations and cash flows.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inflation, higher interest rates or deflation could adversely affect our business and financial results.</w:t>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Inflation can and has adversely affected us by increasing the costs of carrying unsold inventory, development and other corporate capital expenditures, materials and labor, service contracts, insurance, technology and related hardware or equipment, and interest rates. All of these factors can and at times have decreased the affordability of our products and services. In a high inflationary environment, we may be unable to raise the price of our products and services in a proportional manner, which at times has reduced and in the future could reduce, our operating margins and negatively impact our results or operations. In addition, increases in the cost of capital, labor and materials have had, and in the future could have an adverse impact on our business or financial results. Inflation has had and in the future could have an indirect adverse impact on our business by making travel more expensive, increasing maintenance costs and fees for consumers, and reducing consumer discretionary income and negatively impacting the performance of our vacation ownership notes receivable portfolio.</w:t>
      </w:r>
    </w:p>
    <w:p>
      <w:pPr>
        <w:spacing w:after="0" w:line="7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Alternatively, deflation could cause an overall decrease in spending and borrowing capacity, which could lead to a deterioration of economic conditions and employment levels. Deflation could also cause the value of our products and services to decline. These, or other factors that increase the risk of significant deflation, could have a negative impact on our business or financial results.</w:t>
      </w:r>
    </w:p>
    <w:p>
      <w:pPr>
        <w:spacing w:after="0" w:line="64"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7"/>
          <w:szCs w:val="17"/>
          <w:color w:val="auto"/>
        </w:rPr>
        <w:t>We finance more than half of our VOI sales. While we adjust interest rates on our financing programs from time to time, such changes are typically not made in lockstep with the timing and magnitude of changes in broader market rates. Increasing our financing rates could negatively impact VOI sales and financing propensity. However, if we are unable to increase our financing rates at the same rate as our costs of funds, our financing profits and margin will be negatively impacted, as happened in 2023 and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can be adversely affected by labor shortages, turnover and labor cost increases.</w:t>
      </w:r>
    </w:p>
    <w:p>
      <w:pPr>
        <w:spacing w:after="0" w:line="11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A number of factors may adversely affect the labor force available or increase labor costs from time to time, such as high employment levels, increasing minimum wage rates, federal unemployment subsidies, including unemployment benefits offered in response to a Health Crisis, and other government actions. In 2021, we observed an overall tightening and increasingly competitive labor market. As a result, we had to temporarily close outlets (e.g., food and beverage) or reduce services (e.g., housekeeping performed fewer cleanings throughout the week), and we may have to take these or similar steps in the future. Any such changes may harm our revenues, cash flows, profitability or customer satisfaction. We have also incurred, and may incur in the future, additional costs for overtime wages, increased wages, enhanced referral bonuses, increased use of sign on bonuses, and increased marketing for open positions. A sustained labor shortage or increased turnover rates within our employee base, whether due to a Health Crisis or as a result of general macroeconomic factors, could lead to increased costs, such as increased overtime to meet demand and increased wage rates to attract and retain employees, and could negatively affect our ability to efficiently operate our business. If we are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6" w:name="page27"/>
    <w:bookmarkEnd w:id="26"/>
    <w:p>
      <w:pPr>
        <w:ind w:right="160"/>
        <w:spacing w:after="0" w:line="283" w:lineRule="auto"/>
        <w:rPr>
          <w:sz w:val="20"/>
          <w:szCs w:val="20"/>
          <w:color w:val="auto"/>
        </w:rPr>
      </w:pPr>
      <w:r>
        <w:rPr>
          <w:rFonts w:ascii="Times New Roman" w:cs="Times New Roman" w:eastAsia="Times New Roman" w:hAnsi="Times New Roman"/>
          <w:sz w:val="17"/>
          <w:szCs w:val="17"/>
          <w:color w:val="auto"/>
        </w:rPr>
        <w:t>unable to hire and retain employees capable of performing at a high level, our business, including our cash flows, results of operations, owner, guest and associate satisfaction and reputation, could be adversely affected.</w:t>
      </w:r>
    </w:p>
    <w:p>
      <w:pPr>
        <w:spacing w:after="0" w:line="45"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Future global or regional health concerns, outbreaks, and pandemics (each a “Health Crisis”) may have serious adverse effects on our business, financial condition, cash flows, and results of operations for an unknown period of time.</w:t>
      </w:r>
    </w:p>
    <w:p>
      <w:pPr>
        <w:spacing w:after="0" w:line="4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The success of our business and our financial results depend, in substantial part, upon the health of the travel industry. The COVID-19 pandemic significantly disrupted international and U.S. economies and markets and had a material adverse impact on participants in the travel and hospitality industries, including our Company. For example, in 2020 we saw marked declines in resort occupancy, rentals, and contract sales due to temporary closures of nearly all of our sales centers and many of our resorts and the limited operations at all of our resorts. Consumer fears, government restrictions and changes in travel behavior related to future Health Crises could similarly impact our business and financial results.</w:t>
      </w:r>
    </w:p>
    <w:p>
      <w:pPr>
        <w:spacing w:after="0" w:line="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sales volume and rental revenue are materially impacted by the desire and ability of vacationers to travel, because a substantial amount of our sales activity occurs at our resorts. Concerns about travel restrictions, low vaccination rates and exposure to illness, including vaccine-resistant illnesses could cause travelers to cancel or delay plans to visit our resorts, which could adversely affect our cash flows, revenues, and results of operations. Moreover, even after travel advisories and restrictions are lifted, travel demand could be unpredictable and could remain so for a significant period. Adverse changes in the perceived or actual economic climate, including higher unemployment rates, declines in income levels, inflation, recession and loss of personal wealth whether or not resulting from the impact of a future Health Crisis may negatively affect travel demand for a prolonged period.</w:t>
      </w:r>
    </w:p>
    <w:p>
      <w:pPr>
        <w:spacing w:after="0" w:line="7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The onset of the COVID-19 pandemic led to an increase in payment delinquencies and defaults for our vacation ownership notes receivable. The number of delinquencies may increase as the result of a future Health Crisis’s effect on economic conditions and the ability and desire to travel, and could lead to defaults on financing that we provide to purchasers of our products in excess of our estimates. Purchaser defaults may cause us to foreclose on vacation ownership notes receivable and reclaim ownership of the financed interests and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w:t>
      </w:r>
    </w:p>
    <w:p>
      <w:pPr>
        <w:spacing w:after="0" w:line="7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7"/>
          <w:szCs w:val="17"/>
          <w:color w:val="auto"/>
        </w:rPr>
        <w:t>The duration and extent of the impact of a future Health Crisis on our business and financial results will largely depend on future developments, including the duration and spread of the Health Crisis, governmental efforts to contain the Health Crisis, the related impact on consumer confidence and spending, and how quickly economies and demand for our products and services recover after the Health Crisis subsides, all of which are highly uncertain, can rapidly change and cannot be predicted. Such impacts could adversely affect our results of operations, cash flows, and capital resources for a significant period.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extensively regulated, and any failure to comply with applicable laws could materially adversely affect our business.</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are subject to a wide variety of highly complex international, national, federal, state, and local laws, regulations and policies. The vacation ownership industry is subject to extensive regulation around the world. Each jurisdiction where we operate generally requires resort developers to follow a set of specific procedures to develop, market and sell VOIs. Our real estate development activities, marketing and sales activities, lending activities and resort management activities are also heavily regulated. In addition, a myriad of laws, regulations and policies impact multiple areas of our business, such as those regulating the sale and offer of securities, anti-discrimination, anti-fraud, environmental and social matters, data protection, anti-corruption and bribery or implementing government economic sanctions.</w:t>
      </w:r>
    </w:p>
    <w:p>
      <w:pPr>
        <w:spacing w:after="0" w:line="7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Complying with the intricate and multifaceted regulatory structures applicable to our businesses across the globe is complicated, constantly evolving, time-consuming and costly. We may not be able to successfully comply with all laws, regulations and policies. Laws, regulations, policies, and case law precedent may change or be subject to different interpretation in the future, including in ways that could decrease demand for our products and services, increase costs, and subject us to additional liabilities. Failure to comply could have a material adverse effect on our business. For example, we could lose licenses or registrations required to operate our business, sales contracts for our products could be void or voidable, we may incur fines or other sanctions, and our exposure to litigation may increase. Allegations of our failure to comply with applicable laws could adversely affect our business, financial condition, and reputation.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privacy laws could adversely affect our ability to market our products effectively.</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rely on a variety of marketing techniques, including digital marketing (e-mail), telemarketing, postal mailings, websites and social media. Adoption of new laws, or changes in existing laws, in any of the jurisdictions in which we operate regulating marketing and solicitation or data protection could adversely affect the effectiveness of our marketing strategies. For example, in the U.S., California enacted the California Consumer Privacy Act of 2018 (“CCPA”). The CCPA provides California consumers with certain access, deletion and opt-out rights related to their personal information, imposes civil penalties for violations and affords, in certain cases, a private right of action for data breaches. Similar legislation has been proposed or adopted in other states. In addition, foreign data protection, privacy, consumer protection, content regulation and other laws and regulations may be more restrictive or burdensome than those in the United States. For example, the European Union (“E.U.”) General Data Protection Regulation (“GDPR”) imposes significant obligations on businesses that sell products or services to E.U. customers or otherwise control or process personal data of E.U. residents. Complying with the GDPR or other laws and regulations could subject us to increased costs; and our failure to comply with these laws and regulations could result in significant fines, litigation, losses, third-party damages and other liabilities, any of which may have a material adverse effect on our brands, marketing, reputation, business, financial condition and results of operations. The cost of our compliance with privacy laws has increased and may continue to increase as laws change and we expand into new jurisdictions. If we are not able to develop adequate alternative marketing strategies, our sales may be adversely affected. We also obtain access to potential customers from travel service providers and other companies, including our licensors. If our access to these third-party customer lists is prohibited or restricted, our ability to attract new customers could be impaired.</w:t>
      </w:r>
    </w:p>
    <w:p>
      <w:pPr>
        <w:spacing w:after="0" w:line="78"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Failure to maintain the integrity of internal or customer data or to protect our information systems from cyber-attacks could disrupt our business, damage our reputation, and subject us to costs, fines or lawsuits.</w:t>
      </w:r>
    </w:p>
    <w:p>
      <w:pPr>
        <w:spacing w:after="0" w:line="44"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7"/>
          <w:szCs w:val="17"/>
          <w:color w:val="auto"/>
        </w:rPr>
        <w:t>We collect large volumes of data, including social security numbers and other personally identifiable information of our customers and employees, and retain it in our information systems and those of our service providers. It is critical that we maintain the integrity of and protect this data, which we rely on to make business decisions and which our customers and employees expect that we will protect.</w:t>
      </w:r>
    </w:p>
    <w:p>
      <w:pPr>
        <w:spacing w:after="0" w:line="6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7"/>
          <w:szCs w:val="17"/>
          <w:color w:val="auto"/>
        </w:rPr>
        <w:t>We may have to expend significant capital and other resources to enhance the security of our data. Our information systems and records, including those we maintain with our service providers or licensors, may be subject to security breaches, cyber-attack or cyber-intrusion, system failures, viruses, malicious software, operator error or inadvertent releases of data, or other cybersecurity incidents. Data breaches have increased in recent years as the number, intensity and sophistication of attacks increased. Techniques used to obtain unauthorized access, disable or degrade service, or sabotage systems change frequently, may be difficult to detect and could be enhanced by artificial intelligence (“AI”). Neither we nor our service providers may be able to prevent, detect and contain unauthorized activity and misuse or human errors compromising the efficacy of security measures. A breach in the security of our information systems or those of our service providers or licensors could lead to interruptions in the operation of our systems, resulting in operational inefficiencies and a negative impact to our results of operations. A significant cybersecurity incident or theft, loss, disclosure, or fraudulent use of our customer, employee or company data could adversely impact our reputation and result in remedial and other expenses, fines, penalties or litigation, any of which may be exacerbated by a delay or failure to detect a cybersecurity incident or the full extent of such incident.</w:t>
      </w:r>
    </w:p>
    <w:p>
      <w:pPr>
        <w:spacing w:after="0" w:line="8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color w:val="auto"/>
        </w:rPr>
        <w:t>The regulatory environment in the jurisdictions where we operate, and the requirements imposed on us by the payment card industry regarding information, security and privacy, are increasingly demanding. Many of the laws applicable to us in different jurisdictions vary from each other in significant ways and may not have the same effect, thus complicating compliance efforts. Our efforts to comply with these requirements may require significant additional resources and time and may not be successful.</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We and the companies we work with have experienced cybersecurity threats to our data and systems, including ransomware and other forms of malware and computer virus attacks, unauthorized access, systems failures and temporary disruptions. We have experienced cybersecurity incidents in the past, and have previously disclosed those with material operational or financial implications to the Company or our stakeholders. Routinely, we partner with and use third-party service providers and products that host, manage, or control sensitive data. The failure of any such service providers or products to comply with our privacy policies or privacy laws and regulations, or any unauthorized release of personally identifiable information or other user data, could damage our reputation, discourage potential users from trying our products and services, breach certain agreements under which we have obligations with respect to network security, and result in fines and proceedings against us. Our insurance might not be sufficient in type or amount to cover us against such claims or losses. Any of the foregoing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AI technologies may not be successful and may present business, compliance, and reputational risks.</w:t>
      </w:r>
    </w:p>
    <w:p>
      <w:pPr>
        <w:spacing w:after="0" w:line="11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We use, and are expanding our use of, machine learning and AI technologies in our products and processes. If we fail to keep pace with rapidly evolving AI technological developments, our competitive position and business results may be negatively impacted. Our use of AI technologies requires resources to develop, test and maintain such products, which is costly and may be subject to delays. We may not achieve our objectives from these efforts. In addition, third parties may be more successful in the use of AI or create technologies that could require us to change how we currently operate certain of our businesses.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introduction of AI technologies, particularly generative AI, into new or existing offerings may result in new or expanded risks and liabilities due to enhanced governmental scrutiny, litigation, compliance issues, ethical concerns, confidentiality, data privacy or security risks, as well as other factors that could adversely affect our business, reputation, and financial results. If the content, analyses, or recommendations that AI applications assist in producing are, or are alleged to be, deficient, inaccurate, unreliable, misleading, biased, discriminatory or otherwise flawed, any of which may not be easily detectable, our business and reputation may be adversely affected. Use of AI technologies, and the evolving legal, regulatory and compliance framework for AI, could impact our ability to protect our data and intellectual property, as well as vendor and client information, and could expose us to intellectual property or other claims by third parties. Use of AI technologies may also increase risks related to cyberattacks or other security incidents or result in a failure to protect confidential information. Because AI technology is highly complex and rapidly developing, it is not possible to predict all of the legal, operational or technological risks that may arise relating to AI.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operations expose us to risks that could negatively impact our financial results or disrupt our business.</w:t>
      </w:r>
    </w:p>
    <w:p>
      <w:pPr>
        <w:spacing w:after="0" w:line="11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Our international operations expose us to a number of additional risks, any of which could negatively impact our results of operations or disrupt our business, such as: compliance with laws of non-U.S. jurisdictions, including foreign ownership restrictions, import and export controls, data privacy and usage, and trade restrictions, and U.S. laws affecting our activities outside of the U.S.; anti-American sentiment; war, political or civil unrest and terrorism; difficulties of managing operations in many different countries; local economic risks; foreign currency exchange risks; and uncertainty as to the enforceability of contract and intellectual property rights under local laws, which can change or be interpreted in ways that could negatively impact our business.</w:t>
      </w:r>
    </w:p>
    <w:p>
      <w:pPr>
        <w:spacing w:after="0" w:line="65" w:lineRule="exact"/>
        <w:rPr>
          <w:sz w:val="20"/>
          <w:szCs w:val="20"/>
          <w:color w:val="auto"/>
        </w:rPr>
      </w:pPr>
    </w:p>
    <w:p>
      <w:pPr>
        <w:ind w:right="5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Inadequate or failed technologies could lead to interruptions in our operations and materially adversely affect our business, financial position, results of operations or cash flows.</w:t>
      </w:r>
    </w:p>
    <w:p>
      <w:pPr>
        <w:spacing w:after="0" w:line="4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Our operations and competitive position depend on our ability to maintain existing systems and implement new technologies. Our information technology systems and our databases are potentially susceptible to man-made and natural disasters, as well as power losses, computer and telecommunications failures, technological breakdowns, cyber-attacks, acts of war or terrorism and other events. System interruption, delays, obsolescence, loss of critical data and lack of integration and redundancy in our information technology systems and infrastructure may adversely affect our ability to provide services, operate websites, process and fulfill transactions, respond to customer inquiries and generally maintain cost-efficient operations. Our backup systems only relate to certain aspects of our operations; these systems are not fully redundant and disaster recovery planning cannot anticipate and address all eventualities. Projects to upgrade or replace our technologies may be extremely complex and require significant resources and time, and may adversely affect our ability to provide services, operate websites, process and fulfill transactions, and respond to customer inquiries during the upgrade or replacement process. Our insurance coverage may not compensate us for all our losses from a major interruption. If our information technology systems fail to adequately support our strategic, operational or compliance needs, our business, financial position, results of operations or cash flows, as well as our disclosure controls and procedures and internal control over financial reporting, may be adversely affected.</w:t>
      </w:r>
    </w:p>
    <w:p>
      <w:pPr>
        <w:spacing w:after="0" w:line="74"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third-parties do not comply with their contractual obligations to us our financial condition, results of operations, internal controls over financial reporting and stock price could be materially and adversely affected.</w:t>
      </w:r>
    </w:p>
    <w:p>
      <w:pPr>
        <w:spacing w:after="0" w:line="4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rely on various third parties, including suppliers, service providers, and business partners, to fulfill contractual obligations that are critical to our operations. For example, we have outsourced certain corporate functions, including a significant portion of our global technology, finance and accounting, and human resources functions to third-party service providers and shared service centers. While these actions are intended to streamline operations and improve scalability, at times they have resulted in disruptions, increased transition costs, delays in service delivery and disputes with vendors and we may experience similar or more severe issues in the future. Additionally, such initiatives may lead to the loss of institutional knowledge, reduced employee morale, or increased attrition, including among key personnel. We may increase our reliance on third-party providers to deliver critical services and any failure by these providers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0" w:right="359" w:bottom="1440" w:gutter="0" w:footer="0" w:header="0"/>
        </w:sectPr>
      </w:pPr>
    </w:p>
    <w:bookmarkStart w:id="29" w:name="page30"/>
    <w:bookmarkEnd w:id="29"/>
    <w:p>
      <w:pPr>
        <w:spacing w:after="0" w:line="262" w:lineRule="auto"/>
        <w:rPr>
          <w:sz w:val="20"/>
          <w:szCs w:val="20"/>
          <w:color w:val="auto"/>
        </w:rPr>
      </w:pPr>
      <w:r>
        <w:rPr>
          <w:rFonts w:ascii="Times New Roman" w:cs="Times New Roman" w:eastAsia="Times New Roman" w:hAnsi="Times New Roman"/>
          <w:sz w:val="17"/>
          <w:szCs w:val="17"/>
          <w:color w:val="auto"/>
        </w:rPr>
        <w:t>perform their contractual obligations, or any disruption in our ability to manage or transition these services effectively, could adversely affect our internal controls, compliance functions, or overall business operations. Furthermore, these initiatives may expose us to additional risks, including data security vulnerabilities, regulatory compliance challenges across jurisdictions and reputational harm. If we are unable to successfully execute and manage these third-party relationships, our financial condition, results of operations, internal controls over financial reporting and stock price could be materially and adversely affected.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industries in which our businesses operate are competitive, which may impact our ability to compete successfully.</w:t>
      </w:r>
    </w:p>
    <w:p>
      <w:pPr>
        <w:spacing w:after="0" w:line="11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7"/>
          <w:szCs w:val="17"/>
          <w:color w:val="auto"/>
        </w:rPr>
        <w:t>Our businesses will be adversely impacted if they cannot compete effectively in their respective industries, each of which is highly competitive. A number of highly competitive companies participate in the vacation ownership industry. Our brands compete with the vacation ownership brands of major hotel chains in national and international venues, as well as with the vacation rental options (such as hotels, resorts and condominium or apartment rentals) offered by the lodging industry. Our competitors may have greater access to capital resources and broader marketing, sales and distribution capabilities than we do. Competitive pressures may cause us to reduce our fee structure or potentially modify our business models, which could adversely affect our business, financial condition and results of operations.</w:t>
      </w:r>
    </w:p>
    <w:p>
      <w:pPr>
        <w:spacing w:after="0" w:line="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principal exchange network administered by Interval International included more than 3,200 resorts located in over 90 countries and territories as of December 31, 2025. Interval International’s primary competitor, RCI, has a greater number of affiliated resorts than we have. Through the resources of its corporate affiliates, particularly Travel + Leisure Co., which is engaged in vacation ownership sales, RCI may have greater access to a significant segment of new vacation ownership purchasers and a broader platform for participating in industry consolidation. In addition, Interval International competes with developers that create, operate and expand internal exchange and vacation club systems, which decreases their reliance on external vacation ownership exchange programs, including those we offer, and adversely impacts the supply of resort accommodations available through our external exchange network. The effects of such competition on our exchange business are more pronounced as the proportion of vacation club corporate members in the Interval Network increases.</w:t>
      </w:r>
    </w:p>
    <w:p>
      <w:pPr>
        <w:spacing w:after="0" w:line="7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Our businesses also compete for leisure travelers with other leisure lodging operators, including both independent and branded properties, as well as with alternative lodging marketplaces, which operate websites that market furnished, privately-owned residential properties throughout the world which can be rented on a nightly, weekly or monthly basis.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Negative public perception regarding our industry could have an adverse effect on our operations.</w:t>
      </w:r>
    </w:p>
    <w:p>
      <w:pPr>
        <w:spacing w:after="0" w:line="11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Negative public perception regarding our industry resulting from, among other things, consumer complaints regarding sales and marketing practices, consumer financing arrangements, and restrictions on exit related to our products, as well as negative comments on social media, could result in increased regulatory scrutiny, which could result in reputational damage, more onerous laws, regulations, guidelines and enforcement interpretations in jurisdictions in which we operate. These actions may lead to operational delays or restrictions, as well as increased operating costs, regulatory burdens and risk of litigation.</w:t>
      </w:r>
    </w:p>
    <w:p>
      <w:pPr>
        <w:spacing w:after="0" w:line="61"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Spanish court rulings voiding certain timeshare contracts have increased our exposure to litigation that may materially adversely affect our business and financial condition.</w:t>
      </w:r>
    </w:p>
    <w:p>
      <w:pPr>
        <w:spacing w:after="0" w:line="4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A series of Spanish court rulings starting in 2015 (“2015 Rulings”) increased our exposure to litigation that may materially adversely affect our business and financial condition. These rulings voided certain timeshare contracts entered into after January 1999 related to certain resorts in Spain if a resort’s timeshare structure did not meet requirements prescribed by Spanish timeshare laws enacted in 1998, even if the structure was lawful prior to 1998 and adapted pursuant to mechanisms specified in the 1998 laws. These rulings led to an increase in lawsuits by owners seeking to void timeshare contracts in Spain, including lawsuits by owners at certain of our resorts in Spain which are currently pending. In November 2025, the Supreme Court of Spain overturned the 2015 Rulings and thereby eliminated the principal legal grounds on which the contract cancellation cases had been brought. Lesser remedies, including monetary damages, remain available for certain claims based on alleged errors or omissions in, or tardy delivery of, contract documents. The Supreme Court’s decision was based in part on legislation effective April 4, 2025 that placed a five-year limitation on the filing of new cancellation cases and reduced the scope of available remedies. A subsequent decision of the Supreme Court, issued in January 2026, overturned another legal theory previously relied upon by owners seeking to void their contracts. Cases filed prior to the Supreme Court’s November 2025 and January 2026 decisions remain pending, including cases filed against us, and insufficient time has passed since the issuance of those decisions for us to predict the likely outcomes, in light of that ruling, of pending or future cases against us. Currently pending cases and any cases filed in the future have caused and could continue to cause us to incur material litigation and other costs, including judgment or settlement payments; and materially adversely affect the results of operations of our Vacation Ownership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0" w:name="page31"/>
    <w:bookmarkEnd w:id="30"/>
    <w:p>
      <w:pPr>
        <w:ind w:right="220"/>
        <w:spacing w:after="0" w:line="267" w:lineRule="auto"/>
        <w:rPr>
          <w:sz w:val="20"/>
          <w:szCs w:val="20"/>
          <w:color w:val="auto"/>
        </w:rPr>
      </w:pPr>
      <w:r>
        <w:rPr>
          <w:rFonts w:ascii="Times New Roman" w:cs="Times New Roman" w:eastAsia="Times New Roman" w:hAnsi="Times New Roman"/>
          <w:sz w:val="17"/>
          <w:szCs w:val="17"/>
          <w:color w:val="auto"/>
        </w:rPr>
        <w:t>segment, as well as our business and financial condition. The ability for owners of Spanish timeshares to void their contracts has negatively impacted other developers with resorts in Spain and led to a decrease in the number of resorts located in Spain in the Interval Network with active sales and the loss of members who own VOIs at those resorts.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tax regulations or their interpretation could negatively impact our cash flows and results of operations.</w:t>
      </w:r>
    </w:p>
    <w:p>
      <w:pPr>
        <w:spacing w:after="0" w:line="1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Changes in tax and other revenue raising laws, regulations and policies in the jurisdictions where we do business could impose new restrictions, costs or prohibitions on our practices and negatively impact our results of operations. In addition, interpretation of tax regulations requires us to exercise our judgment and taxing authorities or our independent registered public accounting firm may reach conclusions about the application of such regulations that differ from our conclusions. Our effective tax rate reflects the fact that income earned and reinvested outside the U.S. is generally taxed at local rates that can be higher or lower than U.S. tax rates or based on a different tax base than U.S. jurisdictions, as well as our ability to carry forward losses in certain jurisdictions from prior years to offset future profits. Changes to U.S. or international tax laws, regulations or interpretations could impact the tax treatment of our earnings and adversely affect our cash flows and financial results. For example, if such changes significantly increase the tax rates on non-U.S. income, our effective tax rate could increase, our financial results and cash flows could be negatively impacted, and if such increases were a result of our status as a U.S. corporation, we could be placed at a disadvantage to our non-U.S. competitors that are subject to lower local tax rates.</w:t>
      </w:r>
    </w:p>
    <w:p>
      <w:pPr>
        <w:spacing w:after="0" w:line="7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7"/>
          <w:szCs w:val="17"/>
          <w:color w:val="auto"/>
        </w:rPr>
        <w:t>We are subject to audit in various jurisdictions, and these jurisdictions may assess additional taxes against us. Developments in an audit, litigation, or laws, regulations, administrative practices, principles, and interpretations could have a material effect on our operating results or cash flows. An unfavorable outcome from any tax audit could result in higher tax expense, penalties and interest, and could materially and adversely affect our financial condition or results of operations.</w:t>
      </w:r>
    </w:p>
    <w:p>
      <w:pPr>
        <w:spacing w:after="0" w:line="61"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Concentration of some of our resorts, sales centers and exchange destinations in particular geographic areas exposes our business to the effects of natural or man-made disasters or adverse economic conditions in these areas.</w:t>
      </w:r>
    </w:p>
    <w:p>
      <w:pPr>
        <w:spacing w:after="0" w:line="4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Our business is susceptible to the effects of natural or man-made disasters, including earthquakes, windstorms, tornadoes, hurricanes, typhoons, tsunamis, volcanic eruptions, floods, drought, fires, oil spills, erosion and nuclear incidents, in the areas where some of our resorts, sales centers and exchange destinations are concentrated, such as Florida, California, South Carolina and Hawaii. Properties in these markets have had to close in the past, including for extended periods, in order to repair or assess damage caused by disasters. For example, we temporarily closed our resorts and sales centers in 2023 as a result of wildfires in Maui. Depending on the severity of future disasters, the resulting damage could require closure of all or substantially all of our properties in one or more of these markets while we complete repairs, restoration or renovations. Our insurance may not cover all damages caused by any such event, including the loss of sales of VOIs at sales centers that are not fully operational. In 2023, our cost to insure our properties in these areas increased significantly. Our insurance costs may rise again and coverage levels may decrease for properties in these areas as a result of the number and magnitude of recent natural disasters in these areas.</w:t>
      </w:r>
    </w:p>
    <w:p>
      <w:pPr>
        <w:spacing w:after="0" w:line="7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Our business is also susceptible to the effects of adverse economic developments in these areas, such as regional economic downturns, significant increases in the number of our competitors’ products in these markets and potentially higher labor, real estate, tax or other costs in these geographic markets. This geographic concentration of properties increases the risk of a negative effect on our results of operations if these areas are affected by severe weather, man-made disasters or adverse economic and competitive conditions.</w:t>
      </w:r>
    </w:p>
    <w:p>
      <w:pPr>
        <w:spacing w:after="0" w:line="61"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successfully identify, finance, integrate and manage costs related to acquisitions, our business operations and financial position could be adversely affected.</w:t>
      </w:r>
    </w:p>
    <w:p>
      <w:pPr>
        <w:spacing w:after="0" w:line="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have expanded in part through acquisitions of other businesses and may continue to do so in the future. Our acquisition strategy depends on our ability to identify, and the availability of, suitable acquisition candidates. We may incur costs in connection with proposed acquisitions, but may ultimately be unable or unwilling to consummate any particular proposed transaction for various reasons. In addition, acquisitions involve numerous risks, including risks that we will not be able to: successfully integrate acquired businesses in an efficient and cost-effective manner; properly measure or identify all risks associated with the acquisition; achieve anticipated benefits of an acquisition, including expected synergies; control potential increases in operating costs; manage geographically remote operations; successfully expand our system of internal controls or our technological infrastructure to include an acquired business; avoid potential disruptions in ongoing operations during an acquisition process or integration efforts; successfully enter markets in which we have limited or no direct experience, including foreign markets whose practices or laws may pose increased risk; and retain key employees, clients, vendors and business partners of the acquired businesses. Failure to achieve the anticipated benefits of any acquisition may adversely affect our financial condition,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146" w:right="379" w:bottom="1440" w:gutter="0" w:footer="0" w:header="0"/>
        </w:sectPr>
      </w:pPr>
    </w:p>
    <w:bookmarkStart w:id="31" w:name="page32"/>
    <w:bookmarkEnd w:id="31"/>
    <w:p>
      <w:pPr>
        <w:ind w:right="560"/>
        <w:spacing w:after="0" w:line="267" w:lineRule="auto"/>
        <w:rPr>
          <w:sz w:val="20"/>
          <w:szCs w:val="20"/>
          <w:color w:val="auto"/>
        </w:rPr>
      </w:pPr>
      <w:r>
        <w:rPr>
          <w:rFonts w:ascii="Times New Roman" w:cs="Times New Roman" w:eastAsia="Times New Roman" w:hAnsi="Times New Roman"/>
          <w:sz w:val="17"/>
          <w:szCs w:val="17"/>
          <w:color w:val="auto"/>
        </w:rPr>
        <w:t>Acquisitions may also significantly increase our debt or result in dilutive issuances of our equity securities, impairments of assets or substantial amortization expenses associated with other intangible assets. For example, we have not achieved all of the anticipated benefits from the ILG Acquisition or the Welk Acquisition, and have incurred unanticipated expenses and impairment charges in 2024 and 2025 related to inventory.</w:t>
      </w:r>
    </w:p>
    <w:p>
      <w:pPr>
        <w:spacing w:after="0" w:line="5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p>
    <w:p>
      <w:pPr>
        <w:spacing w:after="0" w:line="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Our accounting policies are critical to the manner in which we present our results of operations and financial condition. Many of these policies, including policies relating to the recognition of revenue, determination of cost of sales and evaluation of our assets for impairment, are highly complex and involve numerous assumptions, estimates and judgments which we regularly review and revise as needed. Our actual results of operations vary from period to period based on revisions to these estimates. For example, higher loan delinquencies or defaults have caused us to increase and in the future could lead to new increases in our estimated reserve for vacation ownership notes receivable. In addition, changes to our assumptions and estimates used to determine the fair value of our assets or actual operating results that are lower than our current estimates could result in impairment losses and require us to write off all or a portion of our assets. For example, in 2025, we incurred $577 million in impairment losses in the aggregate. See the “Critical Accounting Estimates” section of Item 7. Management’s Discussion and Analysis of Financial Condition and Results of Operations for further information.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See Footnote 2 “Summary of Significant Accounting Policies” to our Financial Statements for more information regarding changes in accounting standards that we recently adopted or expect to adopt in the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growth of our business and execution of our business strategies depend on the services of our senior management and our associates.</w:t>
      </w:r>
    </w:p>
    <w:p>
      <w:pPr>
        <w:spacing w:after="0" w:line="1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Our business is based on successfully attracting and retaining talented associates. The market for highly skilled associates and leaders in our industry is extremely competitive. If we are unable to attract and retain management and other key associates, our ability to develop and deliver successful products and services may be adversely affected. Effective succession planning is also important to our long-term success. The departure of a key executive or associate or the failure to ensure an effective transfer of knowledge and a smooth transition upon such departure may be disruptive to the business and could hinder our strategic planning and execution.</w:t>
      </w:r>
    </w:p>
    <w:p>
      <w:pPr>
        <w:spacing w:after="0" w:line="65" w:lineRule="exact"/>
        <w:rPr>
          <w:sz w:val="20"/>
          <w:szCs w:val="20"/>
          <w:color w:val="auto"/>
        </w:rPr>
      </w:pPr>
    </w:p>
    <w:p>
      <w:pPr>
        <w:ind w:right="4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Increasing scrutiny and evolving expectations from customers, regulators, investors, and other stakeholders with respect to our environmental, social and governance practices may increase our costs or expose us to new or additional risks.</w:t>
      </w:r>
    </w:p>
    <w:p>
      <w:pPr>
        <w:spacing w:after="0" w:line="4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Companies are facing increasing and frequently evolving scrutiny globally from customers, regulators, investors, employees and other stakeholders related to their environmental, social, and governance (“ESG”) practices and disclosure as expectations for, and support or criticism of, such matters continues to evolve. Investor advocacy groups, investment funds and influential investors are also increasingly focused on these practices. Third parties have developed proprietary ratings or analyses of companies based on certain ESG metrics. ESG disclosure rules have been adopted by California, the European Union and other jurisdictions; various ESG regulations are under consideration, and the Company cannot determine what final regulations will be enacted, modified, or reversed or the ultimate impact on its business. Increased ESG-related compliance costs could increase our overall operational costs. Failure to adapt to or comply with regulatory requirements or investor or other stakeholder expectations and standards could increase the risk of antidiscrimination lawsuits and customer backlash, negatively impact our reputation, ability to do business with certain partners, sales and stock price, and result in penalties. Our corporate responsibility initiatives and goals are based on standards for measuring progress that are still developing, internal controls and processes that continue to evolve and assumptions that are subject to change in the future. As we report on our corporate responsibility initiatives or goals, we may be subject to heightened reputational and operational risk and compliance costs related to these matters. Our control over resorts and properties that we manage is generally limited by the terms of the applicable management agreements. As a result, our ability to achieve some or all of our corporate responsibility initiatives or goals may be limited without additional support or action by the owners’ associations of the vacation ownership resorts and properties we manage. Complying with increased regulations could increase our costs and adversely impact our results of operations. Our inability or failure to meet, or the perceived failure to meet, such stakeholders’ expectations, as well as adverse incidents, could negatively impact our stock price, results of operations, or reputation and increase our cost of capital.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Risks related to our vacation ownership business.</w:t>
      </w:r>
    </w:p>
    <w:p>
      <w:pPr>
        <w:spacing w:after="0" w:line="110"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termination of our license agreements with Marriott International or Hyatt, or our rights to use their trademarks at our existing or future properties, could materially harm our business.</w:t>
      </w:r>
    </w:p>
    <w:p>
      <w:pPr>
        <w:spacing w:after="0" w:line="4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7"/>
          <w:szCs w:val="17"/>
          <w:color w:val="auto"/>
        </w:rPr>
        <w:t>Our success depends, in part, on our relationships with Marriott International and Hyatt. These relationships are governed by various agreements, including long-term license agreements that expire between 2090 and 2095, subject to renewal. However, if we breach our obligations under a license agreement and fail to cure such breach, or if our properties do not meet brand standards, the applicable licensor may be entitled to terminate the license agreement and our rights to use its brands and trademarks at the subject properties.</w:t>
      </w:r>
    </w:p>
    <w:p>
      <w:pPr>
        <w:spacing w:after="0" w:line="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The termination of our license agreements with Marriott International, Hyatt or their affiliates could materially harm our business and results of operations and materially impair our ability to market and sell our products and maintain our competitive position, and could have a material adverse effect on our financial position, results of operations or cash flows. Our inability to rely on the strength of the Marriott, Sheraton, Westin, or Hyatt brands to attract qualified prospects in the marketplace would likely cause our results of operations to decline and our marketing and sales expenses to increase. Our inability to market to guests in hotels affiliated with our licensors that are located near one of our sales locations or maintain our marketing relationships with Marriott International or Hyatt reservation centers would likely cause our sales to decline, which could adversely affect our financial condition and results of operations. In addition, we would not be able to use the brand websites as channels through which to rent available inventory, which could cause our rental revenue to decline materially.</w:t>
      </w:r>
    </w:p>
    <w:p>
      <w:pPr>
        <w:spacing w:after="0" w:line="7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Our license agreements also allow us to market directly to members of the customer loyalty programs associated with the Marriott, Sheraton, Westin and Hyatt brands, and offer points in such loyalty programs as premiums for related promotional offers. The termination of the license agreements with Marriott International or Hyatt would eliminate this valuable marketing channel.</w:t>
      </w:r>
    </w:p>
    <w:p>
      <w:pPr>
        <w:spacing w:after="0" w:line="64"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7"/>
          <w:szCs w:val="17"/>
          <w:color w:val="auto"/>
        </w:rPr>
        <w:t>We must obtain the applicable licensor’s consent to use its trademarks in connection with properties we acquire or develop in the future. If our licensors do not consent to such use, our ability to expand our business and remain competitive may be materially adversely affected.</w:t>
      </w:r>
    </w:p>
    <w:p>
      <w:pPr>
        <w:spacing w:after="0" w:line="45"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Deterioration in the quality or reputation of the brands associated with our portfolio could adversely affect our market share, reputation, business, financial condition and results of operations.</w:t>
      </w:r>
    </w:p>
    <w:p>
      <w:pPr>
        <w:spacing w:after="0" w:line="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offer vacation ownership products and services under the Marriott, Sheraton, Westin, The Ritz-Carlton, and Hyatt brands. Our success depends in part on the continued success of Marriott International and Hyatt and their respective brands. If market recognition or the positive perception of Marriott International or Hyatt is reduced or compromised, the goodwill associated with these brands may be adversely affected, which may adversely affect our market share, reputation, business, financial condition or results of operations. The positioning and offerings of any of these brands or their related customer loyalty programs could change in a manner that adversely affects our business.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Marriott International or Hyatt could compete with our vacation ownership business in the future.</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Under our license agreements with Marriott International, if other international hotel operators offer new products and services as part of their respective hotel businesses that may directly compete with our vacation ownership products and services, then Marriott International may also offer such new products and services, and use its trademarks in connection with such offers. Under the Hyatt license agreement, Hyatt may compete with us under certain circumstances, such as if we fail to meet certain performance standards or if Hyatt acquires a new hotel brand that Hyatt desires to license for timeshare and we are unsuccessful in negotiating such license rights pursuant to our right of first offer. If Marriott International or Hyatt offers new vacation ownership products and services as contemplated under certain circumstances under their respective license agreements, they may compete directly with our vacation ownership products and services, and we may not be able to distinguish our vacation ownership products and services from those offered by Marriott International or Hyatt.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69"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a branded hotel property co-located with one of our resorts ceases to be affiliated with the same brand as our resort or a related brand, our business could be harmed.</w:t>
      </w:r>
    </w:p>
    <w:p>
      <w:pPr>
        <w:spacing w:after="0" w:line="4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Approximately 25% of our Vacation Ownership segment resorts are co-located with same-branded or affiliated hotel properties. If a branded hotel property with which one of our resorts is co-located ceases to be operated by or affiliated with the same brand as our resort, which has happened in the past, we could lose benefits such as shared amenities,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33" w:name="page34"/>
    <w:bookmarkEnd w:id="33"/>
    <w:p>
      <w:pPr>
        <w:ind w:right="300"/>
        <w:spacing w:after="0" w:line="262" w:lineRule="auto"/>
        <w:rPr>
          <w:sz w:val="20"/>
          <w:szCs w:val="20"/>
          <w:color w:val="auto"/>
        </w:rPr>
      </w:pPr>
      <w:r>
        <w:rPr>
          <w:rFonts w:ascii="Times New Roman" w:cs="Times New Roman" w:eastAsia="Times New Roman" w:hAnsi="Times New Roman"/>
          <w:sz w:val="17"/>
          <w:szCs w:val="17"/>
          <w:color w:val="auto"/>
        </w:rPr>
        <w:t>infrastructure and staff, integration of services, and other cost efficiencies. Our owners could lose access to the more varied and elaborate amenities that are generally available at the larger campus of an integrated vacation ownership and hotel resort. We could also lose our on-site access to hotel customers, including brand customer loyalty program members, at such resorts, which is a cost-effective marketing channel for our vacation ownership products, and our sales may decline.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sale of VOIs in the secondary market by existing owners could cause our sales revenues, margins, and results of operations to decline.</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Sales of VOIs by existing owners, which are typically at lower prices than the prices at which we would sell interests, can create pricing pressure on our sale of vacation ownership products and cause our sales revenues, margins and results of operations to decline. In addition, unlawful or deceptive third-party VOI resale schemes involving interests in our resorts could damage our reputation and brand value and adversely impact our sales revenues and results of operations. Development of a more robust secondary market may also cause the volume of lower-cost VOI inventory that we are able to repurchase to supplement our inventory needs to decline, which could adversely impact our development margin.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Borrower defaults on the vacation ownership notes receivable our business generates could reduce our results of operations and cash flows.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In connection with our vacation ownership business, we provide loans to purchasers to finance their purchase of VOIs. Accordingly, we are subject to the risk that those borrowers may default on the financing that we provide. The risk of borrower defaults may increase due to man-made or natural disasters, inflation, recessions or other economic downturns that cause financial hardship for borrowers. In the past, we have experienced increased defaults as a result of economic downturns. Certain of our borrowers have been impacted by man-made and natural disasters. The risk of borrower defaults may also increase if we do not evaluate accurately the creditworthiness of the customers to whom we extend financing or due to the influence of timeshare relief firms. Borrower defaults have caused, and may continue to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 If default rates for our borrowers increase, we have been required, and may in the future be required, to increase our reserve on vacation ownership notes receivable, which would adversely affect our results of operations and cash flows.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If default rates increase beyond current projections and result in higher than expected foreclosure activity, our results of operations would be adversely affected. Borrower defaults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Also, if a purchaser of a VOI defaults on the related loan during the early part of the amortization period, we may not have fully recovered the marketing, selling and general and administrative costs associated with the sale of that VOI. If we are unable to recover any of the principal amount of the loan from a defaulting borrower, or if the allowances for losses from such defaults are inadequate, the revenues and profits that we derive from the vacation ownership business could be reduced materially.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inventory available for sale when needed or we may have excess inventory.</w:t>
      </w:r>
    </w:p>
    <w:p>
      <w:pPr>
        <w:spacing w:after="0" w:line="11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We may continue to enter into capital-efficient transactions to source inventory in which third parties agree to deliver completed units in the future to us at pre-agreed prices. These transactions expose us to additional risk as we will not control development activities or timing of development completion. If our counterparties default on their obligations, or exercise their right to sell inventory to a different buyer, we may not acquire the inventory we expect on time or at all, or it may not be within agreed upon specifications. If we cannot obtain inventory from alternative sources on a timely basis, we may not be able to achieve sales forecasts. Conversely, if we procure or commit to procure inventory based on an expected sales plan and fail to achieve that plan, we could have excess inventory, potentially negatively impacting our margins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points-based product forms expose us to an increased risk of temporary inventory depletion.</w:t>
      </w:r>
    </w:p>
    <w:p>
      <w:pPr>
        <w:spacing w:after="0" w:line="11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Selling VOIs in a system of resorts under a points-based business model increases the risk of temporary inventory depletion. Currently, our VOI sales are made primarily through a limited number of trust entities that issue VOIs. These structures can lead to a temporary depletion of inventory available for sale caused by: (1) delayed delivery of inventory under construction by us or third parties; (2) delayed receipt of required governmental registrations of inventory for sale; or (3) significant unanticipated increases in sales pace. If the inventory available for sale for a particular trust were to be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4" w:name="page35"/>
    <w:bookmarkEnd w:id="34"/>
    <w:p>
      <w:pPr>
        <w:ind w:right="100"/>
        <w:spacing w:after="0" w:line="256" w:lineRule="auto"/>
        <w:rPr>
          <w:sz w:val="20"/>
          <w:szCs w:val="20"/>
          <w:color w:val="auto"/>
        </w:rPr>
      </w:pPr>
      <w:r>
        <w:rPr>
          <w:rFonts w:ascii="Times New Roman" w:cs="Times New Roman" w:eastAsia="Times New Roman" w:hAnsi="Times New Roman"/>
          <w:sz w:val="17"/>
          <w:szCs w:val="17"/>
          <w:color w:val="auto"/>
        </w:rPr>
        <w:t>depleted before new inventory is added and available for sale, we may be required to temporarily suspend sales until inventory is replenished, shift to selling an alternative product or buy additional inventory at a higher cost, which happened in Thailand in 2025. Our efforts to avoid the risk of temporary inventory depletion by maintaining a surplus supply of completed inventory based on our forecasted sales pace, and by employing other mitigation strategies such as accelerating completion of resorts under construction, acquiring VOIs on the secondary market, or reducing sales pace by adjusting prices or sales incentives, may not be successful. A depletion of VOI inventory could decrease our financing revenues generated from purchasers of VOIs and fee revenues generated by providing club, management, exchange, sales, and marketing services. In addition, any temporary suspension of sales due to lack of inventory could reduce our cash flow and have a negative impact on our results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development activities expose us to project cost and completion risks.</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Our project development activities entail risks that may cause project delays or increased project costs and therefore may adversely impact our results of operations, cash flows and financial condition. These risks include construction delays or cost overruns; shortages of skilled labor; claims for construction defects, including claims by purchasers and owners’ associations; the discovery of hazardous or toxic substances, or other environmental, culturally-sensitive, or related issues; an inability to timely obtain required governmental permits and authorizations; compliance with zoning, building codes and other local regulations; performance by third parties involved in the financing and development of our projects; the cost or availability of raw materials; and interference of weather-related, geological or other events, such as hurricanes, earthquakes, floods, tsunamis, fires, and volcanic eruptions.</w:t>
      </w:r>
    </w:p>
    <w:p>
      <w:pPr>
        <w:spacing w:after="0" w:line="68"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resort management business may be adversely affected by the loss of management contracts, failure of resorts to comply with brand standards, increased maintenance fees and disagreements with owners.</w:t>
      </w:r>
    </w:p>
    <w:p>
      <w:pPr>
        <w:spacing w:after="0" w:line="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Owners of our VOIs are required to pay maintenance fees to maintain and refurbish the vacation ownership properties and keep them in compliance with brand standards. If a resort fails to comply with applicable brand standards, the applicable licensor could terminate our rights to use its trademarks at the resort, which could result in the loss of management fees, decreased customer satisfaction, and impair our ability to market and sell our products at the non-compliant locations. Increases in maintenance fees to keep pace with operating expenses, maintenance and other costs may make our products less desirable, which could negatively impact sales and cause an increase in defaults on our vacation ownership notes receivable portfolio. If the owners’ associations that we manage are unable to collect sufficient maintenance fees to cover operating and maintenance costs, the related resorts may have to close or file for bankruptcy, which may result in termination of our management agreements. We may also lose resort management contracts if they are not renewed when they expire, or the contract terms may be renegotiated in a manner adverse to us. The loss or renegotiation of a significant number of our management contracts may adversely affect our cash flows and results of operations.</w:t>
      </w:r>
    </w:p>
    <w:p>
      <w:pPr>
        <w:spacing w:after="0" w:line="2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From time to time, disagreements arise between us and the owners of VOIs and owners’ associations. For example, owners of our VOIs have disagreed, and may in the future disagree, with changes we make to our products or programs. Sometimes, disagreements with VOI owners and owners’ associations result in litigation and the loss of management contracts. If any such litigation results in a significant adverse judgment or settlement, we could suffer significant losses, our margins and results of operations could be reduced, our reputation could be harmed and our future ability to operate our business could be constrained.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Damage to, or other potential losses involving, properties that we own or manage may not be covered by insurance.</w:t>
      </w:r>
    </w:p>
    <w:p>
      <w:pPr>
        <w:spacing w:after="0" w:line="1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We procure insurance for general liability, property, business interruption, directors and officers liability, and other insurable risks with respect to our business operations and as customarily carried by companies in the hospitality industry. Market forces beyond our control may limit the scope, terms, and conditions of the insurance coverage we are able to obtain or our ability to obtain coverage at reasonable rates, which may affect our ability to maintain customary insurance coverages and deductibles at acceptable costs. Certain types of losses, generally of a catastrophic nature, such as earthquakes, hurricanes, wildfires, and floods, or terrorist acts, may be uninsurable or the price of coverage for such losses may be too expensive to justify obtaining insurance. The effects of climate change, such as increased storm intensity and rising temperatures or sea levels over time, may also increase the cost of property insurance and decrease our coverage levels. In addition, in the event of a substantial loss, the insurance coverage we carry may not be sufficient to pay the full market value or replacement cost of our lost property or property of owners of VOIs or third party liability. In some cases, insurance may not provide a recovery for any part of a loss due to deductibles, retentions, policy limits, coverage limitations, uninsured parts of a loss or other factors. As a result, we could lose some or all of the capital we have invested in a property, as well as the anticipated future revenue from the property, and we could remain obligated under guarantees or other financial obligations related to the property. In addition, we could lose the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5" w:name="page36"/>
    <w:bookmarkEnd w:id="35"/>
    <w:p>
      <w:pPr>
        <w:jc w:val="both"/>
        <w:ind w:right="120"/>
        <w:spacing w:after="0" w:line="267" w:lineRule="auto"/>
        <w:rPr>
          <w:sz w:val="20"/>
          <w:szCs w:val="20"/>
          <w:color w:val="auto"/>
        </w:rPr>
      </w:pPr>
      <w:r>
        <w:rPr>
          <w:rFonts w:ascii="Times New Roman" w:cs="Times New Roman" w:eastAsia="Times New Roman" w:hAnsi="Times New Roman"/>
          <w:sz w:val="17"/>
          <w:szCs w:val="17"/>
          <w:color w:val="auto"/>
        </w:rPr>
        <w:t>management contract for the property and, to the extent such property operates under a licensed brand, the property may lose operating rights under the associated brand. We may also incur liabilities or losses in the operation of our business that are only partially covered by insurance, or not covered at all. Any of these events could have a material adverse effect on our business, financial condition and results of operations.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exchange and third-party management business.</w:t>
      </w:r>
    </w:p>
    <w:p>
      <w:pPr>
        <w:spacing w:after="0" w:line="110" w:lineRule="exact"/>
        <w:rPr>
          <w:sz w:val="20"/>
          <w:szCs w:val="20"/>
          <w:color w:val="auto"/>
        </w:rPr>
      </w:pPr>
    </w:p>
    <w:p>
      <w:pPr>
        <w:ind w:right="4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Any adverse changes in our relationships with developers, members and others could adversely affect our Exchange &amp; Third-Party Management business, financial condition, and results of operations.</w:t>
      </w:r>
    </w:p>
    <w:p>
      <w:pPr>
        <w:spacing w:after="0" w:line="44" w:lineRule="exact"/>
        <w:rPr>
          <w:sz w:val="20"/>
          <w:szCs w:val="20"/>
          <w:color w:val="auto"/>
        </w:rPr>
      </w:pPr>
    </w:p>
    <w:p>
      <w:pPr>
        <w:ind w:right="660"/>
        <w:spacing w:after="0" w:line="267" w:lineRule="auto"/>
        <w:rPr>
          <w:sz w:val="20"/>
          <w:szCs w:val="20"/>
          <w:color w:val="auto"/>
        </w:rPr>
      </w:pPr>
      <w:r>
        <w:rPr>
          <w:rFonts w:ascii="Times New Roman" w:cs="Times New Roman" w:eastAsia="Times New Roman" w:hAnsi="Times New Roman"/>
          <w:sz w:val="17"/>
          <w:szCs w:val="17"/>
          <w:color w:val="auto"/>
        </w:rPr>
        <w:t>Our Interval International business depends on vacation ownership developers for new members and on members and participants to renew their existing memberships and engage in transactions. Developers and members also supply resort accommodations for use in exchanges and Getaways. Our third-party management business depends on relationships with vacation property and hotel owners.</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If we are unable to negotiate new affiliation agreements with resort developers or secure renewals with existing members or developers in our Interval Network, as has occurred in the past, the number of new and existing members, the supply of resort accommodations available through our exchange network and related revenue could decrease. The failure to secure the renewal of affiliation agreements with developers with corporate member relationships, where the developer renews Interval International membership fees for all of its active owners, has a greater adverse effect. The loss or renegotiation on less favorable terms of several of our largest affiliation agreements could materially adversely impact our financial condition and results of operations. Our ability to maintain affiliation agreements with resort developers is also impacted by consolidation in the vacation ownership industry.</w:t>
      </w:r>
    </w:p>
    <w:p>
      <w:pPr>
        <w:spacing w:after="0" w:line="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In addition, we depend on third parties to make certain benefits available to members of the Interval International exchange network. The loss of such benefits could result in a decrease in the number of Interval International members, which could have a material adverse effect on our business, financial condition and results of operations.</w:t>
      </w:r>
    </w:p>
    <w:p>
      <w:pPr>
        <w:spacing w:after="0" w:line="6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Similarly, the failure of our third-party management business to maintain existing or negotiate new management agreements with vacation property and hotel owners, as a result of the sale of property to third parties, contract disputes or otherwise, or the failure of vacationers to book vacation rentals through our businesses would result in a decrease in related revenue, which would have an adverse effect on our business, financial condition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Insufficient availability of exchange inventory may adversely affect our results of operations.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exchange network’s transaction levels depend on the supply of inventory in the system and demand for the available inventory. Exchange inventory is deposited in the system by members, or by developers on behalf of members, to support current or anticipated exchanges. Inventory supply and demand for specific regions and on a broader scope are influenced by a variety of factors, such as: economic conditions; health and safety concerns, including concerns and travel restrictions relating to Health Crises such as the COVID-19 pandemic; the occurrence or threat of natural disasters and severe weather; and owner decisions to travel to their home resort/vacation club system or otherwise not deposit exchange inventory. The factors that affect demand for specific destinations could significantly reduce the number of accommodations available in such areas for exchanges. The level of inventory in our system also depends on the number of developers whose resorts are in our exchange network, and the numbers of members of such resorts. The number of developers affiliated with our exchange network may decrease for a variety of reasons, such as consolidation and contraction in the industry and competition. If inventory supply and demand do not keep pace, transactions may decrease or we may purchase additional inventory to fulfill the demand, both of which could negatively affect our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may restrict our operations.</w:t>
      </w:r>
    </w:p>
    <w:p>
      <w:pPr>
        <w:spacing w:after="0" w:line="11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As of December 31, 2025, we had approximately $3.6 billion of total corporate indebtedness outstanding and could borrow an additional $787 million under a revolving corporate credit facility with a borrowing capacity of $800 million (the “Revolving Corporate Credit Facility”). The credit agreement that governs our corporate credit facility (“Corporate Credit Facility”) and the indentures that govern our various senior notes impose significant operating and financial restrictions on us, which among other things limit our ability and the ability of certain of our subsidiaries to incur debt, pay dividends and make other restricted payments, make loans and investments, incur liens, sell assets, enter into affiliate transactions, enter into agreements restricting certain subsidiaries’ ability to pay dividends and consolidate, merge or sell all or substantially all of their assets. The Corporate Credit Facility also requires us to not exceed a maximum first lien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6" w:name="page37"/>
    <w:bookmarkEnd w:id="36"/>
    <w:p>
      <w:pPr>
        <w:ind w:right="200"/>
        <w:spacing w:after="0" w:line="283" w:lineRule="auto"/>
        <w:rPr>
          <w:sz w:val="20"/>
          <w:szCs w:val="20"/>
          <w:color w:val="auto"/>
        </w:rPr>
      </w:pPr>
      <w:r>
        <w:rPr>
          <w:rFonts w:ascii="Times New Roman" w:cs="Times New Roman" w:eastAsia="Times New Roman" w:hAnsi="Times New Roman"/>
          <w:sz w:val="17"/>
          <w:szCs w:val="17"/>
          <w:color w:val="auto"/>
        </w:rPr>
        <w:t>leverage ratio and maintain a minimum interest coverage ratio. These restrictions could restrict our flexibility to react to changes in our businesses, industries and economic conditions and increase borrowing costs.</w:t>
      </w:r>
    </w:p>
    <w:p>
      <w:pPr>
        <w:spacing w:after="0" w:line="5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must dedicate a portion of our cash flow from operations to debt servicing and repayment of debt, which reduces funds available for strategic initiatives and opportunities, dividends, share repurchases, working capital, and other general corporate needs. It also increases our vulnerability to the impact of adverse economic and industry conditions.</w:t>
      </w:r>
    </w:p>
    <w:p>
      <w:pPr>
        <w:spacing w:after="0" w:line="58"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comply with our debt agreements, or to raise additional capital when needed, our business, cash flow, liquidity, and results of operations could be harmed.</w:t>
      </w:r>
    </w:p>
    <w:p>
      <w:pPr>
        <w:spacing w:after="0" w:line="4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Our ability to make scheduled cash payments on and to refinance our indebtedness depends on our ability to generate significant operating cash flow in the future, which, to a significant extent, is subject to general economic, financial, competitive, legislative, regulatory and other factors that are beyond our control. We may not be able to maintain a sufficient level of cash flow from operating activities to permit us to pay the principal, premium, if any, and interest on our indebtedness.</w:t>
      </w:r>
    </w:p>
    <w:p>
      <w:pPr>
        <w:spacing w:after="0" w:line="6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In addition, our credit ratings will impact the cost and availability of future borrowings and, accordingly, our cost of capital. The Company has experienced ratings downgrades in the past, including being downgraded to ‘B+’ by S&amp;P in 2025. Additional downgrades in our ratings could adversely affect our businesses, cash flows, financial condition, operating results and share and debt prices, as well as our ability to meet our obligations under our capital efficient inventory acquisitions.</w:t>
      </w:r>
    </w:p>
    <w:p>
      <w:pPr>
        <w:spacing w:after="0" w:line="6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Failure to make scheduled cash payments on our existing debt, or to comply with the restrictive covenants and other requirements in our debt agreements, could result in an event of default, which, if not cured or waived, could result in acceleration of our debt repayment obligations. We may not have sufficient cash to repay any accelerated debt obligations, which would immediately and materially harm our business, results of operations and financial condition.</w:t>
      </w:r>
    </w:p>
    <w:p>
      <w:pPr>
        <w:spacing w:after="0" w:line="6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We may be required to raise additional capital to refinance our existing debt, or to expand or support our operations. For example, during 2025, we issued $575 million aggregate principal amount of 6.500% Senior Notes due 2033 to raise the funds necessary to repay our convertible notes maturing in 2026. Our access to and cost of financing will depend on, among other things, global economic conditions, conditions in the global financing markets, the availability of sufficient amounts of financing, our prospects and our credit ratings, and the outlook for our industry as a whole. The terms of future debt agreements could include more restrictive covenants or require incremental collateral, which may further restrict our business operations or adversely affect our ability to obtain additional financing. There is no guarantee that debt or equity financings will be available in the future on terms favorable to us or at all. If we are unable to access additional funds on acceptable terms, we may have to adjust our business operations, and our ability to acquire additional vacation ownership inventory, repurchase VOIs, or make other investments in our business could be impaired, any of which may adversely affect our cash flows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substantially more debt, which could exacerbate further the risks associated with our leverage.</w:t>
      </w:r>
    </w:p>
    <w:p>
      <w:pPr>
        <w:spacing w:after="0" w:line="11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may incur substantial additional indebtedness in the future, including secured indebtedness, as well as obligations that do not constitute indebtedness as defined in our debt agreements. To the extent that we incur additional indebtedness or such other obligations, the risks associated with our substantial indebtedness described above will increase.</w:t>
      </w:r>
    </w:p>
    <w:p>
      <w:pPr>
        <w:spacing w:after="0" w:line="58" w:lineRule="exact"/>
        <w:rPr>
          <w:sz w:val="20"/>
          <w:szCs w:val="20"/>
          <w:color w:val="auto"/>
        </w:rPr>
      </w:pPr>
    </w:p>
    <w:p>
      <w:pPr>
        <w:ind w:right="9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the default rates or other credit metrics underlying our vacation ownership notes receivable deteriorate, our vacation ownership notes receivable securitization program and VOI financing program could be adversely affected.</w:t>
      </w:r>
    </w:p>
    <w:p>
      <w:pPr>
        <w:spacing w:after="0" w:line="4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Our vacation ownership notes receivable portfolio performance and securitization program could be adversely affected if any vacation ownership notes receivable pool fails to meet certain ratios, which could occur if the default rates or other credit metrics of the underlying vacation ownership notes receivable deteriorate. Default rates may deteriorate due to many different reasons, including those beyond our control, such as financial hardship of purchasers. In addition, if we offer loans to our customers with terms longer or different than those generally offered in the industry, our ability to securitize those loans may be adversely impacted. Instability in the credit markets may impact the timing and volume of the vacation ownership notes receivable that we are able to securitize, as well as the financial terms of such securitizations. If ABS issued in our securitization programs are downgraded by credit agencies in the future, our ability to complete securitization transactions on acceptable terms or at all could be jeopardized, and we could be forced to rely on other potentially more expensive and less attractive funding sources, to the extent available.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relating to our convertible notes.</w:t>
      </w:r>
    </w:p>
    <w:p>
      <w:pPr>
        <w:spacing w:after="0" w:line="118"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7"/>
          <w:szCs w:val="17"/>
          <w:color w:val="auto"/>
        </w:rPr>
        <w:t>Holders of our convertible notes may convert the convertible notes after the occurrence of certain dates or events. See Footnote 15 “Debt” to our Financial Statements for additional information. If any holders elect to convert their convertible notes, we may elect to settle all or a portion of our conversion obligation through the payment of cash, which could adversely affect our liquidity.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relating to our convertible note hedges and warrants.</w:t>
      </w:r>
    </w:p>
    <w:p>
      <w:pPr>
        <w:spacing w:after="0" w:line="11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In connection with the convertible notes, we entered into privately negotiated convertible note hedges to reduce potential dilution to our common stock and offset cash payments we must make in excess of the principal amount, in each case, upon any conversion of convertible notes. We also issued warrants to the hedge counterparties. The warrants could have a dilutive effect on our shares of common stock to the extent that the market price per share exceeds the applicable strike price of the warrants on one or more of the applicable expiration dates. Alternatively, if settled in cash, the warrants could have a negative impact on cash flow and liquidity.</w:t>
      </w:r>
    </w:p>
    <w:p>
      <w:pPr>
        <w:spacing w:after="0" w:line="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connection with establishing their initial hedges of the convertible note hedges and the warrants, the hedge counterparties and their respective affiliates advised us that they expected to purchase shares of our common stock in secondary market transactions and enter into various derivative transactions with respect to our common stock. These parties may modify their hedge positions by entering into or unwinding various derivatives with respect to our common stock and buying or selling our common stock in the secondary market. Any of these activities could cause or prevent an increase or a decline in the market price of our common stock.</w:t>
      </w:r>
    </w:p>
    <w:p>
      <w:pPr>
        <w:spacing w:after="0" w:line="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are subject to the risk that one or more of the hedge counterparties may default under the convertible note hedges.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your investment in our common stock could lose value.</w:t>
      </w:r>
    </w:p>
    <w:p>
      <w:pPr>
        <w:spacing w:after="0" w:line="11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Our stock price and trading volume are subject to changes, which may be significant, due to our financial results and operating performance and recommendations or earnings estimates by securities analyst and investors, as well as changes in economic, political and market conditions, including changes that affect demand for travel and consumer discretionary spending, such as inflationary pressures, health crises, acts of war and terrorism, and other factors unrelated to our financial results and operating performance. Speculation in the press or investment community about our business and results of operation can also cause changes in our stock price and trading volume. Many of these factors are out of our control. A significant drop in our stock price could expose us to the risk of securities class action lawsuits, which may result in substantial expense and divert management’s attention and resources, which may adversely affect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pay dividends on our stock is limited.</w:t>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We may not declare or pay dividends in the future at any particular rate or at all. Our Board makes all decisions regarding our payment of dividends, subject to an evaluation of our financial condition, results of operations and capital requirements, as well as applicable law, regulatory and contractual constraints, industry practice and other business considerations that our Board considers relevant. Certain of the agreements governing our indebtedness restrict our ability and the ability of our subsidiaries to pay dividends, and the terms of agreements governing debt that we may incur in the future may also limit or prohibit dividend payments. The payment of certain cash dividends has and may in the future result in an adjustment to the conversion rate of the Convertible Notes and related warrants in a manner adverse to us. We may not have sufficient surplus under Delaware law to be able to pay dividends, which may result from extraordinary cash expenses, actual expenses exceeding contemplated costs, funding of capital expenditures or increases in reserves.</w:t>
      </w:r>
    </w:p>
    <w:p>
      <w:pPr>
        <w:spacing w:after="0" w:line="69"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share repurchase program may not enhance long-term stockholder value and could increase the volatility of the market price of our common stock and diminish our cash.</w:t>
      </w:r>
    </w:p>
    <w:p>
      <w:pPr>
        <w:spacing w:after="0" w:line="4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Our share repurchase program does not obligate us to repurchase any shares of our common stock. The timing and amount of any repurchases depend upon several factors, including market conditions, business conditions, statutory and contractual restrictions, the trading price of our common stock and the nature of other investment opportunities available to us. In addition, repurchases of our common stock could affect our stock price and increase its volatility. The existence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8" w:name="page39"/>
    <w:bookmarkEnd w:id="38"/>
    <w:p>
      <w:pPr>
        <w:ind w:right="120"/>
        <w:spacing w:after="0" w:line="262" w:lineRule="auto"/>
        <w:rPr>
          <w:sz w:val="20"/>
          <w:szCs w:val="20"/>
          <w:color w:val="auto"/>
        </w:rPr>
      </w:pPr>
      <w:r>
        <w:rPr>
          <w:rFonts w:ascii="Times New Roman" w:cs="Times New Roman" w:eastAsia="Times New Roman" w:hAnsi="Times New Roman"/>
          <w:sz w:val="17"/>
          <w:szCs w:val="17"/>
          <w:color w:val="auto"/>
        </w:rPr>
        <w:t>of a share repurchase program could cause our stock price to be higher than it would be absent the program and could reduce market liquidity for our stock. Use of our funds to repurchase shares could diminish our cash reserves, which may impact our ability to finance growth, pursue strategic opportunities, and discharge liabilities. Our share repurchases may not enhance stockholder value because the market price of our common stock may decline below the prices at which we repurchased shares and short-term stock price fluctuations could reduce the program’s effectiveness.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Delaware law and in certain of our agreements could delay or prevent a change in control.</w:t>
      </w:r>
    </w:p>
    <w:p>
      <w:pPr>
        <w:spacing w:after="0" w:line="11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Provisions of our Charter and Bylaws, as well as provisions in the agreements with our licensors, may delay or prevent a merger or acquisition that a stockholder may consider favorable. For example, our Charter and Bylaws require advance notice of stockholder proposals and nominations, place limits on convening stockholder meetings and authorize our Board of Directors to issue one or more series of preferred stock. Delaware law also restricts some business combinations between any holder of 15% or more of our outstanding common stock and us. The fact that these provisions and statutory restrictions may discourage acquisition proposals or delay or prevent a change in control could harm our stock price.</w:t>
      </w:r>
    </w:p>
    <w:p>
      <w:pPr>
        <w:spacing w:after="0" w:line="7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Further, a change in control could result in an acceleration of our obligations under the Corporate Credit Facility or the indentures that govern our senior notes. Such debt acceleration could make it more difficult for us to attract potential buyers or to consummate a change in control transaction that would otherwise be beneficial to our stockholders.</w:t>
      </w:r>
    </w:p>
    <w:p>
      <w:pPr>
        <w:spacing w:after="0" w:line="11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5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16"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We maintain a cybersecurity program designed to protect our information, and that of our customers, against cybersecurity threats that may result in adverse effects on the confidentiality, integrity, and availability of our information systems.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Board of Directors</w:t>
      </w:r>
    </w:p>
    <w:p>
      <w:pPr>
        <w:spacing w:after="0" w:line="11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7"/>
          <w:szCs w:val="17"/>
          <w:color w:val="auto"/>
        </w:rPr>
        <w:t>Our Board is responsible for overseeing our processes for assessing and managing enterprise risk, including with respect to cybersecurity. The Board considers our risk profile when reviewing our annual business plan and incorporates risk assessment into its decisions.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Our Board has delegated the primary responsibility for oversight of cybersecurity risk to the Audit Committee. The Audit Committee regularly reviews our cybersecurity and data security risks and mitigation strategies. At least twice each year, the Audit Committee receives reports and presentations from members of our team responsible for overseeing our cybersecurity risk management, including our Senior Vice President, Global Information Security (“SVP-GIS”) and our Executive Vice President and Chief Information Officer (“EVP-CIO”), and periodically receives reports and presentations from third parties. These reports may address a wide range of topics, including recent developments, evolving standards, third-party and independent reviews, the threat environment, technological trends and cybersecurity considerations arising with respect to our peers and third parties. The Audit Committee reports to the Board on cybersecurity matters. We also have protocols by which certain cybersecurity incidents that meet established reporting thresholds are escalated within the Company and, where appropriate, reported to the Audit Committee in a timely manner.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Management</w:t>
      </w:r>
    </w:p>
    <w:p>
      <w:pPr>
        <w:spacing w:after="0" w:line="112"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We have implemented a cross-functional approach to identifying, preventing and mitigating cybersecurity threats and incidents, while also implementing controls and procedures that provide for the escalation of certain cybersecurity incidents.</w:t>
      </w:r>
    </w:p>
    <w:p>
      <w:pPr>
        <w:spacing w:after="0" w:line="5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At the management level, our SVP-GIS is responsible for the assessment and management of risks from cybersecurity threats. Our SVP-GIS has extensive cybersecurity knowledge and skills gained from over 25 years of experience in government and industries including retail and manufacturing, and industry certifications including Certified Information Systems Security Professional (“CISSP”) from ISC Squared and Global Information Assurance Certification (“GIAC”) from SANS Institute. Our SVP-GIS also has experience in forensic investigations, strategic cyber risk management, and cybersecurity program development. Our SVP-GIS leads the team responsible for implementing, monitoring and maintaining cybersecurity policies and practices across our business and reports directly to our EVP-CIO. Our SVP-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39" w:name="page40"/>
    <w:bookmarkEnd w:id="39"/>
    <w:p>
      <w:pPr>
        <w:ind w:right="40"/>
        <w:spacing w:after="0" w:line="283" w:lineRule="auto"/>
        <w:rPr>
          <w:sz w:val="20"/>
          <w:szCs w:val="20"/>
          <w:color w:val="auto"/>
        </w:rPr>
      </w:pPr>
      <w:r>
        <w:rPr>
          <w:rFonts w:ascii="Times New Roman" w:cs="Times New Roman" w:eastAsia="Times New Roman" w:hAnsi="Times New Roman"/>
          <w:sz w:val="17"/>
          <w:szCs w:val="17"/>
          <w:color w:val="auto"/>
        </w:rPr>
        <w:t>GIS’s direct reports include a number of experienced cybersecurity leaders responsible for various aspects of our cybersecurity program, each of whom is supported by a team of experienced cybersecurity professionals.</w:t>
      </w:r>
    </w:p>
    <w:p>
      <w:pPr>
        <w:spacing w:after="0" w:line="5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The functions that report to our SVP-GIS include: cybersecurity risk management, Payment Card Industry compliance, and cybersecurity testing; operation of protective cybersecurity tools and systems; cybersecurity monitoring, incident response, and digital forensics; cybersecurity research and development and support for information technology and cybersecurity functions.</w:t>
      </w:r>
    </w:p>
    <w:p>
      <w:pPr>
        <w:spacing w:after="0" w:line="64"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color w:val="auto"/>
        </w:rPr>
        <w:t>Our SVP-GIS works closely with our Law Department and regularly engages expert consultants and other third parties to assist with assessing, identifying, and managing cybersecurity risks and to oversee compliance with legal, regulatory and contractual cybersecurity requirements. The EVP-CIO and SVP-GIS also periodically attend Audit Committee meetings to report on any material developments.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1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employ systems and processes designed to oversee, identify, and reduce the potential impact of a cybersecurity incident at a third-party vendor, service provider or customer or otherwise implicating the third-party technology and systems we use. Our processes and systems include automated tools and technical safeguards managed and monitored by our cybersecurity team. We currently carry cybersecurity insurance, however, we cannot assure you that we will be able to maintain such policies in the future or that they will be sufficient to cover all potential cybersecurity events or losses we incur in connection with such events.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require our associates to receive annual training on our cybersecurity policies and practices. This may include, but is not limited to, training regarding information classification and handling, data privacy, physical security, phishing, malware and ransomware, social engineering, identifying and reporting information security incidents, and secure credit card handling, as well as additional topics based on job roles and responsibilities. We also maintain written cybersecurity policies and procedures that apply to the entire Company and third parties who handle our data or have access to our information technology systems. These policies and procedures establish the framework for our cybersecurity program and cover topics such as acceptable use of information systems, cybersecurity risk management, access management, audit and logging, patching, and cybersecurity requirements for numerous technologies. These policies and procedures are reviewed at least annually, updated as necessary, and integrated into employee training programs and our technology procurement process. We are also subject to the Payment Card Industry Data Security Standard and perform an annual self-assessment according to the requirements set forth by the Payment Card Industry Security Standards Council.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Incident Response</w:t>
      </w:r>
    </w:p>
    <w:p>
      <w:pPr>
        <w:spacing w:after="0" w:line="112"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7"/>
          <w:szCs w:val="17"/>
          <w:color w:val="auto"/>
        </w:rPr>
        <w:t>We have adopted an Incident Response Plan (the “IRP”) that applies in the event of a cybersecurity threat or incident to provide a standardized framework for responding to cybersecurity incidents. The IRP sets out a coordinated approach to investigating, containing, documenting and mitigating incidents, including reporting findings and keeping senior management and other key stakeholders informed and involved as appropriate. The IRP applies to all Company personnel (including third-party contractors, vendors and partners) that perform functions or services that require access to secure Company information, and to all devices and network services that are owned or managed by the Company.</w:t>
      </w:r>
    </w:p>
    <w:p>
      <w:pPr>
        <w:spacing w:after="0" w:line="71"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7"/>
          <w:szCs w:val="17"/>
          <w:color w:val="auto"/>
        </w:rPr>
        <w:t>The SVP-GIS is responsible for maintaining our IRP. Potentially significant threats are escalated to an interdisciplinary data breach response team (the “DBRT”), which is led by our EVP-CIO and co-chaired by the SVP-GIS, our head of data privacy, and a representative from our Law Department. The DBRT is responsible for oversight and handling of significant cybersecurity threats, incidents, and issues through a documented process. Potentially material cybersecurity incidents are escalated by our EVP-CIO to executive management and reviewed with members of the Company’s Disclosure Committee.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Material Cybersecurity Risk, Threats &amp; Incidents</w:t>
      </w:r>
    </w:p>
    <w:p>
      <w:pPr>
        <w:spacing w:after="0" w:line="1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Routinely, we partner with and use third-party service providers and products that host, manage, or control sensitive data. We and the companies we work with have experienced cybersecurity incidents involving our data and systems, including ransomware and other forms of malware and computer virus attacks, unauthorized access, systems failures and temporary disruptions. For example, in June 2018, we identified forged and fraudulently induced electronic payment disbursements we made to third parties in an aggregate amount of $10 million resulting from unauthorized third-party access to our email system. Risks from cybersecurity incidents, including as a result of the June 2018 incident, have not materially affected us, including our business strategy, results of operations or financial condition for the periods covered by this Annual Report, and we do not believe that such risks are reasonably likely to have such an effect over the long term. Additional information on cybersecurity risks we face can be found in Part I, Item 1A “Risk Factors” of this Annual Report under the heading “Failure to maintain the integrity of internal or customer data or to protect our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0" w:name="page41"/>
    <w:bookmarkEnd w:id="40"/>
    <w:p>
      <w:pPr>
        <w:ind w:right="380"/>
        <w:spacing w:after="0" w:line="283" w:lineRule="auto"/>
        <w:rPr>
          <w:sz w:val="20"/>
          <w:szCs w:val="20"/>
          <w:color w:val="auto"/>
        </w:rPr>
      </w:pPr>
      <w:r>
        <w:rPr>
          <w:rFonts w:ascii="Times New Roman" w:cs="Times New Roman" w:eastAsia="Times New Roman" w:hAnsi="Times New Roman"/>
          <w:sz w:val="17"/>
          <w:szCs w:val="17"/>
          <w:color w:val="auto"/>
        </w:rPr>
        <w:t>information systems from cyber-attacks could disrupt our business, damage our reputation, and subject us to costs, fines or lawsuits,” which should be read in conjunction with the foregoing information.</w:t>
      </w:r>
    </w:p>
    <w:p>
      <w:pPr>
        <w:spacing w:after="0" w:line="4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1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As of December 31, 2025, our vacation ownership portfolio consisted of 120 properties in the United States and thirteen other countries and territories. These properties are described in Part I, Item 1, “Business” of this Annual Report. Except as indicated in Part I, Item 1, “Business,” we own unsold inventory at these properties. We also own, manage or lease golf courses, fitness, spa and sports facilities, undeveloped and partially developed land and other common area assets at some of our resorts in our Vacation Ownership segment, including resort lobbies and food and beverage outlets.</w:t>
      </w:r>
    </w:p>
    <w:p>
      <w:pPr>
        <w:spacing w:after="0" w:line="67"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7"/>
          <w:szCs w:val="17"/>
          <w:color w:val="auto"/>
        </w:rPr>
        <w:t>In addition, we own or lease our regional offices and sales centers, both in the United States and internationally. We lease our corporate headquarters in Orlando, Florida under a finance lease arrangement that commenced in 2023, upon the substantial completion of construction. In the fourth quarter of 2023, we relocated from our former corporate headquarters to our new corporate headquarters office building.</w:t>
      </w:r>
    </w:p>
    <w:p>
      <w:pPr>
        <w:spacing w:after="0" w:line="1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Currently, and from time to time, we are subject to claims in legal proceedings arising in the normal course of business, including, among others, the legal actions discussed under “Loss Contingencies” in Footnote 12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1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w:t>
      </w:r>
    </w:p>
    <w:p>
      <w:pPr>
        <w:spacing w:after="0" w:line="3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Equity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and Dividends</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Our common stock currently is traded on the New York Stock Exchange, or the “NYSE,” under the symbol “VAC.” 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any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February 23, 2026, there were 20,180 holders of record of our common stock.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40"/>
          </w:cols>
          <w:pgMar w:left="320" w:top="1146"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Maximum Dollar</w:t>
            </w: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32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Shares Purchased</w:t>
            </w:r>
          </w:p>
        </w:tc>
        <w:tc>
          <w:tcPr>
            <w:tcW w:w="120" w:type="dxa"/>
            <w:vAlign w:val="bottom"/>
          </w:tcPr>
          <w:p>
            <w:pPr>
              <w:spacing w:after="0"/>
              <w:rPr>
                <w:sz w:val="13"/>
                <w:szCs w:val="13"/>
                <w:color w:val="auto"/>
              </w:rPr>
            </w:pPr>
          </w:p>
        </w:tc>
        <w:tc>
          <w:tcPr>
            <w:tcW w:w="164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Amount of Shares That</w:t>
            </w: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2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as Part of Publicly</w:t>
            </w:r>
          </w:p>
        </w:tc>
        <w:tc>
          <w:tcPr>
            <w:tcW w:w="120" w:type="dxa"/>
            <w:vAlign w:val="bottom"/>
          </w:tcPr>
          <w:p>
            <w:pPr>
              <w:spacing w:after="0"/>
              <w:rPr>
                <w:sz w:val="13"/>
                <w:szCs w:val="13"/>
                <w:color w:val="auto"/>
              </w:rPr>
            </w:pPr>
          </w:p>
        </w:tc>
        <w:tc>
          <w:tcPr>
            <w:tcW w:w="16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May Yet Be Purchased</w:t>
            </w: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Price Paid</w:t>
            </w:r>
          </w:p>
        </w:tc>
        <w:tc>
          <w:tcPr>
            <w:tcW w:w="132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Announced Plans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center"/>
              <w:ind w:right="58"/>
              <w:spacing w:after="0" w:line="154" w:lineRule="exact"/>
              <w:rPr>
                <w:sz w:val="20"/>
                <w:szCs w:val="20"/>
                <w:color w:val="auto"/>
              </w:rPr>
            </w:pPr>
            <w:r>
              <w:rPr>
                <w:rFonts w:ascii="Times New Roman" w:cs="Times New Roman" w:eastAsia="Times New Roman" w:hAnsi="Times New Roman"/>
                <w:sz w:val="15"/>
                <w:szCs w:val="15"/>
                <w:b w:val="1"/>
                <w:bCs w:val="1"/>
                <w:color w:val="auto"/>
              </w:rPr>
              <w:t>Under the Plans or</w:t>
            </w:r>
          </w:p>
        </w:tc>
        <w:tc>
          <w:tcPr>
            <w:tcW w:w="0" w:type="dxa"/>
            <w:vAlign w:val="bottom"/>
          </w:tcPr>
          <w:p>
            <w:pPr>
              <w:spacing w:after="0"/>
              <w:rPr>
                <w:sz w:val="1"/>
                <w:szCs w:val="1"/>
                <w:color w:val="auto"/>
              </w:rPr>
            </w:pPr>
          </w:p>
        </w:tc>
      </w:tr>
      <w:tr>
        <w:trPr>
          <w:trHeight w:val="20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20" w:type="dxa"/>
            <w:vAlign w:val="bottom"/>
          </w:tcPr>
          <w:p>
            <w:pPr>
              <w:spacing w:after="0"/>
              <w:rPr>
                <w:sz w:val="17"/>
                <w:szCs w:val="17"/>
                <w:color w:val="auto"/>
              </w:rPr>
            </w:pPr>
          </w:p>
        </w:tc>
        <w:tc>
          <w:tcPr>
            <w:tcW w:w="1060" w:type="dxa"/>
            <w:vAlign w:val="bottom"/>
            <w:gridSpan w:val="3"/>
          </w:tcPr>
          <w:p>
            <w:pPr>
              <w:jc w:val="center"/>
              <w:ind w:right="100"/>
              <w:spacing w:after="0" w:line="204" w:lineRule="exact"/>
              <w:rPr>
                <w:sz w:val="20"/>
                <w:szCs w:val="20"/>
                <w:color w:val="auto"/>
              </w:rPr>
            </w:pPr>
            <w:r>
              <w:rPr>
                <w:rFonts w:ascii="Times New Roman" w:cs="Times New Roman" w:eastAsia="Times New Roman" w:hAnsi="Times New Roman"/>
                <w:sz w:val="15"/>
                <w:szCs w:val="15"/>
                <w:b w:val="1"/>
                <w:bCs w:val="1"/>
                <w:color w:val="auto"/>
                <w:w w:val="97"/>
              </w:rPr>
              <w:t>per Share</w:t>
            </w:r>
            <w:r>
              <w:rPr>
                <w:rFonts w:ascii="Times New Roman" w:cs="Times New Roman" w:eastAsia="Times New Roman" w:hAnsi="Times New Roman"/>
                <w:sz w:val="19"/>
                <w:szCs w:val="19"/>
                <w:color w:val="auto"/>
                <w:w w:val="97"/>
                <w:vertAlign w:val="superscript"/>
              </w:rPr>
              <w:t>(2)</w:t>
            </w:r>
          </w:p>
        </w:tc>
        <w:tc>
          <w:tcPr>
            <w:tcW w:w="1320" w:type="dxa"/>
            <w:vAlign w:val="bottom"/>
          </w:tcPr>
          <w:p>
            <w:pPr>
              <w:jc w:val="center"/>
              <w:spacing w:after="0" w:line="204" w:lineRule="exact"/>
              <w:rPr>
                <w:sz w:val="20"/>
                <w:szCs w:val="20"/>
                <w:color w:val="auto"/>
              </w:rPr>
            </w:pPr>
            <w:r>
              <w:rPr>
                <w:rFonts w:ascii="Times New Roman" w:cs="Times New Roman" w:eastAsia="Times New Roman" w:hAnsi="Times New Roman"/>
                <w:sz w:val="15"/>
                <w:szCs w:val="15"/>
                <w:b w:val="1"/>
                <w:bCs w:val="1"/>
                <w:color w:val="auto"/>
                <w:w w:val="99"/>
              </w:rPr>
              <w:t>or Programs</w:t>
            </w:r>
            <w:r>
              <w:rPr>
                <w:rFonts w:ascii="Times New Roman" w:cs="Times New Roman" w:eastAsia="Times New Roman" w:hAnsi="Times New Roman"/>
                <w:sz w:val="19"/>
                <w:szCs w:val="19"/>
                <w:b w:val="1"/>
                <w:bCs w:val="1"/>
                <w:color w:val="auto"/>
                <w:w w:val="99"/>
                <w:vertAlign w:val="superscript"/>
              </w:rPr>
              <w:t>(</w:t>
            </w:r>
            <w:r>
              <w:rPr>
                <w:rFonts w:ascii="Times New Roman" w:cs="Times New Roman" w:eastAsia="Times New Roman" w:hAnsi="Times New Roman"/>
                <w:sz w:val="19"/>
                <w:szCs w:val="19"/>
                <w:color w:val="auto"/>
                <w:w w:val="99"/>
                <w:vertAlign w:val="superscript"/>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ind w:right="58"/>
              <w:spacing w:after="0" w:line="204" w:lineRule="exact"/>
              <w:rPr>
                <w:sz w:val="20"/>
                <w:szCs w:val="20"/>
                <w:color w:val="auto"/>
              </w:rPr>
            </w:pPr>
            <w:r>
              <w:rPr>
                <w:rFonts w:ascii="Times New Roman" w:cs="Times New Roman" w:eastAsia="Times New Roman" w:hAnsi="Times New Roman"/>
                <w:sz w:val="15"/>
                <w:szCs w:val="15"/>
                <w:b w:val="1"/>
                <w:bCs w:val="1"/>
                <w:color w:val="auto"/>
                <w:w w:val="94"/>
              </w:rPr>
              <w:t>Programs</w:t>
            </w:r>
            <w:r>
              <w:rPr>
                <w:rFonts w:ascii="Times New Roman" w:cs="Times New Roman" w:eastAsia="Times New Roman" w:hAnsi="Times New Roman"/>
                <w:sz w:val="19"/>
                <w:szCs w:val="19"/>
                <w:color w:val="auto"/>
                <w:w w:val="94"/>
                <w:vertAlign w:val="superscript"/>
              </w:rPr>
              <w:t>(1)(2)</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2025 – October 31,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347,132,547</w:t>
            </w:r>
          </w:p>
        </w:tc>
        <w:tc>
          <w:tcPr>
            <w:tcW w:w="0" w:type="dxa"/>
            <w:vAlign w:val="bottom"/>
          </w:tcPr>
          <w:p>
            <w:pPr>
              <w:spacing w:after="0"/>
              <w:rPr>
                <w:sz w:val="1"/>
                <w:szCs w:val="1"/>
                <w:color w:val="auto"/>
              </w:rPr>
            </w:pPr>
          </w:p>
        </w:tc>
      </w:tr>
      <w:tr>
        <w:trPr>
          <w:trHeight w:val="237"/>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2025 – November 30,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417,396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47.94</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417,396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327,122,328</w:t>
            </w:r>
          </w:p>
        </w:tc>
        <w:tc>
          <w:tcPr>
            <w:tcW w:w="0" w:type="dxa"/>
            <w:vAlign w:val="bottom"/>
          </w:tcPr>
          <w:p>
            <w:pPr>
              <w:spacing w:after="0"/>
              <w:rPr>
                <w:sz w:val="1"/>
                <w:szCs w:val="1"/>
                <w:color w:val="auto"/>
              </w:rPr>
            </w:pPr>
          </w:p>
        </w:tc>
      </w:tr>
      <w:tr>
        <w:trPr>
          <w:trHeight w:val="24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2025 – December 31, 2025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55.13</w:t>
            </w:r>
          </w:p>
        </w:tc>
        <w:tc>
          <w:tcPr>
            <w:tcW w:w="12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322,120,557</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508,129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508,129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322,120,557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00" w:right="60" w:hanging="298"/>
        <w:spacing w:after="0" w:line="238" w:lineRule="auto"/>
        <w:tabs>
          <w:tab w:leader="none" w:pos="28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11, 2023, we announced that our Board of Directors increased the then-remaining authorization under our share repurchase program (which was first announced on September 13, 2021) to authorize purchases of up to $600 million of our common stock and extended the term of our share repurchase program to December 31, 2024. On December 19, 2024, we announced that our Board of Directors extended the term of our share repurchase program to December 31, 2025. On December 12, 2025, we announced that our Board of Directors extended the term of our share repurchase program to December 31, 2026.</w:t>
      </w:r>
    </w:p>
    <w:p>
      <w:pPr>
        <w:spacing w:after="0" w:line="88" w:lineRule="exact"/>
        <w:rPr>
          <w:rFonts w:ascii="Times New Roman" w:cs="Times New Roman" w:eastAsia="Times New Roman" w:hAnsi="Times New Roman"/>
          <w:sz w:val="22"/>
          <w:szCs w:val="22"/>
          <w:color w:val="auto"/>
          <w:vertAlign w:val="superscript"/>
        </w:rPr>
      </w:pPr>
    </w:p>
    <w:p>
      <w:pPr>
        <w:ind w:left="300" w:hanging="298"/>
        <w:spacing w:after="0" w:line="228" w:lineRule="auto"/>
        <w:tabs>
          <w:tab w:leader="none" w:pos="28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dollar amounts presented exclude the nondeductible 1% excise tax on the net value of certain stock repurchases that was imposed by the Inflation Reduction Act of 2022.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83820</wp:posOffset>
            </wp:positionV>
            <wp:extent cx="4548505" cy="2761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4850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The above graph compares the relative performance of our common stock, the S&amp;P SmallCap 600 Index, the S&amp;P MidCap 400 Index, and the S&amp;P Composite 1500 Hotels, Resorts &amp; Cruise Lines Index. In December 2025, MVW was added to the S&amp;P SmallCap 600 Index as it is more representative of the Company’s current market capitalization range than the Company’s prior index, the S&amp;P MidCap 400 Index. The graph assumes that $100 was invested in our common stock and each index on December 31, 2020. The stock price performance reflected above is not necessarily indicative of future stock price performance. The foregoing performance graph is being furnished as part of this Annual Report solely in accordance with the requirement under Rule 14a-3(b)(9) to furnish our stockholders with such information, and therefore, shall not be deemed to be filed or incorporated by reference into any filings by the Company under the Securities Act of 1933, as amended, or the Exchange Act.</w:t>
      </w:r>
    </w:p>
    <w:p>
      <w:pPr>
        <w:spacing w:after="0" w:line="17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2" w:right="359" w:bottom="1440" w:gutter="0" w:footer="0" w:header="0"/>
        </w:sectPr>
      </w:pPr>
    </w:p>
    <w:bookmarkStart w:id="42" w:name="page43"/>
    <w:bookmarkEnd w:id="42"/>
    <w:p>
      <w:pPr>
        <w:ind w:right="3920"/>
        <w:spacing w:after="0" w:line="376" w:lineRule="auto"/>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of our results of operations and financial condition together with our audited historical consolidated financial statements and accompanying notes in Part II, “Item 8. Financial Statements and Supplementary Data,” and Part I, “Item 1. Business,” of this Annual Report.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69"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i w:val="1"/>
          <w:iCs w:val="1"/>
          <w:color w:val="auto"/>
        </w:rPr>
        <w:t>Our consolidated financial statements, which we discuss below, reflect our historical financial condition, results of operations and cash flows. The financial information discussed below and included in this Annual Report may not, however, necessarily reflect what our financial condition, results of operations and cash flows may be in the future.</w:t>
      </w:r>
    </w:p>
    <w:p>
      <w:pPr>
        <w:spacing w:after="0" w:line="59" w:lineRule="exact"/>
        <w:rPr>
          <w:sz w:val="20"/>
          <w:szCs w:val="20"/>
          <w:color w:val="auto"/>
        </w:rPr>
      </w:pPr>
    </w:p>
    <w:p>
      <w:pPr>
        <w:spacing w:after="0" w:line="269" w:lineRule="auto"/>
        <w:rPr>
          <w:rFonts w:ascii="Times New Roman" w:cs="Times New Roman" w:eastAsia="Times New Roman" w:hAnsi="Times New Roman"/>
          <w:sz w:val="17"/>
          <w:szCs w:val="17"/>
          <w:i w:val="1"/>
          <w:iCs w:val="1"/>
          <w:color w:val="0000FF"/>
        </w:rPr>
      </w:pPr>
      <w:r>
        <w:rPr>
          <w:rFonts w:ascii="Times New Roman" w:cs="Times New Roman" w:eastAsia="Times New Roman" w:hAnsi="Times New Roman"/>
          <w:sz w:val="17"/>
          <w:szCs w:val="17"/>
          <w:i w:val="1"/>
          <w:iCs w:val="1"/>
          <w:color w:val="auto"/>
        </w:rPr>
        <w:t xml:space="preserve">Our discussion and analysis of fiscal year 2025 to fiscal year 2024 is included herein. Our discussion and analysis of fiscal year 2024 to fiscal year 2023 has been omitted from this Form 10-K and can be found in Part II, “Item 7. Management’s Discussion and Analysis of Financial Condition and Results of Operations” of our </w:t>
      </w:r>
      <w:hyperlink r:id="rId66">
        <w:r>
          <w:rPr>
            <w:rFonts w:ascii="Times New Roman" w:cs="Times New Roman" w:eastAsia="Times New Roman" w:hAnsi="Times New Roman"/>
            <w:sz w:val="17"/>
            <w:szCs w:val="17"/>
            <w:i w:val="1"/>
            <w:iCs w:val="1"/>
            <w:u w:val="single" w:color="auto"/>
            <w:color w:val="0000FF"/>
          </w:rPr>
          <w:t>Annual Report on Form 10-K for the fiscal year ended December 31, 2024</w:t>
        </w:r>
      </w:hyperlink>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color w:val="000000"/>
        </w:rPr>
        <w:t>which was filed with the Securities and Exchange Commission on February 28,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116"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7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Our Vacation Ownership segment generates revenues from four primary sources: selling vacation ownership products; managing vacation ownership resorts, clubs and owners’ associations; financing consumer purchases of vacation ownership products; and renting vacation ownership inventory.</w:t>
      </w:r>
    </w:p>
    <w:p>
      <w:pPr>
        <w:spacing w:after="0" w:line="5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We provide these services through our Interval International and Aqua-Aston businesses.</w:t>
      </w:r>
    </w:p>
    <w:p>
      <w:pPr>
        <w:spacing w:after="0" w:line="67" w:lineRule="exact"/>
        <w:rPr>
          <w:sz w:val="20"/>
          <w:szCs w:val="20"/>
          <w:color w:val="auto"/>
        </w:rPr>
      </w:pPr>
    </w:p>
    <w:p>
      <w:pPr>
        <w:ind w:right="760"/>
        <w:spacing w:after="0" w:line="283" w:lineRule="auto"/>
        <w:rPr>
          <w:sz w:val="20"/>
          <w:szCs w:val="20"/>
          <w:color w:val="auto"/>
        </w:rPr>
      </w:pPr>
      <w:r>
        <w:rPr>
          <w:rFonts w:ascii="Times New Roman" w:cs="Times New Roman" w:eastAsia="Times New Roman" w:hAnsi="Times New Roman"/>
          <w:sz w:val="17"/>
          <w:szCs w:val="17"/>
          <w:color w:val="auto"/>
        </w:rPr>
        <w:t>Corporate and other represents the portion of our results that are not allocable to our segments, including those relating to Consolidated Property Owners’ Associations.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Policies Used in Describing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Vacation Ownership Products</w:t>
      </w:r>
    </w:p>
    <w:p>
      <w:pPr>
        <w:spacing w:after="0" w:line="116"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We recognize revenues from the sale of vacation ownership products (also referred to as “VOIs”) when control of the vacation ownership product is transferred to the customer and the transaction price is deemed collectible, which typically correlates to expiration of the statutory rescission period.</w:t>
      </w:r>
    </w:p>
    <w:p>
      <w:pPr>
        <w:spacing w:after="0" w:line="51"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Sales of vacation ownership products may be made for cash or we may provide financing. In addition, we recognize settlement fees associated with the transfer of VOIs and commission revenues from sales of VOIs on behalf of third parties, which we refer to as “resales revenue.”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43" w:name="page44"/>
    <w:bookmarkEnd w:id="43"/>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t>We also provide sales incentives to certain purchasers. These sales incentives typically include Marriott Bonvoy points, World of Hyatt points or an alternative sales incentive that we refer to as “plus points.” Plus points are redeemable for stays at our resorts or for use in other third-party offerings, generally up to two years from the date of issuance.</w:t>
      </w:r>
    </w:p>
    <w:p>
      <w:pPr>
        <w:spacing w:after="0" w:line="6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Finally, as more fully described in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 below, we record the difference between the contract receivable or vacation ownership note receivable and the amount we expect to collect from debtors (also known as a vacation ownership notes receivable reserve or a sales reserve) as a reduction of revenues from the sale of VOIs at the time we recognize revenues from a sale.</w:t>
      </w:r>
    </w:p>
    <w:p>
      <w:pPr>
        <w:spacing w:after="0" w:line="6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7"/>
          <w:szCs w:val="17"/>
          <w:color w:val="auto"/>
        </w:rPr>
        <w:t>We report, on a supplemental basis, contract sales for our Vacation Ownership segment. Contract sales consist of the total amount of VOI sales under contract signed during the period where we have generally received a down payment of at least ten percent of the contract price, reduced by actual rescissions during the period, inclusive of contracts associated with sales of VOIs on behalf of third parties, which we refer to as “resales contract sales.” In circumstances where a customer applies any or all of their existing ownership interests as part of the purchase price for additional interests (also referred to as an equity upgrade), we include only the incremental value purchased as contract sales. Contract sales differ from revenues from the sale of VOIs that we report on our income statements due to the requirements for revenue recognition described above. We consider contract sales to be an important operating measure because it reflects the pace of sales in our business.</w:t>
      </w:r>
    </w:p>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Cost of vacation ownership products includes costs to acquire, develop and construct our projects (also known as real estate inventory costs), other non-capitalizable costs associated with the overall project development process and settlement expenses associated with the closing process. For each project, we expense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 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 and Exchange</w:t>
      </w:r>
    </w:p>
    <w:p>
      <w:pPr>
        <w:spacing w:after="0" w:line="11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7"/>
          <w:szCs w:val="17"/>
          <w:color w:val="auto"/>
        </w:rPr>
        <w:t>Our management and exchange revenues include revenues generated from fees we earn for managing each of our vacation ownership resorts, providing property management, owners’ association management and related services and fees we earn for providing rental services and related hotel, condominium resort, and owners’ association management services to vacation property owners.</w:t>
      </w:r>
    </w:p>
    <w:p>
      <w:pPr>
        <w:spacing w:after="0" w:line="64"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51"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7"/>
          <w:szCs w:val="17"/>
          <w:color w:val="auto"/>
        </w:rPr>
        <w:t>Management and exchange expenses include costs to operate the food and beverage outlets, other ancillary operations and to provide overall customer support services, including reservations, and certain transaction-based expenses relating to third-party exchange service providers.</w:t>
      </w:r>
    </w:p>
    <w:p>
      <w:pPr>
        <w:spacing w:after="0" w:line="51" w:lineRule="exact"/>
        <w:rPr>
          <w:sz w:val="20"/>
          <w:szCs w:val="20"/>
          <w:color w:val="auto"/>
        </w:rPr>
      </w:pPr>
    </w:p>
    <w:p>
      <w:pPr>
        <w:ind w:right="360"/>
        <w:spacing w:after="0" w:line="376" w:lineRule="auto"/>
        <w:rPr>
          <w:sz w:val="20"/>
          <w:szCs w:val="20"/>
          <w:color w:val="auto"/>
        </w:rPr>
      </w:pPr>
      <w:r>
        <w:rPr>
          <w:rFonts w:ascii="Times New Roman" w:cs="Times New Roman" w:eastAsia="Times New Roman" w:hAnsi="Times New Roman"/>
          <w:sz w:val="17"/>
          <w:szCs w:val="17"/>
          <w:color w:val="auto"/>
        </w:rPr>
        <w:t xml:space="preserve">In our Vacation Ownership segment and Consolidated Property Owners’ Associations, we refer to these activities as “Resort Management and Other Services.” </w:t>
      </w:r>
      <w:r>
        <w:rPr>
          <w:rFonts w:ascii="Times New Roman" w:cs="Times New Roman" w:eastAsia="Times New Roman" w:hAnsi="Times New Roman"/>
          <w:sz w:val="17"/>
          <w:szCs w:val="17"/>
          <w:i w:val="1"/>
          <w:iCs w:val="1"/>
          <w:color w:val="auto"/>
        </w:rPr>
        <w:t>Financing</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offer financing to qualified customers for the purchase of most types of our VOIs. The typical financing agreement provides for monthly payments of principal and interest with the principal balance of the loan fully amortizing over the term of the related vacation ownership note receivable, which is generally ten to fifteen years. While we adjust interest rates on our financing programs from time to time, such changes are typically not made in lockstep with the timing and magnitude of changes in broader market rates. We may use incentives to encourage our customers to choose our financing. Included within our vacation ownership notes receivable are originated vacation ownership notes receivable and vacation ownership notes receivable acquired in connection with the ILG Acquisition and the Welk Acquisition.</w:t>
      </w:r>
    </w:p>
    <w:p>
      <w:pPr>
        <w:spacing w:after="0" w:line="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interest income earned from our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The amount of interest income earned in a period depends on the amount of outstanding vacation ownership notes receivable, which is impacted positively by the origination of new vacation ownership notes receivable and negatively by principal collections and defaults. We calculate financing propensity as contract sales volume 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4" w:name="page45"/>
    <w:bookmarkEnd w:id="44"/>
    <w:p>
      <w:pPr>
        <w:ind w:right="60"/>
        <w:spacing w:after="0" w:line="283" w:lineRule="auto"/>
        <w:rPr>
          <w:sz w:val="20"/>
          <w:szCs w:val="20"/>
          <w:color w:val="auto"/>
        </w:rPr>
      </w:pPr>
      <w:r>
        <w:rPr>
          <w:rFonts w:ascii="Times New Roman" w:cs="Times New Roman" w:eastAsia="Times New Roman" w:hAnsi="Times New Roman"/>
          <w:sz w:val="17"/>
          <w:szCs w:val="17"/>
          <w:color w:val="auto"/>
        </w:rPr>
        <w:t>financed contracts originated in the period divided by contract sales volume of all contracts originated in the period. We do not include resales contract sales in the financing propensity calculation. First-time buyers are more likely to finance their purchases and remain an integral part of our overall marketing and sales strategy.</w:t>
      </w:r>
    </w:p>
    <w:p>
      <w:pPr>
        <w:spacing w:after="0" w:line="51"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Acquired vacation ownership notes receivable are accounted for using the purchased credit deteriorated assets provision of the current expected credit loss model. The estimates of the reserve for credit losses on the acquired vacation ownership notes receivable are based on default rates that are an output of our static pool analyses and the estimated value of collateral securing the acquired vacation ownership notes receivable.</w:t>
      </w:r>
    </w:p>
    <w:p>
      <w:pPr>
        <w:spacing w:after="0" w:line="6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Revisions to estimates that result in decreases or increases to the reserve for originated vacation ownership notes receivable can increase or decrease revenues, respectively. In contrast, for acquired vacation ownership notes receivable, we record changes to the reserve as an adjustment to Financing expenses on our Income Statements. See Footnote 5 “Vacation Ownership Notes Receivable” to our Financial Statements for further information.</w:t>
      </w:r>
    </w:p>
    <w:p>
      <w:pPr>
        <w:spacing w:after="0" w:line="7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Financing expenses include consumer financing interest expense, which represents interest expense associated with the securitization of our vacation ownership notes receivable, costs to support the financing, servicing and securitization processes and changes in expected credit losses related to acquired vacation ownership notes receivable. We distinguish consumer financing interest expense from all other interest expense because the debt associated with the consumer financing interest expense is considered to be an operating expense of our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Rental</w:t>
      </w:r>
    </w:p>
    <w:p>
      <w:pPr>
        <w:spacing w:after="0" w:line="6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In our Vacation Ownership segment, we operate a rental business to provide owner flexibility and to help mitigate carrying costs associated with our inventory. We obtain rental inventory and generate revenue from rentals of inventory that we hold for sale as interests in our vacation ownership programs, inventory that we control because our owners have elected alternative usage options permitted under our vacation ownership programs and rentals of unregistered inventory and owned-hotel properties. We also recognize rental revenue from the utilization of plus points at redemption for rental stays at one of our resorts or other third-party offerings. For rental revenues associated with VOIs which we own and which are registered and held for sale, to the extent that the revenues from rental are less than costs, revenues are reported net of rental expenses in accordance with Accounting Standards Codification (“ASC”) Topic 978, “</w:t>
      </w:r>
      <w:r>
        <w:rPr>
          <w:rFonts w:ascii="Times New Roman" w:cs="Times New Roman" w:eastAsia="Times New Roman" w:hAnsi="Times New Roman"/>
          <w:sz w:val="17"/>
          <w:szCs w:val="17"/>
          <w:i w:val="1"/>
          <w:iCs w:val="1"/>
          <w:color w:val="auto"/>
        </w:rPr>
        <w:t>Real Estate - Time-Sharing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Activities</w:t>
      </w:r>
      <w:r>
        <w:rPr>
          <w:rFonts w:ascii="Times New Roman" w:cs="Times New Roman" w:eastAsia="Times New Roman" w:hAnsi="Times New Roman"/>
          <w:sz w:val="17"/>
          <w:szCs w:val="17"/>
          <w:color w:val="auto"/>
        </w:rPr>
        <w:t>” (“ASC 978”). The rental activity associated with discounted vacation packages requiring a tour (“preview stays”) is not included in transient rental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metrics, and because the majority of these preview stays are sourced directly or indirectly from unsold inventory, the associated revenues and expenses are reported net in Marketing and sales expense.</w:t>
      </w:r>
    </w:p>
    <w:p>
      <w:pPr>
        <w:spacing w:after="0" w:line="7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our Exchange &amp; Third-Party Management segment, we offer vacation rental offers known as Getaways to members of the Interval Network and certain other membership programs. Getaways allows us to monetize excess availability of resort accommodations within the applicable exchange network, as well as provide additional vacation opportunities to members. Resort accommodations typically become available as Getaways as a result of seasonal oversupply or underutilized space in the applicable exchange program. We also source resort accommodations specifically for the Getaways program. Rental revenues associated with Getaways are reported net of related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Rental expenses include:</w:t>
      </w:r>
    </w:p>
    <w:p>
      <w:pPr>
        <w:spacing w:after="0" w:line="60" w:lineRule="exact"/>
        <w:rPr>
          <w:sz w:val="20"/>
          <w:szCs w:val="20"/>
          <w:color w:val="auto"/>
        </w:rPr>
      </w:pPr>
    </w:p>
    <w:p>
      <w:pPr>
        <w:ind w:left="300" w:hanging="298"/>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and other fees on unsold inventory;</w:t>
      </w:r>
    </w:p>
    <w:p>
      <w:pPr>
        <w:spacing w:after="0" w:line="60" w:lineRule="exact"/>
        <w:rPr>
          <w:rFonts w:ascii="Times New Roman" w:cs="Times New Roman" w:eastAsia="Times New Roman" w:hAnsi="Times New Roman"/>
          <w:sz w:val="17"/>
          <w:szCs w:val="17"/>
          <w:color w:val="auto"/>
        </w:rPr>
      </w:pPr>
    </w:p>
    <w:p>
      <w:pPr>
        <w:ind w:left="300" w:right="100" w:hanging="298"/>
        <w:spacing w:after="0" w:line="282" w:lineRule="auto"/>
        <w:tabs>
          <w:tab w:leader="none" w:pos="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provide alternative usage options, including Marriott Bonvoy points, World of Hyatt points, and offerings available as part of third-party offerings, for owners who elect to exchange their inventory; and</w:t>
      </w:r>
    </w:p>
    <w:p>
      <w:pPr>
        <w:spacing w:after="0" w:line="1" w:lineRule="exact"/>
        <w:rPr>
          <w:rFonts w:ascii="Times New Roman" w:cs="Times New Roman" w:eastAsia="Times New Roman" w:hAnsi="Times New Roman"/>
          <w:sz w:val="17"/>
          <w:szCs w:val="17"/>
          <w:color w:val="auto"/>
        </w:rPr>
      </w:pPr>
    </w:p>
    <w:p>
      <w:pPr>
        <w:ind w:left="300" w:right="180" w:hanging="298"/>
        <w:spacing w:after="0" w:line="283" w:lineRule="auto"/>
        <w:tabs>
          <w:tab w:leader="none" w:pos="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costs and direct operating and related expenses in connection with the rental business (such as housekeeping, labor costs, credit card expenses, and reservation services).</w:t>
      </w:r>
    </w:p>
    <w:p>
      <w:pPr>
        <w:spacing w:after="0" w:line="5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rental inventory on hand and keys allocated for preview stays. In addition, rental metrics may not correlate with rental revenues due to the requirement to report certain rental revenues net of rental expenses in accordance with ASC 978 (as discussed above). The “transient keys” metric represents the blended mix of inventory available for rent and includes all of the combined inventory configurations available in our resort system.</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color w:val="auto"/>
        </w:rPr>
        <w:t>Cost Reimbursements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Cost reimbursements include direct and indirect costs that are reimbursed to us by owners’ associations and customers under management contracts, which costs are principally payroll-related costs at the locations where we employ the associates providing on-site services, costs associated with property refurbishments (including those where we act as the project manager), and insurance costs. All costs reimbursed to us by owners’ associations and customers, with the exception of taxes assessed by a governmental authority, are reported on a gross basis. We recognize cost reimbursements when we incur the related reimbursable costs. Cost reimbursements consist of actual expenses with no added margin.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consists of all interest expense other than consumer financing interest expense, which is included within Financing expense, net of interest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Transaction and Integration Costs</w:t>
      </w:r>
    </w:p>
    <w:p>
      <w:pPr>
        <w:spacing w:after="0" w:line="6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Transaction and integration costs primarily include fees paid to change-management consultants, technology-related costs associated with the integrations of ILG and Welk and charges for employee retention, severance and other termination-related benefits. Transaction and integration costs also include costs related to the ILG and Welk Acquisitions, primarily for financial advisory, legal, and other professional service fees, as well as certain tax-related accruals. During the third quarter of 2023 and the second quarter of 2024, we discontinued classifying costs associated with the continued integration of ILG and Welk, respectively, in Transaction and integration costs. Further integration costs incurred after these periods are reflected in the operating results of each of our segments and/or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Measures</w:t>
      </w:r>
    </w:p>
    <w:p>
      <w:pPr>
        <w:spacing w:after="0" w:line="11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Management uses the following key performance metrics to assess the Company’s operational efficiency and market competitiveness, identify trends, develop financial projections, and support strategic decision-making. Management continuously monitors and analyzes these metrics to help ensure that the Company remains responsive to changing market conditions and aligned with our long-term growth objectives. The definitions and methodologies of certain of these metrics may differ from those used by other companies, and as a result, these metrics may not be directly comparable to similarly titled measures reported by other companies.</w:t>
      </w:r>
    </w:p>
    <w:p>
      <w:pPr>
        <w:spacing w:after="0" w:line="67" w:lineRule="exact"/>
        <w:rPr>
          <w:sz w:val="20"/>
          <w:szCs w:val="20"/>
          <w:color w:val="auto"/>
        </w:rPr>
      </w:pPr>
    </w:p>
    <w:p>
      <w:pPr>
        <w:ind w:left="300" w:hanging="144"/>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Contract sales from the sale of VOIs </w:t>
      </w:r>
      <w:r>
        <w:rPr>
          <w:rFonts w:ascii="Times New Roman" w:cs="Times New Roman" w:eastAsia="Times New Roman" w:hAnsi="Times New Roman"/>
          <w:sz w:val="17"/>
          <w:szCs w:val="17"/>
          <w:color w:val="auto"/>
        </w:rPr>
        <w:t>reflects the pace of sales in our business.</w:t>
      </w:r>
    </w:p>
    <w:p>
      <w:pPr>
        <w:spacing w:after="0" w:line="115" w:lineRule="exact"/>
        <w:rPr>
          <w:rFonts w:ascii="Times New Roman" w:cs="Times New Roman" w:eastAsia="Times New Roman" w:hAnsi="Times New Roman"/>
          <w:sz w:val="17"/>
          <w:szCs w:val="17"/>
          <w:color w:val="auto"/>
        </w:rPr>
      </w:pPr>
    </w:p>
    <w:p>
      <w:pPr>
        <w:ind w:left="620" w:hanging="157"/>
        <w:spacing w:after="0"/>
        <w:tabs>
          <w:tab w:leader="none" w:pos="6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 sales include contract sales from the sale of vacation ownership products, including non-consolidated joint ventures.</w:t>
      </w:r>
    </w:p>
    <w:p>
      <w:pPr>
        <w:spacing w:after="0" w:line="111" w:lineRule="exact"/>
        <w:rPr>
          <w:rFonts w:ascii="Times New Roman" w:cs="Times New Roman" w:eastAsia="Times New Roman" w:hAnsi="Times New Roman"/>
          <w:sz w:val="17"/>
          <w:szCs w:val="17"/>
          <w:color w:val="auto"/>
        </w:rPr>
      </w:pPr>
    </w:p>
    <w:p>
      <w:pPr>
        <w:ind w:left="620" w:hanging="157"/>
        <w:spacing w:after="0"/>
        <w:tabs>
          <w:tab w:leader="none" w:pos="6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contract sales exclude contract sales from the sale of vacation ownership products for non-consolidated joint ventures.</w:t>
      </w:r>
    </w:p>
    <w:p>
      <w:pPr>
        <w:spacing w:after="0" w:line="107" w:lineRule="exact"/>
        <w:rPr>
          <w:rFonts w:ascii="Times New Roman" w:cs="Times New Roman" w:eastAsia="Times New Roman" w:hAnsi="Times New Roman"/>
          <w:sz w:val="17"/>
          <w:szCs w:val="17"/>
          <w:color w:val="auto"/>
        </w:rPr>
      </w:pPr>
    </w:p>
    <w:p>
      <w:pPr>
        <w:ind w:left="300" w:right="20" w:hanging="144"/>
        <w:spacing w:after="0" w:line="269" w:lineRule="auto"/>
        <w:tabs>
          <w:tab w:leader="none" w:pos="2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Volume per guest </w:t>
      </w:r>
      <w:r>
        <w:rPr>
          <w:rFonts w:ascii="Times New Roman" w:cs="Times New Roman" w:eastAsia="Times New Roman" w:hAnsi="Times New Roman"/>
          <w:sz w:val="17"/>
          <w:szCs w:val="17"/>
          <w:color w:val="auto"/>
        </w:rPr>
        <w:t>(“VPG”) is calculated as consolidated vacation ownership contract sales, excluding fractional sales, telesales, resales, and other sales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attributed to a sales tour (collectively, “Tours”) divided by the number of Tours conducted during the applicable period. We believe that VPG is a key driver of profitability as it reflects both the average contract price and the effectiveness of converting touring guests into purchasers.</w:t>
      </w:r>
    </w:p>
    <w:p>
      <w:pPr>
        <w:spacing w:after="0" w:line="58" w:lineRule="exact"/>
        <w:rPr>
          <w:rFonts w:ascii="Times New Roman" w:cs="Times New Roman" w:eastAsia="Times New Roman" w:hAnsi="Times New Roman"/>
          <w:sz w:val="17"/>
          <w:szCs w:val="17"/>
          <w:color w:val="auto"/>
        </w:rPr>
      </w:pPr>
    </w:p>
    <w:p>
      <w:pPr>
        <w:ind w:left="300" w:right="220" w:hanging="144"/>
        <w:spacing w:after="0" w:line="288" w:lineRule="auto"/>
        <w:tabs>
          <w:tab w:leader="none" w:pos="2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Tours </w:t>
      </w:r>
      <w:r>
        <w:rPr>
          <w:rFonts w:ascii="Times New Roman" w:cs="Times New Roman" w:eastAsia="Times New Roman" w:hAnsi="Times New Roman"/>
          <w:sz w:val="17"/>
          <w:szCs w:val="17"/>
          <w:color w:val="auto"/>
        </w:rPr>
        <w:t>is defined as the number of sales tours conducted during the applicable period, including virtual and offsite sales tours and excludes telesales. We view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Tours as an important indicator of touring guest volume.</w:t>
      </w:r>
    </w:p>
    <w:p>
      <w:pPr>
        <w:spacing w:after="0" w:line="42" w:lineRule="exact"/>
        <w:rPr>
          <w:rFonts w:ascii="Times New Roman" w:cs="Times New Roman" w:eastAsia="Times New Roman" w:hAnsi="Times New Roman"/>
          <w:sz w:val="17"/>
          <w:szCs w:val="17"/>
          <w:color w:val="auto"/>
        </w:rPr>
      </w:pPr>
    </w:p>
    <w:p>
      <w:pPr>
        <w:ind w:left="300" w:right="60" w:hanging="144"/>
        <w:spacing w:after="0" w:line="263" w:lineRule="auto"/>
        <w:tabs>
          <w:tab w:leader="none" w:pos="296"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Development profit margin </w:t>
      </w:r>
      <w:r>
        <w:rPr>
          <w:rFonts w:ascii="Times New Roman" w:cs="Times New Roman" w:eastAsia="Times New Roman" w:hAnsi="Times New Roman"/>
          <w:sz w:val="17"/>
          <w:szCs w:val="17"/>
          <w:color w:val="auto"/>
        </w:rPr>
        <w:t>is calculated as Development profit divided by revenues from the sale of vacation ownership products. Development profit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represents revenues from the sale of vacation ownership products, net of the cost of vacation ownership products and related marketing and sales costs. We believe that Development profit margin is a key indicator of the profitability of our development activities and the effectiveness of its associated marketing and sales efforts.</w:t>
      </w:r>
    </w:p>
    <w:p>
      <w:pPr>
        <w:spacing w:after="0" w:line="64" w:lineRule="exact"/>
        <w:rPr>
          <w:rFonts w:ascii="Times New Roman" w:cs="Times New Roman" w:eastAsia="Times New Roman" w:hAnsi="Times New Roman"/>
          <w:sz w:val="17"/>
          <w:szCs w:val="17"/>
          <w:i w:val="1"/>
          <w:iCs w:val="1"/>
          <w:color w:val="auto"/>
        </w:rPr>
      </w:pPr>
    </w:p>
    <w:p>
      <w:pPr>
        <w:ind w:left="300" w:right="60" w:hanging="144"/>
        <w:spacing w:after="0" w:line="288" w:lineRule="auto"/>
        <w:tabs>
          <w:tab w:leader="none" w:pos="2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Total active members </w:t>
      </w:r>
      <w:r>
        <w:rPr>
          <w:rFonts w:ascii="Times New Roman" w:cs="Times New Roman" w:eastAsia="Times New Roman" w:hAnsi="Times New Roman"/>
          <w:sz w:val="17"/>
          <w:szCs w:val="17"/>
          <w:color w:val="auto"/>
        </w:rPr>
        <w:t>represents the number of active members of the Interval Network active members as of the end of the applicable period. We consider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metric to be an important indicator of the size of the member base eligible to transact within the Interval Network.</w:t>
      </w:r>
    </w:p>
    <w:p>
      <w:pPr>
        <w:spacing w:after="0" w:line="42" w:lineRule="exact"/>
        <w:rPr>
          <w:rFonts w:ascii="Times New Roman" w:cs="Times New Roman" w:eastAsia="Times New Roman" w:hAnsi="Times New Roman"/>
          <w:sz w:val="17"/>
          <w:szCs w:val="17"/>
          <w:color w:val="auto"/>
        </w:rPr>
      </w:pPr>
    </w:p>
    <w:p>
      <w:pPr>
        <w:ind w:left="300" w:right="200" w:hanging="144"/>
        <w:spacing w:after="0" w:line="288" w:lineRule="auto"/>
        <w:tabs>
          <w:tab w:leader="none" w:pos="2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Average revenue per member </w:t>
      </w:r>
      <w:r>
        <w:rPr>
          <w:rFonts w:ascii="Times New Roman" w:cs="Times New Roman" w:eastAsia="Times New Roman" w:hAnsi="Times New Roman"/>
          <w:sz w:val="17"/>
          <w:szCs w:val="17"/>
          <w:color w:val="auto"/>
        </w:rPr>
        <w:t>is calculated by dividing membership fee revenue, transaction revenue, rental revenue, and other member revenue generated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Interval Network by the monthly weighted average number of active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2" w:right="359"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7"/>
          <w:szCs w:val="17"/>
          <w:color w:val="auto"/>
        </w:rPr>
        <w:t>members of the Interval Network during the applicable period. We believe this metric is a meaningful indicator of member engagement.</w:t>
      </w:r>
    </w:p>
    <w:p>
      <w:pPr>
        <w:spacing w:after="0" w:line="108" w:lineRule="exact"/>
        <w:rPr>
          <w:sz w:val="20"/>
          <w:szCs w:val="20"/>
          <w:color w:val="auto"/>
        </w:rPr>
      </w:pPr>
    </w:p>
    <w:p>
      <w:pPr>
        <w:ind w:left="300" w:right="280" w:hanging="144"/>
        <w:spacing w:after="0" w:line="263" w:lineRule="auto"/>
        <w:tabs>
          <w:tab w:leader="none" w:pos="2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Segment financial results attributable to common stockholders </w:t>
      </w:r>
      <w:r>
        <w:rPr>
          <w:rFonts w:ascii="Times New Roman" w:cs="Times New Roman" w:eastAsia="Times New Roman" w:hAnsi="Times New Roman"/>
          <w:sz w:val="17"/>
          <w:szCs w:val="17"/>
          <w:color w:val="auto"/>
        </w:rPr>
        <w:t>reflects revenues less expenses that are directly attributable to each respective reportable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segment (Vacation Ownership and Exchange &amp; Third-Party Management). We believe this measure provides meaningful insight into the operating performance of our reportable business segments. See Footnote 19 “Business Segments” to our Financial Statements for further information about our reportable business segments.</w:t>
      </w:r>
    </w:p>
    <w:p>
      <w:pPr>
        <w:spacing w:after="0" w:line="64" w:lineRule="exact"/>
        <w:rPr>
          <w:rFonts w:ascii="Times New Roman" w:cs="Times New Roman" w:eastAsia="Times New Roman" w:hAnsi="Times New Roman"/>
          <w:sz w:val="17"/>
          <w:szCs w:val="17"/>
          <w:color w:val="auto"/>
        </w:rPr>
      </w:pPr>
    </w:p>
    <w:p>
      <w:pPr>
        <w:ind w:left="300" w:hanging="144"/>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Adjusted EBITDA margin </w:t>
      </w:r>
      <w:r>
        <w:rPr>
          <w:rFonts w:ascii="Times New Roman" w:cs="Times New Roman" w:eastAsia="Times New Roman" w:hAnsi="Times New Roman"/>
          <w:sz w:val="17"/>
          <w:szCs w:val="17"/>
          <w:color w:val="auto"/>
        </w:rPr>
        <w:t>is calculated as Adjusted EBITDA divided by the Company’s total revenues less cost reimbursements revenues.</w:t>
      </w:r>
    </w:p>
    <w:p>
      <w:pPr>
        <w:spacing w:after="0" w:line="111" w:lineRule="exact"/>
        <w:rPr>
          <w:rFonts w:ascii="Times New Roman" w:cs="Times New Roman" w:eastAsia="Times New Roman" w:hAnsi="Times New Roman"/>
          <w:sz w:val="17"/>
          <w:szCs w:val="17"/>
          <w:color w:val="auto"/>
        </w:rPr>
      </w:pPr>
    </w:p>
    <w:p>
      <w:pPr>
        <w:ind w:left="300" w:right="280" w:hanging="144"/>
        <w:spacing w:after="0" w:line="288" w:lineRule="auto"/>
        <w:tabs>
          <w:tab w:leader="none" w:pos="2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Segment Adjusted EBITDA margin </w:t>
      </w:r>
      <w:r>
        <w:rPr>
          <w:rFonts w:ascii="Times New Roman" w:cs="Times New Roman" w:eastAsia="Times New Roman" w:hAnsi="Times New Roman"/>
          <w:sz w:val="17"/>
          <w:szCs w:val="17"/>
          <w:color w:val="auto"/>
        </w:rPr>
        <w:t>is calculated as Segment Adjusted EBITDA divided by the respective segment’s total revenues less cost reimbursements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 Priorities</w:t>
      </w:r>
    </w:p>
    <w:p>
      <w:pPr>
        <w:spacing w:after="0" w:line="11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Our management priorities for 2026 are centered on driving stronger profitability and improving cash flow. We are focused on reshaping the quality and composition of our tours, tightening our cost structure, and refining our global development strategy. We expect that delivering higher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quality tours via various initiatives will increase VPGs while reducing default rates on newly originated vacation ownership notes receivable. For example, we are using FICO scores to pre-qualify prospective purchasers and focusing on increasing in-house capture rates, which has historically been one of our highest VPG channels. Additional priorities include reducing overhead, focusing on marketing and sales talent, delaying modernization projects to manage cash flow, monetizing certain non-core assets on our balance sheet, and managing maintenance fee increases for each of our vacation ownership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Asia Pacific Strategy Change</w:t>
      </w:r>
    </w:p>
    <w:p>
      <w:pPr>
        <w:spacing w:after="0" w:line="116" w:lineRule="exact"/>
        <w:rPr>
          <w:sz w:val="20"/>
          <w:szCs w:val="20"/>
          <w:color w:val="auto"/>
        </w:rPr>
      </w:pPr>
    </w:p>
    <w:p>
      <w:pPr>
        <w:ind w:right="40"/>
        <w:spacing w:after="0" w:line="207" w:lineRule="exact"/>
        <w:rPr>
          <w:sz w:val="20"/>
          <w:szCs w:val="20"/>
          <w:color w:val="auto"/>
        </w:rPr>
      </w:pPr>
      <w:r>
        <w:rPr>
          <w:rFonts w:ascii="Times New Roman" w:cs="Times New Roman" w:eastAsia="Times New Roman" w:hAnsi="Times New Roman"/>
          <w:sz w:val="17"/>
          <w:szCs w:val="17"/>
          <w:color w:val="auto"/>
        </w:rPr>
        <w:t>A key element of our revised strategy relates to our Asia Pacific business, where we have experienced lower returns than expected, partially due to higher defaults that are primarily driven by customers from newer source markets. To address these dynamics, we are scaling back growth expectations and right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sizing our business in the region. This includes reducing tours for first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buyers in select countries, reducing headcount in the region, deferring the purchase of the next phase of our resort in Khao Lak, Thailand, and canceling a purchase commitment for inventory in Bali. Collectively, these actions are designed to concentrate our efforts on markets with the greatest potential to drive profitability and cash flow and resulted in Restructuring expense in our Vacation Ownership segment. We also recorded a non-cash impairment for vacation ownership units in Khao Lak, Thailand primarily attributed to the elongation of the pace of sales and changes in our marketing approach.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Development Strategy Change</w:t>
      </w:r>
    </w:p>
    <w:p>
      <w:pPr>
        <w:spacing w:after="0" w:line="11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As part of our broader financial strategic review, we conducted a comprehensive review to assess the strategic alignment of inventory and property and equipment within our North America vacation ownership business. This review focused on assessing inventory needs in light of our current inventory position and identifying opportunities to monetize non-core assets. The outcome of this review represented an indicator of impairment for certain assets. As a result of our impairment analysis, we recorded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cash impairment related to assets associated with future phases of our existing resorts that we no longer plan to further develop. The carrying values of the assets associated with these resorts exceeded their estimated fair values because the carrying values included historical allocations of common infrastructure costs incurred when we built the resorts. In addition, we recorded a non-cash impairment related to certain property and equipment identified for disposition in our Vacation Ownership segment.</w:t>
      </w:r>
    </w:p>
    <w:p>
      <w:pPr>
        <w:spacing w:after="0" w:line="87"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7"/>
          <w:szCs w:val="17"/>
          <w:color w:val="auto"/>
        </w:rPr>
        <w:t>We expect to generate between $250 million and $300 million of net cash proceeds over a two year period from the disposition of certain non-core property and equipment and other assets, including $50 million from the disposition of the Cancun hotel in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4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7"/>
                <w:szCs w:val="17"/>
                <w:color w:val="auto"/>
              </w:rPr>
              <w:t>Litigation charges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line="243" w:lineRule="exact"/>
              <w:rPr>
                <w:sz w:val="20"/>
                <w:szCs w:val="20"/>
                <w:color w:val="auto"/>
              </w:rPr>
            </w:pPr>
            <w:r>
              <w:rPr>
                <w:rFonts w:ascii="Times New Roman" w:cs="Times New Roman" w:eastAsia="Times New Roman" w:hAnsi="Times New Roman"/>
                <w:sz w:val="17"/>
                <w:szCs w:val="17"/>
                <w:color w:val="auto"/>
              </w:rPr>
              <w:t>Modernization</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7"/>
                <w:szCs w:val="17"/>
                <w:color w:val="auto"/>
              </w:rPr>
              <w:t>Restructuring</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4,191</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Gains (losses) and other income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46"/>
        </w:trPr>
        <w:tc>
          <w:tcPr>
            <w:tcW w:w="410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(LOSS) INCOME BEFORE INCOME TAXES AND</w:t>
            </w: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46"/>
        </w:trPr>
        <w:tc>
          <w:tcPr>
            <w:tcW w:w="4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NET (LOSS) INCOME ATTRIBUTABLE TO</w:t>
            </w:r>
          </w:p>
        </w:tc>
        <w:tc>
          <w:tcPr>
            <w:tcW w:w="30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4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0" w:type="dxa"/>
            <w:vAlign w:val="bottom"/>
          </w:tcPr>
          <w:p>
            <w:pPr>
              <w:spacing w:after="0"/>
              <w:rPr>
                <w:sz w:val="1"/>
                <w:szCs w:val="1"/>
                <w:color w:val="auto"/>
              </w:rPr>
            </w:pPr>
          </w:p>
        </w:tc>
      </w:tr>
      <w:tr>
        <w:trPr>
          <w:trHeight w:val="22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40" w:hanging="238"/>
        <w:spacing w:after="0"/>
        <w:tabs>
          <w:tab w:leader="none" w:pos="24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year amounts have been reclassified to conform with our current year presentation.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Statistics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(Contract sales $ in millions)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20" w:type="dxa"/>
            <w:vAlign w:val="bottom"/>
            <w:tcBorders>
              <w:bottom w:val="single" w:sz="8" w:color="auto"/>
            </w:tcBorders>
          </w:tcPr>
          <w:p>
            <w:pPr>
              <w:spacing w:after="0"/>
              <w:rPr>
                <w:sz w:val="17"/>
                <w:szCs w:val="17"/>
                <w:color w:val="auto"/>
              </w:rPr>
            </w:pPr>
          </w:p>
        </w:tc>
      </w:tr>
      <w:tr>
        <w:trPr>
          <w:trHeight w:val="22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Vacation Ownership</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43"/>
        </w:trPr>
        <w:tc>
          <w:tcPr>
            <w:tcW w:w="3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Consolidated contract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(51)</w:t>
            </w:r>
          </w:p>
        </w:tc>
        <w:tc>
          <w:tcPr>
            <w:tcW w:w="62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w w:val="99"/>
              </w:rPr>
              <w:t>(3%)</w:t>
            </w:r>
          </w:p>
        </w:tc>
      </w:tr>
      <w:tr>
        <w:trPr>
          <w:trHeight w:val="243"/>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VPG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(117)</w:t>
            </w:r>
          </w:p>
        </w:tc>
        <w:tc>
          <w:tcPr>
            <w:tcW w:w="6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9"/>
              </w:rPr>
              <w:t>(3%)</w:t>
            </w:r>
          </w:p>
        </w:tc>
      </w:tr>
      <w:tr>
        <w:trPr>
          <w:trHeight w:val="243"/>
        </w:trPr>
        <w:tc>
          <w:tcPr>
            <w:tcW w:w="3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Tours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431,974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405,825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(742)</w:t>
            </w:r>
          </w:p>
        </w:tc>
        <w:tc>
          <w:tcPr>
            <w:tcW w:w="62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43"/>
        </w:trPr>
        <w:tc>
          <w:tcPr>
            <w:tcW w:w="3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active members at end of period (000's)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(39)</w:t>
            </w:r>
          </w:p>
        </w:tc>
        <w:tc>
          <w:tcPr>
            <w:tcW w:w="62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w w:val="99"/>
              </w:rPr>
              <w:t>(2%)</w:t>
            </w:r>
          </w:p>
        </w:tc>
      </w:tr>
      <w:tr>
        <w:trPr>
          <w:trHeight w:val="243"/>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Average revenue per member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(3.83)</w:t>
            </w:r>
          </w:p>
        </w:tc>
        <w:tc>
          <w:tcPr>
            <w:tcW w:w="6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9"/>
              </w:rPr>
              <w:t>(2%)</w:t>
            </w:r>
          </w:p>
        </w:tc>
      </w:tr>
    </w:tbl>
    <w:p>
      <w:pPr>
        <w:spacing w:after="0" w:line="200" w:lineRule="exact"/>
        <w:rPr>
          <w:sz w:val="20"/>
          <w:szCs w:val="20"/>
          <w:color w:val="auto"/>
        </w:rPr>
      </w:pPr>
    </w:p>
    <w:p>
      <w:pPr>
        <w:sectPr>
          <w:pgSz w:w="11900" w:h="16838" w:orient="portrait"/>
          <w:cols w:equalWidth="0" w:num="1">
            <w:col w:w="10139"/>
          </w:cols>
          <w:pgMar w:left="320" w:top="134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47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1347" w:right="1440"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right="17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left="23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3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jc w:val="right"/>
              <w:ind w:right="115"/>
              <w:spacing w:after="0"/>
              <w:rPr>
                <w:sz w:val="20"/>
                <w:szCs w:val="20"/>
                <w:color w:val="auto"/>
              </w:rPr>
            </w:pPr>
            <w:r>
              <w:rPr>
                <w:rFonts w:ascii="Times New Roman" w:cs="Times New Roman" w:eastAsia="Times New Roman" w:hAnsi="Times New Roman"/>
                <w:sz w:val="17"/>
                <w:szCs w:val="17"/>
                <w:color w:val="auto"/>
              </w:rPr>
              <w:t>(8%)</w:t>
            </w:r>
          </w:p>
        </w:tc>
      </w:tr>
      <w:tr>
        <w:trPr>
          <w:trHeight w:val="23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Revenues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Consolidated Property Owners’ Associations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jc w:val="right"/>
              <w:ind w:right="155"/>
              <w:spacing w:after="0"/>
              <w:rPr>
                <w:sz w:val="20"/>
                <w:szCs w:val="20"/>
                <w:color w:val="auto"/>
              </w:rPr>
            </w:pPr>
            <w:r>
              <w:rPr>
                <w:rFonts w:ascii="Times New Roman" w:cs="Times New Roman" w:eastAsia="Times New Roman" w:hAnsi="Times New Roman"/>
                <w:sz w:val="17"/>
                <w:szCs w:val="17"/>
                <w:color w:val="auto"/>
              </w:rPr>
              <w:t>NM</w:t>
            </w:r>
          </w:p>
        </w:tc>
      </w:tr>
      <w:tr>
        <w:trPr>
          <w:trHeight w:val="235"/>
        </w:trPr>
        <w:tc>
          <w:tcPr>
            <w:tcW w:w="3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Before Interest Expense, Taxes, Depreciation and Amortization (“EBITDA”) and Adjusted EBITDA</w:t>
      </w:r>
    </w:p>
    <w:p>
      <w:pPr>
        <w:spacing w:after="0" w:line="1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EBITDA, a financial measure that is not prescribed by GAAP, is defined as earnings, or net income or loss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and amortization of cloud computing software implementation costs. Share-based compensation expense is excluded to address considerable variability among companies in recording compensation expense because companies use share-based payment awards differently, both in the type and quantity of awards granted. During the first quarter of 2025, we began excluding amortization of cloud computing software implementation costs, which are not included in depreciation and amortization, from Adjusted EBITDA for comparability purposes to address the considerable variability among companies in the utilization of productive assets, and have reclassified prior year amounts to conform with our current year presentation.</w:t>
      </w:r>
    </w:p>
    <w:p>
      <w:pPr>
        <w:spacing w:after="0" w:line="7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For purposes of our EBITDA, Adjusted EBITDA, and Adjusted EBITDA margin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consider Adjusted EBITDA margin to be an indicator of our operating profitability.</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We also use Adjusted EBITDA and Adjusted EBITDA margin,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Adjusted EBITDA, and Adjusted EBITDA margin also exclude depreciation and amortization as well as amortization of cloud computing software implementation costs because companies utilize productive assets of different ages and use different methods of both acquiring and depreciating or amortizing productive assets. These differences can result in considerable variability in the relative costs of productive assets and the depreciation and amortization expense among companies.</w:t>
      </w:r>
    </w:p>
    <w:p>
      <w:pPr>
        <w:spacing w:after="0" w:line="7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believe Adjusted EBITDA and Adjusted EBITDA margin are useful as indicators of operating performance and profitability, respectively, because they allow for period-over-period comparisons of our ongoing core operations before the impact of the excluded items. Adjusted EBITDA and Adjusted EBITDA margin also facilitate comparisons by us, analysts, investors, and others of results from our ongoing core operations before the impact of these items with results from other companies.</w:t>
      </w:r>
    </w:p>
    <w:p>
      <w:pPr>
        <w:spacing w:after="0" w:line="6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EBITDA, Adjusted EBITDA, and Adjusted EBITDA margin have limitations and should not be considered in isolation or as a substitute for performance measures calculated in accordance with GAAP. In addition, other companies in our industry may calculate EBITDA, Adjusted EBITDA, and Adjusted EBITDA margin differently than we do or may not calculate them at all, limiting their usefulness as comparative measures.</w:t>
      </w:r>
    </w:p>
    <w:p>
      <w:pPr>
        <w:spacing w:after="0" w:line="6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Additionally, during 2025, we reclassified $6 million of certain amounts related to ongoing litigation from General and administrative expense to Litigation charges in order to conform our 2024 results with our current year presentation.</w:t>
      </w:r>
    </w:p>
    <w:p>
      <w:pPr>
        <w:spacing w:after="0" w:line="51"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color w:val="auto"/>
        </w:rPr>
        <w:t>Commencing in 2026, interest expense associated with our Warehouse Credit Facility will be included as a component of Consumer financing interest expense within Financing expense. Interest expense on our Warehouse Credit Facility was $13 million and $10 million for the years ended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142" w:right="399" w:bottom="1440" w:gutter="0" w:footer="0" w:header="0"/>
        </w:sectPr>
      </w:pPr>
    </w:p>
    <w:bookmarkStart w:id="49" w:name="page50"/>
    <w:bookmarkEnd w:id="49"/>
    <w:p>
      <w:pPr>
        <w:spacing w:after="0" w:line="283" w:lineRule="auto"/>
        <w:rPr>
          <w:sz w:val="20"/>
          <w:szCs w:val="20"/>
          <w:color w:val="auto"/>
        </w:rPr>
      </w:pPr>
      <w:r>
        <w:rPr>
          <w:rFonts w:ascii="Times New Roman" w:cs="Times New Roman" w:eastAsia="Times New Roman" w:hAnsi="Times New Roman"/>
          <w:sz w:val="17"/>
          <w:szCs w:val="17"/>
          <w:color w:val="auto"/>
        </w:rPr>
        <w:t>The table below shows our EBITDA and Adjusted EBITDA calculation and reconciles these measures with net income or loss attributable to common stockholders, which is the most directly comparable GAAP financial measure.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0" w:type="dxa"/>
            <w:vAlign w:val="bottom"/>
          </w:tcPr>
          <w:p>
            <w:pPr>
              <w:spacing w:after="0"/>
              <w:rPr>
                <w:sz w:val="1"/>
                <w:szCs w:val="1"/>
                <w:color w:val="auto"/>
              </w:rPr>
            </w:pPr>
          </w:p>
        </w:tc>
      </w:tr>
      <w:tr>
        <w:trPr>
          <w:trHeight w:val="19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216"/>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5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color w:val="auto"/>
              </w:rPr>
              <w:t>Net (loss) income attributable to common</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40" w:type="dxa"/>
            <w:vAlign w:val="bottom"/>
          </w:tcPr>
          <w:p>
            <w:pPr>
              <w:spacing w:after="0"/>
              <w:rPr>
                <w:sz w:val="21"/>
                <w:szCs w:val="21"/>
                <w:color w:val="auto"/>
              </w:rPr>
            </w:pPr>
          </w:p>
        </w:tc>
        <w:tc>
          <w:tcPr>
            <w:tcW w:w="60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6"/>
              </w:rPr>
              <w:t>4%</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jc w:val="center"/>
              <w:ind w:right="135"/>
              <w:spacing w:after="0"/>
              <w:rPr>
                <w:sz w:val="20"/>
                <w:szCs w:val="20"/>
                <w:color w:val="auto"/>
              </w:rPr>
            </w:pPr>
            <w:r>
              <w:rPr>
                <w:rFonts w:ascii="Times New Roman" w:cs="Times New Roman" w:eastAsia="Times New Roman" w:hAnsi="Times New Roman"/>
                <w:sz w:val="17"/>
                <w:szCs w:val="17"/>
                <w:color w:val="auto"/>
                <w:w w:val="96"/>
              </w:rPr>
              <w:t>3%</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tcPr>
          <w:p>
            <w:pPr>
              <w:spacing w:after="0"/>
              <w:rPr>
                <w:sz w:val="21"/>
                <w:szCs w:val="21"/>
                <w:color w:val="auto"/>
              </w:rPr>
            </w:pPr>
          </w:p>
        </w:tc>
        <w:tc>
          <w:tcPr>
            <w:tcW w:w="60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66"/>
        </w:trPr>
        <w:tc>
          <w:tcPr>
            <w:tcW w:w="35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Amortization of cloud computing software</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implementation costs</w:t>
            </w:r>
            <w:r>
              <w:rPr>
                <w:rFonts w:ascii="Times New Roman" w:cs="Times New Roman" w:eastAsia="Times New Roman" w:hAnsi="Times New Roman"/>
                <w:sz w:val="22"/>
                <w:szCs w:val="22"/>
                <w:color w:val="auto"/>
                <w:vertAlign w:val="superscript"/>
              </w:rPr>
              <w:t>(1)(2)</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7"/>
                <w:szCs w:val="17"/>
                <w:color w:val="auto"/>
              </w:rPr>
              <w:t>Certain items</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3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2"/>
                <w:szCs w:val="22"/>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6"/>
              </w:rPr>
              <w:t>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Margin</w:t>
            </w:r>
            <w:r>
              <w:rPr>
                <w:rFonts w:ascii="Times New Roman" w:cs="Times New Roman" w:eastAsia="Times New Roman" w:hAnsi="Times New Roman"/>
                <w:sz w:val="22"/>
                <w:szCs w:val="22"/>
                <w:b w:val="1"/>
                <w:bCs w:val="1"/>
                <w:color w:val="auto"/>
                <w:vertAlign w:val="superscript"/>
              </w:rPr>
              <w:t>(1)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5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center"/>
              <w:ind w:left="216"/>
              <w:spacing w:after="0"/>
              <w:rPr>
                <w:sz w:val="20"/>
                <w:szCs w:val="20"/>
                <w:color w:val="auto"/>
              </w:rPr>
            </w:pPr>
            <w:r>
              <w:rPr>
                <w:rFonts w:ascii="Times New Roman" w:cs="Times New Roman" w:eastAsia="Times New Roman" w:hAnsi="Times New Roman"/>
                <w:sz w:val="17"/>
                <w:szCs w:val="17"/>
                <w:color w:val="auto"/>
              </w:rPr>
              <w:t>0.0 pts</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40" w:hanging="238"/>
        <w:spacing w:after="0"/>
        <w:tabs>
          <w:tab w:leader="none" w:pos="24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year amounts have been reclassified to conform with our current year presentation.</w:t>
      </w:r>
    </w:p>
    <w:p>
      <w:pPr>
        <w:spacing w:after="0" w:line="51" w:lineRule="exact"/>
        <w:rPr>
          <w:rFonts w:ascii="Times New Roman" w:cs="Times New Roman" w:eastAsia="Times New Roman" w:hAnsi="Times New Roman"/>
          <w:sz w:val="22"/>
          <w:szCs w:val="22"/>
          <w:color w:val="auto"/>
          <w:vertAlign w:val="superscript"/>
        </w:rPr>
      </w:pPr>
    </w:p>
    <w:p>
      <w:pPr>
        <w:ind w:left="300" w:right="180" w:hanging="298"/>
        <w:spacing w:after="0" w:line="218" w:lineRule="auto"/>
        <w:tabs>
          <w:tab w:leader="none" w:pos="233"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first quarter of 2025, we began excluding Amortization of cloud computing software implementation costs, which are not included in Depreciation and amortization, from Adjusted EBITDA, and have reclassified prior year amounts to conform with our current year presentation.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components of Certain items for fiscal years 2025 and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380" w:type="dxa"/>
            <w:vAlign w:val="bottom"/>
            <w:tcBorders>
              <w:bottom w:val="single" w:sz="8" w:color="auto"/>
            </w:tcBorders>
          </w:tcPr>
          <w:p>
            <w:pPr>
              <w:spacing w:after="0"/>
              <w:rPr>
                <w:sz w:val="17"/>
                <w:szCs w:val="17"/>
                <w:color w:val="auto"/>
              </w:rPr>
            </w:pPr>
          </w:p>
        </w:tc>
      </w:tr>
      <w:tr>
        <w:trPr>
          <w:trHeight w:val="19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24"/>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disposition of hotel, land, and other</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rPr>
              <w:t>(8)</w:t>
            </w:r>
          </w:p>
        </w:tc>
      </w:tr>
      <w:tr>
        <w:trPr>
          <w:trHeight w:val="243"/>
        </w:trPr>
        <w:tc>
          <w:tcPr>
            <w:tcW w:w="4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(gain) loss</w:t>
            </w:r>
          </w:p>
        </w:tc>
        <w:tc>
          <w:tcPr>
            <w:tcW w:w="320" w:type="dxa"/>
            <w:vAlign w:val="bottom"/>
          </w:tcPr>
          <w:p>
            <w:pPr>
              <w:spacing w:after="0"/>
              <w:rPr>
                <w:sz w:val="21"/>
                <w:szCs w:val="21"/>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(22)</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996"/>
              <w:spacing w:after="0"/>
              <w:rPr>
                <w:sz w:val="20"/>
                <w:szCs w:val="20"/>
                <w:color w:val="auto"/>
              </w:rPr>
            </w:pPr>
            <w:r>
              <w:rPr>
                <w:rFonts w:ascii="Times New Roman" w:cs="Times New Roman" w:eastAsia="Times New Roman" w:hAnsi="Times New Roman"/>
                <w:sz w:val="17"/>
                <w:szCs w:val="17"/>
                <w:color w:val="auto"/>
              </w:rPr>
              <w:t>13</w:t>
            </w:r>
          </w:p>
        </w:tc>
      </w:tr>
      <w:tr>
        <w:trPr>
          <w:trHeight w:val="243"/>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Insurance proceeds</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(16)</w:t>
            </w: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rPr>
              <w:t>(5)</w:t>
            </w:r>
          </w:p>
        </w:tc>
      </w:tr>
      <w:tr>
        <w:trPr>
          <w:trHeight w:val="243"/>
        </w:trPr>
        <w:tc>
          <w:tcPr>
            <w:tcW w:w="4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indemnification asset</w:t>
            </w:r>
          </w:p>
        </w:tc>
        <w:tc>
          <w:tcPr>
            <w:tcW w:w="320" w:type="dxa"/>
            <w:vAlign w:val="bottom"/>
          </w:tcPr>
          <w:p>
            <w:pPr>
              <w:spacing w:after="0"/>
              <w:rPr>
                <w:sz w:val="21"/>
                <w:szCs w:val="21"/>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(4)</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996"/>
              <w:spacing w:after="0"/>
              <w:rPr>
                <w:sz w:val="20"/>
                <w:szCs w:val="20"/>
                <w:color w:val="auto"/>
              </w:rPr>
            </w:pPr>
            <w:r>
              <w:rPr>
                <w:rFonts w:ascii="Times New Roman" w:cs="Times New Roman" w:eastAsia="Times New Roman" w:hAnsi="Times New Roman"/>
                <w:sz w:val="17"/>
                <w:szCs w:val="17"/>
                <w:color w:val="auto"/>
              </w:rPr>
              <w:t>5</w:t>
            </w:r>
          </w:p>
        </w:tc>
      </w:tr>
      <w:tr>
        <w:trPr>
          <w:trHeight w:val="243"/>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estimates relating to pre-acquisition contingencies</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(2)</w:t>
            </w: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4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1"/>
                <w:szCs w:val="21"/>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(3)</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996"/>
              <w:spacing w:after="0"/>
              <w:rPr>
                <w:sz w:val="20"/>
                <w:szCs w:val="20"/>
                <w:color w:val="auto"/>
              </w:rPr>
            </w:pPr>
            <w:r>
              <w:rPr>
                <w:rFonts w:ascii="Times New Roman" w:cs="Times New Roman" w:eastAsia="Times New Roman" w:hAnsi="Times New Roman"/>
                <w:sz w:val="17"/>
                <w:szCs w:val="17"/>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losses and other (income) expense, net</w:t>
            </w:r>
          </w:p>
        </w:tc>
        <w:tc>
          <w:tcPr>
            <w:tcW w:w="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00" w:type="dxa"/>
            <w:vAlign w:val="bottom"/>
          </w:tcPr>
          <w:p>
            <w:pPr>
              <w:spacing w:after="0"/>
              <w:rPr>
                <w:sz w:val="21"/>
                <w:szCs w:val="21"/>
                <w:color w:val="auto"/>
              </w:rPr>
            </w:pPr>
          </w:p>
        </w:tc>
        <w:tc>
          <w:tcPr>
            <w:tcW w:w="1660" w:type="dxa"/>
            <w:vAlign w:val="bottom"/>
            <w:gridSpan w:val="4"/>
          </w:tcPr>
          <w:p>
            <w:pPr>
              <w:jc w:val="right"/>
              <w:ind w:right="1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43"/>
        </w:trPr>
        <w:tc>
          <w:tcPr>
            <w:tcW w:w="5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accounting adjustments</w:t>
            </w:r>
          </w:p>
        </w:tc>
        <w:tc>
          <w:tcPr>
            <w:tcW w:w="300" w:type="dxa"/>
            <w:vAlign w:val="bottom"/>
            <w:shd w:val="clear" w:color="auto" w:fill="CCEEFF"/>
          </w:tcPr>
          <w:p>
            <w:pPr>
              <w:spacing w:after="0"/>
              <w:rPr>
                <w:sz w:val="21"/>
                <w:szCs w:val="21"/>
                <w:color w:val="auto"/>
              </w:rPr>
            </w:pPr>
          </w:p>
        </w:tc>
        <w:tc>
          <w:tcPr>
            <w:tcW w:w="1660" w:type="dxa"/>
            <w:vAlign w:val="bottom"/>
            <w:gridSpan w:val="4"/>
            <w:shd w:val="clear" w:color="auto" w:fill="CCEEFF"/>
          </w:tcPr>
          <w:p>
            <w:pPr>
              <w:jc w:val="right"/>
              <w:ind w:right="1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546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7"/>
                <w:szCs w:val="17"/>
                <w:color w:val="auto"/>
              </w:rPr>
              <w:t>Litigation charges</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43"/>
        </w:trPr>
        <w:tc>
          <w:tcPr>
            <w:tcW w:w="546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7"/>
                <w:szCs w:val="17"/>
                <w:color w:val="auto"/>
              </w:rPr>
              <w:t>Modernization</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546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7"/>
                <w:szCs w:val="17"/>
                <w:color w:val="auto"/>
              </w:rPr>
              <w:t>Restructuring</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43"/>
        </w:trPr>
        <w:tc>
          <w:tcPr>
            <w:tcW w:w="5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43"/>
        </w:trPr>
        <w:tc>
          <w:tcPr>
            <w:tcW w:w="54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5"/>
        </w:trPr>
        <w:tc>
          <w:tcPr>
            <w:tcW w:w="5460" w:type="dxa"/>
            <w:vAlign w:val="bottom"/>
            <w:tcBorders>
              <w:bottom w:val="single" w:sz="8" w:color="CCEEFF"/>
            </w:tcBorders>
            <w:gridSpan w:val="3"/>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b w:val="1"/>
                <w:bCs w:val="1"/>
                <w:color w:val="auto"/>
              </w:rPr>
              <w:t>Total Certain items</w:t>
            </w:r>
            <w:r>
              <w:rPr>
                <w:rFonts w:ascii="Times New Roman" w:cs="Times New Roman" w:eastAsia="Times New Roman" w:hAnsi="Times New Roman"/>
                <w:sz w:val="22"/>
                <w:szCs w:val="22"/>
                <w:b w:val="1"/>
                <w:bCs w:val="1"/>
                <w:color w:val="auto"/>
                <w:vertAlign w:val="superscript"/>
              </w:rPr>
              <w:t>(1)</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240" w:hanging="238"/>
        <w:spacing w:after="0"/>
        <w:tabs>
          <w:tab w:leader="none" w:pos="2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year amounts have been reclassified to conform with our current year presentation.</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99"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Segment Adjusted EBITDA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left="25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4"/>
        </w:trPr>
        <w:tc>
          <w:tcPr>
            <w:tcW w:w="35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7"/>
                <w:szCs w:val="17"/>
                <w:color w:val="auto"/>
              </w:rPr>
              <w:t>Vacation Ownership</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3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center"/>
              <w:ind w:right="95"/>
              <w:spacing w:after="0"/>
              <w:rPr>
                <w:sz w:val="20"/>
                <w:szCs w:val="20"/>
                <w:color w:val="auto"/>
              </w:rPr>
            </w:pPr>
            <w:r>
              <w:rPr>
                <w:rFonts w:ascii="Times New Roman" w:cs="Times New Roman" w:eastAsia="Times New Roman" w:hAnsi="Times New Roman"/>
                <w:sz w:val="17"/>
                <w:szCs w:val="17"/>
                <w:color w:val="auto"/>
                <w:w w:val="98"/>
              </w:rPr>
              <w:t>(11%)</w:t>
            </w:r>
          </w:p>
        </w:tc>
      </w:tr>
      <w:tr>
        <w:trPr>
          <w:trHeight w:val="223"/>
        </w:trPr>
        <w:tc>
          <w:tcPr>
            <w:tcW w:w="35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b w:val="1"/>
                <w:bCs w:val="1"/>
                <w:color w:val="auto"/>
              </w:rPr>
              <w:t>Segment Adjusted EBITDA</w:t>
            </w:r>
            <w:r>
              <w:rPr>
                <w:rFonts w:ascii="Times New Roman" w:cs="Times New Roman" w:eastAsia="Times New Roman" w:hAnsi="Times New Roman"/>
                <w:sz w:val="22"/>
                <w:szCs w:val="22"/>
                <w:b w:val="1"/>
                <w:bCs w:val="1"/>
                <w:color w:val="auto"/>
                <w:vertAlign w:val="superscript"/>
              </w:rPr>
              <w:t>(1)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354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20" w:type="dxa"/>
            <w:vAlign w:val="bottom"/>
          </w:tcPr>
          <w:p>
            <w:pPr>
              <w:spacing w:after="0"/>
              <w:rPr>
                <w:sz w:val="21"/>
                <w:szCs w:val="21"/>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9"/>
              </w:rPr>
              <w:t>(2%)</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43%</w:t>
            </w:r>
          </w:p>
        </w:tc>
      </w:tr>
      <w:tr>
        <w:trPr>
          <w:trHeight w:val="210"/>
        </w:trPr>
        <w:tc>
          <w:tcPr>
            <w:tcW w:w="3540" w:type="dxa"/>
            <w:vAlign w:val="bottom"/>
          </w:tcPr>
          <w:p>
            <w:pPr>
              <w:ind w:left="20"/>
              <w:spacing w:after="0" w:line="210"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2"/>
                <w:szCs w:val="22"/>
                <w:b w:val="1"/>
                <w:bCs w:val="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20" w:type="dxa"/>
            <w:vAlign w:val="bottom"/>
          </w:tcPr>
          <w:p>
            <w:pPr>
              <w:spacing w:after="0"/>
              <w:rPr>
                <w:sz w:val="18"/>
                <w:szCs w:val="18"/>
                <w:color w:val="auto"/>
              </w:rPr>
            </w:pPr>
          </w:p>
        </w:tc>
        <w:tc>
          <w:tcPr>
            <w:tcW w:w="64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42" w:lineRule="exact"/>
        <w:rPr>
          <w:sz w:val="20"/>
          <w:szCs w:val="20"/>
          <w:color w:val="auto"/>
        </w:rPr>
      </w:pPr>
    </w:p>
    <w:p>
      <w:pPr>
        <w:ind w:left="240" w:hanging="238"/>
        <w:spacing w:after="0"/>
        <w:tabs>
          <w:tab w:leader="none" w:pos="24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year amounts have been reclassified to conform with our current year presentation.</w:t>
      </w:r>
    </w:p>
    <w:p>
      <w:pPr>
        <w:spacing w:after="0" w:line="85" w:lineRule="exact"/>
        <w:rPr>
          <w:sz w:val="20"/>
          <w:szCs w:val="20"/>
          <w:color w:val="auto"/>
        </w:rPr>
      </w:pPr>
    </w:p>
    <w:p>
      <w:pPr>
        <w:ind w:right="999"/>
        <w:spacing w:after="0" w:line="361" w:lineRule="auto"/>
        <w:rPr>
          <w:sz w:val="20"/>
          <w:szCs w:val="20"/>
          <w:color w:val="auto"/>
        </w:rPr>
      </w:pPr>
      <w:r>
        <w:rPr>
          <w:rFonts w:ascii="Times New Roman" w:cs="Times New Roman" w:eastAsia="Times New Roman" w:hAnsi="Times New Roman"/>
          <w:sz w:val="17"/>
          <w:szCs w:val="17"/>
          <w:color w:val="auto"/>
        </w:rPr>
        <w:t xml:space="preserve">The following tables present segment financial results attributable to common stockholders reconciled to segment Adjusted EBITDA. </w:t>
      </w:r>
      <w:r>
        <w:rPr>
          <w:rFonts w:ascii="Times New Roman" w:cs="Times New Roman" w:eastAsia="Times New Roman" w:hAnsi="Times New Roman"/>
          <w:sz w:val="17"/>
          <w:szCs w:val="17"/>
          <w:b w:val="1"/>
          <w:bCs w:val="1"/>
          <w:color w:val="auto"/>
        </w:rPr>
        <w:t>Vacation Ownership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21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r>
      <w:tr>
        <w:trPr>
          <w:trHeight w:val="22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financial results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tcPr>
          <w:p>
            <w:pPr>
              <w:spacing w:after="0"/>
              <w:rPr>
                <w:sz w:val="21"/>
                <w:szCs w:val="21"/>
                <w:color w:val="auto"/>
              </w:rPr>
            </w:pPr>
          </w:p>
        </w:tc>
        <w:tc>
          <w:tcPr>
            <w:tcW w:w="60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6"/>
              </w:rPr>
              <w:t>7%</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6"/>
              </w:rPr>
              <w:t>11%</w:t>
            </w:r>
          </w:p>
        </w:tc>
      </w:tr>
      <w:tr>
        <w:trPr>
          <w:trHeight w:val="166"/>
        </w:trPr>
        <w:tc>
          <w:tcPr>
            <w:tcW w:w="35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Amortization of cloud computing amortization</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30"/>
        </w:trPr>
        <w:tc>
          <w:tcPr>
            <w:tcW w:w="35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implementation costs</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NM</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r>
      <w:tr>
        <w:trPr>
          <w:trHeight w:val="210"/>
        </w:trPr>
        <w:tc>
          <w:tcPr>
            <w:tcW w:w="3540" w:type="dxa"/>
            <w:vAlign w:val="bottom"/>
          </w:tcPr>
          <w:p>
            <w:pPr>
              <w:ind w:left="20"/>
              <w:spacing w:after="0" w:line="210" w:lineRule="exact"/>
              <w:rPr>
                <w:sz w:val="20"/>
                <w:szCs w:val="20"/>
                <w:color w:val="auto"/>
              </w:rPr>
            </w:pPr>
            <w:r>
              <w:rPr>
                <w:rFonts w:ascii="Times New Roman" w:cs="Times New Roman" w:eastAsia="Times New Roman" w:hAnsi="Times New Roman"/>
                <w:sz w:val="17"/>
                <w:szCs w:val="17"/>
                <w:b w:val="1"/>
                <w:bCs w:val="1"/>
                <w:color w:val="auto"/>
              </w:rPr>
              <w:t>Segment Adjusted EBITDA</w:t>
            </w:r>
            <w:r>
              <w:rPr>
                <w:rFonts w:ascii="Times New Roman" w:cs="Times New Roman" w:eastAsia="Times New Roman" w:hAnsi="Times New Roman"/>
                <w:sz w:val="22"/>
                <w:szCs w:val="22"/>
                <w:b w:val="1"/>
                <w:bCs w:val="1"/>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color w:val="auto"/>
                <w:w w:val="96"/>
              </w:rPr>
              <w:t>2%</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9"/>
        </w:trPr>
        <w:tc>
          <w:tcPr>
            <w:tcW w:w="354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7"/>
                <w:szCs w:val="17"/>
                <w:b w:val="1"/>
                <w:bCs w:val="1"/>
                <w:color w:val="auto"/>
              </w:rPr>
              <w:t>Segment Adjusted EBITDA Margin</w:t>
            </w:r>
            <w:r>
              <w:rPr>
                <w:rFonts w:ascii="Times New Roman" w:cs="Times New Roman" w:eastAsia="Times New Roman" w:hAnsi="Times New Roman"/>
                <w:sz w:val="22"/>
                <w:szCs w:val="22"/>
                <w:b w:val="1"/>
                <w:bCs w:val="1"/>
                <w:color w:val="auto"/>
                <w:vertAlign w:val="superscript"/>
              </w:rPr>
              <w:t>(1)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17"/>
              <w:spacing w:after="0"/>
              <w:rPr>
                <w:sz w:val="20"/>
                <w:szCs w:val="20"/>
                <w:color w:val="auto"/>
              </w:rPr>
            </w:pPr>
            <w:r>
              <w:rPr>
                <w:rFonts w:ascii="Times New Roman" w:cs="Times New Roman" w:eastAsia="Times New Roman" w:hAnsi="Times New Roman"/>
                <w:sz w:val="17"/>
                <w:szCs w:val="17"/>
                <w:color w:val="auto"/>
              </w:rPr>
              <w:t>0.1 pts</w:t>
            </w:r>
          </w:p>
        </w:tc>
        <w:tc>
          <w:tcPr>
            <w:tcW w:w="600" w:type="dxa"/>
            <w:vAlign w:val="bottom"/>
            <w:shd w:val="clear" w:color="auto" w:fill="CCEEFF"/>
          </w:tcPr>
          <w:p>
            <w:pPr>
              <w:spacing w:after="0"/>
              <w:rPr>
                <w:sz w:val="18"/>
                <w:szCs w:val="18"/>
                <w:color w:val="auto"/>
              </w:rPr>
            </w:pPr>
          </w:p>
        </w:tc>
      </w:tr>
    </w:tbl>
    <w:p>
      <w:pPr>
        <w:spacing w:after="0" w:line="80" w:lineRule="exact"/>
        <w:rPr>
          <w:sz w:val="20"/>
          <w:szCs w:val="20"/>
          <w:color w:val="auto"/>
        </w:rPr>
      </w:pPr>
    </w:p>
    <w:p>
      <w:pPr>
        <w:ind w:left="240" w:hanging="238"/>
        <w:spacing w:after="0"/>
        <w:tabs>
          <w:tab w:leader="none" w:pos="24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year amounts have been reclassified to conform with our current year presentation.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components of Certain items for the Vacation Ownership segment financial results for fiscal years 2025 and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300" w:type="dxa"/>
            <w:vAlign w:val="bottom"/>
            <w:tcBorders>
              <w:bottom w:val="single" w:sz="8" w:color="auto"/>
            </w:tcBorders>
          </w:tcPr>
          <w:p>
            <w:pPr>
              <w:spacing w:after="0"/>
              <w:rPr>
                <w:sz w:val="17"/>
                <w:szCs w:val="17"/>
                <w:color w:val="auto"/>
              </w:rPr>
            </w:pPr>
          </w:p>
        </w:tc>
      </w:tr>
      <w:tr>
        <w:trPr>
          <w:trHeight w:val="19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11"/>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disposition of hotel, land, and other</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(7)</w:t>
            </w:r>
          </w:p>
        </w:tc>
      </w:tr>
      <w:tr>
        <w:trPr>
          <w:trHeight w:val="217"/>
        </w:trPr>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Insurance proceeds</w:t>
            </w:r>
          </w:p>
        </w:tc>
        <w:tc>
          <w:tcPr>
            <w:tcW w:w="280" w:type="dxa"/>
            <w:vAlign w:val="bottom"/>
          </w:tcPr>
          <w:p>
            <w:pPr>
              <w:spacing w:after="0"/>
              <w:rPr>
                <w:sz w:val="18"/>
                <w:szCs w:val="18"/>
                <w:color w:val="auto"/>
              </w:rPr>
            </w:pPr>
          </w:p>
        </w:tc>
        <w:tc>
          <w:tcPr>
            <w:tcW w:w="9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rPr>
              <w:t>(15)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(5)</w:t>
            </w:r>
          </w:p>
        </w:tc>
      </w:tr>
      <w:tr>
        <w:trPr>
          <w:trHeight w:val="217"/>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estimates relating to pre-acquisition contingencies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(4)</w:t>
            </w:r>
          </w:p>
        </w:tc>
      </w:tr>
      <w:tr>
        <w:trPr>
          <w:trHeight w:val="217"/>
        </w:trPr>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Pr>
          <w:p>
            <w:pPr>
              <w:spacing w:after="0"/>
              <w:rPr>
                <w:sz w:val="18"/>
                <w:szCs w:val="18"/>
                <w:color w:val="auto"/>
              </w:rPr>
            </w:pPr>
          </w:p>
        </w:tc>
        <w:tc>
          <w:tcPr>
            <w:tcW w:w="9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rPr>
              <w:t>(1)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43"/>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 accounting adjustments</w:t>
            </w:r>
          </w:p>
        </w:tc>
        <w:tc>
          <w:tcPr>
            <w:tcW w:w="280" w:type="dxa"/>
            <w:vAlign w:val="bottom"/>
          </w:tcPr>
          <w:p>
            <w:pPr>
              <w:spacing w:after="0"/>
              <w:rPr>
                <w:sz w:val="21"/>
                <w:szCs w:val="21"/>
                <w:color w:val="auto"/>
              </w:rPr>
            </w:pPr>
          </w:p>
        </w:tc>
        <w:tc>
          <w:tcPr>
            <w:tcW w:w="1560" w:type="dxa"/>
            <w:vAlign w:val="bottom"/>
            <w:gridSpan w:val="4"/>
          </w:tcPr>
          <w:p>
            <w:pPr>
              <w:jc w:val="right"/>
              <w:ind w:right="1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7"/>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7"/>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Restructuring</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7"/>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7"/>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Pr>
          <w:p>
            <w:pPr>
              <w:spacing w:after="0"/>
              <w:rPr>
                <w:sz w:val="18"/>
                <w:szCs w:val="18"/>
                <w:color w:val="auto"/>
              </w:rPr>
            </w:pPr>
          </w:p>
        </w:tc>
        <w:tc>
          <w:tcPr>
            <w:tcW w:w="1560" w:type="dxa"/>
            <w:vAlign w:val="bottom"/>
            <w:gridSpan w:val="4"/>
          </w:tcPr>
          <w:p>
            <w:pPr>
              <w:jc w:val="right"/>
              <w:ind w:right="1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5"/>
        </w:trPr>
        <w:tc>
          <w:tcPr>
            <w:tcW w:w="56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left="27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financial results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20" w:type="dxa"/>
            <w:vAlign w:val="bottom"/>
          </w:tcPr>
          <w:p>
            <w:pPr>
              <w:spacing w:after="0"/>
              <w:rPr>
                <w:sz w:val="21"/>
                <w:szCs w:val="21"/>
                <w:color w:val="auto"/>
              </w:rPr>
            </w:pPr>
          </w:p>
        </w:tc>
        <w:tc>
          <w:tcPr>
            <w:tcW w:w="6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8"/>
              </w:rPr>
              <w:t>(14%)</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3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right"/>
              <w:ind w:right="195"/>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3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8"/>
              </w:rPr>
              <w:t>(11%)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Segment Adjusted EBITDA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rPr>
              <w:t>44.6%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rPr>
              <w:t>46.1%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rPr>
              <w:t>52.5%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2"/>
          </w:tcPr>
          <w:p>
            <w:pPr>
              <w:jc w:val="center"/>
              <w:ind w:left="257"/>
              <w:spacing w:after="0" w:line="194" w:lineRule="exact"/>
              <w:rPr>
                <w:sz w:val="20"/>
                <w:szCs w:val="20"/>
                <w:color w:val="auto"/>
              </w:rPr>
            </w:pPr>
            <w:r>
              <w:rPr>
                <w:rFonts w:ascii="Times New Roman" w:cs="Times New Roman" w:eastAsia="Times New Roman" w:hAnsi="Times New Roman"/>
                <w:sz w:val="17"/>
                <w:szCs w:val="17"/>
                <w:color w:val="auto"/>
                <w:w w:val="98"/>
              </w:rPr>
              <w:t>(1.5 pts)</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194"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47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1194" w:right="1440"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The table below details the components of Certain items for the Exchange &amp; Third-Party Management segment financial results for fiscal years 2025 and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180" w:type="dxa"/>
            <w:vAlign w:val="bottom"/>
            <w:tcBorders>
              <w:bottom w:val="single" w:sz="8" w:color="auto"/>
            </w:tcBorders>
          </w:tcPr>
          <w:p>
            <w:pPr>
              <w:spacing w:after="0"/>
              <w:rPr>
                <w:sz w:val="17"/>
                <w:szCs w:val="17"/>
                <w:color w:val="auto"/>
              </w:rPr>
            </w:pPr>
          </w:p>
        </w:tc>
      </w:tr>
      <w:tr>
        <w:trPr>
          <w:trHeight w:val="19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2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w:t>
            </w:r>
          </w:p>
        </w:tc>
        <w:tc>
          <w:tcPr>
            <w:tcW w:w="4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4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6"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7"/>
          <w:szCs w:val="17"/>
          <w:color w:val="auto"/>
        </w:rPr>
        <w:t>Our business is grouped into two reportable business segments: Vacation Ownership and Exchange &amp; Third-Party Management. See Footnote 19 “Business Segments” to our Financial Statements for further information about our segments.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2023</w:t>
            </w: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2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4,468</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3,717</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SEGMENT FINANCIAL RESULTS ATTRIBUTABLE</w:t>
            </w: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3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 COMMON STOCKHOLDERS</w:t>
            </w: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0"/>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50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Sale of Vacation Ownership Products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55"/>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Contract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Contract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2"/>
                <w:szCs w:val="12"/>
                <w:color w:val="auto"/>
              </w:rPr>
            </w:pPr>
          </w:p>
        </w:tc>
        <w:tc>
          <w:tcPr>
            <w:tcW w:w="600" w:type="dxa"/>
            <w:vAlign w:val="bottom"/>
            <w:vMerge w:val="restart"/>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Sales, Net of</w:t>
            </w:r>
          </w:p>
        </w:tc>
        <w:tc>
          <w:tcPr>
            <w:tcW w:w="120" w:type="dxa"/>
            <w:vAlign w:val="bottom"/>
          </w:tcPr>
          <w:p>
            <w:pPr>
              <w:spacing w:after="0"/>
              <w:rPr>
                <w:sz w:val="12"/>
                <w:szCs w:val="12"/>
                <w:color w:val="auto"/>
              </w:rPr>
            </w:pPr>
          </w:p>
        </w:tc>
        <w:tc>
          <w:tcPr>
            <w:tcW w:w="600" w:type="dxa"/>
            <w:vAlign w:val="bottom"/>
            <w:vMerge w:val="restart"/>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Sales, Net of</w:t>
            </w:r>
          </w:p>
        </w:tc>
        <w:tc>
          <w:tcPr>
            <w:tcW w:w="120" w:type="dxa"/>
            <w:vAlign w:val="bottom"/>
          </w:tcPr>
          <w:p>
            <w:pPr>
              <w:spacing w:after="0"/>
              <w:rPr>
                <w:sz w:val="12"/>
                <w:szCs w:val="12"/>
                <w:color w:val="auto"/>
              </w:rPr>
            </w:pPr>
          </w:p>
        </w:tc>
        <w:tc>
          <w:tcPr>
            <w:tcW w:w="600" w:type="dxa"/>
            <w:vAlign w:val="bottom"/>
            <w:vMerge w:val="restart"/>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Sales, Net of</w:t>
            </w:r>
          </w:p>
        </w:tc>
        <w:tc>
          <w:tcPr>
            <w:tcW w:w="140" w:type="dxa"/>
            <w:vAlign w:val="bottom"/>
          </w:tcPr>
          <w:p>
            <w:pPr>
              <w:spacing w:after="0"/>
              <w:rPr>
                <w:sz w:val="12"/>
                <w:szCs w:val="12"/>
                <w:color w:val="auto"/>
              </w:rPr>
            </w:pPr>
          </w:p>
        </w:tc>
        <w:tc>
          <w:tcPr>
            <w:tcW w:w="1140" w:type="dxa"/>
            <w:vAlign w:val="bottom"/>
            <w:gridSpan w:val="3"/>
            <w:vMerge w:val="restart"/>
          </w:tcPr>
          <w:p>
            <w:pPr>
              <w:jc w:val="center"/>
              <w:ind w:right="5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Resales</w:t>
            </w: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Resales</w:t>
            </w: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Resales</w:t>
            </w: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Borders>
              <w:top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Consolidated</w:t>
            </w: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6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(3%)</w:t>
            </w:r>
          </w:p>
        </w:tc>
        <w:tc>
          <w:tcPr>
            <w:tcW w:w="0" w:type="dxa"/>
            <w:vAlign w:val="bottom"/>
          </w:tcPr>
          <w:p>
            <w:pPr>
              <w:spacing w:after="0"/>
              <w:rPr>
                <w:sz w:val="1"/>
                <w:szCs w:val="1"/>
                <w:color w:val="auto"/>
              </w:rPr>
            </w:pPr>
          </w:p>
        </w:tc>
      </w:tr>
      <w:tr>
        <w:trPr>
          <w:trHeight w:val="166"/>
        </w:trPr>
        <w:tc>
          <w:tcPr>
            <w:tcW w:w="15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Joint venture contract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w:t>
            </w:r>
          </w:p>
        </w:tc>
        <w:tc>
          <w:tcPr>
            <w:tcW w:w="0" w:type="dxa"/>
            <w:vAlign w:val="bottom"/>
          </w:tcPr>
          <w:p>
            <w:pPr>
              <w:spacing w:after="0"/>
              <w:rPr>
                <w:sz w:val="1"/>
                <w:szCs w:val="1"/>
                <w:color w:val="auto"/>
              </w:rPr>
            </w:pPr>
          </w:p>
        </w:tc>
      </w:tr>
      <w:tr>
        <w:trPr>
          <w:trHeight w:val="22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contract sales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6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(3%)</w:t>
            </w:r>
          </w:p>
        </w:tc>
        <w:tc>
          <w:tcPr>
            <w:tcW w:w="0" w:type="dxa"/>
            <w:vAlign w:val="bottom"/>
          </w:tcPr>
          <w:p>
            <w:pPr>
              <w:spacing w:after="0"/>
              <w:rPr>
                <w:sz w:val="1"/>
                <w:szCs w:val="1"/>
                <w:color w:val="auto"/>
              </w:rPr>
            </w:pPr>
          </w:p>
        </w:tc>
      </w:tr>
      <w:tr>
        <w:trPr>
          <w:trHeight w:val="243"/>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52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Resales contract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Joint venture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contract sales</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Consolidated</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contract sales, net of</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resales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(2%)</w:t>
            </w:r>
          </w:p>
        </w:tc>
        <w:tc>
          <w:tcPr>
            <w:tcW w:w="0" w:type="dxa"/>
            <w:vAlign w:val="bottom"/>
          </w:tcPr>
          <w:p>
            <w:pPr>
              <w:spacing w:after="0"/>
              <w:rPr>
                <w:sz w:val="1"/>
                <w:szCs w:val="1"/>
                <w:color w:val="auto"/>
              </w:rPr>
            </w:pPr>
          </w:p>
        </w:tc>
      </w:tr>
      <w:tr>
        <w:trPr>
          <w:trHeight w:val="243"/>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52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Settlement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Resales revenue</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5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Revenue recognition</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Reportability</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6"/>
              </w:rPr>
              <w:t>—%</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1"/>
                <w:szCs w:val="21"/>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6"/>
              </w:rPr>
              <w:t>—%</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reserve</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8"/>
                <w:szCs w:val="8"/>
                <w:color w:val="auto"/>
              </w:rPr>
              <w:t>(1)</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980" w:type="dxa"/>
            <w:vAlign w:val="bottom"/>
            <w:tcBorders>
              <w:bottom w:val="single" w:sz="8" w:color="CCEEFF"/>
            </w:tcBorders>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9"/>
              </w:rPr>
              <w:t>(6%)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980" w:type="dxa"/>
            <w:vAlign w:val="bottom"/>
            <w:tcBorders>
              <w:bottom w:val="single" w:sz="8" w:color="CCEEFF"/>
            </w:tcBorders>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9"/>
              </w:rPr>
              <w:t>(6%)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0" w:type="dxa"/>
            <w:vAlign w:val="bottom"/>
            <w:tcBorders>
              <w:bottom w:val="single" w:sz="8" w:color="CCEEFF"/>
            </w:tcBorders>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Sale of vacation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ownership products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84%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82%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VPG</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3,794</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6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(3%)</w:t>
            </w:r>
          </w:p>
        </w:tc>
        <w:tc>
          <w:tcPr>
            <w:tcW w:w="0" w:type="dxa"/>
            <w:vAlign w:val="bottom"/>
          </w:tcPr>
          <w:p>
            <w:pPr>
              <w:spacing w:after="0"/>
              <w:rPr>
                <w:sz w:val="1"/>
                <w:szCs w:val="1"/>
                <w:color w:val="auto"/>
              </w:rPr>
            </w:pPr>
          </w:p>
        </w:tc>
      </w:tr>
      <w:tr>
        <w:trPr>
          <w:trHeight w:val="243"/>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Tours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431,974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432,716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405,825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2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56.7%</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55.9%</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w w:val="96"/>
              </w:rPr>
              <w:t>0.8 pts</w:t>
            </w:r>
          </w:p>
        </w:tc>
        <w:tc>
          <w:tcPr>
            <w:tcW w:w="0" w:type="dxa"/>
            <w:vAlign w:val="bottom"/>
          </w:tcPr>
          <w:p>
            <w:pPr>
              <w:spacing w:after="0"/>
              <w:rPr>
                <w:sz w:val="1"/>
                <w:szCs w:val="1"/>
                <w:color w:val="auto"/>
              </w:rPr>
            </w:pPr>
          </w:p>
        </w:tc>
      </w:tr>
      <w:tr>
        <w:trPr>
          <w:trHeight w:val="166"/>
        </w:trPr>
        <w:tc>
          <w:tcPr>
            <w:tcW w:w="15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Average FICO</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Score</w:t>
            </w:r>
            <w:r>
              <w:rPr>
                <w:rFonts w:ascii="Times New Roman" w:cs="Times New Roman" w:eastAsia="Times New Roman" w:hAnsi="Times New Roman"/>
                <w:sz w:val="22"/>
                <w:szCs w:val="22"/>
                <w:color w:val="auto"/>
                <w:vertAlign w:val="superscript"/>
              </w:rPr>
              <w:t>(2)</w:t>
            </w:r>
          </w:p>
        </w:tc>
        <w:tc>
          <w:tcPr>
            <w:tcW w:w="120" w:type="dxa"/>
            <w:vAlign w:val="bottom"/>
          </w:tcPr>
          <w:p>
            <w:pPr>
              <w:spacing w:after="0"/>
              <w:rPr>
                <w:sz w:val="24"/>
                <w:szCs w:val="24"/>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740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3"/>
              </w:rPr>
              <w:t>737</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3"/>
              </w:rPr>
              <w:t>735</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00" w:hanging="298"/>
        <w:spacing w:after="0" w:line="228" w:lineRule="auto"/>
        <w:tabs>
          <w:tab w:leader="none" w:pos="28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 for sales incentives that will not be recognized as Sale of vacation ownership products revenue and other adjustments to Sale of vacation ownership products revenue.</w:t>
      </w:r>
    </w:p>
    <w:p>
      <w:pPr>
        <w:spacing w:after="0" w:line="3" w:lineRule="exact"/>
        <w:rPr>
          <w:rFonts w:ascii="Times New Roman" w:cs="Times New Roman" w:eastAsia="Times New Roman" w:hAnsi="Times New Roman"/>
          <w:sz w:val="22"/>
          <w:szCs w:val="22"/>
          <w:color w:val="auto"/>
          <w:vertAlign w:val="superscript"/>
        </w:rPr>
      </w:pPr>
    </w:p>
    <w:p>
      <w:pPr>
        <w:ind w:left="300" w:hanging="298"/>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customers who financed a vacation ownership purchase and for whom a credit score was available, generally U.S. and Canadian residents.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The increase in Sale of vacation ownership products was primarily due to a decrease in our sales reserve reflecting the $70 million sales reserve adjustment (the “additional sales reserve”) recorded in the second quarter of 2024, which did not recur in 2025. Lower contract sales were partially offset by higher revenue reportability and financing propensity in 2025. First time buyer contract sales were flat on 1% higher tours. Owner contract sales declined 4% on lower VPG and tours.</w:t>
      </w:r>
    </w:p>
    <w:p>
      <w:pPr>
        <w:spacing w:after="0" w:line="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Excluding the impact of the additional sales reserve recorded in the second quarter of 2024, our sales reserve as a percent of contract sales in 2025 is approximately 110 basis points higher than the prior year, reflecting our expectation that future defaults will be higher than those experienced prior to 2023. While our delinquency rates at December 31, 2025 have declined approximately 100 basis points compared to December 31, 2024, we do not expect to lower the sales reserve for new originations until we have sufficient, sustained evidence of continued improvement in delinquency and default rates.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245"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Development Profit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0" w:type="dxa"/>
            <w:vAlign w:val="bottom"/>
          </w:tcPr>
          <w:p>
            <w:pPr>
              <w:spacing w:after="0"/>
              <w:rPr>
                <w:sz w:val="1"/>
                <w:szCs w:val="1"/>
                <w:color w:val="auto"/>
              </w:rPr>
            </w:pPr>
          </w:p>
        </w:tc>
      </w:tr>
      <w:tr>
        <w:trPr>
          <w:trHeight w:val="150"/>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3"/>
                <w:szCs w:val="13"/>
                <w:color w:val="auto"/>
              </w:rPr>
            </w:pPr>
          </w:p>
        </w:tc>
        <w:tc>
          <w:tcPr>
            <w:tcW w:w="620" w:type="dxa"/>
            <w:vAlign w:val="bottom"/>
            <w:vMerge w:val="restart"/>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3"/>
                <w:szCs w:val="13"/>
                <w:color w:val="auto"/>
              </w:rPr>
            </w:pPr>
          </w:p>
        </w:tc>
        <w:tc>
          <w:tcPr>
            <w:tcW w:w="7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3"/>
                <w:szCs w:val="13"/>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3"/>
                <w:szCs w:val="13"/>
                <w:color w:val="auto"/>
              </w:rPr>
            </w:pPr>
          </w:p>
        </w:tc>
        <w:tc>
          <w:tcPr>
            <w:tcW w:w="74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40" w:type="dxa"/>
            <w:vAlign w:val="bottom"/>
          </w:tcPr>
          <w:p>
            <w:pPr>
              <w:spacing w:after="0"/>
              <w:rPr>
                <w:sz w:val="13"/>
                <w:szCs w:val="13"/>
                <w:color w:val="auto"/>
              </w:rPr>
            </w:pPr>
          </w:p>
        </w:tc>
        <w:tc>
          <w:tcPr>
            <w:tcW w:w="620" w:type="dxa"/>
            <w:vAlign w:val="bottom"/>
            <w:vMerge w:val="restart"/>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3"/>
                <w:szCs w:val="13"/>
                <w:color w:val="auto"/>
              </w:rPr>
            </w:pPr>
          </w:p>
        </w:tc>
        <w:tc>
          <w:tcPr>
            <w:tcW w:w="76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1160" w:type="dxa"/>
            <w:vAlign w:val="bottom"/>
            <w:gridSpan w:val="2"/>
            <w:vMerge w:val="restart"/>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88"/>
        </w:trPr>
        <w:tc>
          <w:tcPr>
            <w:tcW w:w="2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20" w:type="dxa"/>
            <w:vAlign w:val="bottom"/>
            <w:tcBorders>
              <w:top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Sale of vacation ownership</w:t>
            </w: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7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66"/>
        </w:trPr>
        <w:tc>
          <w:tcPr>
            <w:tcW w:w="21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Cost of vacation ownership</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products</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7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7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76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and sales</w:t>
            </w: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7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64%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74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76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7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Development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profit margin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28.3%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pts</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Development profit was due to the following:</w:t>
      </w:r>
    </w:p>
    <w:p>
      <w:pPr>
        <w:spacing w:after="0" w:line="60" w:lineRule="exact"/>
        <w:rPr>
          <w:sz w:val="20"/>
          <w:szCs w:val="20"/>
          <w:color w:val="auto"/>
        </w:rPr>
      </w:pPr>
    </w:p>
    <w:p>
      <w:pPr>
        <w:ind w:left="300" w:hanging="144"/>
        <w:spacing w:after="0"/>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Sale of vacation ownership products (discussed above); and</w:t>
      </w:r>
    </w:p>
    <w:p>
      <w:pPr>
        <w:spacing w:after="0" w:line="60" w:lineRule="exact"/>
        <w:rPr>
          <w:rFonts w:ascii="Times New Roman" w:cs="Times New Roman" w:eastAsia="Times New Roman" w:hAnsi="Times New Roman"/>
          <w:sz w:val="17"/>
          <w:szCs w:val="17"/>
          <w:color w:val="auto"/>
        </w:rPr>
      </w:pPr>
    </w:p>
    <w:p>
      <w:pPr>
        <w:ind w:left="300" w:hanging="144"/>
        <w:spacing w:after="0" w:line="283" w:lineRule="auto"/>
        <w:tabs>
          <w:tab w:leader="none" w:pos="2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Cost of vacation ownership products due to the $13 million favorable impact of the additional sales reserve in 2024 partially offset by the sale of higher average cost inventory.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were partially offset by:</w:t>
      </w:r>
    </w:p>
    <w:p>
      <w:pPr>
        <w:spacing w:after="0" w:line="60" w:lineRule="exact"/>
        <w:rPr>
          <w:sz w:val="20"/>
          <w:szCs w:val="20"/>
          <w:color w:val="auto"/>
        </w:rPr>
      </w:pPr>
    </w:p>
    <w:p>
      <w:pPr>
        <w:ind w:left="300" w:hanging="144"/>
        <w:spacing w:after="0"/>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marketing and sales costs due to:</w:t>
      </w:r>
    </w:p>
    <w:p>
      <w:pPr>
        <w:spacing w:after="0" w:line="60" w:lineRule="exact"/>
        <w:rPr>
          <w:rFonts w:ascii="Times New Roman" w:cs="Times New Roman" w:eastAsia="Times New Roman" w:hAnsi="Times New Roman"/>
          <w:sz w:val="17"/>
          <w:szCs w:val="17"/>
          <w:color w:val="auto"/>
        </w:rPr>
      </w:pPr>
    </w:p>
    <w:p>
      <w:pPr>
        <w:ind w:left="620" w:hanging="157"/>
        <w:spacing w:after="0"/>
        <w:tabs>
          <w:tab w:leader="none" w:pos="6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million of higher costs for occupancy used for previews;</w:t>
      </w:r>
    </w:p>
    <w:p>
      <w:pPr>
        <w:spacing w:after="0" w:line="60" w:lineRule="exact"/>
        <w:rPr>
          <w:rFonts w:ascii="Times New Roman" w:cs="Times New Roman" w:eastAsia="Times New Roman" w:hAnsi="Times New Roman"/>
          <w:sz w:val="17"/>
          <w:szCs w:val="17"/>
          <w:color w:val="auto"/>
        </w:rPr>
      </w:pPr>
    </w:p>
    <w:p>
      <w:pPr>
        <w:ind w:left="620" w:hanging="157"/>
        <w:spacing w:after="0"/>
        <w:tabs>
          <w:tab w:leader="none" w:pos="6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 million of higher marketing and other costs; and</w:t>
      </w:r>
    </w:p>
    <w:p>
      <w:pPr>
        <w:spacing w:after="0" w:line="60" w:lineRule="exact"/>
        <w:rPr>
          <w:rFonts w:ascii="Times New Roman" w:cs="Times New Roman" w:eastAsia="Times New Roman" w:hAnsi="Times New Roman"/>
          <w:sz w:val="17"/>
          <w:szCs w:val="17"/>
          <w:color w:val="auto"/>
        </w:rPr>
      </w:pPr>
    </w:p>
    <w:p>
      <w:pPr>
        <w:ind w:left="620" w:hanging="157"/>
        <w:spacing w:after="0"/>
        <w:tabs>
          <w:tab w:leader="none" w:pos="6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million of higher salaries, wages and benefits for sales executives, including variable compensation.</w:t>
      </w:r>
    </w:p>
    <w:p>
      <w:pPr>
        <w:spacing w:after="0" w:line="112"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Excluding the favorable impact of the additional sales reserve in 2024, both Cost of vacation ownership products and Cost of vacation ownership products as a percentage of sales were flat.</w:t>
      </w:r>
    </w:p>
    <w:p>
      <w:pPr>
        <w:spacing w:after="0" w:line="51"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Excluding the impact of the additional sales reserve in 2024, Development profit decreased $49 million and Development profit margin decreased approximately 240 basis points in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Resort Management and Other Services Revenues, Expenses and Profit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Fiscal Years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left="23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r>
      <w:tr>
        <w:trPr>
          <w:trHeight w:val="22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6"/>
              </w:rPr>
              <w:t>7%</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Ancillary revenues</w:t>
            </w:r>
          </w:p>
        </w:tc>
        <w:tc>
          <w:tcPr>
            <w:tcW w:w="180" w:type="dxa"/>
            <w:vAlign w:val="bottom"/>
          </w:tcPr>
          <w:p>
            <w:pPr>
              <w:spacing w:after="0"/>
              <w:rPr>
                <w:sz w:val="21"/>
                <w:szCs w:val="21"/>
                <w:color w:val="auto"/>
              </w:rPr>
            </w:pPr>
          </w:p>
        </w:tc>
        <w:tc>
          <w:tcPr>
            <w:tcW w:w="680" w:type="dxa"/>
            <w:vAlign w:val="bottom"/>
          </w:tcPr>
          <w:p>
            <w:pPr>
              <w:jc w:val="center"/>
              <w:ind w:left="176"/>
              <w:spacing w:after="0"/>
              <w:rPr>
                <w:sz w:val="20"/>
                <w:szCs w:val="20"/>
                <w:color w:val="auto"/>
              </w:rPr>
            </w:pPr>
            <w:r>
              <w:rPr>
                <w:rFonts w:ascii="Times New Roman" w:cs="Times New Roman" w:eastAsia="Times New Roman" w:hAnsi="Times New Roman"/>
                <w:sz w:val="17"/>
                <w:szCs w:val="17"/>
                <w:color w:val="auto"/>
              </w:rPr>
              <w:t>273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center"/>
              <w:ind w:left="176"/>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center"/>
              <w:ind w:left="176"/>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40" w:type="dxa"/>
            <w:vAlign w:val="bottom"/>
          </w:tcPr>
          <w:p>
            <w:pPr>
              <w:spacing w:after="0"/>
              <w:rPr>
                <w:sz w:val="21"/>
                <w:szCs w:val="21"/>
                <w:color w:val="auto"/>
              </w:rPr>
            </w:pPr>
          </w:p>
        </w:tc>
        <w:tc>
          <w:tcPr>
            <w:tcW w:w="60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6"/>
              </w:rPr>
              <w:t>2%</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management and exchange revenues</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revenues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spacing w:after="0"/>
              <w:rPr>
                <w:sz w:val="19"/>
                <w:szCs w:val="19"/>
                <w:color w:val="auto"/>
              </w:rPr>
            </w:pPr>
          </w:p>
        </w:tc>
        <w:tc>
          <w:tcPr>
            <w:tcW w:w="60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6"/>
              </w:rPr>
              <w:t>3%</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expenses</w:t>
            </w: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w w:val="97"/>
              </w:rPr>
              <w:t>(291)</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w w:val="97"/>
              </w:rPr>
              <w:t>(293)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w w:val="97"/>
              </w:rPr>
              <w:t>(270)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6"/>
              </w:rPr>
              <w:t>1%</w:t>
            </w: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7"/>
                <w:szCs w:val="17"/>
                <w:color w:val="auto"/>
              </w:rPr>
              <w:t>342</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7"/>
                <w:szCs w:val="17"/>
                <w:color w:val="auto"/>
              </w:rPr>
              <w:t>319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340" w:type="dxa"/>
            <w:vAlign w:val="bottom"/>
          </w:tcPr>
          <w:p>
            <w:pPr>
              <w:spacing w:after="0"/>
              <w:rPr>
                <w:sz w:val="18"/>
                <w:szCs w:val="18"/>
                <w:color w:val="auto"/>
              </w:rPr>
            </w:pPr>
          </w:p>
        </w:tc>
        <w:tc>
          <w:tcPr>
            <w:tcW w:w="60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6"/>
              </w:rPr>
              <w:t>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7"/>
                <w:szCs w:val="17"/>
                <w:color w:val="auto"/>
              </w:rPr>
              <w:t>Resort management and other services profit</w:t>
            </w: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margin</w:t>
            </w:r>
          </w:p>
        </w:tc>
        <w:tc>
          <w:tcPr>
            <w:tcW w:w="8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54.1%</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52.1%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52.4%</w:t>
            </w:r>
          </w:p>
        </w:tc>
        <w:tc>
          <w:tcPr>
            <w:tcW w:w="1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920"/>
              <w:spacing w:after="0"/>
              <w:rPr>
                <w:sz w:val="20"/>
                <w:szCs w:val="20"/>
                <w:color w:val="auto"/>
              </w:rPr>
            </w:pPr>
            <w:r>
              <w:rPr>
                <w:rFonts w:ascii="Times New Roman" w:cs="Times New Roman" w:eastAsia="Times New Roman" w:hAnsi="Times New Roman"/>
                <w:sz w:val="17"/>
                <w:szCs w:val="17"/>
                <w:color w:val="auto"/>
              </w:rPr>
              <w:t>2.0 pts</w:t>
            </w:r>
          </w:p>
        </w:tc>
      </w:tr>
      <w:tr>
        <w:trPr>
          <w:trHeight w:val="244"/>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occupancy</w:t>
            </w:r>
            <w:r>
              <w:rPr>
                <w:rFonts w:ascii="Times New Roman" w:cs="Times New Roman" w:eastAsia="Times New Roman" w:hAnsi="Times New Roman"/>
                <w:sz w:val="8"/>
                <w:szCs w:val="8"/>
                <w:color w:val="auto"/>
              </w:rPr>
              <w:t>(1)</w:t>
            </w: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89.2%</w:t>
            </w:r>
          </w:p>
        </w:tc>
        <w:tc>
          <w:tcPr>
            <w:tcW w:w="140" w:type="dxa"/>
            <w:vAlign w:val="bottom"/>
          </w:tcPr>
          <w:p>
            <w:pPr>
              <w:spacing w:after="0"/>
              <w:rPr>
                <w:sz w:val="21"/>
                <w:szCs w:val="21"/>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89.8%</w:t>
            </w:r>
          </w:p>
        </w:tc>
        <w:tc>
          <w:tcPr>
            <w:tcW w:w="120" w:type="dxa"/>
            <w:vAlign w:val="bottom"/>
          </w:tcPr>
          <w:p>
            <w:pPr>
              <w:spacing w:after="0"/>
              <w:rPr>
                <w:sz w:val="21"/>
                <w:szCs w:val="21"/>
                <w:color w:val="auto"/>
              </w:rPr>
            </w:pP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88.1%</w:t>
            </w:r>
          </w:p>
        </w:tc>
        <w:tc>
          <w:tcPr>
            <w:tcW w:w="120" w:type="dxa"/>
            <w:vAlign w:val="bottom"/>
          </w:tcPr>
          <w:p>
            <w:pPr>
              <w:spacing w:after="0"/>
              <w:rPr>
                <w:sz w:val="21"/>
                <w:szCs w:val="21"/>
                <w:color w:val="auto"/>
              </w:rPr>
            </w:pPr>
          </w:p>
        </w:tc>
        <w:tc>
          <w:tcPr>
            <w:tcW w:w="1780" w:type="dxa"/>
            <w:vAlign w:val="bottom"/>
            <w:gridSpan w:val="2"/>
          </w:tcPr>
          <w:p>
            <w:pPr>
              <w:jc w:val="center"/>
              <w:ind w:right="920"/>
              <w:spacing w:after="0"/>
              <w:rPr>
                <w:sz w:val="20"/>
                <w:szCs w:val="20"/>
                <w:color w:val="auto"/>
              </w:rPr>
            </w:pPr>
            <w:r>
              <w:rPr>
                <w:rFonts w:ascii="Times New Roman" w:cs="Times New Roman" w:eastAsia="Times New Roman" w:hAnsi="Times New Roman"/>
                <w:sz w:val="17"/>
                <w:szCs w:val="17"/>
                <w:color w:val="auto"/>
              </w:rPr>
              <w:t>(0.6 pts)</w:t>
            </w:r>
          </w:p>
        </w:tc>
      </w:tr>
    </w:tbl>
    <w:p>
      <w:pPr>
        <w:spacing w:after="0" w:line="131" w:lineRule="exact"/>
        <w:rPr>
          <w:sz w:val="20"/>
          <w:szCs w:val="20"/>
          <w:color w:val="auto"/>
        </w:rPr>
      </w:pPr>
    </w:p>
    <w:p>
      <w:pPr>
        <w:ind w:left="300" w:hanging="298"/>
        <w:spacing w:after="0"/>
        <w:tabs>
          <w:tab w:leader="none" w:pos="3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Resort occupancy represents all transient, preview, and owner keys divided by total keys available, net of keys out of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color w:val="auto"/>
        </w:rPr>
        <w:t>The increase in Resort management and other services profit reflects $16 million of higher management and exchange profit reflecting continued growth in revenues and operating efficiencies, and $7 million of higher ancillary profit.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080"/>
          </w:cols>
          <w:pgMar w:left="320" w:top="124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Rental Revenues, Expenses and Margin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55"/>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0" w:type="dxa"/>
            <w:vAlign w:val="bottom"/>
          </w:tcPr>
          <w:p>
            <w:pPr>
              <w:spacing w:after="0"/>
              <w:rPr>
                <w:sz w:val="1"/>
                <w:szCs w:val="1"/>
                <w:color w:val="auto"/>
              </w:rPr>
            </w:pPr>
          </w:p>
        </w:tc>
      </w:tr>
      <w:tr>
        <w:trPr>
          <w:trHeight w:val="199"/>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left="41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6"/>
              </w:rPr>
              <w:t>2%</w:t>
            </w: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Rental expenses</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center"/>
              <w:ind w:right="95"/>
              <w:spacing w:after="0"/>
              <w:rPr>
                <w:sz w:val="20"/>
                <w:szCs w:val="20"/>
                <w:color w:val="auto"/>
              </w:rPr>
            </w:pPr>
            <w:r>
              <w:rPr>
                <w:rFonts w:ascii="Times New Roman" w:cs="Times New Roman" w:eastAsia="Times New Roman" w:hAnsi="Times New Roman"/>
                <w:sz w:val="17"/>
                <w:szCs w:val="17"/>
                <w:color w:val="auto"/>
                <w:w w:val="99"/>
              </w:rPr>
              <w:t>(8%)</w:t>
            </w:r>
          </w:p>
        </w:tc>
        <w:tc>
          <w:tcPr>
            <w:tcW w:w="0" w:type="dxa"/>
            <w:vAlign w:val="bottom"/>
          </w:tcPr>
          <w:p>
            <w:pPr>
              <w:spacing w:after="0"/>
              <w:rPr>
                <w:sz w:val="1"/>
                <w:szCs w:val="1"/>
                <w:color w:val="auto"/>
              </w:rPr>
            </w:pPr>
          </w:p>
        </w:tc>
      </w:tr>
      <w:tr>
        <w:trPr>
          <w:trHeight w:val="235"/>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(27%)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Rental profit margin</w:t>
            </w: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40" w:type="dxa"/>
            <w:vAlign w:val="bottom"/>
            <w:tcBorders>
              <w:top w:val="single" w:sz="8" w:color="CCEEFF"/>
            </w:tcBorders>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56"/>
              <w:spacing w:after="0" w:line="194" w:lineRule="exact"/>
              <w:rPr>
                <w:sz w:val="20"/>
                <w:szCs w:val="20"/>
                <w:color w:val="auto"/>
              </w:rPr>
            </w:pPr>
            <w:r>
              <w:rPr>
                <w:rFonts w:ascii="Times New Roman" w:cs="Times New Roman" w:eastAsia="Times New Roman" w:hAnsi="Times New Roman"/>
                <w:sz w:val="17"/>
                <w:szCs w:val="17"/>
                <w:color w:val="auto"/>
              </w:rPr>
              <w:t>12.7%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56"/>
              <w:spacing w:after="0" w:line="194" w:lineRule="exact"/>
              <w:rPr>
                <w:sz w:val="20"/>
                <w:szCs w:val="20"/>
                <w:color w:val="auto"/>
              </w:rPr>
            </w:pPr>
            <w:r>
              <w:rPr>
                <w:rFonts w:ascii="Times New Roman" w:cs="Times New Roman" w:eastAsia="Times New Roman" w:hAnsi="Times New Roman"/>
                <w:sz w:val="17"/>
                <w:szCs w:val="17"/>
                <w:color w:val="auto"/>
              </w:rPr>
              <w:t>17.6%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16"/>
              <w:spacing w:after="0" w:line="194" w:lineRule="exact"/>
              <w:rPr>
                <w:sz w:val="20"/>
                <w:szCs w:val="20"/>
                <w:color w:val="auto"/>
              </w:rPr>
            </w:pPr>
            <w:r>
              <w:rPr>
                <w:rFonts w:ascii="Times New Roman" w:cs="Times New Roman" w:eastAsia="Times New Roman" w:hAnsi="Times New Roman"/>
                <w:sz w:val="17"/>
                <w:szCs w:val="17"/>
                <w:color w:val="auto"/>
              </w:rPr>
              <w:t>12.4%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57"/>
              <w:spacing w:after="0" w:line="194" w:lineRule="exact"/>
              <w:rPr>
                <w:sz w:val="20"/>
                <w:szCs w:val="20"/>
                <w:color w:val="auto"/>
              </w:rPr>
            </w:pPr>
            <w:r>
              <w:rPr>
                <w:rFonts w:ascii="Times New Roman" w:cs="Times New Roman" w:eastAsia="Times New Roman" w:hAnsi="Times New Roman"/>
                <w:sz w:val="17"/>
                <w:szCs w:val="17"/>
                <w:color w:val="auto"/>
              </w:rPr>
              <w:t>(4.9 pts)</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Transient keys rented</w:t>
            </w:r>
            <w:r>
              <w:rPr>
                <w:rFonts w:ascii="Times New Roman" w:cs="Times New Roman" w:eastAsia="Times New Roman" w:hAnsi="Times New Roman"/>
                <w:sz w:val="8"/>
                <w:szCs w:val="8"/>
                <w:color w:val="auto"/>
              </w:rPr>
              <w:t>(1)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2,236,229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2,172,529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2,072,590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63,700</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6"/>
              </w:rPr>
              <w:t>3%</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transient key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tcPr>
          <w:p>
            <w:pPr>
              <w:spacing w:after="0"/>
              <w:rPr>
                <w:sz w:val="20"/>
                <w:szCs w:val="20"/>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24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occupancy</w:t>
            </w: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72.0%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72.3%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rPr>
              <w:t>68.2%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(0.3 pts)</w:t>
            </w: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00" w:hanging="298"/>
        <w:spacing w:after="0"/>
        <w:tabs>
          <w:tab w:leader="none" w:pos="30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Transient keys rented exclude plus points and preview stays.</w:t>
      </w:r>
    </w:p>
    <w:p>
      <w:pPr>
        <w:spacing w:after="0" w:line="5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Rental occupancy represents transient and preview keys divided by keys available to rent, which is total available keys excluding owner usage.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Rental profit declined due to:</w:t>
      </w:r>
    </w:p>
    <w:p>
      <w:pPr>
        <w:spacing w:after="0" w:line="60" w:lineRule="exact"/>
        <w:rPr>
          <w:sz w:val="20"/>
          <w:szCs w:val="20"/>
          <w:color w:val="auto"/>
        </w:rPr>
      </w:pPr>
    </w:p>
    <w:p>
      <w:pPr>
        <w:jc w:val="both"/>
        <w:ind w:left="620" w:right="200" w:hanging="311"/>
        <w:spacing w:after="0" w:line="26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million of lower plus point revenue resulting from the non-recurring impact of sales incentive programs put in place during the COVID pandemic, which increased the amount of plus points issued and lengthened the use period through the end of 2024, resulting in higher non-recurring revenues in 2024;</w:t>
      </w:r>
    </w:p>
    <w:p>
      <w:pPr>
        <w:spacing w:after="0" w:line="12"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 million of higher unsold maintenance fees associated with developer-owned inventory;</w:t>
      </w:r>
    </w:p>
    <w:p>
      <w:pPr>
        <w:spacing w:after="0" w:line="60"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 million of higher marketing, variable and other costs; and</w:t>
      </w:r>
    </w:p>
    <w:p>
      <w:pPr>
        <w:spacing w:after="0" w:line="60"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million of increased costs due to higher owner utilization of third-party vacation offerings.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amounts are partially offset by:</w:t>
      </w:r>
    </w:p>
    <w:p>
      <w:pPr>
        <w:spacing w:after="0" w:line="60" w:lineRule="exact"/>
        <w:rPr>
          <w:sz w:val="20"/>
          <w:szCs w:val="20"/>
          <w:color w:val="auto"/>
        </w:rPr>
      </w:pPr>
    </w:p>
    <w:p>
      <w:pPr>
        <w:ind w:left="620" w:hanging="311"/>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 million increase in transient rental revenues; and</w:t>
      </w:r>
    </w:p>
    <w:p>
      <w:pPr>
        <w:spacing w:after="0" w:line="60"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million increase in costs allocated to marketing and sales expense for occupancy used for previews.</w:t>
      </w:r>
    </w:p>
    <w:p>
      <w:pPr>
        <w:spacing w:after="0" w:line="112"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Rental revenues and Rental expenses are both $17 million higher due to the year over year change in the amount reclassified for costs in excess of rental revenues for developer-owned inventory which is registered and held for sale.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Revenues, Expenses and Margin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rPr>
              <w:t>5%</w:t>
            </w:r>
          </w:p>
        </w:tc>
      </w:tr>
      <w:tr>
        <w:trPr>
          <w:trHeight w:val="256"/>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expenses</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tcPr>
          <w:p>
            <w:pPr>
              <w:spacing w:after="0"/>
              <w:rPr>
                <w:sz w:val="22"/>
                <w:szCs w:val="22"/>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(9%)</w:t>
            </w: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 financing interest expense</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209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tcPr>
          <w:p>
            <w:pPr>
              <w:spacing w:after="0"/>
              <w:rPr>
                <w:sz w:val="18"/>
                <w:szCs w:val="18"/>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profit margin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rPr>
              <w:t>58.3%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7"/>
                <w:szCs w:val="17"/>
                <w:color w:val="auto"/>
              </w:rPr>
              <w:t>64.9%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0.9 pts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44"/>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160" w:type="dxa"/>
            <w:vAlign w:val="bottom"/>
          </w:tcPr>
          <w:p>
            <w:pPr>
              <w:spacing w:after="0"/>
              <w:rPr>
                <w:sz w:val="21"/>
                <w:szCs w:val="21"/>
                <w:color w:val="auto"/>
              </w:rPr>
            </w:pPr>
          </w:p>
        </w:tc>
        <w:tc>
          <w:tcPr>
            <w:tcW w:w="72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55.9%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0.8 pts</w:t>
            </w:r>
          </w:p>
        </w:tc>
        <w:tc>
          <w:tcPr>
            <w:tcW w:w="580" w:type="dxa"/>
            <w:vAlign w:val="bottom"/>
          </w:tcPr>
          <w:p>
            <w:pPr>
              <w:spacing w:after="0"/>
              <w:rPr>
                <w:sz w:val="21"/>
                <w:szCs w:val="21"/>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ind w:left="300" w:hanging="144"/>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Financing revenues reflect higher interest income as a result of a higher average notes receivable balance.</w:t>
      </w:r>
    </w:p>
    <w:p>
      <w:pPr>
        <w:spacing w:after="0" w:line="60" w:lineRule="exact"/>
        <w:rPr>
          <w:rFonts w:ascii="Times New Roman" w:cs="Times New Roman" w:eastAsia="Times New Roman" w:hAnsi="Times New Roman"/>
          <w:sz w:val="17"/>
          <w:szCs w:val="17"/>
          <w:color w:val="auto"/>
        </w:rPr>
      </w:pPr>
    </w:p>
    <w:p>
      <w:pPr>
        <w:ind w:left="300" w:hanging="144"/>
        <w:spacing w:after="0" w:line="283" w:lineRule="auto"/>
        <w:tabs>
          <w:tab w:leader="none" w:pos="2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financing expense is primarily attributed to higher credit card fees, partially offset by lower operating costs, including those resulting from our cost savings initiatives implemented in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00"/>
          </w:cols>
          <w:pgMar w:left="320" w:top="124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Litigation Charges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3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w:t>
            </w:r>
          </w:p>
        </w:tc>
        <w:tc>
          <w:tcPr>
            <w:tcW w:w="6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8"/>
              </w:rPr>
              <w:t>(38%)</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2025 and 2024, litigation charges relate primarily to certain resorts in Europe, as well as a land disposition in the U.S. during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 Charges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7"/>
          <w:szCs w:val="17"/>
          <w:color w:val="auto"/>
        </w:rPr>
        <w:t>During 2025, we recorded $15 million of restructuring costs, all of which related to the strategy change in our Asia Pacific business, consisting of $10 million for the cancellation of a purchase commitment for 26 vacation ownership units in Bali ($8 million related to the write-off of progress payments and $2 million for the contract termination fee) and $5 million of severance.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r>
      <w:tr>
        <w:trPr>
          <w:trHeight w:val="22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367</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2025, we recorded non-cash impairment charges of $395 million related to our development strategy change including:</w:t>
      </w:r>
    </w:p>
    <w:p>
      <w:pPr>
        <w:spacing w:after="0" w:line="112" w:lineRule="exact"/>
        <w:rPr>
          <w:sz w:val="20"/>
          <w:szCs w:val="20"/>
          <w:color w:val="auto"/>
        </w:rPr>
      </w:pPr>
    </w:p>
    <w:p>
      <w:pPr>
        <w:ind w:left="460" w:hanging="151"/>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$160 million to write down the basis of certain non-core Property and equipment and Other assets identified for disposition to their estimated fair values;</w:t>
      </w:r>
    </w:p>
    <w:p>
      <w:pPr>
        <w:spacing w:after="0" w:line="111" w:lineRule="exact"/>
        <w:rPr>
          <w:rFonts w:ascii="Times New Roman" w:cs="Times New Roman" w:eastAsia="Times New Roman" w:hAnsi="Times New Roman"/>
          <w:sz w:val="17"/>
          <w:szCs w:val="17"/>
          <w:color w:val="auto"/>
        </w:rPr>
      </w:pPr>
    </w:p>
    <w:p>
      <w:pPr>
        <w:ind w:left="460" w:right="280" w:hanging="151"/>
        <w:spacing w:after="0" w:line="283" w:lineRule="auto"/>
        <w:tabs>
          <w:tab w:leader="none" w:pos="45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$131 million related to decisions to forego build out of future phases of existing resorts primarily attributed to the fact that the book values of these assets include the historical allocations of common costs incurred when we built the infrastructure of these resorts;</w:t>
      </w:r>
    </w:p>
    <w:p>
      <w:pPr>
        <w:spacing w:after="0" w:line="50" w:lineRule="exact"/>
        <w:rPr>
          <w:rFonts w:ascii="Times New Roman" w:cs="Times New Roman" w:eastAsia="Times New Roman" w:hAnsi="Times New Roman"/>
          <w:sz w:val="17"/>
          <w:szCs w:val="17"/>
          <w:color w:val="auto"/>
        </w:rPr>
      </w:pPr>
    </w:p>
    <w:p>
      <w:pPr>
        <w:ind w:left="460" w:right="80" w:hanging="151"/>
        <w:spacing w:after="0" w:line="283" w:lineRule="auto"/>
        <w:tabs>
          <w:tab w:leader="none" w:pos="45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 million to write down the value of vacation ownership interests related to Legacy-Welk reflecting a further elongated pace of sales at a higher marketing and selling cost as the Hyatt-branded vacation ownership business continues to underperform expectations;</w:t>
      </w:r>
    </w:p>
    <w:p>
      <w:pPr>
        <w:spacing w:after="0" w:line="50" w:lineRule="exact"/>
        <w:rPr>
          <w:rFonts w:ascii="Times New Roman" w:cs="Times New Roman" w:eastAsia="Times New Roman" w:hAnsi="Times New Roman"/>
          <w:sz w:val="17"/>
          <w:szCs w:val="17"/>
          <w:color w:val="auto"/>
        </w:rPr>
      </w:pPr>
    </w:p>
    <w:p>
      <w:pPr>
        <w:ind w:left="460" w:right="20" w:hanging="151"/>
        <w:spacing w:after="0" w:line="283" w:lineRule="auto"/>
        <w:tabs>
          <w:tab w:leader="none" w:pos="45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 million for the impairment of vacation ownership units in Khao Lak, Thailand classified in Inventory due to the change in strategy for the in Asia Pacific region which elongated the pace of sales and changes in our marketing approach; and</w:t>
      </w:r>
    </w:p>
    <w:p>
      <w:pPr>
        <w:spacing w:after="0" w:line="50" w:lineRule="exact"/>
        <w:rPr>
          <w:rFonts w:ascii="Times New Roman" w:cs="Times New Roman" w:eastAsia="Times New Roman" w:hAnsi="Times New Roman"/>
          <w:sz w:val="17"/>
          <w:szCs w:val="17"/>
          <w:color w:val="auto"/>
        </w:rPr>
      </w:pPr>
    </w:p>
    <w:p>
      <w:pPr>
        <w:ind w:left="460" w:hanging="151"/>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million for the impairment of inventory in an equity method investment.</w:t>
      </w:r>
    </w:p>
    <w:p>
      <w:pPr>
        <w:spacing w:after="0" w:line="11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During 2024, we recorded non-cash impairment charges of $28 million related to Legacy-Welk inventory. The impairment charge reflects an elongated pace of sales at a higher marketing and selling cost than the estimates used in purchase accounting when we acquired the inventory.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45"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Gains and Other Income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r>
      <w:tr>
        <w:trPr>
          <w:trHeight w:val="23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6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75"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7"/>
          <w:szCs w:val="17"/>
          <w:color w:val="auto"/>
        </w:rPr>
        <w:t>During 2025 we benefited from $15 million of proceeds from service interruption insurance relating to the Maui wildfires, a $2 million reduction in certain pre-acquisition contingencies associated with the ILG Acquisition, and $1 million of other miscellaneous gains.</w:t>
      </w:r>
    </w:p>
    <w:p>
      <w:pPr>
        <w:spacing w:after="0" w:line="51"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7"/>
          <w:szCs w:val="17"/>
          <w:color w:val="auto"/>
        </w:rPr>
        <w:t>During 2024 we benefited from $6 million of gains on the disposition of excess real estate, $5 million related to the receipt of business interruption insurance proceeds, a $4 million reduction in certain pre-acquisition contingencies associated with the ILG Acquisition, and $1 million of other miscellaneous gains.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Exchange &amp; Third-Party Management segment is comprised of the Interval International and Aqua-Aston businesses.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60" w:type="dxa"/>
            <w:vAlign w:val="bottom"/>
          </w:tcPr>
          <w:p>
            <w:pPr>
              <w:spacing w:after="0"/>
              <w:rPr>
                <w:sz w:val="21"/>
                <w:szCs w:val="21"/>
                <w:color w:val="auto"/>
              </w:rPr>
            </w:pP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Pr>
          <w:p>
            <w:pPr>
              <w:spacing w:after="0"/>
              <w:rPr>
                <w:sz w:val="21"/>
                <w:szCs w:val="21"/>
                <w:color w:val="auto"/>
              </w:rPr>
            </w:pPr>
          </w:p>
        </w:tc>
        <w:tc>
          <w:tcPr>
            <w:tcW w:w="48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SEGMENT FINANCIAL RESULTS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160" w:type="dxa"/>
            <w:vAlign w:val="bottom"/>
          </w:tcPr>
          <w:p>
            <w:pPr>
              <w:spacing w:after="0"/>
              <w:rPr>
                <w:sz w:val="14"/>
                <w:szCs w:val="14"/>
                <w:color w:val="auto"/>
              </w:rPr>
            </w:pPr>
          </w:p>
        </w:tc>
        <w:tc>
          <w:tcPr>
            <w:tcW w:w="6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4"/>
                <w:szCs w:val="14"/>
                <w:color w:val="auto"/>
              </w:rPr>
            </w:pPr>
          </w:p>
        </w:tc>
        <w:tc>
          <w:tcPr>
            <w:tcW w:w="480" w:type="dxa"/>
            <w:vAlign w:val="bottom"/>
            <w:vMerge w:val="restart"/>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6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Management and Exchange Profit</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53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170</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182</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3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90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Management and exchange expense</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(122)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900" w:type="dxa"/>
            <w:vAlign w:val="bottom"/>
            <w:tcBorders>
              <w:bottom w:val="single" w:sz="8" w:color="CCEEFF"/>
            </w:tcBorders>
          </w:tcPr>
          <w:p>
            <w:pPr>
              <w:jc w:val="center"/>
              <w:ind w:left="55"/>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900" w:type="dxa"/>
            <w:vAlign w:val="bottom"/>
            <w:tcBorders>
              <w:bottom w:val="single" w:sz="8" w:color="CCEEFF"/>
            </w:tcBorders>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3"/>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 margin</w:t>
            </w:r>
          </w:p>
        </w:tc>
        <w:tc>
          <w:tcPr>
            <w:tcW w:w="1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42.5%</w:t>
            </w:r>
          </w:p>
        </w:tc>
        <w:tc>
          <w:tcPr>
            <w:tcW w:w="120" w:type="dxa"/>
            <w:vAlign w:val="bottom"/>
          </w:tcPr>
          <w:p>
            <w:pPr>
              <w:spacing w:after="0"/>
              <w:rPr>
                <w:sz w:val="17"/>
                <w:szCs w:val="17"/>
                <w:color w:val="auto"/>
              </w:rPr>
            </w:pPr>
          </w:p>
        </w:tc>
        <w:tc>
          <w:tcPr>
            <w:tcW w:w="860" w:type="dxa"/>
            <w:vAlign w:val="bottom"/>
            <w:gridSpan w:val="3"/>
          </w:tcPr>
          <w:p>
            <w:pPr>
              <w:jc w:val="right"/>
              <w:ind w:right="57"/>
              <w:spacing w:after="0"/>
              <w:rPr>
                <w:sz w:val="20"/>
                <w:szCs w:val="20"/>
                <w:color w:val="auto"/>
              </w:rPr>
            </w:pPr>
            <w:r>
              <w:rPr>
                <w:rFonts w:ascii="Times New Roman" w:cs="Times New Roman" w:eastAsia="Times New Roman" w:hAnsi="Times New Roman"/>
                <w:sz w:val="17"/>
                <w:szCs w:val="17"/>
                <w:color w:val="auto"/>
              </w:rPr>
              <w:t>(1.9 pts)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28" w:lineRule="exact"/>
        <w:rPr>
          <w:sz w:val="20"/>
          <w:szCs w:val="20"/>
          <w:color w:val="auto"/>
        </w:rPr>
      </w:pPr>
    </w:p>
    <w:p>
      <w:pPr>
        <w:ind w:left="300" w:hanging="144"/>
        <w:spacing w:after="0" w:line="282" w:lineRule="auto"/>
        <w:tabs>
          <w:tab w:leader="none" w:pos="296"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Interval International management and exchange revenues declined $6 million primarily due to 9% lower exchange transaction volume, partially offset by a 6% increase in average exchange fees.</w:t>
      </w:r>
    </w:p>
    <w:p>
      <w:pPr>
        <w:spacing w:after="0" w:line="1" w:lineRule="exact"/>
        <w:rPr>
          <w:rFonts w:ascii="Times New Roman" w:cs="Times New Roman" w:eastAsia="Times New Roman" w:hAnsi="Times New Roman"/>
          <w:sz w:val="17"/>
          <w:szCs w:val="17"/>
          <w:i w:val="1"/>
          <w:iCs w:val="1"/>
          <w:color w:val="auto"/>
        </w:rPr>
      </w:pPr>
    </w:p>
    <w:p>
      <w:pPr>
        <w:ind w:left="300" w:right="380" w:hanging="144"/>
        <w:spacing w:after="0" w:line="283" w:lineRule="auto"/>
        <w:tabs>
          <w:tab w:leader="none" w:pos="29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and exchange revenue reflects a $4 million decline in Aqua-Aston management revenues resulting from fewer available nights for rent and a lower average daily rate in the Hawaii market.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194" w:right="379" w:bottom="1440" w:gutter="0" w:footer="0" w:header="0"/>
        </w:sectPr>
      </w:pPr>
    </w:p>
    <w:bookmarkStart w:id="57" w:name="page58"/>
    <w:bookmarkEnd w:id="57"/>
    <w:p>
      <w:pPr>
        <w:ind w:left="300" w:hanging="144"/>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and exchange revenue declined $2 million as a result of the sale of an immaterial subsidiary in the second quarter of 2024.</w:t>
      </w:r>
    </w:p>
    <w:p>
      <w:pPr>
        <w:spacing w:after="0" w:line="60" w:lineRule="exact"/>
        <w:rPr>
          <w:rFonts w:ascii="Times New Roman" w:cs="Times New Roman" w:eastAsia="Times New Roman" w:hAnsi="Times New Roman"/>
          <w:sz w:val="17"/>
          <w:szCs w:val="17"/>
          <w:color w:val="auto"/>
        </w:rPr>
      </w:pPr>
    </w:p>
    <w:p>
      <w:pPr>
        <w:ind w:left="300" w:hanging="144"/>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decrease in management and exchange expenses was primarily attributable to lower wages and benefits and other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Rental Revenues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3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w:t>
            </w:r>
          </w:p>
        </w:tc>
        <w:tc>
          <w:tcPr>
            <w:tcW w:w="6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8"/>
              </w:rPr>
              <w:t>(12%)</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decrease in rental revenues reflects a 15% decrease in transaction volume, partially offset by a 9% increase in average fees per transaction.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5"/>
                <w:szCs w:val="15"/>
                <w:b w:val="1"/>
                <w:bCs w:val="1"/>
                <w:color w:val="auto"/>
              </w:rPr>
              <w:t>2025</w:t>
            </w:r>
          </w:p>
        </w:tc>
        <w:tc>
          <w:tcPr>
            <w:tcW w:w="28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5"/>
                <w:szCs w:val="15"/>
                <w:b w:val="1"/>
                <w:bCs w:val="1"/>
                <w:color w:val="auto"/>
              </w:rPr>
              <w:t>2024</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center"/>
              <w:ind w:left="2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Pr>
          <w:p>
            <w:pPr>
              <w:spacing w:after="0"/>
              <w:rPr>
                <w:sz w:val="17"/>
                <w:szCs w:val="17"/>
                <w:color w:val="auto"/>
              </w:rPr>
            </w:pPr>
          </w:p>
        </w:tc>
      </w:tr>
      <w:tr>
        <w:trPr>
          <w:trHeight w:val="25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182</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2</w:t>
            </w:r>
          </w:p>
        </w:tc>
        <w:tc>
          <w:tcPr>
            <w:tcW w:w="7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180</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2025, we recorded a non-cash impairment of $182 million primarily to write down the value of our goodwill ($159 million) as a result of (i) the change in expected future operating results based on a sustained decline in operating performance in comparison to prior expectations; and (ii) the impact of market factors, including a decline in our stock price and market capitalization. In addition, we recorded a $21 million non-cash impairment to write down the value of trade names which was primarily attributed to the decline in estimated future revenues of each of the related businesses and a $2 million impairment related to an operating lease and related assets. See Footnote 10 “Goodwill” and Footnote 11 “Intangible Assets” to our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CORPORATE AND OTHER</w:t>
      </w:r>
    </w:p>
    <w:p>
      <w:pPr>
        <w:spacing w:after="0" w:line="6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the Consolidated Property Owners’ Associations.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line="243" w:lineRule="exact"/>
              <w:rPr>
                <w:sz w:val="20"/>
                <w:szCs w:val="20"/>
                <w:color w:val="auto"/>
              </w:rPr>
            </w:pPr>
            <w:r>
              <w:rPr>
                <w:rFonts w:ascii="Times New Roman" w:cs="Times New Roman" w:eastAsia="Times New Roman" w:hAnsi="Times New Roman"/>
                <w:sz w:val="17"/>
                <w:szCs w:val="17"/>
                <w:color w:val="auto"/>
              </w:rPr>
              <w:t>Litigation charges</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7"/>
                <w:szCs w:val="17"/>
                <w:color w:val="auto"/>
              </w:rPr>
              <w:t>Modernization</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line="243" w:lineRule="exact"/>
              <w:rPr>
                <w:sz w:val="20"/>
                <w:szCs w:val="20"/>
                <w:color w:val="auto"/>
              </w:rPr>
            </w:pPr>
            <w:r>
              <w:rPr>
                <w:rFonts w:ascii="Times New Roman" w:cs="Times New Roman" w:eastAsia="Times New Roman" w:hAnsi="Times New Roman"/>
                <w:sz w:val="17"/>
                <w:szCs w:val="17"/>
                <w:color w:val="auto"/>
              </w:rPr>
              <w:t>Restructuring</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0" w:type="dxa"/>
            <w:vAlign w:val="bottom"/>
          </w:tcPr>
          <w:p>
            <w:pPr>
              <w:spacing w:after="0"/>
              <w:rPr>
                <w:sz w:val="1"/>
                <w:szCs w:val="1"/>
                <w:color w:val="auto"/>
              </w:rPr>
            </w:pPr>
          </w:p>
        </w:tc>
      </w:tr>
      <w:tr>
        <w:trPr>
          <w:trHeight w:val="22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Gains (losses) and other income (expense),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41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BEFORE INCOME TAXES</w:t>
            </w: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AND NONCONTROLLING INTERESTS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46"/>
        </w:trPr>
        <w:tc>
          <w:tcPr>
            <w:tcW w:w="41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ATTRIBUTABLE TO</w:t>
            </w: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40" w:hanging="238"/>
        <w:spacing w:after="0"/>
        <w:tabs>
          <w:tab w:leader="none" w:pos="24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year amounts have been reclassified to conform with our current year presentation.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60" w:type="dxa"/>
            <w:vAlign w:val="bottom"/>
            <w:tcBorders>
              <w:bottom w:val="single" w:sz="8" w:color="auto"/>
            </w:tcBorders>
          </w:tcPr>
          <w:p>
            <w:pPr>
              <w:spacing w:after="0"/>
              <w:rPr>
                <w:sz w:val="17"/>
                <w:szCs w:val="17"/>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w:t>
            </w:r>
          </w:p>
        </w:tc>
        <w:tc>
          <w:tcPr>
            <w:tcW w:w="5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 increase in General and administrative expenses is attributed to $27 million of higher wages, benefits and variable compensation and $6 million of severance for our former chief executive officer, partially offset by $8 million of net savings from outsourcing certain finance and accounting and human resources functions, $7 million of lower insurance, $4 million of lower consulting costs and $9 million of other individually insignificant cost reductions.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245"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Litigation Charges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37"/>
        </w:trPr>
        <w:tc>
          <w:tcPr>
            <w:tcW w:w="36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7"/>
                <w:szCs w:val="17"/>
                <w:color w:val="auto"/>
              </w:rPr>
              <w:t>Litigation charges</w:t>
            </w:r>
            <w:r>
              <w:rPr>
                <w:rFonts w:ascii="Times New Roman" w:cs="Times New Roman" w:eastAsia="Times New Roman" w:hAnsi="Times New Roman"/>
                <w:sz w:val="22"/>
                <w:szCs w:val="22"/>
                <w:color w:val="auto"/>
                <w:vertAlign w:val="superscript"/>
              </w:rPr>
              <w:t>(1)</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w:t>
            </w:r>
          </w:p>
        </w:tc>
        <w:tc>
          <w:tcPr>
            <w:tcW w:w="5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3%</w:t>
            </w:r>
          </w:p>
        </w:tc>
      </w:tr>
    </w:tbl>
    <w:p>
      <w:pPr>
        <w:spacing w:after="0" w:line="93" w:lineRule="exact"/>
        <w:rPr>
          <w:sz w:val="20"/>
          <w:szCs w:val="20"/>
          <w:color w:val="auto"/>
        </w:rPr>
      </w:pPr>
    </w:p>
    <w:p>
      <w:pPr>
        <w:ind w:left="240" w:hanging="238"/>
        <w:spacing w:after="0"/>
        <w:tabs>
          <w:tab w:leader="none" w:pos="24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year amounts have been reclassified to conform with our current year presentation.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Litigation charges during 2025 and 2024 relate to a dispute with a service provider.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Modernization Charges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24"/>
        </w:trPr>
        <w:tc>
          <w:tcPr>
            <w:tcW w:w="36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7"/>
                <w:szCs w:val="17"/>
                <w:color w:val="auto"/>
              </w:rPr>
              <w:t>Modernization</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118</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r>
    </w:tbl>
    <w:p>
      <w:pPr>
        <w:spacing w:after="0" w:line="80" w:lineRule="exact"/>
        <w:rPr>
          <w:sz w:val="20"/>
          <w:szCs w:val="20"/>
          <w:color w:val="auto"/>
        </w:rPr>
      </w:pPr>
    </w:p>
    <w:p>
      <w:pPr>
        <w:ind w:left="240" w:hanging="238"/>
        <w:spacing w:after="0"/>
        <w:tabs>
          <w:tab w:leader="none" w:pos="24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year amounts have been reclassified to conform with our current year presentation.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November 2024, we announced the creation of a Strategic Business Operations office focused on accelerating our growth and driving operating efficiencies in all areas of our business while increasing organizational agility. The Strategic Business Operations office was created to modernize and optimize our processes and systems, including through advanced technology and automation; increase sales efficiency and inventory optimization; and capture significant savings from initiatives related to procurement and corporate overhead.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 Modernization charges related to:</w:t>
      </w:r>
    </w:p>
    <w:p>
      <w:pPr>
        <w:spacing w:after="0" w:line="60" w:lineRule="exact"/>
        <w:rPr>
          <w:sz w:val="20"/>
          <w:szCs w:val="20"/>
          <w:color w:val="auto"/>
        </w:rPr>
      </w:pPr>
    </w:p>
    <w:p>
      <w:pPr>
        <w:ind w:left="620" w:hanging="311"/>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 million of advisory services;</w:t>
      </w:r>
    </w:p>
    <w:p>
      <w:pPr>
        <w:spacing w:after="0" w:line="60"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million for the partial outsourcing of corporate overhead functions;</w:t>
      </w:r>
    </w:p>
    <w:p>
      <w:pPr>
        <w:spacing w:after="0" w:line="60"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million for technology; and</w:t>
      </w:r>
    </w:p>
    <w:p>
      <w:pPr>
        <w:spacing w:after="0" w:line="60"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million related to other initiatives.</w:t>
      </w:r>
    </w:p>
    <w:p>
      <w:pPr>
        <w:spacing w:after="0" w:line="11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In the third quarter of 2025, we outsourced a portion of our human resources and finance and accounting functions to third-party service providers, which we expect will result in annual cost savings of approximately $20 million that will be reflected in multiple expense lines on our income statements.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to incur non-recurring expenses of approximately $100 million in 2026 related to these modernization initiatives.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(Losses) and Other Income (Expense)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75"/>
              <w:spacing w:after="0"/>
              <w:rPr>
                <w:sz w:val="20"/>
                <w:szCs w:val="20"/>
                <w:color w:val="auto"/>
              </w:rPr>
            </w:pPr>
            <w:r>
              <w:rPr>
                <w:rFonts w:ascii="Times New Roman" w:cs="Times New Roman" w:eastAsia="Times New Roman" w:hAnsi="Times New Roman"/>
                <w:sz w:val="15"/>
                <w:szCs w:val="15"/>
                <w:b w:val="1"/>
                <w:bCs w:val="1"/>
                <w:color w:val="auto"/>
              </w:rPr>
              <w:t>2025 vs. 2024</w:t>
            </w:r>
          </w:p>
        </w:tc>
      </w:tr>
      <w:tr>
        <w:trPr>
          <w:trHeight w:val="19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(losses) and other income (expense), net</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45</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75"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7"/>
          <w:szCs w:val="17"/>
          <w:color w:val="auto"/>
        </w:rPr>
        <w:t>In 2025, we recorded $22 million of foreign currency translation gains, a $4 million increase in the receivable from Marriott International for indemnified tax matters, $1 million of insurance proceeds, and $1 million of other gains.</w:t>
      </w:r>
    </w:p>
    <w:p>
      <w:pPr>
        <w:spacing w:after="0" w:line="51"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In 2024, we recorded $12 million of foreign currency translation losses and a $5 million reduction in the receivable from Marriott International for indemnified tax matters.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99"/>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44"/>
        </w:trPr>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(2.8%)</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7"/>
                <w:szCs w:val="17"/>
                <w:color w:val="auto"/>
              </w:rPr>
              <w:t>29.0%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98"/>
              <w:spacing w:after="0"/>
              <w:rPr>
                <w:sz w:val="20"/>
                <w:szCs w:val="20"/>
                <w:color w:val="auto"/>
              </w:rPr>
            </w:pPr>
            <w:r>
              <w:rPr>
                <w:rFonts w:ascii="Times New Roman" w:cs="Times New Roman" w:eastAsia="Times New Roman" w:hAnsi="Times New Roman"/>
                <w:sz w:val="17"/>
                <w:szCs w:val="17"/>
                <w:color w:val="auto"/>
              </w:rPr>
              <w:t>36.5%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Compared to 2024</w:t>
      </w:r>
    </w:p>
    <w:p>
      <w:pPr>
        <w:spacing w:after="0" w:line="116"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The decrease in income tax expense for 2025 primarily reflects losses before income taxes and noncontrolling interests, as well as the establishment of valuation allowances on certain deferred tax assets. The decrease was further driven by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194" w:right="379" w:bottom="1440" w:gutter="0" w:footer="0" w:header="0"/>
        </w:sectPr>
      </w:pPr>
    </w:p>
    <w:bookmarkStart w:id="60" w:name="page61"/>
    <w:bookmarkEnd w:id="60"/>
    <w:p>
      <w:pPr>
        <w:ind w:right="80"/>
        <w:spacing w:after="0" w:line="267" w:lineRule="auto"/>
        <w:rPr>
          <w:sz w:val="20"/>
          <w:szCs w:val="20"/>
          <w:color w:val="auto"/>
        </w:rPr>
      </w:pPr>
      <w:r>
        <w:rPr>
          <w:rFonts w:ascii="Times New Roman" w:cs="Times New Roman" w:eastAsia="Times New Roman" w:hAnsi="Times New Roman"/>
          <w:sz w:val="17"/>
          <w:szCs w:val="17"/>
          <w:color w:val="auto"/>
        </w:rPr>
        <w:t>the absence of the tax expense recognized in 2024 related to the removal of our permanent reinvestment assertion for earnings in certain non-U.S. entities, partially offset by tax benefits associated with 2025 restructuring activity. These decreases were partially offset by the impact of certain state and federal permanent differences and the absence of a benefit recognized in 2024 related to changes in uncertain tax positions.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Timing of Estimated Tax Payments</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As part of the federal tax relief provided by the Internal Revenue Service for businesses in areas of Florida affected by hurricanes during 2024, we were permitted to defer certain federal income tax payments without incurring interest or penalties. As a result, we deferred $38 million of estimated tax payments from 2024 to 2025. Similarly, in 2024, under comparable relief measures related to hurricanes in 2023, we deferred $32 million of estimated tax payments from 2023 to 2024. In addition, in 2023, under similar circumstances, we deferred $45 million of estimated tax payments from 2022 to 2023. None of our 2025 estimated tax payments were deferred into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Footnote 4 “Income Taxes” for additional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Property Owners’ Associations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illustrates the impact of certain Consolidated Property Owners’ Associations under the relevant accounting guidance.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46"/>
        </w:trPr>
        <w:tc>
          <w:tcPr>
            <w:tcW w:w="414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BEFORE INCOME TAXES</w:t>
            </w: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AND NONCONTROLLING INTERESTS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46"/>
        </w:trPr>
        <w:tc>
          <w:tcPr>
            <w:tcW w:w="41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ATTRIBUTABLE TO</w:t>
            </w: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3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w:t>
      </w:r>
    </w:p>
    <w:p>
      <w:pPr>
        <w:spacing w:after="0" w:line="71"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At December 31, 2025, our corporate debt, net of cash and equivalents, to Adjusted EBITDA ratio was 4.2, a manageable leverage level, and we remain focused on reducing this ratio over time.</w:t>
      </w:r>
    </w:p>
    <w:p>
      <w:pPr>
        <w:spacing w:after="0" w:line="51"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7"/>
          <w:szCs w:val="17"/>
          <w:color w:val="auto"/>
        </w:rPr>
        <w:t>Subsequent to the end of 2025, we used the proceeds from the 2033 Notes to repay our 2026 Convertible Notes upon maturity. See Footnote 15 “Debt” to our Financial Statements for further information related to maturities of our debt.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Sources of Liquidity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from Operations</w:t>
      </w:r>
    </w:p>
    <w:p>
      <w:pPr>
        <w:spacing w:after="0" w:line="116"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cash generated from our rental and resort management and other services operations.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Securitizations</w:t>
      </w:r>
    </w:p>
    <w:p>
      <w:pPr>
        <w:spacing w:after="0" w:line="116"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7"/>
          <w:szCs w:val="17"/>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collateralized by a single pool of transferred vacation ownership notes receivable. In connection with each vacation ownership notes receivable securitization, we may retain all or a portion of the securities that are issued.</w:t>
      </w:r>
    </w:p>
    <w:p>
      <w:pPr>
        <w:spacing w:after="0" w:line="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Loan defaults under securitizations offset a portion of the excess spread we receive, on a monthly basis. We completed two term securitization transactions in 2025 resulting in net proceeds of $908 million.</w:t>
      </w:r>
    </w:p>
    <w:p>
      <w:pPr>
        <w:spacing w:after="0" w:line="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At the recent level of defaults, there is no impact to cash whether we repurchase defaulted vacation ownership notes receivable from a securitization VIE and pursue foreclosure or foreclose on behalf of a securitization VIE. During 2025, and as of December 31, 2025, no securitized vacation ownership notes receivable pools were out of compliance with their respective required parameters. As of December 31, 2025, we had 12 term securitization transactions outstanding. Since 2000, we have issued approximately $10.7 billion of debt securities in securitization transactions in the term ABS market, excluding amounts securitized through warehouse credit facilities or private bank transactions.</w:t>
      </w:r>
    </w:p>
    <w:p>
      <w:pPr>
        <w:spacing w:after="0" w:line="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During 2025, we amended certain agreements associated with our Warehouse Credit Facility, which among other things extended the revolving period from June 11, 2026 to June 11, 2027. At December 31, 2025, no borrowings were outstanding on our Warehouse Credit Facility.</w:t>
      </w:r>
    </w:p>
    <w:p>
      <w:pPr>
        <w:spacing w:after="0" w:line="67"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7"/>
          <w:szCs w:val="17"/>
          <w:color w:val="auto"/>
        </w:rPr>
        <w:t>As of December 31, 2025, $176 million of gross vacation ownership notes receivable were eligible for securitization. See Footnote 14 “Securitized Debt” and Footnote 18 “Variable Interest Entities” for further information on these facilities.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Issuance of Senior Unsecured Notes</w:t>
      </w:r>
    </w:p>
    <w:p>
      <w:pPr>
        <w:spacing w:after="0" w:line="116" w:lineRule="exact"/>
        <w:rPr>
          <w:sz w:val="20"/>
          <w:szCs w:val="20"/>
          <w:color w:val="auto"/>
        </w:rPr>
      </w:pPr>
    </w:p>
    <w:p>
      <w:pPr>
        <w:jc w:val="both"/>
        <w:ind w:right="140"/>
        <w:spacing w:after="0" w:line="283" w:lineRule="auto"/>
        <w:rPr>
          <w:sz w:val="20"/>
          <w:szCs w:val="20"/>
          <w:color w:val="auto"/>
        </w:rPr>
      </w:pPr>
      <w:r>
        <w:rPr>
          <w:rFonts w:ascii="Times New Roman" w:cs="Times New Roman" w:eastAsia="Times New Roman" w:hAnsi="Times New Roman"/>
          <w:sz w:val="17"/>
          <w:szCs w:val="17"/>
          <w:color w:val="auto"/>
        </w:rPr>
        <w:t>During the third quarter of 2025, we issued the 2033 Notes with an aggregate principal amount of $575 million and we received net proceeds of $567 million from the offering, after deducting the underwriting fees and transaction expenses. We used the net proceeds to repay our 2026 Convertible Notes due in January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Corporate Credit Facility</w:t>
      </w:r>
    </w:p>
    <w:p>
      <w:pPr>
        <w:spacing w:after="0" w:line="116"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7"/>
          <w:szCs w:val="17"/>
          <w:color w:val="auto"/>
        </w:rPr>
        <w:t>During 2025, we entered into an amendment to the Corporate Credit Facility (the “Amendment”), which, among other things, increased the borrowing capacity on our Revolving Corporate Credit Facility from $750 million to $800 million of aggregate borrowings for general corporate needs, including working capital, capital expenditures, letters of credit, and acquisitions. The Amendment also extended the termination date from March 31, 2027 to March 24, 2030, reduced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62" w:name="page63"/>
    <w:bookmarkEnd w:id="62"/>
    <w:p>
      <w:pPr>
        <w:ind w:right="40"/>
        <w:spacing w:after="0" w:line="267" w:lineRule="auto"/>
        <w:rPr>
          <w:sz w:val="20"/>
          <w:szCs w:val="20"/>
          <w:color w:val="auto"/>
        </w:rPr>
      </w:pPr>
      <w:r>
        <w:rPr>
          <w:rFonts w:ascii="Times New Roman" w:cs="Times New Roman" w:eastAsia="Times New Roman" w:hAnsi="Times New Roman"/>
          <w:sz w:val="17"/>
          <w:szCs w:val="17"/>
          <w:color w:val="auto"/>
        </w:rPr>
        <w:t>certain fees and interest costs, and increased the letter of credit sub-facility of the Revolving Corporate Credit Facility from $75 million to $150 million. At December 31, 2025, no borrowings and $13 million of letters of credit were outstanding under our Revolving Corporate Credit Facility. See Footnote 15 “Debt” to our Financial Statements for more information pertaining to this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Uses of Cash</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timing and amount of voluntary repurchases of defaulted vacation ownership notes receivable, the closing or recording of sales contracts for vacation ownership products, financing propensity, and cash outlays for inventory acquisitions and development.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w:t>
      </w:r>
    </w:p>
    <w:p>
      <w:pPr>
        <w:spacing w:after="0" w:line="11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generally have variable compensation-related cash outflows associated with payment of annual bonuses.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net income or loss and adjustments for non-cash items, the following are key drivers of our cash flow from operating activities: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Spending (In Excess of) Less Than Cost of Sales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spending</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166"/>
        </w:trPr>
        <w:tc>
          <w:tcPr>
            <w:tcW w:w="47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Purchase and development of property for future transfer to</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142"/>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7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costs</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 spending (in excess of) less than cost of sales</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7"/>
          <w:szCs w:val="17"/>
          <w:color w:val="auto"/>
        </w:rPr>
        <w:t>We plan to restrict our new inventory spending to capital efficient arrangements where our cash outlay coincides with start of sales, as well as low-cost reacquired inventory. Through our existing VOI repurchase program, we proactively acquire previously sold VOIs from owners’ associations and individual owners at lower costs than would be required to develop new inventory. Among other reasons for repurchasing inventory, we expect these repurchases will help stabilize the future cost of our vacation ownership products. In 2025, we fulfilled existing commitments to purchase property in Waikiki and Thailand.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Collections Less Than Originations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collections — non-securitized</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left="356"/>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collections — securitized</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center"/>
              <w:ind w:left="356"/>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center"/>
              <w:ind w:left="316"/>
              <w:spacing w:after="0"/>
              <w:rPr>
                <w:sz w:val="20"/>
                <w:szCs w:val="20"/>
                <w:color w:val="auto"/>
              </w:rPr>
            </w:pPr>
            <w:r>
              <w:rPr>
                <w:rFonts w:ascii="Times New Roman" w:cs="Times New Roman" w:eastAsia="Times New Roman" w:hAnsi="Times New Roman"/>
                <w:sz w:val="17"/>
                <w:szCs w:val="17"/>
                <w:color w:val="auto"/>
              </w:rPr>
              <w:t>(987)</w:t>
            </w:r>
          </w:p>
        </w:tc>
        <w:tc>
          <w:tcPr>
            <w:tcW w:w="0" w:type="dxa"/>
            <w:vAlign w:val="bottom"/>
          </w:tcPr>
          <w:p>
            <w:pPr>
              <w:spacing w:after="0"/>
              <w:rPr>
                <w:sz w:val="1"/>
                <w:szCs w:val="1"/>
                <w:color w:val="auto"/>
              </w:rPr>
            </w:pPr>
          </w:p>
        </w:tc>
      </w:tr>
      <w:tr>
        <w:trPr>
          <w:trHeight w:val="146"/>
        </w:trPr>
        <w:tc>
          <w:tcPr>
            <w:tcW w:w="476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Vacation ownership notes receivable collections less than</w:t>
            </w: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20" w:type="dxa"/>
            <w:vAlign w:val="bottom"/>
          </w:tcPr>
          <w:p>
            <w:pPr>
              <w:spacing w:after="0"/>
              <w:rPr>
                <w:sz w:val="12"/>
                <w:szCs w:val="12"/>
                <w:color w:val="auto"/>
              </w:rPr>
            </w:pP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tcPr>
          <w:p>
            <w:pPr>
              <w:jc w:val="center"/>
              <w:ind w:left="316"/>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originations</w:t>
            </w:r>
          </w:p>
        </w:tc>
        <w:tc>
          <w:tcPr>
            <w:tcW w:w="2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color w:val="auto"/>
        </w:rPr>
        <w:t>Vacation ownership notes receivable collections were less than originations in 2025, 2024 and 2023 due to the growth of our vacation ownership notes receivable portfolio.</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40"/>
          </w:cols>
          <w:pgMar w:left="320" w:top="1146"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color w:val="auto"/>
        </w:rPr>
        <w:t>Repurchase of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Share Repurchase Program:</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60" w:type="dxa"/>
            <w:vAlign w:val="bottom"/>
          </w:tcPr>
          <w:p>
            <w:pPr>
              <w:spacing w:after="0"/>
              <w:rPr>
                <w:sz w:val="15"/>
                <w:szCs w:val="15"/>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Cost Basis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rPr>
              <w:t>Average Price</w:t>
            </w: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9"/>
              <w:spacing w:after="0" w:line="154" w:lineRule="exact"/>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Paid per Share</w:t>
            </w: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25,790,550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95.40</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 the year ended December 31, 2025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1,004,613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61.26</w:t>
            </w:r>
          </w:p>
        </w:tc>
        <w:tc>
          <w:tcPr>
            <w:tcW w:w="0" w:type="dxa"/>
            <w:vAlign w:val="bottom"/>
          </w:tcPr>
          <w:p>
            <w:pPr>
              <w:spacing w:after="0"/>
              <w:rPr>
                <w:sz w:val="1"/>
                <w:szCs w:val="1"/>
                <w:color w:val="auto"/>
              </w:rPr>
            </w:pPr>
          </w:p>
        </w:tc>
      </w:tr>
      <w:tr>
        <w:trPr>
          <w:trHeight w:val="23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26,795,163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Footnote 16 “Stockholders' Equity” to our Financial Statements for further information related to our current share repurchase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Payment of Dividends to Common Stockholders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distributed cash dividends to holders of our common stock during the year ended December 31, 2025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14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Stockholder Record Date</w:t>
            </w:r>
          </w:p>
        </w:tc>
        <w:tc>
          <w:tcPr>
            <w:tcW w:w="12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Dividend per Share</w:t>
            </w:r>
          </w:p>
        </w:tc>
      </w:tr>
      <w:tr>
        <w:trPr>
          <w:trHeight w:val="226"/>
        </w:trPr>
        <w:tc>
          <w:tcPr>
            <w:tcW w:w="2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December 6, 2024</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December 19, 2024</w:t>
            </w:r>
          </w:p>
        </w:tc>
        <w:tc>
          <w:tcPr>
            <w:tcW w:w="2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January 3, 2025</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$0.79</w:t>
            </w:r>
          </w:p>
        </w:tc>
      </w:tr>
      <w:tr>
        <w:trPr>
          <w:trHeight w:val="243"/>
        </w:trPr>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February 20, 2025</w:t>
            </w: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March 5, 2025</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March 19, 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$0.79</w:t>
            </w:r>
          </w:p>
        </w:tc>
      </w:tr>
      <w:tr>
        <w:trPr>
          <w:trHeight w:val="243"/>
        </w:trPr>
        <w:tc>
          <w:tcPr>
            <w:tcW w:w="22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May 12, 2025</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8"/>
              </w:rPr>
              <w:t>May 23, 2025</w:t>
            </w:r>
          </w:p>
        </w:tc>
        <w:tc>
          <w:tcPr>
            <w:tcW w:w="2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June 6, 2025</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$0.79</w:t>
            </w:r>
          </w:p>
        </w:tc>
      </w:tr>
      <w:tr>
        <w:trPr>
          <w:trHeight w:val="244"/>
        </w:trPr>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September 3, 2025</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September 17, 2025</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October 1, 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$0.79</w:t>
            </w:r>
          </w:p>
        </w:tc>
      </w:tr>
    </w:tbl>
    <w:p>
      <w:pPr>
        <w:spacing w:after="0" w:line="162"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On December 12, 2025, our Board of Directors declared a quarterly dividend of $0.80 per share that was paid subsequent to the end of 2025, on January 7, 2026, to stockholders of record as of December 24, 2025.</w:t>
      </w:r>
    </w:p>
    <w:p>
      <w:pPr>
        <w:spacing w:after="0" w:line="51"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7"/>
          <w:szCs w:val="17"/>
          <w:color w:val="auto"/>
        </w:rPr>
        <w:t>Subsequent to the end of 2025, on February 19, 2026, our Board of Directors declared a quarterly dividend of $0.80 per share to be paid on March 18, 2026 to stockholders of record as of March 4, 2026.</w:t>
      </w:r>
    </w:p>
    <w:p>
      <w:pPr>
        <w:spacing w:after="0" w:line="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currently expect to pay quarterly dividends in the future, but any future dividend payments will be subject to the approval of our Board of Directors, which will depend on our financial condition, results of operations and capital requirements at the time,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Material Cash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future material cash requirements from known contractual or other obligations as of December 31, 2025:</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Payments Due by Period</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Less Than 1</w:t>
            </w:r>
          </w:p>
        </w:tc>
        <w:tc>
          <w:tcPr>
            <w:tcW w:w="16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1 - 3 Years</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3 - 5 Years</w:t>
            </w:r>
          </w:p>
        </w:tc>
        <w:tc>
          <w:tcPr>
            <w:tcW w:w="120" w:type="dxa"/>
            <w:vAlign w:val="bottom"/>
          </w:tcPr>
          <w:p>
            <w:pPr>
              <w:spacing w:after="0"/>
              <w:rPr>
                <w:sz w:val="12"/>
                <w:szCs w:val="12"/>
                <w:color w:val="auto"/>
              </w:rPr>
            </w:pPr>
          </w:p>
        </w:tc>
        <w:tc>
          <w:tcPr>
            <w:tcW w:w="102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5"/>
                <w:szCs w:val="15"/>
                <w:b w:val="1"/>
                <w:bCs w:val="1"/>
                <w:color w:val="auto"/>
              </w:rPr>
              <w:t>More Than 5</w:t>
            </w:r>
          </w:p>
        </w:tc>
        <w:tc>
          <w:tcPr>
            <w:tcW w:w="0" w:type="dxa"/>
            <w:vAlign w:val="bottom"/>
          </w:tcPr>
          <w:p>
            <w:pPr>
              <w:spacing w:after="0"/>
              <w:rPr>
                <w:sz w:val="1"/>
                <w:szCs w:val="1"/>
                <w:color w:val="auto"/>
              </w:rPr>
            </w:pPr>
          </w:p>
        </w:tc>
      </w:tr>
      <w:tr>
        <w:trPr>
          <w:trHeight w:val="204"/>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4"/>
              </w:rPr>
              <w:t>Year</w:t>
            </w: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Years</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7"/>
                <w:szCs w:val="17"/>
                <w:color w:val="auto"/>
              </w:rPr>
              <w:t>Debt</w:t>
            </w:r>
            <w:r>
              <w:rPr>
                <w:rFonts w:ascii="Times New Roman" w:cs="Times New Roman" w:eastAsia="Times New Roman" w:hAnsi="Times New Roman"/>
                <w:sz w:val="22"/>
                <w:szCs w:val="22"/>
                <w:color w:val="auto"/>
                <w:vertAlign w:val="superscript"/>
              </w:rPr>
              <w:t>(1)</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4,091</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w:t>
            </w:r>
          </w:p>
        </w:tc>
        <w:tc>
          <w:tcPr>
            <w:tcW w:w="0" w:type="dxa"/>
            <w:vAlign w:val="bottom"/>
          </w:tcPr>
          <w:p>
            <w:pPr>
              <w:spacing w:after="0"/>
              <w:rPr>
                <w:sz w:val="1"/>
                <w:szCs w:val="1"/>
                <w:color w:val="auto"/>
              </w:rPr>
            </w:pP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w:t>
            </w:r>
            <w:r>
              <w:rPr>
                <w:rFonts w:ascii="Times New Roman" w:cs="Times New Roman" w:eastAsia="Times New Roman" w:hAnsi="Times New Roman"/>
                <w:sz w:val="22"/>
                <w:szCs w:val="22"/>
                <w:color w:val="auto"/>
                <w:vertAlign w:val="superscript"/>
              </w:rPr>
              <w:t>(1)(2)</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w:t>
            </w:r>
          </w:p>
        </w:tc>
        <w:tc>
          <w:tcPr>
            <w:tcW w:w="0" w:type="dxa"/>
            <w:vAlign w:val="bottom"/>
          </w:tcPr>
          <w:p>
            <w:pPr>
              <w:spacing w:after="0"/>
              <w:rPr>
                <w:sz w:val="1"/>
                <w:szCs w:val="1"/>
                <w:color w:val="auto"/>
              </w:rPr>
            </w:pPr>
          </w:p>
        </w:tc>
      </w:tr>
      <w:tr>
        <w:trPr>
          <w:trHeight w:val="25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2"/>
                <w:szCs w:val="22"/>
                <w:color w:val="auto"/>
                <w:vertAlign w:val="superscript"/>
              </w:rPr>
              <w:t>(3)</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obligations</w:t>
            </w:r>
            <w:r>
              <w:rPr>
                <w:rFonts w:ascii="Times New Roman" w:cs="Times New Roman" w:eastAsia="Times New Roman" w:hAnsi="Times New Roman"/>
                <w:sz w:val="22"/>
                <w:szCs w:val="22"/>
                <w:color w:val="auto"/>
                <w:vertAlign w:val="superscript"/>
              </w:rPr>
              <w:t>(4)</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5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w:t>
            </w:r>
            <w:r>
              <w:rPr>
                <w:rFonts w:ascii="Times New Roman" w:cs="Times New Roman" w:eastAsia="Times New Roman" w:hAnsi="Times New Roman"/>
                <w:sz w:val="22"/>
                <w:szCs w:val="22"/>
                <w:color w:val="auto"/>
                <w:vertAlign w:val="superscript"/>
              </w:rPr>
              <w:t>(4)</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0" w:type="dxa"/>
            <w:vAlign w:val="bottom"/>
          </w:tcPr>
          <w:p>
            <w:pPr>
              <w:spacing w:after="0"/>
              <w:rPr>
                <w:sz w:val="1"/>
                <w:szCs w:val="1"/>
                <w:color w:val="auto"/>
              </w:rPr>
            </w:pP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obligations</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00" w:hanging="298"/>
        <w:spacing w:after="0"/>
        <w:tabs>
          <w:tab w:leader="none" w:pos="30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principal as well as interest payments and excludes unamortized debt discount and issuance costs.</w:t>
      </w:r>
    </w:p>
    <w:p>
      <w:pPr>
        <w:spacing w:after="0" w:line="5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Payments based on estimated timing of cash flow associated with securitized notes receivable.</w:t>
      </w:r>
    </w:p>
    <w:p>
      <w:pPr>
        <w:spacing w:after="0" w:line="52" w:lineRule="exact"/>
        <w:rPr>
          <w:rFonts w:ascii="Times New Roman" w:cs="Times New Roman" w:eastAsia="Times New Roman" w:hAnsi="Times New Roman"/>
          <w:sz w:val="22"/>
          <w:szCs w:val="22"/>
          <w:color w:val="auto"/>
          <w:vertAlign w:val="superscript"/>
        </w:rPr>
      </w:pPr>
    </w:p>
    <w:p>
      <w:pPr>
        <w:ind w:left="300" w:right="60" w:hanging="298"/>
        <w:spacing w:after="0" w:line="218" w:lineRule="auto"/>
        <w:tabs>
          <w:tab w:leader="none" w:pos="288"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Arrangements are considered purchase obligations if a contract specifies all significant terms, including fixed or minimum quantities to be purchased, a pricing structure, and approximate timing of the transaction.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45" w:right="359" w:bottom="1440" w:gutter="0" w:footer="0" w:header="0"/>
        </w:sectPr>
      </w:pPr>
    </w:p>
    <w:bookmarkStart w:id="64" w:name="page65"/>
    <w:bookmarkEnd w:id="64"/>
    <w:p>
      <w:pPr>
        <w:jc w:val="both"/>
        <w:ind w:left="300" w:right="360"/>
        <w:spacing w:after="0" w:line="267" w:lineRule="auto"/>
        <w:rPr>
          <w:sz w:val="20"/>
          <w:szCs w:val="20"/>
          <w:color w:val="auto"/>
        </w:rPr>
      </w:pPr>
      <w:r>
        <w:rPr>
          <w:rFonts w:ascii="Times New Roman" w:cs="Times New Roman" w:eastAsia="Times New Roman" w:hAnsi="Times New Roman"/>
          <w:sz w:val="17"/>
          <w:szCs w:val="17"/>
          <w:color w:val="auto"/>
        </w:rPr>
        <w:t>reflected herein represent expected funding requirements under such contracts and primarily relate to future purchases of property and vacation ownership units, outsourced services, and arrangements related to information technology, including cloud computing. Amounts reflected on the consolidated balance sheet as accounts payable and accrued liabilities are excluded from the table above.</w:t>
      </w:r>
    </w:p>
    <w:p>
      <w:pPr>
        <w:spacing w:after="0" w:line="33" w:lineRule="exact"/>
        <w:rPr>
          <w:sz w:val="20"/>
          <w:szCs w:val="20"/>
          <w:color w:val="auto"/>
        </w:rPr>
      </w:pPr>
    </w:p>
    <w:p>
      <w:pPr>
        <w:ind w:left="300" w:hanging="298"/>
        <w:spacing w:after="0"/>
        <w:tabs>
          <w:tab w:leader="none" w:pos="30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interest.</w:t>
      </w:r>
    </w:p>
    <w:p>
      <w:pPr>
        <w:spacing w:after="0" w:line="8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or loss and cash flow. These purchase commitments are excluded from the table above.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Supplemental Guarantor Information</w:t>
      </w:r>
    </w:p>
    <w:p>
      <w:pPr>
        <w:spacing w:after="0" w:line="116"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7"/>
          <w:szCs w:val="17"/>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6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following tables present consolidating financial information as of December 31, 2025, and for the fiscal year ended December 31, 2025, for MVWC and MORI on a stand-alone basis (collectively, the “Issuers”), the Senior Notes Guarantors, the combined non-guarantor subsidiaries of MVWC, and MVW on a consolidated basis.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Condensed Consolidating Balance Sheet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Issuers</w:t>
            </w: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Senior Notes</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Non-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3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4"/>
                <w:szCs w:val="4"/>
                <w:color w:val="auto"/>
              </w:rPr>
            </w:pPr>
          </w:p>
        </w:tc>
        <w:tc>
          <w:tcPr>
            <w:tcW w:w="920" w:type="dxa"/>
            <w:vAlign w:val="bottom"/>
            <w:gridSpan w:val="2"/>
            <w:vMerge w:val="restart"/>
          </w:tcPr>
          <w:p>
            <w:pPr>
              <w:ind w:left="12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4"/>
                <w:szCs w:val="4"/>
                <w:color w:val="auto"/>
              </w:rPr>
            </w:pPr>
          </w:p>
        </w:tc>
        <w:tc>
          <w:tcPr>
            <w:tcW w:w="840" w:type="dxa"/>
            <w:vAlign w:val="bottom"/>
            <w:vMerge w:val="restart"/>
          </w:tcPr>
          <w:p>
            <w:pPr>
              <w:jc w:val="right"/>
              <w:ind w:right="235"/>
              <w:spacing w:after="0" w:line="128" w:lineRule="exact"/>
              <w:rPr>
                <w:sz w:val="20"/>
                <w:szCs w:val="20"/>
                <w:color w:val="auto"/>
              </w:rPr>
            </w:pPr>
            <w:r>
              <w:rPr>
                <w:rFonts w:ascii="Times New Roman" w:cs="Times New Roman" w:eastAsia="Times New Roman" w:hAnsi="Times New Roman"/>
                <w:sz w:val="14"/>
                <w:szCs w:val="14"/>
                <w:b w:val="1"/>
                <w:bCs w:val="1"/>
                <w:color w:val="auto"/>
              </w:rPr>
              <w:t>MVW</w:t>
            </w:r>
          </w:p>
        </w:tc>
        <w:tc>
          <w:tcPr>
            <w:tcW w:w="0" w:type="dxa"/>
            <w:vAlign w:val="bottom"/>
          </w:tcPr>
          <w:p>
            <w:pPr>
              <w:spacing w:after="0"/>
              <w:rPr>
                <w:sz w:val="1"/>
                <w:szCs w:val="1"/>
                <w:color w:val="auto"/>
              </w:rPr>
            </w:pPr>
          </w:p>
        </w:tc>
      </w:tr>
      <w:tr>
        <w:trPr>
          <w:trHeight w:val="57"/>
        </w:trPr>
        <w:tc>
          <w:tcPr>
            <w:tcW w:w="2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Guarantors</w:t>
            </w: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0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MVWC</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MORI</w:t>
            </w:r>
          </w:p>
        </w:tc>
        <w:tc>
          <w:tcPr>
            <w:tcW w:w="120" w:type="dxa"/>
            <w:vAlign w:val="bottom"/>
            <w:vMerge w:val="restart"/>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00" w:type="dxa"/>
            <w:vAlign w:val="bottom"/>
            <w:vMerge w:val="restart"/>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20" w:type="dxa"/>
            <w:vAlign w:val="bottom"/>
            <w:vMerge w:val="restart"/>
          </w:tcPr>
          <w:p>
            <w:pPr>
              <w:spacing w:after="0"/>
              <w:rPr>
                <w:sz w:val="10"/>
                <w:szCs w:val="10"/>
                <w:color w:val="auto"/>
              </w:rPr>
            </w:pPr>
          </w:p>
        </w:tc>
        <w:tc>
          <w:tcPr>
            <w:tcW w:w="104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78"/>
        </w:trPr>
        <w:tc>
          <w:tcPr>
            <w:tcW w:w="2340" w:type="dxa"/>
            <w:vAlign w:val="bottom"/>
            <w:tcBorders>
              <w:bottom w:val="single" w:sz="8" w:color="CCEEFF"/>
            </w:tcBorders>
            <w:vMerge w:val="continue"/>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4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327</w:t>
            </w:r>
          </w:p>
        </w:tc>
        <w:tc>
          <w:tcPr>
            <w:tcW w:w="0" w:type="dxa"/>
            <w:vAlign w:val="bottom"/>
          </w:tcPr>
          <w:p>
            <w:pPr>
              <w:spacing w:after="0"/>
              <w:rPr>
                <w:sz w:val="1"/>
                <w:szCs w:val="1"/>
                <w:color w:val="auto"/>
              </w:rPr>
            </w:pPr>
          </w:p>
        </w:tc>
      </w:tr>
      <w:tr>
        <w:trPr>
          <w:trHeight w:val="166"/>
        </w:trPr>
        <w:tc>
          <w:tcPr>
            <w:tcW w:w="23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Accounts and contracts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428</w:t>
            </w:r>
          </w:p>
        </w:tc>
        <w:tc>
          <w:tcPr>
            <w:tcW w:w="0" w:type="dxa"/>
            <w:vAlign w:val="bottom"/>
          </w:tcPr>
          <w:p>
            <w:pPr>
              <w:spacing w:after="0"/>
              <w:rPr>
                <w:sz w:val="1"/>
                <w:szCs w:val="1"/>
                <w:color w:val="auto"/>
              </w:rPr>
            </w:pPr>
          </w:p>
        </w:tc>
      </w:tr>
      <w:tr>
        <w:trPr>
          <w:trHeight w:val="166"/>
        </w:trPr>
        <w:tc>
          <w:tcPr>
            <w:tcW w:w="23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Vacation ownership notes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16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2,565</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692</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950</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2,958</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16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subsidiaries</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323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720</w:t>
            </w:r>
          </w:p>
        </w:tc>
        <w:tc>
          <w:tcPr>
            <w:tcW w:w="0" w:type="dxa"/>
            <w:vAlign w:val="bottom"/>
          </w:tcPr>
          <w:p>
            <w:pPr>
              <w:spacing w:after="0"/>
              <w:rPr>
                <w:sz w:val="1"/>
                <w:szCs w:val="1"/>
                <w:color w:val="auto"/>
              </w:rPr>
            </w:pPr>
          </w:p>
        </w:tc>
      </w:tr>
      <w:tr>
        <w:trPr>
          <w:trHeight w:val="235"/>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5,360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2,993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9,757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16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376</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 and other</w:t>
            </w:r>
          </w:p>
        </w:tc>
        <w:tc>
          <w:tcPr>
            <w:tcW w:w="16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and benefits liability</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16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2,173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2,146</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3,534</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6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MVW stockholders' equity</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1,993</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6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5,360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2,993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9,757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color w:val="auto"/>
        </w:rPr>
        <w:t>Condensed Consolidating Statement of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4"/>
            <w:vMerge w:val="restart"/>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Issuers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5"/>
                <w:szCs w:val="15"/>
                <w:b w:val="1"/>
                <w:bCs w:val="1"/>
                <w:color w:val="auto"/>
              </w:rPr>
              <w:t>Senior Notes</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5"/>
                <w:szCs w:val="15"/>
                <w:b w:val="1"/>
                <w:bCs w:val="1"/>
                <w:color w:val="auto"/>
              </w:rPr>
              <w:t>Guarantor</w:t>
            </w:r>
          </w:p>
        </w:tc>
        <w:tc>
          <w:tcPr>
            <w:tcW w:w="220" w:type="dxa"/>
            <w:vAlign w:val="bottom"/>
          </w:tcPr>
          <w:p>
            <w:pPr>
              <w:spacing w:after="0"/>
              <w:rPr>
                <w:sz w:val="12"/>
                <w:szCs w:val="12"/>
                <w:color w:val="auto"/>
              </w:rPr>
            </w:pPr>
          </w:p>
        </w:tc>
        <w:tc>
          <w:tcPr>
            <w:tcW w:w="92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200" w:type="dxa"/>
            <w:vAlign w:val="bottom"/>
          </w:tcPr>
          <w:p>
            <w:pPr>
              <w:spacing w:after="0"/>
              <w:rPr>
                <w:sz w:val="12"/>
                <w:szCs w:val="12"/>
                <w:color w:val="auto"/>
              </w:rPr>
            </w:pPr>
          </w:p>
        </w:tc>
        <w:tc>
          <w:tcPr>
            <w:tcW w:w="840" w:type="dxa"/>
            <w:vAlign w:val="bottom"/>
          </w:tcPr>
          <w:p>
            <w:pPr>
              <w:jc w:val="right"/>
              <w:ind w:right="236"/>
              <w:spacing w:after="0" w:line="133" w:lineRule="exact"/>
              <w:rPr>
                <w:sz w:val="20"/>
                <w:szCs w:val="20"/>
                <w:color w:val="auto"/>
              </w:rPr>
            </w:pPr>
            <w:r>
              <w:rPr>
                <w:rFonts w:ascii="Times New Roman" w:cs="Times New Roman" w:eastAsia="Times New Roman" w:hAnsi="Times New Roman"/>
                <w:sz w:val="15"/>
                <w:szCs w:val="15"/>
                <w:b w:val="1"/>
                <w:bCs w:val="1"/>
                <w:color w:val="auto"/>
              </w:rPr>
              <w:t>MVW</w:t>
            </w:r>
          </w:p>
        </w:tc>
        <w:tc>
          <w:tcPr>
            <w:tcW w:w="0" w:type="dxa"/>
            <w:vAlign w:val="bottom"/>
          </w:tcPr>
          <w:p>
            <w:pPr>
              <w:spacing w:after="0"/>
              <w:rPr>
                <w:sz w:val="1"/>
                <w:szCs w:val="1"/>
                <w:color w:val="auto"/>
              </w:rPr>
            </w:pPr>
          </w:p>
        </w:tc>
      </w:tr>
      <w:tr>
        <w:trPr>
          <w:trHeight w:val="197"/>
        </w:trPr>
        <w:tc>
          <w:tcPr>
            <w:tcW w:w="2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MVWC</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MORI</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Guarantors</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22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5,032</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(5,331)</w:t>
            </w:r>
          </w:p>
        </w:tc>
        <w:tc>
          <w:tcPr>
            <w:tcW w:w="0" w:type="dxa"/>
            <w:vAlign w:val="bottom"/>
          </w:tcPr>
          <w:p>
            <w:pPr>
              <w:spacing w:after="0"/>
              <w:rPr>
                <w:sz w:val="1"/>
                <w:szCs w:val="1"/>
                <w:color w:val="auto"/>
              </w:rPr>
            </w:pPr>
          </w:p>
        </w:tc>
      </w:tr>
      <w:tr>
        <w:trPr>
          <w:trHeight w:val="166"/>
        </w:trPr>
        <w:tc>
          <w:tcPr>
            <w:tcW w:w="23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Benefit from (provision for)</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66"/>
        </w:trPr>
        <w:tc>
          <w:tcPr>
            <w:tcW w:w="23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Equity in net income (loss) of</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subsidiaries</w:t>
            </w: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166"/>
        </w:trPr>
        <w:tc>
          <w:tcPr>
            <w:tcW w:w="23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Net income attributable to</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46"/>
        </w:trPr>
        <w:tc>
          <w:tcPr>
            <w:tcW w:w="234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Net loss attributable to common</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0" w:type="dxa"/>
            <w:vAlign w:val="bottom"/>
          </w:tcPr>
          <w:p>
            <w:pPr>
              <w:spacing w:after="0"/>
              <w:rPr>
                <w:sz w:val="1"/>
                <w:szCs w:val="1"/>
                <w:color w:val="auto"/>
              </w:rPr>
            </w:pPr>
          </w:p>
        </w:tc>
      </w:tr>
      <w:tr>
        <w:trPr>
          <w:trHeight w:val="225"/>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See Footnote 2 “Summary of Significant Accounting Policies” to our Financial Statements for a discussion of recently issued accounting pronouncements, including information about new accounting standards and the future adoption of such standards.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6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w:t>
      </w:r>
    </w:p>
    <w:p>
      <w:pPr>
        <w:spacing w:after="0" w:line="64"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7"/>
          <w:szCs w:val="17"/>
          <w:color w:val="auto"/>
        </w:rPr>
        <w:t>See Footnote 2 “Summary of Significant Accounting Policies” to our Financial Statements for further information related to our critical accounting policies and estimates, which are as follows:</w:t>
      </w:r>
    </w:p>
    <w:p>
      <w:pPr>
        <w:ind w:left="160" w:right="260" w:hanging="158"/>
        <w:spacing w:after="0" w:line="260" w:lineRule="auto"/>
        <w:tabs>
          <w:tab w:leader="none" w:pos="156"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including how we recognize revenue under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for the sale of vacation ownership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including our estimates of the sales reserve (variable consideration). Revisions to estimates of variable consideration from the sale of vacation ownership products impact the reserve on originated vacation ownership notes receivable and can increase or decrease revenue. See Footnote 5 “Vacation Ownership Notes Receivable” to our Financial Statements for further information on our assessments of our originated vacation ownership notes receivable reserve.</w:t>
      </w:r>
    </w:p>
    <w:p>
      <w:pPr>
        <w:spacing w:after="0" w:line="15" w:lineRule="exact"/>
        <w:rPr>
          <w:rFonts w:ascii="Times New Roman" w:cs="Times New Roman" w:eastAsia="Times New Roman" w:hAnsi="Times New Roman"/>
          <w:sz w:val="17"/>
          <w:szCs w:val="17"/>
          <w:i w:val="1"/>
          <w:iCs w:val="1"/>
          <w:color w:val="auto"/>
        </w:rPr>
      </w:pPr>
    </w:p>
    <w:p>
      <w:pPr>
        <w:ind w:left="160" w:right="140" w:hanging="158"/>
        <w:spacing w:after="0" w:line="269" w:lineRule="auto"/>
        <w:tabs>
          <w:tab w:leader="none" w:pos="156"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Inventories and cost of vacation ownership products, </w:t>
      </w:r>
      <w:r>
        <w:rPr>
          <w:rFonts w:ascii="Times New Roman" w:cs="Times New Roman" w:eastAsia="Times New Roman" w:hAnsi="Times New Roman"/>
          <w:sz w:val="17"/>
          <w:szCs w:val="17"/>
          <w:color w:val="auto"/>
        </w:rPr>
        <w:t>which require estimation of future revenues (including pricing assumptions) and product costs to apply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relative sales value method specific to the vacation ownership industry and how we evaluate the fair value of our vacation ownership inventory. See Footnote 20 “Restructuring and Impairment” to our Financial Statements for further information.</w:t>
      </w:r>
    </w:p>
    <w:p>
      <w:pPr>
        <w:spacing w:after="0" w:line="7" w:lineRule="exact"/>
        <w:rPr>
          <w:rFonts w:ascii="Times New Roman" w:cs="Times New Roman" w:eastAsia="Times New Roman" w:hAnsi="Times New Roman"/>
          <w:sz w:val="17"/>
          <w:szCs w:val="17"/>
          <w:i w:val="1"/>
          <w:iCs w:val="1"/>
          <w:color w:val="auto"/>
        </w:rPr>
      </w:pPr>
    </w:p>
    <w:p>
      <w:pPr>
        <w:ind w:left="160" w:right="100" w:hanging="158"/>
        <w:spacing w:after="0" w:line="282" w:lineRule="auto"/>
        <w:tabs>
          <w:tab w:leader="none" w:pos="15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Valuation of property and equipmen</w:t>
      </w:r>
      <w:r>
        <w:rPr>
          <w:rFonts w:ascii="Times New Roman" w:cs="Times New Roman" w:eastAsia="Times New Roman" w:hAnsi="Times New Roman"/>
          <w:sz w:val="17"/>
          <w:szCs w:val="17"/>
          <w:color w:val="auto"/>
        </w:rPr>
        <w:t>t, including when we record impairment losses. See Footnote 20 “Restructuring and Impairment” to our Financial Statements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further information.</w:t>
      </w:r>
    </w:p>
    <w:p>
      <w:pPr>
        <w:spacing w:after="0" w:line="1" w:lineRule="exact"/>
        <w:rPr>
          <w:rFonts w:ascii="Times New Roman" w:cs="Times New Roman" w:eastAsia="Times New Roman" w:hAnsi="Times New Roman"/>
          <w:sz w:val="17"/>
          <w:szCs w:val="17"/>
          <w:color w:val="auto"/>
        </w:rPr>
      </w:pPr>
    </w:p>
    <w:p>
      <w:pPr>
        <w:ind w:left="160" w:right="40" w:hanging="158"/>
        <w:spacing w:after="0" w:line="269" w:lineRule="auto"/>
        <w:tabs>
          <w:tab w:leader="none" w:pos="156"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Valuation of goodwill and other intangible assets, </w:t>
      </w:r>
      <w:r>
        <w:rPr>
          <w:rFonts w:ascii="Times New Roman" w:cs="Times New Roman" w:eastAsia="Times New Roman" w:hAnsi="Times New Roman"/>
          <w:sz w:val="17"/>
          <w:szCs w:val="17"/>
          <w:color w:val="auto"/>
        </w:rPr>
        <w:t>including how we determine the fair value of goodwill and our other intangible assets and reporting units,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how we determine when an impairment loss should be recorded. See Footnote 10 “Goodwill” and Footnote 11 “Intangible Assets” to our Financial Statements for further information.</w:t>
      </w:r>
    </w:p>
    <w:p>
      <w:pPr>
        <w:spacing w:after="0" w:line="7" w:lineRule="exact"/>
        <w:rPr>
          <w:rFonts w:ascii="Times New Roman" w:cs="Times New Roman" w:eastAsia="Times New Roman" w:hAnsi="Times New Roman"/>
          <w:sz w:val="17"/>
          <w:szCs w:val="17"/>
          <w:i w:val="1"/>
          <w:iCs w:val="1"/>
          <w:color w:val="auto"/>
        </w:rPr>
      </w:pPr>
    </w:p>
    <w:p>
      <w:pPr>
        <w:ind w:left="160" w:right="220" w:hanging="158"/>
        <w:spacing w:after="0" w:line="263" w:lineRule="auto"/>
        <w:tabs>
          <w:tab w:leader="none" w:pos="156" w:val="left"/>
        </w:tabs>
        <w:numPr>
          <w:ilvl w:val="0"/>
          <w:numId w:val="37"/>
        </w:numPr>
        <w:rPr>
          <w:rFonts w:ascii="Times New Roman" w:cs="Times New Roman" w:eastAsia="Times New Roman" w:hAnsi="Times New Roman"/>
          <w:sz w:val="17"/>
          <w:szCs w:val="17"/>
          <w:i w:val="1"/>
          <w:iCs w:val="1"/>
          <w:color w:val="auto"/>
          <w:strike w:val="1"/>
        </w:rPr>
      </w:pPr>
      <w:r>
        <w:rPr>
          <w:rFonts w:ascii="Times New Roman" w:cs="Times New Roman" w:eastAsia="Times New Roman" w:hAnsi="Times New Roman"/>
          <w:sz w:val="17"/>
          <w:szCs w:val="17"/>
          <w:i w:val="1"/>
          <w:iCs w:val="1"/>
          <w:color w:val="auto"/>
        </w:rPr>
        <w:t>Loss contingencies</w:t>
      </w:r>
      <w:r>
        <w:rPr>
          <w:rFonts w:ascii="Times New Roman" w:cs="Times New Roman" w:eastAsia="Times New Roman" w:hAnsi="Times New Roman"/>
          <w:sz w:val="17"/>
          <w:szCs w:val="17"/>
          <w:color w:val="auto"/>
        </w:rPr>
        <w:t>, including information on how we account for loss contingencies. Accruals for contingent liabilities are recorded when it is probable that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 has been incurred, or an asset impaired, and the amount of the loss can be reasonably estimated. Liabilities accrued for legal matters require judgments regarding projected outcomes and range of loss based on historical litigation and settlement experience, recommendations of legal counsel and, if applicable, other experts.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66" w:name="page67"/>
    <w:bookmarkEnd w:id="66"/>
    <w:p>
      <w:pPr>
        <w:ind w:left="160" w:hanging="158"/>
        <w:spacing w:after="0" w:line="263" w:lineRule="auto"/>
        <w:tabs>
          <w:tab w:leader="none" w:pos="156" w:val="left"/>
        </w:tabs>
        <w:numPr>
          <w:ilvl w:val="0"/>
          <w:numId w:val="3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including the accounting related to uncertain tax positions and the determination of valuation allowances on our deferred tax assets. The recognition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measurement of uncertain tax positions involves consideration of the amounts and probabilities of various outcomes that could be realized upon ultimate resolution. 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11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Quantitative and Qualitative Disclosures About Market Risk.</w:t>
      </w:r>
    </w:p>
    <w:p>
      <w:pPr>
        <w:spacing w:after="0" w:line="116"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7"/>
          <w:szCs w:val="17"/>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w:t>
      </w:r>
    </w:p>
    <w:p>
      <w:pPr>
        <w:spacing w:after="0" w:line="5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We are exposed to interest rate risk through borrowings on our Warehouse Credit Facility and our Corporate Credit Facility, which includes our Revolving Corporate Credit Facility and our Term Loan, as these facilities bear interest at variable rates. All other interest bearing debt, including securitized debt, incurs interest at fixed rates. Changes in interest rates also impact the fair value of our fixed-rate vacation ownership notes receivable and our fixed-rate debt. We typically issue securitized debt backed by consumer loans twice a year. To the extent interest rates are higher relative to the interest rates in our financing programs on our loans being securitized at the time of a transaction, the excess spread we realize over the life of a securitization will be lower. While we adjust interest rates on our financing programs from time to time, such changes are typically not made in lockstep with the timing and magnitude of changes in broader market rates.</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We manage the interest rate risk on our corporate debt through the use of a combination of fixed-rate debt and interest rate swaps that fix a portion of our variable-rate debt. At December 31, 2025, after considering the impact of our interest rate swap agreement and excluding finance leases, the interest rate applicable to 85% (approximately $2.9 billion) of our total corporate debt, was effectively fixed and the interest rate applicable to the remaining 15% (approximately $488 million) was variable. Assuming no outstanding balance on our Revolving Corporate Credit Facility, a 100 basis point increase in the underlying benchmark rate on our variable-rate debt at December 31, 2025 would result in an increase of approximately $5 million in annual cash interest due to the impact of our hedging arrangements discussed in Footnote 15 “Debt” to our Financial Statements. Assuming we had no outstanding hedging arrangements and no outstanding balance on our Revolving Corporate Credit Facility, a 100 basis point increase in the underlying benchmark rate on our variable-rate debt at December 31, 2025 would result in an annual increase in cash interest of approximately $8 million.</w:t>
      </w:r>
    </w:p>
    <w:p>
      <w:pPr>
        <w:spacing w:after="0" w:line="7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The following table presents the scheduled maturities and the total fair value as of December 31, 2025 for our financial instruments that are impacted by market risks: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5"/>
                <w:szCs w:val="15"/>
                <w:b w:val="1"/>
                <w:bCs w:val="1"/>
                <w:color w:val="auto"/>
              </w:rPr>
              <w:t>Maturities by Period</w:t>
            </w: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00" w:type="dxa"/>
            <w:vAlign w:val="bottom"/>
          </w:tcPr>
          <w:p>
            <w:pPr>
              <w:spacing w:after="0"/>
              <w:rPr>
                <w:sz w:val="13"/>
                <w:szCs w:val="13"/>
                <w:color w:val="auto"/>
              </w:rPr>
            </w:pPr>
          </w:p>
        </w:tc>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68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2026</w:t>
            </w:r>
          </w:p>
        </w:tc>
        <w:tc>
          <w:tcPr>
            <w:tcW w:w="74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2027</w:t>
            </w:r>
          </w:p>
        </w:tc>
        <w:tc>
          <w:tcPr>
            <w:tcW w:w="760" w:type="dxa"/>
            <w:vAlign w:val="bottom"/>
            <w:vMerge w:val="restart"/>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2028</w:t>
            </w:r>
          </w:p>
        </w:tc>
        <w:tc>
          <w:tcPr>
            <w:tcW w:w="740" w:type="dxa"/>
            <w:vAlign w:val="bottom"/>
            <w:vMerge w:val="restart"/>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2029</w:t>
            </w:r>
          </w:p>
        </w:tc>
        <w:tc>
          <w:tcPr>
            <w:tcW w:w="68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2030</w:t>
            </w: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Thereafter</w:t>
            </w: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74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53"/>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 in millions)</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Interest</w:t>
            </w:r>
          </w:p>
        </w:tc>
        <w:tc>
          <w:tcPr>
            <w:tcW w:w="6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92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74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Rate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526351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263515" cy="15430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7"/>
          <w:szCs w:val="17"/>
          <w:b w:val="1"/>
          <w:bCs w:val="1"/>
          <w:color w:val="auto"/>
        </w:rPr>
        <w:t>Assets – Maturities represent expected principal receipts; fair values represent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Vacation ownership</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11.9%</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107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80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72</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61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48</w:t>
            </w:r>
          </w:p>
        </w:tc>
        <w:tc>
          <w:tcPr>
            <w:tcW w:w="2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297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665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r>
        <w:trPr>
          <w:trHeight w:val="153"/>
        </w:trPr>
        <w:tc>
          <w:tcPr>
            <w:tcW w:w="13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notes receivable —</w:t>
            </w:r>
          </w:p>
        </w:tc>
        <w:tc>
          <w:tcPr>
            <w:tcW w:w="6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non-securitized</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Vacation ownership</w:t>
            </w: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13.4%</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168</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169</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169</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171</w:t>
            </w:r>
          </w:p>
        </w:tc>
        <w:tc>
          <w:tcPr>
            <w:tcW w:w="2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1,060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1,900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notes receivable —</w:t>
            </w:r>
          </w:p>
        </w:tc>
        <w:tc>
          <w:tcPr>
            <w:tcW w:w="620" w:type="dxa"/>
            <w:vAlign w:val="bottom"/>
            <w:vMerge w:val="continue"/>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securitized</w:t>
            </w: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3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Contracts</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receivable for</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12.9%</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68</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95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153"/>
        </w:trPr>
        <w:tc>
          <w:tcPr>
            <w:tcW w:w="13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financed VOI sales,</w:t>
            </w:r>
          </w:p>
        </w:tc>
        <w:tc>
          <w:tcPr>
            <w:tcW w:w="6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500" w:type="dxa"/>
            <w:vAlign w:val="bottom"/>
            <w:gridSpan w:val="16"/>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Liabilities – Maturities represent expected principal payments; fair values represent liabilities</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Securitized debt</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(193)</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(1,223)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(2,173)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w:t>
            </w:r>
          </w:p>
        </w:tc>
        <w:tc>
          <w:tcPr>
            <w:tcW w:w="0" w:type="dxa"/>
            <w:vAlign w:val="bottom"/>
          </w:tcPr>
          <w:p>
            <w:pPr>
              <w:spacing w:after="0"/>
              <w:rPr>
                <w:sz w:val="1"/>
                <w:szCs w:val="1"/>
                <w:color w:val="auto"/>
              </w:rPr>
            </w:pPr>
          </w:p>
        </w:tc>
      </w:tr>
      <w:tr>
        <w:trPr>
          <w:trHeight w:val="24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Term Loan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0" w:type="dxa"/>
            <w:vAlign w:val="bottom"/>
          </w:tcPr>
          <w:p>
            <w:pPr>
              <w:spacing w:after="0"/>
              <w:rPr>
                <w:sz w:val="1"/>
                <w:szCs w:val="1"/>
                <w:color w:val="auto"/>
              </w:rPr>
            </w:pPr>
          </w:p>
        </w:tc>
      </w:tr>
      <w:tr>
        <w:trPr>
          <w:trHeight w:val="202"/>
        </w:trPr>
        <w:tc>
          <w:tcPr>
            <w:tcW w:w="1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Senior Notes</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2028 Notes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240"/>
        </w:trPr>
        <w:tc>
          <w:tcPr>
            <w:tcW w:w="1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2029 Notes</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0" w:type="dxa"/>
            <w:vAlign w:val="bottom"/>
          </w:tcPr>
          <w:p>
            <w:pPr>
              <w:spacing w:after="0"/>
              <w:rPr>
                <w:sz w:val="1"/>
                <w:szCs w:val="1"/>
                <w:color w:val="auto"/>
              </w:rPr>
            </w:pPr>
          </w:p>
        </w:tc>
      </w:tr>
      <w:tr>
        <w:trPr>
          <w:trHeight w:val="246"/>
        </w:trPr>
        <w:tc>
          <w:tcPr>
            <w:tcW w:w="1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2033 Notes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0" w:type="dxa"/>
            <w:vAlign w:val="bottom"/>
          </w:tcPr>
          <w:p>
            <w:pPr>
              <w:spacing w:after="0"/>
              <w:rPr>
                <w:sz w:val="1"/>
                <w:szCs w:val="1"/>
                <w:color w:val="auto"/>
              </w:rPr>
            </w:pPr>
          </w:p>
        </w:tc>
      </w:tr>
      <w:tr>
        <w:trPr>
          <w:trHeight w:val="154"/>
        </w:trPr>
        <w:tc>
          <w:tcPr>
            <w:tcW w:w="13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2026 Convertible</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0.0%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(575)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0" w:type="dxa"/>
            <w:vAlign w:val="bottom"/>
          </w:tcPr>
          <w:p>
            <w:pPr>
              <w:spacing w:after="0"/>
              <w:rPr>
                <w:sz w:val="1"/>
                <w:szCs w:val="1"/>
                <w:color w:val="auto"/>
              </w:rPr>
            </w:pPr>
          </w:p>
        </w:tc>
      </w:tr>
      <w:tr>
        <w:trPr>
          <w:trHeight w:val="128"/>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62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3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2027 Convertible</w:t>
            </w: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128"/>
        </w:trPr>
        <w:tc>
          <w:tcPr>
            <w:tcW w:w="1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620" w:type="dxa"/>
            <w:vAlign w:val="bottom"/>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67" w:name="page68"/>
    <w:bookmarkEnd w:id="67"/>
    <w:p>
      <w:pPr>
        <w:spacing w:after="0" w:line="283" w:lineRule="auto"/>
        <w:rPr>
          <w:sz w:val="20"/>
          <w:szCs w:val="20"/>
          <w:color w:val="auto"/>
        </w:rPr>
      </w:pPr>
      <w:r>
        <w:rPr>
          <w:rFonts w:ascii="Times New Roman" w:cs="Times New Roman" w:eastAsia="Times New Roman" w:hAnsi="Times New Roman"/>
          <w:sz w:val="17"/>
          <w:szCs w:val="17"/>
          <w:color w:val="auto"/>
        </w:rPr>
        <w:t>We are exposed to currency exchange rate risk through investments in foreign subsidiaries that transact business in a currency other than the U.S. dollar and through the revaluation of assets and liabilities denominated in a currency other than the functional currency.</w:t>
      </w:r>
    </w:p>
    <w:p>
      <w:pPr>
        <w:spacing w:after="0" w:line="5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We may use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However, we cannot assure you that these transactions will be as effective as we anticipate.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6"/>
        </w:trPr>
        <w:tc>
          <w:tcPr>
            <w:tcW w:w="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8320" w:type="dxa"/>
            <w:vAlign w:val="bottom"/>
            <w:gridSpan w:val="36"/>
          </w:tcPr>
          <w:p>
            <w:pPr>
              <w:ind w:left="180"/>
              <w:spacing w:after="0"/>
              <w:rPr>
                <w:sz w:val="20"/>
                <w:szCs w:val="20"/>
                <w:color w:val="auto"/>
              </w:rPr>
            </w:pPr>
            <w:r>
              <w:rPr>
                <w:rFonts w:ascii="Times New Roman" w:cs="Times New Roman" w:eastAsia="Times New Roman" w:hAnsi="Times New Roman"/>
                <w:sz w:val="17"/>
                <w:szCs w:val="17"/>
                <w:b w:val="1"/>
                <w:bCs w:val="1"/>
                <w:color w:val="auto"/>
              </w:rPr>
              <w:t>Financial Statements and Supplementary Data</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9000" w:type="dxa"/>
            <w:vAlign w:val="bottom"/>
            <w:gridSpan w:val="37"/>
          </w:tcPr>
          <w:p>
            <w:pPr>
              <w:spacing w:after="0"/>
              <w:rPr>
                <w:sz w:val="20"/>
                <w:szCs w:val="20"/>
                <w:color w:val="auto"/>
              </w:rPr>
            </w:pPr>
            <w:r>
              <w:rPr>
                <w:rFonts w:ascii="Times New Roman" w:cs="Times New Roman" w:eastAsia="Times New Roman" w:hAnsi="Times New Roman"/>
                <w:sz w:val="17"/>
                <w:szCs w:val="17"/>
                <w:color w:val="auto"/>
              </w:rPr>
              <w:t>The following financial information is included on the pages indicated.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500" w:type="dxa"/>
            <w:vAlign w:val="bottom"/>
            <w:gridSpan w:val="35"/>
          </w:tcPr>
          <w:p>
            <w:pPr>
              <w:spacing w:after="0" w:line="177" w:lineRule="exact"/>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500" w:type="dxa"/>
            <w:vAlign w:val="bottom"/>
            <w:gridSpan w:val="3"/>
          </w:tcPr>
          <w:p>
            <w:pPr>
              <w:jc w:val="center"/>
              <w:ind w:left="175"/>
              <w:spacing w:after="0" w:line="177" w:lineRule="exact"/>
              <w:rPr>
                <w:sz w:val="20"/>
                <w:szCs w:val="20"/>
                <w:color w:val="auto"/>
              </w:rPr>
            </w:pPr>
            <w:r>
              <w:rPr>
                <w:rFonts w:ascii="Times New Roman" w:cs="Times New Roman" w:eastAsia="Times New Roman" w:hAnsi="Times New Roman"/>
                <w:sz w:val="17"/>
                <w:szCs w:val="17"/>
                <w:color w:val="0000FF"/>
                <w:w w:val="93"/>
              </w:rPr>
              <w:t>67</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50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Management’s Report on Internal Control Over Financial Reporting</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68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00" w:type="dxa"/>
            <w:vAlign w:val="bottom"/>
            <w:gridSpan w:val="35"/>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42)</w:t>
            </w:r>
          </w:p>
        </w:tc>
        <w:tc>
          <w:tcPr>
            <w:tcW w:w="500" w:type="dxa"/>
            <w:vAlign w:val="bottom"/>
            <w:gridSpan w:val="3"/>
            <w:vMerge w:val="restart"/>
          </w:tcPr>
          <w:p>
            <w:pPr>
              <w:jc w:val="center"/>
              <w:ind w:left="175"/>
              <w:spacing w:after="0"/>
              <w:rPr>
                <w:sz w:val="20"/>
                <w:szCs w:val="20"/>
                <w:color w:val="auto"/>
              </w:rPr>
            </w:pPr>
            <w:r>
              <w:rPr>
                <w:rFonts w:ascii="Times New Roman" w:cs="Times New Roman" w:eastAsia="Times New Roman" w:hAnsi="Times New Roman"/>
                <w:sz w:val="17"/>
                <w:szCs w:val="17"/>
                <w:color w:val="0000FF"/>
                <w:w w:val="93"/>
              </w:rPr>
              <w:t>69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80" w:type="dxa"/>
            <w:vAlign w:val="bottom"/>
            <w:gridSpan w:val="31"/>
            <w:vMerge w:val="restart"/>
          </w:tcPr>
          <w:p>
            <w:pPr>
              <w:spacing w:after="0" w:line="179" w:lineRule="exact"/>
              <w:rPr>
                <w:sz w:val="20"/>
                <w:szCs w:val="20"/>
                <w:color w:val="auto"/>
              </w:rPr>
            </w:pPr>
            <w:r>
              <w:rPr>
                <w:rFonts w:ascii="Times New Roman" w:cs="Times New Roman" w:eastAsia="Times New Roman" w:hAnsi="Times New Roman"/>
                <w:sz w:val="17"/>
                <w:szCs w:val="17"/>
                <w:color w:val="0000FF"/>
              </w:rPr>
              <w:t>Internal Control Over Financial Reporting</w:t>
            </w:r>
          </w:p>
        </w:tc>
        <w:tc>
          <w:tcPr>
            <w:tcW w:w="5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80" w:type="dxa"/>
            <w:vAlign w:val="bottom"/>
            <w:gridSpan w:val="31"/>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00" w:type="dxa"/>
            <w:vAlign w:val="bottom"/>
            <w:gridSpan w:val="35"/>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42)</w:t>
            </w:r>
          </w:p>
        </w:tc>
        <w:tc>
          <w:tcPr>
            <w:tcW w:w="500" w:type="dxa"/>
            <w:vAlign w:val="bottom"/>
            <w:gridSpan w:val="3"/>
            <w:vMerge w:val="restart"/>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gridSpan w:val="15"/>
            <w:vMerge w:val="restart"/>
          </w:tcPr>
          <w:p>
            <w:pPr>
              <w:spacing w:after="0" w:line="179" w:lineRule="exact"/>
              <w:rPr>
                <w:sz w:val="20"/>
                <w:szCs w:val="20"/>
                <w:color w:val="auto"/>
              </w:rPr>
            </w:pPr>
            <w:r>
              <w:rPr>
                <w:rFonts w:ascii="Times New Roman" w:cs="Times New Roman" w:eastAsia="Times New Roman" w:hAnsi="Times New Roman"/>
                <w:sz w:val="17"/>
                <w:szCs w:val="17"/>
                <w:color w:val="0000FF"/>
                <w:w w:val="98"/>
              </w:rPr>
              <w:t>Financial Statements</w:t>
            </w:r>
          </w:p>
        </w:tc>
        <w:tc>
          <w:tcPr>
            <w:tcW w:w="5460" w:type="dxa"/>
            <w:vAlign w:val="bottom"/>
            <w:gridSpan w:val="16"/>
            <w:vMerge w:val="restart"/>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0000FF"/>
            </w:tcBorders>
            <w:gridSpan w:val="15"/>
            <w:vMerge w:val="continue"/>
          </w:tcPr>
          <w:p>
            <w:pPr>
              <w:spacing w:after="0"/>
              <w:rPr>
                <w:sz w:val="4"/>
                <w:szCs w:val="4"/>
                <w:color w:val="auto"/>
              </w:rPr>
            </w:pPr>
          </w:p>
        </w:tc>
        <w:tc>
          <w:tcPr>
            <w:tcW w:w="5460" w:type="dxa"/>
            <w:vAlign w:val="bottom"/>
            <w:gridSpan w:val="16"/>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50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w w:val="99"/>
              </w:rPr>
              <w:t>Consolidated Statements of Income</w:t>
            </w:r>
          </w:p>
        </w:tc>
        <w:tc>
          <w:tcPr>
            <w:tcW w:w="4880" w:type="dxa"/>
            <w:vAlign w:val="bottom"/>
            <w:gridSpan w:val="11"/>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3780" w:type="dxa"/>
            <w:vAlign w:val="bottom"/>
            <w:gridSpan w:val="2"/>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w w:val="99"/>
              </w:rPr>
              <w:t>Consolidated Statements of Stockholders’ Equity</w:t>
            </w:r>
          </w:p>
        </w:tc>
        <w:tc>
          <w:tcPr>
            <w:tcW w:w="3940" w:type="dxa"/>
            <w:vAlign w:val="bottom"/>
            <w:gridSpan w:val="3"/>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3940" w:type="dxa"/>
            <w:vAlign w:val="bottom"/>
            <w:gridSpan w:val="3"/>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0000FF"/>
                <w:w w:val="93"/>
              </w:rPr>
              <w:t>1.</w:t>
            </w:r>
          </w:p>
        </w:tc>
        <w:tc>
          <w:tcPr>
            <w:tcW w:w="1460" w:type="dxa"/>
            <w:vAlign w:val="bottom"/>
            <w:gridSpan w:val="13"/>
          </w:tcPr>
          <w:p>
            <w:pPr>
              <w:ind w:left="20"/>
              <w:spacing w:after="0"/>
              <w:rPr>
                <w:sz w:val="20"/>
                <w:szCs w:val="20"/>
                <w:color w:val="auto"/>
              </w:rPr>
            </w:pPr>
            <w:r>
              <w:rPr>
                <w:rFonts w:ascii="Times New Roman" w:cs="Times New Roman" w:eastAsia="Times New Roman" w:hAnsi="Times New Roman"/>
                <w:sz w:val="17"/>
                <w:szCs w:val="17"/>
                <w:color w:val="0000FF"/>
                <w:w w:val="98"/>
              </w:rPr>
              <w:t>Basis of Presentation</w:t>
            </w:r>
          </w:p>
        </w:tc>
        <w:tc>
          <w:tcPr>
            <w:tcW w:w="5700" w:type="dxa"/>
            <w:vAlign w:val="bottom"/>
            <w:gridSpan w:val="20"/>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0000FF"/>
                <w:w w:val="93"/>
              </w:rPr>
              <w:t>2.</w:t>
            </w:r>
          </w:p>
        </w:tc>
        <w:tc>
          <w:tcPr>
            <w:tcW w:w="3080" w:type="dxa"/>
            <w:vAlign w:val="bottom"/>
            <w:gridSpan w:val="28"/>
          </w:tcPr>
          <w:p>
            <w:pPr>
              <w:ind w:left="20"/>
              <w:spacing w:after="0"/>
              <w:rPr>
                <w:sz w:val="20"/>
                <w:szCs w:val="20"/>
                <w:color w:val="auto"/>
              </w:rPr>
            </w:pPr>
            <w:r>
              <w:rPr>
                <w:rFonts w:ascii="Times New Roman" w:cs="Times New Roman" w:eastAsia="Times New Roman" w:hAnsi="Times New Roman"/>
                <w:sz w:val="17"/>
                <w:szCs w:val="17"/>
                <w:color w:val="0000FF"/>
                <w:w w:val="99"/>
              </w:rPr>
              <w:t>Summary of Significant Accounting Policies</w:t>
            </w:r>
          </w:p>
        </w:tc>
        <w:tc>
          <w:tcPr>
            <w:tcW w:w="4080" w:type="dxa"/>
            <w:vAlign w:val="bottom"/>
            <w:gridSpan w:val="5"/>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80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0000FF"/>
                <w:w w:val="93"/>
              </w:rPr>
              <w:t>3.</w:t>
            </w: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83"/>
              </w:rPr>
              <w:t>Revenue</w:t>
            </w:r>
          </w:p>
        </w:tc>
        <w:tc>
          <w:tcPr>
            <w:tcW w:w="2520" w:type="dxa"/>
            <w:vAlign w:val="bottom"/>
            <w:gridSpan w:val="24"/>
          </w:tcPr>
          <w:p>
            <w:pPr>
              <w:spacing w:after="0"/>
              <w:rPr>
                <w:sz w:val="19"/>
                <w:szCs w:val="19"/>
                <w:color w:val="auto"/>
              </w:rPr>
            </w:pPr>
          </w:p>
        </w:tc>
        <w:tc>
          <w:tcPr>
            <w:tcW w:w="4080" w:type="dxa"/>
            <w:vAlign w:val="bottom"/>
            <w:gridSpan w:val="5"/>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90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0000FF"/>
                <w:w w:val="93"/>
              </w:rPr>
              <w:t>4.</w:t>
            </w:r>
          </w:p>
        </w:tc>
        <w:tc>
          <w:tcPr>
            <w:tcW w:w="716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Income Taxes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92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0000FF"/>
                <w:w w:val="93"/>
              </w:rPr>
              <w:t>5.</w:t>
            </w:r>
          </w:p>
        </w:tc>
        <w:tc>
          <w:tcPr>
            <w:tcW w:w="716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Vacation Ownership Notes Receivable</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96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0000FF"/>
                <w:w w:val="93"/>
              </w:rPr>
              <w:t>6.</w:t>
            </w:r>
          </w:p>
        </w:tc>
        <w:tc>
          <w:tcPr>
            <w:tcW w:w="2640" w:type="dxa"/>
            <w:vAlign w:val="bottom"/>
            <w:gridSpan w:val="25"/>
          </w:tcPr>
          <w:p>
            <w:pPr>
              <w:ind w:left="20"/>
              <w:spacing w:after="0"/>
              <w:rPr>
                <w:sz w:val="20"/>
                <w:szCs w:val="20"/>
                <w:color w:val="auto"/>
              </w:rPr>
            </w:pPr>
            <w:r>
              <w:rPr>
                <w:rFonts w:ascii="Times New Roman" w:cs="Times New Roman" w:eastAsia="Times New Roman" w:hAnsi="Times New Roman"/>
                <w:sz w:val="17"/>
                <w:szCs w:val="17"/>
                <w:color w:val="0000FF"/>
              </w:rPr>
              <w:t>Financial Instruments</w:t>
            </w:r>
          </w:p>
        </w:tc>
        <w:tc>
          <w:tcPr>
            <w:tcW w:w="4520" w:type="dxa"/>
            <w:vAlign w:val="bottom"/>
            <w:gridSpan w:val="8"/>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101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0000FF"/>
                <w:w w:val="93"/>
              </w:rPr>
              <w:t>7.</w:t>
            </w:r>
          </w:p>
        </w:tc>
        <w:tc>
          <w:tcPr>
            <w:tcW w:w="1320" w:type="dxa"/>
            <w:vAlign w:val="bottom"/>
            <w:gridSpan w:val="11"/>
          </w:tcPr>
          <w:p>
            <w:pPr>
              <w:ind w:left="20"/>
              <w:spacing w:after="0"/>
              <w:rPr>
                <w:sz w:val="20"/>
                <w:szCs w:val="20"/>
                <w:color w:val="auto"/>
              </w:rPr>
            </w:pPr>
            <w:r>
              <w:rPr>
                <w:rFonts w:ascii="Times New Roman" w:cs="Times New Roman" w:eastAsia="Times New Roman" w:hAnsi="Times New Roman"/>
                <w:sz w:val="17"/>
                <w:szCs w:val="17"/>
                <w:color w:val="0000FF"/>
                <w:w w:val="98"/>
              </w:rPr>
              <w:t>Earnings per Share</w:t>
            </w:r>
          </w:p>
        </w:tc>
        <w:tc>
          <w:tcPr>
            <w:tcW w:w="180" w:type="dxa"/>
            <w:vAlign w:val="bottom"/>
            <w:gridSpan w:val="3"/>
          </w:tcPr>
          <w:p>
            <w:pPr>
              <w:spacing w:after="0"/>
              <w:rPr>
                <w:sz w:val="19"/>
                <w:szCs w:val="19"/>
                <w:color w:val="auto"/>
              </w:rPr>
            </w:pPr>
          </w:p>
        </w:tc>
        <w:tc>
          <w:tcPr>
            <w:tcW w:w="5660" w:type="dxa"/>
            <w:vAlign w:val="bottom"/>
            <w:gridSpan w:val="19"/>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103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0000FF"/>
                <w:w w:val="93"/>
              </w:rPr>
              <w:t>8.</w:t>
            </w:r>
          </w:p>
        </w:tc>
        <w:tc>
          <w:tcPr>
            <w:tcW w:w="7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Inventory</w:t>
            </w:r>
          </w:p>
        </w:tc>
        <w:tc>
          <w:tcPr>
            <w:tcW w:w="580" w:type="dxa"/>
            <w:vAlign w:val="bottom"/>
            <w:gridSpan w:val="5"/>
          </w:tcPr>
          <w:p>
            <w:pPr>
              <w:spacing w:after="0"/>
              <w:rPr>
                <w:sz w:val="19"/>
                <w:szCs w:val="19"/>
                <w:color w:val="auto"/>
              </w:rPr>
            </w:pPr>
          </w:p>
        </w:tc>
        <w:tc>
          <w:tcPr>
            <w:tcW w:w="5840" w:type="dxa"/>
            <w:vAlign w:val="bottom"/>
            <w:gridSpan w:val="22"/>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104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160" w:type="dxa"/>
            <w:vAlign w:val="bottom"/>
            <w:gridSpan w:val="3"/>
          </w:tcPr>
          <w:p>
            <w:pPr>
              <w:ind w:left="1000"/>
              <w:spacing w:after="0"/>
              <w:rPr>
                <w:sz w:val="20"/>
                <w:szCs w:val="20"/>
                <w:color w:val="auto"/>
              </w:rPr>
            </w:pPr>
            <w:r>
              <w:rPr>
                <w:rFonts w:ascii="Times New Roman" w:cs="Times New Roman" w:eastAsia="Times New Roman" w:hAnsi="Times New Roman"/>
                <w:sz w:val="17"/>
                <w:szCs w:val="17"/>
                <w:color w:val="0000FF"/>
              </w:rPr>
              <w:t>9.</w:t>
            </w:r>
          </w:p>
        </w:tc>
        <w:tc>
          <w:tcPr>
            <w:tcW w:w="716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Property and Equipment</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104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10.</w:t>
            </w:r>
          </w:p>
        </w:tc>
        <w:tc>
          <w:tcPr>
            <w:tcW w:w="1700" w:type="dxa"/>
            <w:vAlign w:val="bottom"/>
            <w:gridSpan w:val="17"/>
          </w:tcPr>
          <w:p>
            <w:pPr>
              <w:ind w:left="20"/>
              <w:spacing w:after="0"/>
              <w:rPr>
                <w:sz w:val="20"/>
                <w:szCs w:val="20"/>
                <w:color w:val="auto"/>
              </w:rPr>
            </w:pPr>
            <w:r>
              <w:rPr>
                <w:rFonts w:ascii="Times New Roman" w:cs="Times New Roman" w:eastAsia="Times New Roman" w:hAnsi="Times New Roman"/>
                <w:sz w:val="17"/>
                <w:szCs w:val="17"/>
                <w:color w:val="0000FF"/>
              </w:rPr>
              <w:t>Goodwill</w:t>
            </w:r>
          </w:p>
        </w:tc>
        <w:tc>
          <w:tcPr>
            <w:tcW w:w="5380" w:type="dxa"/>
            <w:vAlign w:val="bottom"/>
            <w:gridSpan w:val="15"/>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105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11.</w:t>
            </w:r>
          </w:p>
        </w:tc>
        <w:tc>
          <w:tcPr>
            <w:tcW w:w="7080" w:type="dxa"/>
            <w:vAlign w:val="bottom"/>
            <w:gridSpan w:val="32"/>
          </w:tcPr>
          <w:p>
            <w:pPr>
              <w:ind w:left="20"/>
              <w:spacing w:after="0"/>
              <w:rPr>
                <w:sz w:val="20"/>
                <w:szCs w:val="20"/>
                <w:color w:val="auto"/>
              </w:rPr>
            </w:pPr>
            <w:r>
              <w:rPr>
                <w:rFonts w:ascii="Times New Roman" w:cs="Times New Roman" w:eastAsia="Times New Roman" w:hAnsi="Times New Roman"/>
                <w:sz w:val="17"/>
                <w:szCs w:val="17"/>
                <w:color w:val="0000FF"/>
              </w:rPr>
              <w:t>Intangibles</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105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12.</w:t>
            </w:r>
          </w:p>
        </w:tc>
        <w:tc>
          <w:tcPr>
            <w:tcW w:w="7080" w:type="dxa"/>
            <w:vAlign w:val="bottom"/>
            <w:gridSpan w:val="32"/>
          </w:tcPr>
          <w:p>
            <w:pPr>
              <w:ind w:left="20"/>
              <w:spacing w:after="0"/>
              <w:rPr>
                <w:sz w:val="20"/>
                <w:szCs w:val="20"/>
                <w:color w:val="auto"/>
              </w:rPr>
            </w:pPr>
            <w:r>
              <w:rPr>
                <w:rFonts w:ascii="Times New Roman" w:cs="Times New Roman" w:eastAsia="Times New Roman" w:hAnsi="Times New Roman"/>
                <w:sz w:val="17"/>
                <w:szCs w:val="17"/>
                <w:color w:val="0000FF"/>
              </w:rPr>
              <w:t>Contingencies and Commitments</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106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0" w:type="dxa"/>
            <w:vAlign w:val="bottom"/>
            <w:gridSpan w:val="12"/>
            <w:shd w:val="clear" w:color="auto" w:fill="0000FF"/>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13.</w:t>
            </w:r>
          </w:p>
        </w:tc>
        <w:tc>
          <w:tcPr>
            <w:tcW w:w="7080" w:type="dxa"/>
            <w:vAlign w:val="bottom"/>
            <w:gridSpan w:val="32"/>
          </w:tcPr>
          <w:p>
            <w:pPr>
              <w:ind w:left="20"/>
              <w:spacing w:after="0"/>
              <w:rPr>
                <w:sz w:val="20"/>
                <w:szCs w:val="20"/>
                <w:color w:val="auto"/>
              </w:rPr>
            </w:pPr>
            <w:r>
              <w:rPr>
                <w:rFonts w:ascii="Times New Roman" w:cs="Times New Roman" w:eastAsia="Times New Roman" w:hAnsi="Times New Roman"/>
                <w:sz w:val="17"/>
                <w:szCs w:val="17"/>
                <w:color w:val="0000FF"/>
              </w:rPr>
              <w:t>Leases</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107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14.</w:t>
            </w:r>
          </w:p>
        </w:tc>
        <w:tc>
          <w:tcPr>
            <w:tcW w:w="7080" w:type="dxa"/>
            <w:vAlign w:val="bottom"/>
            <w:gridSpan w:val="32"/>
          </w:tcPr>
          <w:p>
            <w:pPr>
              <w:ind w:left="20"/>
              <w:spacing w:after="0"/>
              <w:rPr>
                <w:sz w:val="20"/>
                <w:szCs w:val="20"/>
                <w:color w:val="auto"/>
              </w:rPr>
            </w:pPr>
            <w:r>
              <w:rPr>
                <w:rFonts w:ascii="Times New Roman" w:cs="Times New Roman" w:eastAsia="Times New Roman" w:hAnsi="Times New Roman"/>
                <w:sz w:val="17"/>
                <w:szCs w:val="17"/>
                <w:color w:val="0000FF"/>
              </w:rPr>
              <w:t>Securitized Debt</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108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15.</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Debt</w:t>
            </w:r>
          </w:p>
        </w:tc>
        <w:tc>
          <w:tcPr>
            <w:tcW w:w="800" w:type="dxa"/>
            <w:vAlign w:val="bottom"/>
            <w:gridSpan w:val="7"/>
          </w:tcPr>
          <w:p>
            <w:pPr>
              <w:spacing w:after="0"/>
              <w:rPr>
                <w:sz w:val="19"/>
                <w:szCs w:val="19"/>
                <w:color w:val="auto"/>
              </w:rPr>
            </w:pPr>
          </w:p>
        </w:tc>
        <w:tc>
          <w:tcPr>
            <w:tcW w:w="5920" w:type="dxa"/>
            <w:vAlign w:val="bottom"/>
            <w:gridSpan w:val="23"/>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16.</w:t>
            </w:r>
          </w:p>
        </w:tc>
        <w:tc>
          <w:tcPr>
            <w:tcW w:w="1700" w:type="dxa"/>
            <w:vAlign w:val="bottom"/>
            <w:gridSpan w:val="17"/>
          </w:tcPr>
          <w:p>
            <w:pPr>
              <w:ind w:left="20"/>
              <w:spacing w:after="0"/>
              <w:rPr>
                <w:sz w:val="20"/>
                <w:szCs w:val="20"/>
                <w:color w:val="auto"/>
              </w:rPr>
            </w:pPr>
            <w:r>
              <w:rPr>
                <w:rFonts w:ascii="Times New Roman" w:cs="Times New Roman" w:eastAsia="Times New Roman" w:hAnsi="Times New Roman"/>
                <w:sz w:val="17"/>
                <w:szCs w:val="17"/>
                <w:color w:val="0000FF"/>
              </w:rPr>
              <w:t>Stockholders' Equity</w:t>
            </w:r>
          </w:p>
        </w:tc>
        <w:tc>
          <w:tcPr>
            <w:tcW w:w="5380" w:type="dxa"/>
            <w:vAlign w:val="bottom"/>
            <w:gridSpan w:val="15"/>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17.</w:t>
            </w:r>
          </w:p>
        </w:tc>
        <w:tc>
          <w:tcPr>
            <w:tcW w:w="7080" w:type="dxa"/>
            <w:vAlign w:val="bottom"/>
            <w:gridSpan w:val="32"/>
          </w:tcPr>
          <w:p>
            <w:pPr>
              <w:ind w:left="20"/>
              <w:spacing w:after="0"/>
              <w:rPr>
                <w:sz w:val="20"/>
                <w:szCs w:val="20"/>
                <w:color w:val="auto"/>
              </w:rPr>
            </w:pPr>
            <w:r>
              <w:rPr>
                <w:rFonts w:ascii="Times New Roman" w:cs="Times New Roman" w:eastAsia="Times New Roman" w:hAnsi="Times New Roman"/>
                <w:sz w:val="17"/>
                <w:szCs w:val="17"/>
                <w:color w:val="0000FF"/>
              </w:rPr>
              <w:t>Share-based Compensation</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18.</w:t>
            </w:r>
          </w:p>
        </w:tc>
        <w:tc>
          <w:tcPr>
            <w:tcW w:w="1880" w:type="dxa"/>
            <w:vAlign w:val="bottom"/>
            <w:gridSpan w:val="19"/>
          </w:tcPr>
          <w:p>
            <w:pPr>
              <w:ind w:left="20"/>
              <w:spacing w:after="0"/>
              <w:rPr>
                <w:sz w:val="20"/>
                <w:szCs w:val="20"/>
                <w:color w:val="auto"/>
              </w:rPr>
            </w:pPr>
            <w:r>
              <w:rPr>
                <w:rFonts w:ascii="Times New Roman" w:cs="Times New Roman" w:eastAsia="Times New Roman" w:hAnsi="Times New Roman"/>
                <w:sz w:val="17"/>
                <w:szCs w:val="17"/>
                <w:color w:val="0000FF"/>
              </w:rPr>
              <w:t>Variable Interest Entities</w:t>
            </w:r>
          </w:p>
        </w:tc>
        <w:tc>
          <w:tcPr>
            <w:tcW w:w="5200" w:type="dxa"/>
            <w:vAlign w:val="bottom"/>
            <w:gridSpan w:val="13"/>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19.</w:t>
            </w:r>
          </w:p>
        </w:tc>
        <w:tc>
          <w:tcPr>
            <w:tcW w:w="1700" w:type="dxa"/>
            <w:vAlign w:val="bottom"/>
            <w:gridSpan w:val="17"/>
          </w:tcPr>
          <w:p>
            <w:pPr>
              <w:ind w:left="20"/>
              <w:spacing w:after="0"/>
              <w:rPr>
                <w:sz w:val="20"/>
                <w:szCs w:val="20"/>
                <w:color w:val="auto"/>
              </w:rPr>
            </w:pPr>
            <w:r>
              <w:rPr>
                <w:rFonts w:ascii="Times New Roman" w:cs="Times New Roman" w:eastAsia="Times New Roman" w:hAnsi="Times New Roman"/>
                <w:sz w:val="17"/>
                <w:szCs w:val="17"/>
                <w:color w:val="0000FF"/>
              </w:rPr>
              <w:t>Business Segments</w:t>
            </w:r>
          </w:p>
        </w:tc>
        <w:tc>
          <w:tcPr>
            <w:tcW w:w="380" w:type="dxa"/>
            <w:vAlign w:val="bottom"/>
            <w:gridSpan w:val="3"/>
          </w:tcPr>
          <w:p>
            <w:pPr>
              <w:spacing w:after="0"/>
              <w:rPr>
                <w:sz w:val="19"/>
                <w:szCs w:val="19"/>
                <w:color w:val="auto"/>
              </w:rPr>
            </w:pPr>
          </w:p>
        </w:tc>
        <w:tc>
          <w:tcPr>
            <w:tcW w:w="5000" w:type="dxa"/>
            <w:vAlign w:val="bottom"/>
            <w:gridSpan w:val="12"/>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1080" w:type="dxa"/>
            <w:vAlign w:val="bottom"/>
            <w:tcBorders>
              <w:left w:val="single" w:sz="8" w:color="0000FF"/>
            </w:tcBorders>
            <w:gridSpan w:val="12"/>
            <w:shd w:val="clear" w:color="auto" w:fill="0000FF"/>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20.</w:t>
            </w:r>
          </w:p>
        </w:tc>
        <w:tc>
          <w:tcPr>
            <w:tcW w:w="2080" w:type="dxa"/>
            <w:vAlign w:val="bottom"/>
            <w:gridSpan w:val="20"/>
          </w:tcPr>
          <w:p>
            <w:pPr>
              <w:ind w:left="20"/>
              <w:spacing w:after="0"/>
              <w:rPr>
                <w:sz w:val="20"/>
                <w:szCs w:val="20"/>
                <w:color w:val="auto"/>
              </w:rPr>
            </w:pPr>
            <w:r>
              <w:rPr>
                <w:rFonts w:ascii="Times New Roman" w:cs="Times New Roman" w:eastAsia="Times New Roman" w:hAnsi="Times New Roman"/>
                <w:sz w:val="17"/>
                <w:szCs w:val="17"/>
                <w:color w:val="0000FF"/>
                <w:w w:val="99"/>
              </w:rPr>
              <w:t>Restructuring and Impairment</w:t>
            </w:r>
          </w:p>
        </w:tc>
        <w:tc>
          <w:tcPr>
            <w:tcW w:w="5000" w:type="dxa"/>
            <w:vAlign w:val="bottom"/>
            <w:gridSpan w:val="12"/>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1080" w:type="dxa"/>
            <w:vAlign w:val="bottom"/>
            <w:tcBorders>
              <w:left w:val="single" w:sz="8" w:color="0000FF"/>
            </w:tcBorders>
            <w:gridSpan w:val="12"/>
            <w:shd w:val="clear" w:color="auto" w:fill="0000FF"/>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21.</w:t>
            </w:r>
          </w:p>
        </w:tc>
        <w:tc>
          <w:tcPr>
            <w:tcW w:w="2080" w:type="dxa"/>
            <w:vAlign w:val="bottom"/>
            <w:gridSpan w:val="20"/>
          </w:tcPr>
          <w:p>
            <w:pPr>
              <w:ind w:left="20"/>
              <w:spacing w:after="0"/>
              <w:rPr>
                <w:sz w:val="20"/>
                <w:szCs w:val="20"/>
                <w:color w:val="auto"/>
              </w:rPr>
            </w:pPr>
            <w:r>
              <w:rPr>
                <w:rFonts w:ascii="Times New Roman" w:cs="Times New Roman" w:eastAsia="Times New Roman" w:hAnsi="Times New Roman"/>
                <w:sz w:val="17"/>
                <w:szCs w:val="17"/>
                <w:color w:val="0000FF"/>
              </w:rPr>
              <w:t>Modernization</w:t>
            </w:r>
          </w:p>
        </w:tc>
        <w:tc>
          <w:tcPr>
            <w:tcW w:w="5000" w:type="dxa"/>
            <w:vAlign w:val="bottom"/>
            <w:gridSpan w:val="12"/>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123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1296"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MANAGEMENT’S REPORT 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19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7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7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connection with the preparation of the Company’s annual consolidated financial statements, management has undertaken an assessment of the effectiveness of the Company’s internal control over financial reporting as of December 31, 2025, based on criteria established in Internal Control-Integrated Framework issued by the Committee of Sponsoring Organizations of the Treadway Commission (2013 framework) (the “COSO criteria”).</w:t>
      </w:r>
    </w:p>
    <w:p>
      <w:pPr>
        <w:spacing w:after="0" w:line="166"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color w:val="auto"/>
        </w:rPr>
        <w:t>Based on this assessment, management has concluded that, applying the COSO criteria, as of December 31, 2025,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66"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70" w:name="page71"/>
    <w:bookmarkEnd w:id="70"/>
    <w:p>
      <w:pPr>
        <w:ind w:left="270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Marriott Vacations Worldwide Corporation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8"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7"/>
          <w:szCs w:val="17"/>
          <w:color w:val="auto"/>
        </w:rPr>
        <w:t>We have audited Marriott Vacations Worldwide Corporation’s internal control over financial reporting as of December 31, 2025, based on criteria established in Internal Control—Integrated Framework issued by the Committee of Sponsoring Organizations of the Treadway Commission (2013 framework) (the COSO criteria). In our opinion, Marriott Vacations Worldwide Corporation (the Company) maintained, in all material respects, effective internal control over financial reporting as of December 31, 2025, based on the COSO criteria.</w:t>
      </w:r>
    </w:p>
    <w:p>
      <w:pPr>
        <w:spacing w:after="0" w:line="86"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income, comprehensive income, stockholders’ equity and cash flows for each of the three years in the period ended December 31, 2025, and the related notes and our report dated February 27, 2026 expressed an unqualified opinion thereon.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Orlando, Florida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193" w:right="379" w:bottom="1440" w:gutter="0" w:footer="0" w:header="0"/>
        </w:sectPr>
      </w:pPr>
    </w:p>
    <w:bookmarkStart w:id="71" w:name="page72"/>
    <w:bookmarkEnd w:id="71"/>
    <w:p>
      <w:pPr>
        <w:ind w:left="270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8" w:lineRule="exact"/>
        <w:rPr>
          <w:sz w:val="20"/>
          <w:szCs w:val="20"/>
          <w:color w:val="auto"/>
        </w:rPr>
      </w:pPr>
    </w:p>
    <w:p>
      <w:pPr>
        <w:ind w:right="4840"/>
        <w:spacing w:after="0" w:line="408" w:lineRule="auto"/>
        <w:rPr>
          <w:sz w:val="20"/>
          <w:szCs w:val="20"/>
          <w:color w:val="auto"/>
        </w:rPr>
      </w:pPr>
      <w:r>
        <w:rPr>
          <w:rFonts w:ascii="Times New Roman" w:cs="Times New Roman" w:eastAsia="Times New Roman" w:hAnsi="Times New Roman"/>
          <w:sz w:val="17"/>
          <w:szCs w:val="17"/>
          <w:color w:val="auto"/>
        </w:rPr>
        <w:t xml:space="preserve">To the Stockholders and the Board of Directors of Marriott Vacations Worldwide Corporation </w:t>
      </w:r>
      <w:r>
        <w:rPr>
          <w:rFonts w:ascii="Times New Roman" w:cs="Times New Roman" w:eastAsia="Times New Roman" w:hAnsi="Times New Roman"/>
          <w:sz w:val="17"/>
          <w:szCs w:val="17"/>
          <w:b w:val="1"/>
          <w:bCs w:val="1"/>
          <w:color w:val="auto"/>
        </w:rPr>
        <w:t>Opinion on the Financial Statements</w:t>
      </w:r>
    </w:p>
    <w:p>
      <w:pPr>
        <w:ind w:right="100"/>
        <w:spacing w:after="0" w:line="259"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Marriott Vacations Worldwide Corporation (the Company) as of December 31, 2025 and 2024, the related consolidated statements of income, comprehensive income,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71"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27, 2026 expressed an unqualified opinion thereon.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1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Valuation of Goodwill</w:t>
      </w:r>
    </w:p>
    <w:p>
      <w:pPr>
        <w:sectPr>
          <w:pgSz w:w="11900" w:h="16838" w:orient="portrait"/>
          <w:cols w:equalWidth="0" w:num="1">
            <w:col w:w="11220"/>
          </w:cols>
          <w:pgMar w:left="320" w:top="1194" w:right="359" w:bottom="1440" w:gutter="0" w:footer="0" w:header="0"/>
        </w:sectPr>
      </w:pPr>
    </w:p>
    <w:p>
      <w:pPr>
        <w:spacing w:after="0" w:line="73"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At December 31, 2025, the balance of Goodwill was $2,958 million. During the year ended December 31, 2025, the Company recorded a goodwill impairment charge of $159 million. As discussed in Notes 2 and 10 to the consolidated financial statements, the Company performs an annual review for potential impairment of the carrying value of goodwill in the fourth quarter, or more frequently if events or circumstances indicate a possible impairment. The Company’s goodwill is tested for impairment at the reporting unit level.</w:t>
      </w:r>
    </w:p>
    <w:p>
      <w:pPr>
        <w:spacing w:after="0" w:line="6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Auditing the Company’s goodwill impairment assessment was complex and highly judgmental due to the significant estimation uncertainty in determining the fair value of the reporting units. In particular, the fair value estimates for the reporting units were sensitive to significant assumptions including projections of revenues, EBITDA margin, and discount rate. These significant assumptions are forward-looking and could be affected by company-specific, market or economic conditions.</w:t>
      </w:r>
    </w:p>
    <w:p>
      <w:pPr>
        <w:spacing w:after="0" w:line="200" w:lineRule="exact"/>
        <w:rPr>
          <w:sz w:val="20"/>
          <w:szCs w:val="20"/>
          <w:color w:val="auto"/>
        </w:rPr>
      </w:pPr>
    </w:p>
    <w:p>
      <w:pPr>
        <w:sectPr>
          <w:pgSz w:w="11900" w:h="16838" w:orient="portrait"/>
          <w:cols w:equalWidth="0" w:num="2">
            <w:col w:w="1260" w:space="160"/>
            <w:col w:w="9800"/>
          </w:cols>
          <w:pgMar w:left="320" w:top="119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470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94" w:right="359" w:bottom="1440" w:gutter="0" w:footer="0" w:header="0"/>
          <w:type w:val="continuous"/>
        </w:sectPr>
      </w:pPr>
    </w:p>
    <w:bookmarkStart w:id="72" w:name="page73"/>
    <w:bookmarkEnd w:id="72"/>
    <w:p>
      <w:pPr>
        <w:spacing w:after="0" w:line="239" w:lineRule="auto"/>
        <w:rPr>
          <w:sz w:val="20"/>
          <w:szCs w:val="20"/>
          <w:color w:val="auto"/>
        </w:rPr>
      </w:pPr>
      <w:r>
        <w:rPr>
          <w:rFonts w:ascii="Times New Roman" w:cs="Times New Roman" w:eastAsia="Times New Roman" w:hAnsi="Times New Roman"/>
          <w:sz w:val="16"/>
          <w:szCs w:val="16"/>
          <w:i w:val="1"/>
          <w:iCs w:val="1"/>
          <w:color w:val="auto"/>
        </w:rPr>
        <w:t>How We Addressed the Matter in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process to determine the fair value of the reporting units, including management’s review of the valuation model and the significant assumptions used in the valuation.</w:t>
      </w:r>
    </w:p>
    <w:p>
      <w:pPr>
        <w:spacing w:after="0" w:line="1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To test the estimated fair value of the reporting units, we performed audit procedures that included, among others, evaluating the valuation methodologies and testing the significant assumptions discussed above and the underlying data used by the Company in its analysis. We compared the significant assumptions used by the Company to current industry and economic trends, the Company’s historical results and other guideline companies within the same industry. We also performed sensitivity analyses on the significant assumptions described above to evaluate the changes in the fair value of the reporting units that would result from changes in these assumptions. We involved our valuation specialists to assist in our evaluation of the Company’s valuation methodologies and significant assumptions discussed above.</w:t>
      </w:r>
    </w:p>
    <w:p>
      <w:pPr>
        <w:spacing w:after="0" w:line="200" w:lineRule="exact"/>
        <w:rPr>
          <w:sz w:val="20"/>
          <w:szCs w:val="20"/>
          <w:color w:val="auto"/>
        </w:rPr>
      </w:pPr>
    </w:p>
    <w:p>
      <w:pPr>
        <w:sectPr>
          <w:pgSz w:w="11900" w:h="16838" w:orient="portrait"/>
          <w:cols w:equalWidth="0" w:num="2">
            <w:col w:w="1320" w:space="80"/>
            <w:col w:w="9780"/>
          </w:cols>
          <w:pgMar w:left="340" w:top="1385" w:right="379" w:bottom="1440" w:gutter="0" w:footer="0" w:header="0"/>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Vacation Ownership Products</w:t>
      </w:r>
    </w:p>
    <w:p>
      <w:pPr>
        <w:sectPr>
          <w:pgSz w:w="11900" w:h="16838" w:orient="portrait"/>
          <w:cols w:equalWidth="0" w:num="1">
            <w:col w:w="11180"/>
          </w:cols>
          <w:pgMar w:left="340" w:top="1385" w:right="379" w:bottom="1440" w:gutter="0" w:footer="0" w:header="0"/>
          <w:type w:val="continuous"/>
        </w:sectPr>
      </w:pPr>
    </w:p>
    <w:p>
      <w:pPr>
        <w:spacing w:after="0" w:line="85"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The Company’s cost of vacation ownership products was $184 million for the year ended December 31, 2025. As discussed in Note 2 to the consolidated financial statements, the Company accounts for the cost of vacation ownership products utilizing the relative sales value method in accordance with the authoritative guidance for accounting for real estate time-sharing transactions. Changes in estimates used in applying the relative sales value method are recognized in the period that the changes occur.</w:t>
      </w:r>
    </w:p>
    <w:p>
      <w:pPr>
        <w:spacing w:after="0" w:line="2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Auditing the Company’s application of the relative sales value method was challenging due to the nature and extent of audit effort required as the calculations are complex and contain a significant volume of data. Additionally, the determination of the cost of vacation ownership products was sensitive to the selection and application of assumptions, specifically future pricing assumptions, used in estimating future revenues from sale of vacation ownership products which are affected by expectations about future market and economic conditions.</w:t>
      </w:r>
    </w:p>
    <w:p>
      <w:pPr>
        <w:spacing w:after="0" w:line="1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process to determine the cost of vacation ownership products. For example, we tested controls over management’s review of the calculations, including the inputs and certain estimates, such as estimated future revenues from sale of vacation ownership products.</w:t>
      </w:r>
    </w:p>
    <w:p>
      <w:pPr>
        <w:spacing w:after="0" w:line="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To test the cost of vacation ownership products, we performed audit procedures that included, among others, assessing the methodologies used, evaluating the estimates discussed above and testing the completeness and accuracy of the data used by the Company in the calculations. For example, we agreed inputs to the calculations to historical data and source documentation and evaluated the estimates used in the calculations, such as estimated future revenues from sale of vacation ownership products, utilizing historical operating results.</w:t>
      </w:r>
    </w:p>
    <w:p>
      <w:pPr>
        <w:spacing w:after="0" w:line="200" w:lineRule="exact"/>
        <w:rPr>
          <w:sz w:val="20"/>
          <w:szCs w:val="20"/>
          <w:color w:val="auto"/>
        </w:rPr>
      </w:pPr>
    </w:p>
    <w:p>
      <w:pPr>
        <w:sectPr>
          <w:pgSz w:w="11900" w:h="16838" w:orient="portrait"/>
          <w:cols w:equalWidth="0" w:num="2">
            <w:col w:w="1320" w:space="80"/>
            <w:col w:w="9780"/>
          </w:cols>
          <w:pgMar w:left="340" w:top="1385" w:right="3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 Reserve</w:t>
      </w:r>
    </w:p>
    <w:p>
      <w:pPr>
        <w:sectPr>
          <w:pgSz w:w="11900" w:h="16838" w:orient="portrait"/>
          <w:cols w:equalWidth="0" w:num="1">
            <w:col w:w="11180"/>
          </w:cols>
          <w:pgMar w:left="340" w:top="1385" w:right="379" w:bottom="1440" w:gutter="0" w:footer="0" w:header="0"/>
          <w:type w:val="continuous"/>
        </w:sectPr>
      </w:pPr>
    </w:p>
    <w:p>
      <w:pPr>
        <w:spacing w:after="0" w:line="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7"/>
          <w:szCs w:val="17"/>
          <w:color w:val="auto"/>
        </w:rPr>
        <w:t>As of December 31, 2025, the Company’s originated vacation ownership notes receivable reserve was $527 million. As discussed in Notes 2 and 5 to the consolidated financial statements, for originated notes, the Company records the difference between the vacation ownership note receivable and variable consideration included in the transaction price for the sale of the related vacation ownership products as a reserve on the Company’s originated vacation ownership notes receivable. The estimate of the variable consideration for originated vacation ownership notes receivable is based on default rates that are an output of the Company’s static pool analyses and the estimates regarding future defaults.</w:t>
      </w:r>
    </w:p>
    <w:p>
      <w:pPr>
        <w:spacing w:after="0" w:line="20"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Auditing the Company’s originated vacation ownership notes receivable reserve was challenging due to the nature and extent of audit effort required to test the static pool analyses, which are complex and contain a significant volume of data. Furthermore, the originated vacation ownership notes receivable reserve was sensitive to management’s assumptions regarding future default rates.</w:t>
      </w:r>
    </w:p>
    <w:p>
      <w:pPr>
        <w:spacing w:after="0" w:line="200" w:lineRule="exact"/>
        <w:rPr>
          <w:sz w:val="20"/>
          <w:szCs w:val="20"/>
          <w:color w:val="auto"/>
        </w:rPr>
      </w:pPr>
    </w:p>
    <w:p>
      <w:pPr>
        <w:sectPr>
          <w:pgSz w:w="11900" w:h="16838" w:orient="portrait"/>
          <w:cols w:equalWidth="0" w:num="2">
            <w:col w:w="1240" w:space="160"/>
            <w:col w:w="9780"/>
          </w:cols>
          <w:pgMar w:left="340" w:top="138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75565</wp:posOffset>
            </wp:positionV>
            <wp:extent cx="716470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40" w:top="1385" w:right="379" w:bottom="1440" w:gutter="0" w:footer="0" w:header="0"/>
          <w:type w:val="continuous"/>
        </w:sectPr>
      </w:pPr>
    </w:p>
    <w:bookmarkStart w:id="73" w:name="page74"/>
    <w:bookmarkEnd w:id="73"/>
    <w:p>
      <w:pPr>
        <w:ind w:left="20"/>
        <w:spacing w:after="0" w:line="239" w:lineRule="auto"/>
        <w:rPr>
          <w:sz w:val="20"/>
          <w:szCs w:val="20"/>
          <w:color w:val="auto"/>
        </w:rPr>
      </w:pPr>
      <w:r>
        <w:rPr>
          <w:rFonts w:ascii="Times New Roman" w:cs="Times New Roman" w:eastAsia="Times New Roman" w:hAnsi="Times New Roman"/>
          <w:sz w:val="16"/>
          <w:szCs w:val="16"/>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Audit</w:t>
      </w:r>
    </w:p>
    <w:p>
      <w:pPr>
        <w:spacing w:after="0" w:line="20" w:lineRule="exact"/>
        <w:rPr>
          <w:sz w:val="20"/>
          <w:szCs w:val="20"/>
          <w:color w:val="auto"/>
        </w:rPr>
      </w:pPr>
      <w:r>
        <w:rPr>
          <w:sz w:val="20"/>
          <w:szCs w:val="20"/>
          <w:color w:val="auto"/>
        </w:rPr>
        <w:br w:type="column"/>
      </w: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originated vacation ownership notes receivable reserve process. For example, we tested controls over management’s review of the static pool analyses, including the significant inputs to the analyses, and review of the assumptions regarding future default rates.</w:t>
      </w:r>
    </w:p>
    <w:p>
      <w:pPr>
        <w:spacing w:after="0" w:line="1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To test the originated vacation ownership notes receivable reserve, we performed audit procedures that included, among others, assessing the methodology used, evaluating the assumptions regarding future default rates as discussed above, and testing the completeness and accuracy of the static pool analyses, including the significant inputs to the analyses. For example, we agreed inputs to the static pool analyses to historical data and source documentation. In addition, we recalculated the resulting originated vacation ownership notes receivable reserve recognized by the Company. We also compared the assumptions regarding future defaults to the Company’s historical and current default rates and performed a retrospective review of the defaults projected from the analyses.</w:t>
      </w:r>
    </w:p>
    <w:p>
      <w:pPr>
        <w:spacing w:after="0" w:line="200" w:lineRule="exact"/>
        <w:rPr>
          <w:sz w:val="20"/>
          <w:szCs w:val="20"/>
          <w:color w:val="auto"/>
        </w:rPr>
      </w:pPr>
    </w:p>
    <w:p>
      <w:pPr>
        <w:sectPr>
          <w:pgSz w:w="11900" w:h="16838" w:orient="portrait"/>
          <w:cols w:equalWidth="0" w:num="2">
            <w:col w:w="1340" w:space="80"/>
            <w:col w:w="9780"/>
          </w:cols>
          <w:pgMar w:left="320" w:top="1385" w:right="379" w:bottom="1440" w:gutter="0" w:footer="0" w:header="0"/>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Orlando,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470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385" w:right="379" w:bottom="1440" w:gutter="0" w:footer="0" w:header="0"/>
          <w:type w:val="continuous"/>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2025,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 except per share amounts)</w:t>
      </w:r>
    </w:p>
    <w:p>
      <w:pPr>
        <w:spacing w:after="0" w:line="52"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40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9"/>
              </w:rPr>
              <w:t>1,464</w:t>
            </w:r>
          </w:p>
        </w:tc>
        <w:tc>
          <w:tcPr>
            <w:tcW w:w="100" w:type="dxa"/>
            <w:vAlign w:val="bottom"/>
          </w:tcPr>
          <w:p>
            <w:pPr>
              <w:spacing w:after="0"/>
              <w:rPr>
                <w:sz w:val="22"/>
                <w:szCs w:val="22"/>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1,448</w:t>
            </w:r>
          </w:p>
        </w:tc>
        <w:tc>
          <w:tcPr>
            <w:tcW w:w="120" w:type="dxa"/>
            <w:vAlign w:val="bottom"/>
          </w:tcPr>
          <w:p>
            <w:pPr>
              <w:spacing w:after="0"/>
              <w:rPr>
                <w:sz w:val="22"/>
                <w:szCs w:val="22"/>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1,460</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Management and exchange</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5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860" w:type="dxa"/>
            <w:vAlign w:val="bottom"/>
          </w:tcPr>
          <w:p>
            <w:pPr>
              <w:spacing w:after="0"/>
              <w:rPr>
                <w:sz w:val="22"/>
                <w:szCs w:val="22"/>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9"/>
              </w:rPr>
              <w:t>1,698</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1,689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8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9"/>
              </w:rPr>
              <w:t>5,032</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4,967</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4,727</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5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Marketing and sales</w:t>
            </w:r>
          </w:p>
        </w:tc>
        <w:tc>
          <w:tcPr>
            <w:tcW w:w="860" w:type="dxa"/>
            <w:vAlign w:val="bottom"/>
          </w:tcPr>
          <w:p>
            <w:pPr>
              <w:spacing w:after="0"/>
              <w:rPr>
                <w:sz w:val="22"/>
                <w:szCs w:val="22"/>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823</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Management and exchange</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442</w:t>
            </w:r>
          </w:p>
        </w:tc>
        <w:tc>
          <w:tcPr>
            <w:tcW w:w="0" w:type="dxa"/>
            <w:vAlign w:val="bottom"/>
          </w:tcPr>
          <w:p>
            <w:pPr>
              <w:spacing w:after="0"/>
              <w:rPr>
                <w:sz w:val="1"/>
                <w:szCs w:val="1"/>
                <w:color w:val="auto"/>
              </w:rPr>
            </w:pPr>
          </w:p>
        </w:tc>
      </w:tr>
      <w:tr>
        <w:trPr>
          <w:trHeight w:val="25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860" w:type="dxa"/>
            <w:vAlign w:val="bottom"/>
          </w:tcPr>
          <w:p>
            <w:pPr>
              <w:spacing w:after="0"/>
              <w:rPr>
                <w:sz w:val="22"/>
                <w:szCs w:val="22"/>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452</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5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Royalty fee</w:t>
            </w:r>
          </w:p>
        </w:tc>
        <w:tc>
          <w:tcPr>
            <w:tcW w:w="860" w:type="dxa"/>
            <w:vAlign w:val="bottom"/>
          </w:tcPr>
          <w:p>
            <w:pPr>
              <w:spacing w:after="0"/>
              <w:rPr>
                <w:sz w:val="22"/>
                <w:szCs w:val="22"/>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5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60" w:type="dxa"/>
            <w:vAlign w:val="bottom"/>
          </w:tcPr>
          <w:p>
            <w:pPr>
              <w:spacing w:after="0"/>
              <w:rPr>
                <w:sz w:val="22"/>
                <w:szCs w:val="22"/>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Litigation charges</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5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Modernization</w:t>
            </w:r>
          </w:p>
        </w:tc>
        <w:tc>
          <w:tcPr>
            <w:tcW w:w="860" w:type="dxa"/>
            <w:vAlign w:val="bottom"/>
          </w:tcPr>
          <w:p>
            <w:pPr>
              <w:spacing w:after="0"/>
              <w:rPr>
                <w:sz w:val="22"/>
                <w:szCs w:val="22"/>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Restructuring</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5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Impairment</w:t>
            </w:r>
          </w:p>
        </w:tc>
        <w:tc>
          <w:tcPr>
            <w:tcW w:w="860" w:type="dxa"/>
            <w:vAlign w:val="bottom"/>
          </w:tcPr>
          <w:p>
            <w:pPr>
              <w:spacing w:after="0"/>
              <w:rPr>
                <w:sz w:val="22"/>
                <w:szCs w:val="22"/>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577</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8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9"/>
              </w:rPr>
              <w:t>1,698</w:t>
            </w:r>
          </w:p>
        </w:tc>
        <w:tc>
          <w:tcPr>
            <w:tcW w:w="10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1,689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9"/>
              </w:rPr>
              <w:t>5,209</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4,477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4,191</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Gains (losses) and other income (expense), net</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5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8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5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86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59"/>
        </w:trPr>
        <w:tc>
          <w:tcPr>
            <w:tcW w:w="400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(LOSS) INCOME BEFORE INCOME TAXES AND</w:t>
            </w:r>
          </w:p>
        </w:tc>
        <w:tc>
          <w:tcPr>
            <w:tcW w:w="8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46"/>
        </w:trPr>
        <w:tc>
          <w:tcPr>
            <w:tcW w:w="40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NET (LOSS) INCOME ATTRIBUTABLE TO</w:t>
            </w:r>
          </w:p>
        </w:tc>
        <w:tc>
          <w:tcPr>
            <w:tcW w:w="860" w:type="dxa"/>
            <w:vAlign w:val="bottom"/>
            <w:vMerge w:val="restart"/>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254</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(LOSS) EARNINGS PER SHARE ATTRIBUTABLE</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 COMMON STOCKHOLDERS</w:t>
            </w: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22"/>
                <w:szCs w:val="22"/>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20" w:type="dxa"/>
            <w:vAlign w:val="bottom"/>
          </w:tcPr>
          <w:p>
            <w:pPr>
              <w:spacing w:after="0"/>
              <w:rPr>
                <w:sz w:val="22"/>
                <w:szCs w:val="22"/>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6.96</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6.28</w:t>
            </w:r>
          </w:p>
        </w:tc>
        <w:tc>
          <w:tcPr>
            <w:tcW w:w="0" w:type="dxa"/>
            <w:vAlign w:val="bottom"/>
          </w:tcPr>
          <w:p>
            <w:pPr>
              <w:spacing w:after="0"/>
              <w:rPr>
                <w:sz w:val="1"/>
                <w:szCs w:val="1"/>
                <w:color w:val="auto"/>
              </w:rPr>
            </w:pPr>
          </w:p>
        </w:tc>
      </w:tr>
      <w:tr>
        <w:trPr>
          <w:trHeight w:val="257"/>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DIVIDENDS DECLARED PER SHARE</w:t>
            </w: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tcPr>
          <w:p>
            <w:pPr>
              <w:spacing w:after="0"/>
              <w:rPr>
                <w:sz w:val="22"/>
                <w:szCs w:val="22"/>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Pr>
          <w:p>
            <w:pPr>
              <w:spacing w:after="0"/>
              <w:rPr>
                <w:sz w:val="22"/>
                <w:szCs w:val="22"/>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ectPr>
          <w:pgSz w:w="11900" w:h="16838" w:orient="portrait"/>
          <w:cols w:equalWidth="0" w:num="1">
            <w:col w:w="9019"/>
          </w:cols>
          <w:pgMar w:left="1440" w:top="11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75565</wp:posOffset>
            </wp:positionV>
            <wp:extent cx="716470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9019"/>
          </w:cols>
          <w:pgMar w:left="1440" w:top="1194" w:right="1440" w:bottom="1440" w:gutter="0" w:footer="0" w:header="0"/>
          <w:type w:val="continuous"/>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2025,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225"/>
        </w:trPr>
        <w:tc>
          <w:tcPr>
            <w:tcW w:w="40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9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Derivative instrument adjustment, net of tax</w:t>
            </w:r>
          </w:p>
        </w:tc>
        <w:tc>
          <w:tcPr>
            <w:tcW w:w="900" w:type="dxa"/>
            <w:vAlign w:val="bottom"/>
          </w:tcPr>
          <w:p>
            <w:pPr>
              <w:spacing w:after="0"/>
              <w:rPr>
                <w:sz w:val="21"/>
                <w:szCs w:val="21"/>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46"/>
        </w:trPr>
        <w:tc>
          <w:tcPr>
            <w:tcW w:w="400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OTHER COMPREHENSIVE (LOSS) INCOME,</w:t>
            </w:r>
          </w:p>
        </w:tc>
        <w:tc>
          <w:tcPr>
            <w:tcW w:w="9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OF TAX</w:t>
            </w:r>
          </w:p>
        </w:tc>
        <w:tc>
          <w:tcPr>
            <w:tcW w:w="9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00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7"/>
                <w:szCs w:val="17"/>
                <w:color w:val="auto"/>
              </w:rPr>
              <w:t>Net (income) loss attributable to noncontrolling</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interests</w:t>
            </w:r>
          </w:p>
        </w:tc>
        <w:tc>
          <w:tcPr>
            <w:tcW w:w="9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46"/>
        </w:trPr>
        <w:tc>
          <w:tcPr>
            <w:tcW w:w="400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b w:val="1"/>
                <w:bCs w:val="1"/>
                <w:color w:val="auto"/>
              </w:rPr>
              <w:t>ATTRIBUTABLE TO NONCONTROLLING</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0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COMPREHENSIVE (LOSS) INCOME</w:t>
            </w:r>
          </w:p>
        </w:tc>
        <w:tc>
          <w:tcPr>
            <w:tcW w:w="9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14"/>
                <w:szCs w:val="14"/>
                <w:color w:val="auto"/>
              </w:rPr>
            </w:pP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4"/>
                <w:szCs w:val="14"/>
                <w:color w:val="auto"/>
              </w:rPr>
            </w:pP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0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ATTRIBUTABLE TO COMMON STOCKHOLDERS </w:t>
            </w:r>
            <w:r>
              <w:rPr>
                <w:rFonts w:ascii="Times New Roman" w:cs="Times New Roman" w:eastAsia="Times New Roman" w:hAnsi="Times New Roman"/>
                <w:sz w:val="17"/>
                <w:szCs w:val="17"/>
                <w:color w:val="auto"/>
              </w:rPr>
              <w:t>$</w:t>
            </w:r>
          </w:p>
        </w:tc>
        <w:tc>
          <w:tcPr>
            <w:tcW w:w="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68580</wp:posOffset>
            </wp:positionV>
            <wp:extent cx="716470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9019"/>
          </w:cols>
          <w:pgMar w:left="1440" w:top="1194" w:right="1440" w:bottom="1440" w:gutter="0" w:footer="0" w:header="0"/>
        </w:sectPr>
      </w:pPr>
    </w:p>
    <w:bookmarkStart w:id="76" w:name="page77"/>
    <w:bookmarkEnd w:id="76"/>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Fiscal Year-End 2025 and 2024</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 millions, except share and per share data)</w:t>
      </w:r>
    </w:p>
    <w:p>
      <w:pPr>
        <w:spacing w:after="0" w:line="103" w:lineRule="exact"/>
        <w:rPr>
          <w:sz w:val="20"/>
          <w:szCs w:val="20"/>
          <w:color w:val="auto"/>
        </w:rPr>
      </w:pPr>
    </w:p>
    <w:tbl>
      <w:tblPr>
        <w:tblLayout w:type="fixed"/>
        <w:tblInd w:w="1480" w:type="dxa"/>
        <w:tblCellMar>
          <w:top w:w="0" w:type="dxa"/>
          <w:left w:w="0" w:type="dxa"/>
          <w:bottom w:w="0" w:type="dxa"/>
          <w:right w:w="0" w:type="dxa"/>
        </w:tblCellMar>
      </w:tblPr>
      <w:tr>
        <w:trPr>
          <w:trHeight w:val="225"/>
        </w:trPr>
        <w:tc>
          <w:tcPr>
            <w:tcW w:w="5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20" w:type="dxa"/>
            <w:vAlign w:val="bottom"/>
          </w:tcPr>
          <w:p>
            <w:pPr>
              <w:spacing w:after="0"/>
              <w:rPr>
                <w:sz w:val="22"/>
                <w:szCs w:val="22"/>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197</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(including $81 and $82 from VIEs, respectively)</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331</w:t>
            </w:r>
          </w:p>
        </w:tc>
      </w:tr>
      <w:tr>
        <w:trPr>
          <w:trHeight w:val="166"/>
        </w:trPr>
        <w:tc>
          <w:tcPr>
            <w:tcW w:w="54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Accounts and contracts receivable, net (including $15 and $16 from VIEs,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387</w:t>
            </w:r>
          </w:p>
        </w:tc>
      </w:tr>
      <w:tr>
        <w:trPr>
          <w:trHeight w:val="179"/>
        </w:trPr>
        <w:tc>
          <w:tcPr>
            <w:tcW w:w="54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Vacation ownership notes receivable, net (including $1,900 and $1,917 from</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VIEs, respectively)</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2,440</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735</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1,170</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3,117</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790</w:t>
            </w:r>
          </w:p>
        </w:tc>
      </w:tr>
      <w:tr>
        <w:trPr>
          <w:trHeight w:val="25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(including $168 and $131 from VIEs, respectively)</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641</w:t>
            </w:r>
          </w:p>
        </w:tc>
      </w:tr>
      <w:tr>
        <w:trPr>
          <w:trHeight w:val="235"/>
        </w:trPr>
        <w:tc>
          <w:tcPr>
            <w:tcW w:w="5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9,808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Pr>
          <w:p>
            <w:pPr>
              <w:spacing w:after="0"/>
              <w:rPr>
                <w:sz w:val="22"/>
                <w:szCs w:val="22"/>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343</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162</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 (including $4 and $4 from VIEs, respectively)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384</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and other</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354</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Payroll and benefits liability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220</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195</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 net (including $2,173 and $2,163 from VIEs, respectively)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2,136</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3,089</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139</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345</w:t>
            </w:r>
          </w:p>
        </w:tc>
      </w:tr>
      <w:tr>
        <w:trPr>
          <w:trHeight w:val="236"/>
        </w:trPr>
        <w:tc>
          <w:tcPr>
            <w:tcW w:w="5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7,367</w:t>
            </w: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Contingencies and commitments (Note 12)</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179"/>
        </w:trPr>
        <w:tc>
          <w:tcPr>
            <w:tcW w:w="546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Preferred stock — $0.01 par value; 2,000,000 shares authorized; none issued or</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w:t>
            </w:r>
          </w:p>
        </w:tc>
        <w:tc>
          <w:tcPr>
            <w:tcW w:w="3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179"/>
        </w:trPr>
        <w:tc>
          <w:tcPr>
            <w:tcW w:w="54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Common stock — $0.01 par value; 100,000,000 shares authorized; 75,891,531</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75,852,678 shares issued, respectively</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Treasury stock — at cost; 41,767,498 and 40,974,753 shares, respectively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(2,378)</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3,975</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Retained earnings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852</w:t>
            </w:r>
          </w:p>
        </w:tc>
      </w:tr>
      <w:tr>
        <w:trPr>
          <w:trHeight w:val="236"/>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MVW STOCKHOLDERS' EQUITY</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2,442</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6"/>
        </w:trPr>
        <w:tc>
          <w:tcPr>
            <w:tcW w:w="5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1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2,441</w:t>
            </w:r>
          </w:p>
        </w:tc>
      </w:tr>
      <w:tr>
        <w:trPr>
          <w:trHeight w:val="235"/>
        </w:trPr>
        <w:tc>
          <w:tcPr>
            <w:tcW w:w="5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9,808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abbreviation VIEs above means Variable Interest Entities.</w:t>
      </w:r>
    </w:p>
    <w:p>
      <w:pPr>
        <w:spacing w:after="0" w:line="1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ectPr>
          <w:pgSz w:w="11900" w:h="16838" w:orient="portrait"/>
          <w:cols w:equalWidth="0" w:num="1">
            <w:col w:w="10139"/>
          </w:cols>
          <w:pgMar w:left="320" w:top="11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470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1193" w:right="1440" w:bottom="1440" w:gutter="0" w:footer="0" w:header="0"/>
          <w:type w:val="continuous"/>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2025,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w:t>
      </w:r>
    </w:p>
    <w:p>
      <w:pPr>
        <w:spacing w:after="0" w:line="103"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4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3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5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Pr>
          <w:p>
            <w:pPr>
              <w:spacing w:after="0"/>
              <w:rPr>
                <w:sz w:val="22"/>
                <w:szCs w:val="22"/>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252</w:t>
            </w:r>
          </w:p>
        </w:tc>
      </w:tr>
      <w:tr>
        <w:trPr>
          <w:trHeight w:val="179"/>
        </w:trPr>
        <w:tc>
          <w:tcPr>
            <w:tcW w:w="47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Adjustments to reconcile net (loss) income to net cash, cash</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equivalents, and restricted cash provided by operating activities: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56"/>
        </w:trPr>
        <w:tc>
          <w:tcPr>
            <w:tcW w:w="4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 of intangibles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135</w:t>
            </w:r>
          </w:p>
        </w:tc>
      </w:tr>
      <w:tr>
        <w:trPr>
          <w:trHeight w:val="256"/>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of debt discount and issuance costs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w:t>
            </w:r>
          </w:p>
        </w:tc>
      </w:tr>
      <w:tr>
        <w:trPr>
          <w:trHeight w:val="256"/>
        </w:trPr>
        <w:tc>
          <w:tcPr>
            <w:tcW w:w="4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Vacation ownership notes receivable reserve</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230</w:t>
            </w:r>
          </w:p>
        </w:tc>
      </w:tr>
      <w:tr>
        <w:trPr>
          <w:trHeight w:val="256"/>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Share-based compensation</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w:t>
            </w:r>
          </w:p>
        </w:tc>
      </w:tr>
      <w:tr>
        <w:trPr>
          <w:trHeight w:val="256"/>
        </w:trPr>
        <w:tc>
          <w:tcPr>
            <w:tcW w:w="4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Impairment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w:t>
            </w:r>
          </w:p>
        </w:tc>
      </w:tr>
      <w:tr>
        <w:trPr>
          <w:trHeight w:val="256"/>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56"/>
        </w:trPr>
        <w:tc>
          <w:tcPr>
            <w:tcW w:w="4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Foreign currency remeasurement (gain) loss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56"/>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56"/>
        </w:trPr>
        <w:tc>
          <w:tcPr>
            <w:tcW w:w="4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change in assets and liabilities: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and contracts receivable</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56"/>
        </w:trPr>
        <w:tc>
          <w:tcPr>
            <w:tcW w:w="4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w:t>
            </w:r>
          </w:p>
        </w:tc>
      </w:tr>
      <w:tr>
        <w:trPr>
          <w:trHeight w:val="256"/>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Vacation ownership notes receivable collections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632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596</w:t>
            </w:r>
          </w:p>
        </w:tc>
      </w:tr>
      <w:tr>
        <w:trPr>
          <w:trHeight w:val="256"/>
        </w:trPr>
        <w:tc>
          <w:tcPr>
            <w:tcW w:w="4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87</w:t>
            </w:r>
          </w:p>
        </w:tc>
      </w:tr>
      <w:tr>
        <w:trPr>
          <w:trHeight w:val="256"/>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56"/>
        </w:trPr>
        <w:tc>
          <w:tcPr>
            <w:tcW w:w="4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payable, advance deposits and accrued liabilities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r>
      <w:tr>
        <w:trPr>
          <w:trHeight w:val="256"/>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revenue and other</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w:t>
            </w:r>
          </w:p>
        </w:tc>
      </w:tr>
      <w:tr>
        <w:trPr>
          <w:trHeight w:val="256"/>
        </w:trPr>
        <w:tc>
          <w:tcPr>
            <w:tcW w:w="4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Payroll and benefit liabilities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56"/>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r>
      <w:tr>
        <w:trPr>
          <w:trHeight w:val="256"/>
        </w:trPr>
        <w:tc>
          <w:tcPr>
            <w:tcW w:w="4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78</w:t>
            </w:r>
          </w:p>
        </w:tc>
      </w:tr>
      <w:tr>
        <w:trPr>
          <w:trHeight w:val="166"/>
        </w:trPr>
        <w:tc>
          <w:tcPr>
            <w:tcW w:w="478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7"/>
                <w:szCs w:val="17"/>
                <w:color w:val="auto"/>
              </w:rPr>
              <w:t>Purchase and development of property for future transfer to</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56"/>
        </w:trPr>
        <w:tc>
          <w:tcPr>
            <w:tcW w:w="4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w:t>
            </w:r>
          </w:p>
        </w:tc>
      </w:tr>
      <w:tr>
        <w:trPr>
          <w:trHeight w:val="159"/>
        </w:trPr>
        <w:tc>
          <w:tcPr>
            <w:tcW w:w="4780" w:type="dxa"/>
            <w:vAlign w:val="bottom"/>
            <w:shd w:val="clear" w:color="auto" w:fill="CCEEFF"/>
          </w:tcPr>
          <w:p>
            <w:pPr>
              <w:ind w:left="640"/>
              <w:spacing w:after="0" w:line="159" w:lineRule="exact"/>
              <w:rPr>
                <w:sz w:val="20"/>
                <w:szCs w:val="20"/>
                <w:color w:val="auto"/>
              </w:rPr>
            </w:pPr>
            <w:r>
              <w:rPr>
                <w:rFonts w:ascii="Times New Roman" w:cs="Times New Roman" w:eastAsia="Times New Roman" w:hAnsi="Times New Roman"/>
                <w:sz w:val="17"/>
                <w:szCs w:val="17"/>
                <w:color w:val="auto"/>
              </w:rPr>
              <w:t>Net cash, cash equivalents, and restricted cash provided by</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30"/>
        </w:trPr>
        <w:tc>
          <w:tcPr>
            <w:tcW w:w="4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232</w:t>
            </w:r>
          </w:p>
        </w:tc>
      </w:tr>
      <w:tr>
        <w:trPr>
          <w:trHeight w:val="23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66"/>
        </w:trPr>
        <w:tc>
          <w:tcPr>
            <w:tcW w:w="478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7"/>
                <w:szCs w:val="17"/>
                <w:color w:val="auto"/>
              </w:rPr>
              <w:t>Capital expenditures for property and equipment (excluding</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56"/>
        </w:trPr>
        <w:tc>
          <w:tcPr>
            <w:tcW w:w="4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 of company owned life insurance</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56"/>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 and development of property for future sale</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Dispositions, net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w:t>
            </w:r>
          </w:p>
        </w:tc>
      </w:tr>
      <w:tr>
        <w:trPr>
          <w:trHeight w:val="159"/>
        </w:trPr>
        <w:tc>
          <w:tcPr>
            <w:tcW w:w="4780" w:type="dxa"/>
            <w:vAlign w:val="bottom"/>
            <w:shd w:val="clear" w:color="auto" w:fill="CCEEFF"/>
          </w:tcPr>
          <w:p>
            <w:pPr>
              <w:ind w:left="640"/>
              <w:spacing w:after="0" w:line="159" w:lineRule="exact"/>
              <w:rPr>
                <w:sz w:val="20"/>
                <w:szCs w:val="20"/>
                <w:color w:val="auto"/>
              </w:rPr>
            </w:pPr>
            <w:r>
              <w:rPr>
                <w:rFonts w:ascii="Times New Roman" w:cs="Times New Roman" w:eastAsia="Times New Roman" w:hAnsi="Times New Roman"/>
                <w:sz w:val="17"/>
                <w:szCs w:val="17"/>
                <w:color w:val="auto"/>
              </w:rPr>
              <w:t>Net cash, cash equivalents, and restricted cash used in</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30"/>
        </w:trPr>
        <w:tc>
          <w:tcPr>
            <w:tcW w:w="4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investing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bl>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68580</wp:posOffset>
            </wp:positionV>
            <wp:extent cx="716470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2025,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w:t>
      </w:r>
    </w:p>
    <w:p>
      <w:pPr>
        <w:spacing w:after="0" w:line="15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4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43"/>
        </w:trPr>
        <w:tc>
          <w:tcPr>
            <w:tcW w:w="4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Borrowings from securitization transactions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1,492</w:t>
            </w:r>
          </w:p>
        </w:tc>
      </w:tr>
      <w:tr>
        <w:trPr>
          <w:trHeight w:val="243"/>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Repayment of debt related to securitization transactions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r>
      <w:tr>
        <w:trPr>
          <w:trHeight w:val="243"/>
        </w:trPr>
        <w:tc>
          <w:tcPr>
            <w:tcW w:w="4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debt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1,070</w:t>
            </w:r>
          </w:p>
        </w:tc>
      </w:tr>
      <w:tr>
        <w:trPr>
          <w:trHeight w:val="243"/>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Repayments of debt</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w:t>
            </w:r>
          </w:p>
        </w:tc>
      </w:tr>
      <w:tr>
        <w:trPr>
          <w:trHeight w:val="243"/>
        </w:trPr>
        <w:tc>
          <w:tcPr>
            <w:tcW w:w="4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 incentive</w:t>
            </w:r>
          </w:p>
        </w:tc>
        <w:tc>
          <w:tcPr>
            <w:tcW w:w="2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w:t>
            </w:r>
          </w:p>
        </w:tc>
      </w:tr>
      <w:tr>
        <w:trPr>
          <w:trHeight w:val="243"/>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Finance lease payment</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43"/>
        </w:trPr>
        <w:tc>
          <w:tcPr>
            <w:tcW w:w="4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 of debt and securitized debt issuance costs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43"/>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43"/>
        </w:trPr>
        <w:tc>
          <w:tcPr>
            <w:tcW w:w="4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 of dividends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43"/>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 of withholding taxes on vesting of restricted stock units</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159"/>
        </w:trPr>
        <w:tc>
          <w:tcPr>
            <w:tcW w:w="4780" w:type="dxa"/>
            <w:vAlign w:val="bottom"/>
          </w:tcPr>
          <w:p>
            <w:pPr>
              <w:ind w:left="640"/>
              <w:spacing w:after="0" w:line="159" w:lineRule="exact"/>
              <w:rPr>
                <w:sz w:val="20"/>
                <w:szCs w:val="20"/>
                <w:color w:val="auto"/>
              </w:rPr>
            </w:pPr>
            <w:r>
              <w:rPr>
                <w:rFonts w:ascii="Times New Roman" w:cs="Times New Roman" w:eastAsia="Times New Roman" w:hAnsi="Times New Roman"/>
                <w:sz w:val="17"/>
                <w:szCs w:val="17"/>
                <w:color w:val="auto"/>
              </w:rPr>
              <w:t>Net cash, cash equivalents, and restricted cash provided by</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0"/>
        </w:trPr>
        <w:tc>
          <w:tcPr>
            <w:tcW w:w="47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(used in) financing activities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159"/>
        </w:trPr>
        <w:tc>
          <w:tcPr>
            <w:tcW w:w="4780" w:type="dxa"/>
            <w:vAlign w:val="bottom"/>
            <w:shd w:val="clear" w:color="auto" w:fill="CCEEFF"/>
          </w:tcPr>
          <w:p>
            <w:pPr>
              <w:ind w:left="200"/>
              <w:spacing w:after="0" w:line="159" w:lineRule="exact"/>
              <w:rPr>
                <w:sz w:val="20"/>
                <w:szCs w:val="20"/>
                <w:color w:val="auto"/>
              </w:rPr>
            </w:pPr>
            <w:r>
              <w:rPr>
                <w:rFonts w:ascii="Times New Roman" w:cs="Times New Roman" w:eastAsia="Times New Roman" w:hAnsi="Times New Roman"/>
                <w:sz w:val="17"/>
                <w:szCs w:val="17"/>
                <w:color w:val="auto"/>
              </w:rPr>
              <w:t>Effect of changes in exchange rates on cash, cash equivalents, and</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30"/>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r>
      <w:tr>
        <w:trPr>
          <w:trHeight w:val="25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cash, cash equivalents, and restricted cash</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5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year</w:t>
            </w: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854</w:t>
            </w: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year</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574</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1"/>
        </w:trPr>
        <w:tc>
          <w:tcPr>
            <w:tcW w:w="4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transfer from inventory to property and equipment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w:t>
            </w:r>
          </w:p>
        </w:tc>
      </w:tr>
      <w:tr>
        <w:trPr>
          <w:trHeight w:val="243"/>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transfer from property and equipment to inventory</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w:t>
            </w: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transfer from property and equipment to other assets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transfer from other assets to property and equipment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478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Non-cash issuance of treasury stock for employee stock purchase</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plan</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w:t>
            </w:r>
          </w:p>
        </w:tc>
      </w:tr>
      <w:tr>
        <w:trPr>
          <w:trHeight w:val="256"/>
        </w:trPr>
        <w:tc>
          <w:tcPr>
            <w:tcW w:w="4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payable</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w:t>
            </w:r>
          </w:p>
        </w:tc>
      </w:tr>
      <w:tr>
        <w:trPr>
          <w:trHeight w:val="256"/>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paid, net of amounts capitalized</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204</w:t>
            </w: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141</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68580</wp:posOffset>
            </wp:positionV>
            <wp:extent cx="716470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w:t>
      </w:r>
    </w:p>
    <w:p>
      <w:pPr>
        <w:ind w:left="120"/>
        <w:spacing w:after="0" w:line="203" w:lineRule="auto"/>
        <w:rPr>
          <w:sz w:val="20"/>
          <w:szCs w:val="20"/>
          <w:color w:val="auto"/>
        </w:rPr>
      </w:pPr>
      <w:r>
        <w:rPr>
          <w:rFonts w:ascii="Times New Roman" w:cs="Times New Roman" w:eastAsia="Times New Roman" w:hAnsi="Times New Roman"/>
          <w:sz w:val="16"/>
          <w:szCs w:val="16"/>
          <w:b w:val="1"/>
          <w:bCs w:val="1"/>
          <w:color w:val="auto"/>
        </w:rPr>
        <w:t>Stock</w:t>
      </w:r>
    </w:p>
    <w:p>
      <w:pPr>
        <w:ind w:left="100"/>
        <w:spacing w:after="0"/>
        <w:rPr>
          <w:sz w:val="20"/>
          <w:szCs w:val="20"/>
          <w:color w:val="auto"/>
        </w:rPr>
      </w:pPr>
      <w:r>
        <w:rPr>
          <w:rFonts w:ascii="Times New Roman" w:cs="Times New Roman" w:eastAsia="Times New Roman" w:hAnsi="Times New Roman"/>
          <w:sz w:val="16"/>
          <w:szCs w:val="16"/>
          <w:b w:val="1"/>
          <w:bCs w:val="1"/>
          <w:color w:val="auto"/>
        </w:rPr>
        <w:t>Issued</w:t>
      </w:r>
    </w:p>
    <w:p>
      <w:pPr>
        <w:spacing w:after="0" w:line="20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75.7</w:t>
      </w:r>
    </w:p>
    <w:p>
      <w:pPr>
        <w:spacing w:after="0" w:line="4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0.1</w:t>
      </w:r>
    </w:p>
    <w:p>
      <w:pPr>
        <w:spacing w:after="0" w:line="4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16510</wp:posOffset>
            </wp:positionV>
            <wp:extent cx="4470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18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75.8</w:t>
      </w:r>
    </w:p>
    <w:p>
      <w:pPr>
        <w:spacing w:after="0" w:line="4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0.1</w:t>
      </w:r>
    </w:p>
    <w:p>
      <w:pPr>
        <w:spacing w:after="0" w:line="4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75.9</w:t>
      </w:r>
    </w:p>
    <w:p>
      <w:pPr>
        <w:spacing w:after="0" w:line="4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40640</wp:posOffset>
            </wp:positionV>
            <wp:extent cx="4470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Fiscal Years 2025, 2024 and 2023</w:t>
      </w:r>
    </w:p>
    <w:p>
      <w:pPr>
        <w:spacing w:after="0" w:line="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 MVW</w:t>
            </w:r>
          </w:p>
        </w:tc>
        <w:tc>
          <w:tcPr>
            <w:tcW w:w="140" w:type="dxa"/>
            <w:vAlign w:val="bottom"/>
          </w:tcPr>
          <w:p>
            <w:pPr>
              <w:spacing w:after="0"/>
              <w:rPr>
                <w:sz w:val="16"/>
                <w:szCs w:val="16"/>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440" w:type="dxa"/>
            <w:vAlign w:val="bottom"/>
          </w:tcPr>
          <w:p>
            <w:pPr>
              <w:spacing w:after="0"/>
              <w:rPr>
                <w:sz w:val="14"/>
                <w:szCs w:val="14"/>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6" w:lineRule="exact"/>
              <w:rPr>
                <w:sz w:val="20"/>
                <w:szCs w:val="20"/>
                <w:color w:val="auto"/>
              </w:rPr>
            </w:pPr>
            <w:r>
              <w:rPr>
                <w:rFonts w:ascii="Times New Roman" w:cs="Times New Roman" w:eastAsia="Times New Roman" w:hAnsi="Times New Roman"/>
                <w:sz w:val="16"/>
                <w:szCs w:val="16"/>
                <w:b w:val="1"/>
                <w:bCs w:val="1"/>
                <w:color w:val="auto"/>
              </w:rPr>
              <w:t>Paid-In</w:t>
            </w:r>
          </w:p>
        </w:tc>
        <w:tc>
          <w:tcPr>
            <w:tcW w:w="1360" w:type="dxa"/>
            <w:vAlign w:val="bottom"/>
            <w:gridSpan w:val="3"/>
          </w:tcPr>
          <w:p>
            <w:pPr>
              <w:jc w:val="center"/>
              <w:ind w:right="120"/>
              <w:spacing w:after="0" w:line="166"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920" w:type="dxa"/>
            <w:vAlign w:val="bottom"/>
            <w:gridSpan w:val="3"/>
            <w:vMerge w:val="continue"/>
          </w:tcPr>
          <w:p>
            <w:pPr>
              <w:spacing w:after="0"/>
              <w:rPr>
                <w:sz w:val="14"/>
                <w:szCs w:val="14"/>
                <w:color w:val="auto"/>
              </w:rPr>
            </w:pPr>
          </w:p>
        </w:tc>
        <w:tc>
          <w:tcPr>
            <w:tcW w:w="1200" w:type="dxa"/>
            <w:vAlign w:val="bottom"/>
            <w:gridSpan w:val="3"/>
          </w:tcPr>
          <w:p>
            <w:pPr>
              <w:jc w:val="center"/>
              <w:ind w:right="100"/>
              <w:spacing w:after="0" w:line="166"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040" w:type="dxa"/>
            <w:vAlign w:val="bottom"/>
            <w:gridSpan w:val="3"/>
          </w:tcPr>
          <w:p>
            <w:pPr>
              <w:jc w:val="center"/>
              <w:ind w:right="100"/>
              <w:spacing w:after="0" w:line="166"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 AT YEAR-END</w:t>
            </w:r>
          </w:p>
        </w:tc>
        <w:tc>
          <w:tcPr>
            <w:tcW w:w="16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2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48"/>
        </w:trPr>
        <w:tc>
          <w:tcPr>
            <w:tcW w:w="244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0"/>
                <w:szCs w:val="20"/>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w:t>
            </w:r>
          </w:p>
        </w:tc>
        <w:tc>
          <w:tcPr>
            <w:tcW w:w="0" w:type="dxa"/>
            <w:vAlign w:val="bottom"/>
          </w:tcPr>
          <w:p>
            <w:pPr>
              <w:spacing w:after="0"/>
              <w:rPr>
                <w:sz w:val="1"/>
                <w:szCs w:val="1"/>
                <w:color w:val="auto"/>
              </w:rPr>
            </w:pPr>
          </w:p>
        </w:tc>
      </w:tr>
      <w:tr>
        <w:trPr>
          <w:trHeight w:val="239"/>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170"/>
        </w:trPr>
        <w:tc>
          <w:tcPr>
            <w:tcW w:w="244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adjustments</w:t>
            </w: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70"/>
        </w:trPr>
        <w:tc>
          <w:tcPr>
            <w:tcW w:w="244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Derivative instrument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w:t>
            </w: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70"/>
        </w:trPr>
        <w:tc>
          <w:tcPr>
            <w:tcW w:w="244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Share-based compensation</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plans</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43"/>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42"/>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w:t>
            </w: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146"/>
        </w:trPr>
        <w:tc>
          <w:tcPr>
            <w:tcW w:w="244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BALANCE AT YEAR-END</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0" w:type="dxa"/>
            <w:vAlign w:val="bottom"/>
          </w:tcPr>
          <w:p>
            <w:pPr>
              <w:spacing w:after="0"/>
              <w:rPr>
                <w:sz w:val="1"/>
                <w:szCs w:val="1"/>
                <w:color w:val="auto"/>
              </w:rPr>
            </w:pPr>
          </w:p>
        </w:tc>
      </w:tr>
      <w:tr>
        <w:trPr>
          <w:trHeight w:val="239"/>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170"/>
        </w:trPr>
        <w:tc>
          <w:tcPr>
            <w:tcW w:w="244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adjustments</w:t>
            </w: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70"/>
        </w:trPr>
        <w:tc>
          <w:tcPr>
            <w:tcW w:w="244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Derivative instrument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w:t>
            </w: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70"/>
        </w:trPr>
        <w:tc>
          <w:tcPr>
            <w:tcW w:w="244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Share-based compensation</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plans</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43"/>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42"/>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w:t>
            </w: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146"/>
        </w:trPr>
        <w:tc>
          <w:tcPr>
            <w:tcW w:w="244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BALANCE AT YEAR-END</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w:t>
            </w:r>
          </w:p>
        </w:tc>
        <w:tc>
          <w:tcPr>
            <w:tcW w:w="0" w:type="dxa"/>
            <w:vAlign w:val="bottom"/>
          </w:tcPr>
          <w:p>
            <w:pPr>
              <w:spacing w:after="0"/>
              <w:rPr>
                <w:sz w:val="1"/>
                <w:szCs w:val="1"/>
                <w:color w:val="auto"/>
              </w:rPr>
            </w:pPr>
          </w:p>
        </w:tc>
      </w:tr>
      <w:tr>
        <w:trPr>
          <w:trHeight w:val="239"/>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 income</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170"/>
        </w:trPr>
        <w:tc>
          <w:tcPr>
            <w:tcW w:w="244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adjustments</w:t>
            </w: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70"/>
        </w:trPr>
        <w:tc>
          <w:tcPr>
            <w:tcW w:w="244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Share-based compensation</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plans</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43"/>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42"/>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146"/>
        </w:trPr>
        <w:tc>
          <w:tcPr>
            <w:tcW w:w="244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BALANCE AT YEAR-END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3,996</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2"/>
                <w:szCs w:val="12"/>
                <w:color w:val="auto"/>
              </w:rPr>
            </w:pPr>
          </w:p>
        </w:tc>
        <w:tc>
          <w:tcPr>
            <w:tcW w:w="240" w:type="dxa"/>
            <w:vAlign w:val="bottom"/>
            <w:vMerge w:val="restart"/>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1,993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0" w:type="dxa"/>
            <w:vAlign w:val="bottom"/>
          </w:tcPr>
          <w:p>
            <w:pPr>
              <w:spacing w:after="0"/>
              <w:rPr>
                <w:sz w:val="1"/>
                <w:szCs w:val="1"/>
                <w:color w:val="auto"/>
              </w:rPr>
            </w:pPr>
          </w:p>
        </w:tc>
      </w:tr>
      <w:tr>
        <w:trPr>
          <w:trHeight w:val="205"/>
        </w:trPr>
        <w:tc>
          <w:tcPr>
            <w:tcW w:w="2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-4020185</wp:posOffset>
            </wp:positionV>
            <wp:extent cx="7199630" cy="2520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99630" cy="252095"/>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-3516630</wp:posOffset>
            </wp:positionV>
            <wp:extent cx="7199630" cy="2520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99630" cy="252095"/>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-3110230</wp:posOffset>
            </wp:positionV>
            <wp:extent cx="719963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99630" cy="154305"/>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-2703830</wp:posOffset>
            </wp:positionV>
            <wp:extent cx="719963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99630" cy="154305"/>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-2298065</wp:posOffset>
            </wp:positionV>
            <wp:extent cx="7199630" cy="2520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99630" cy="252095"/>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-1794510</wp:posOffset>
            </wp:positionV>
            <wp:extent cx="719963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99630" cy="154305"/>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-1079500</wp:posOffset>
            </wp:positionV>
            <wp:extent cx="7199630" cy="2520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99630" cy="252095"/>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-575945</wp:posOffset>
            </wp:positionV>
            <wp:extent cx="719963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99630" cy="154305"/>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-267335</wp:posOffset>
            </wp:positionV>
            <wp:extent cx="7199630" cy="2520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99630" cy="252095"/>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-1485900</wp:posOffset>
            </wp:positionV>
            <wp:extent cx="7199630" cy="2520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99630" cy="252095"/>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-4425950</wp:posOffset>
            </wp:positionV>
            <wp:extent cx="7199630" cy="2520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99630" cy="252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 w:space="160"/>
            <w:col w:w="10500"/>
          </w:cols>
          <w:pgMar w:left="360" w:top="10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68580</wp:posOffset>
            </wp:positionV>
            <wp:extent cx="716470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00"/>
          </w:cols>
          <w:pgMar w:left="360" w:top="1040" w:right="239" w:bottom="1440" w:gutter="0" w:footer="0" w:header="0"/>
          <w:type w:val="continuous"/>
        </w:sectPr>
      </w:pPr>
    </w:p>
    <w:bookmarkStart w:id="80" w:name="page81"/>
    <w:bookmarkEnd w:id="80"/>
    <w:p>
      <w:pPr>
        <w:ind w:left="338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1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The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In addition, references throughout to numbered “Footnotes” refer to the numbered notes in the Financial Statements, unless otherwise noted. We refer to Marriott International, Inc. as “Marriott International” and Marriott International’s Marriott Bonvoy customer loyalty program as “Marriott Bonvoy.” Additionally, we use the term “Marriott Vacation Ownership” to refer to our Marriott, Sheraton, and Westin branded businesses and the term “Hyatt Vacation Ownership” to refer to our Hyatt branded business. We also use certain other terms that are defined within these Financial Statements.</w:t>
      </w:r>
    </w:p>
    <w:p>
      <w:pPr>
        <w:spacing w:after="0" w:line="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income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vacation ownership notes receivable reserves, income taxes, and loss contingencies. The uncertainties in the broader macroeconomic environment, including inflation, continuing high interest rates, mixed economic indicators, increased consumer debt, continuing global insecurity and political uncertainty, have made it more challenging to make these estimates. Actual results could differ from our estimates, and such differences may be material.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11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For the year ended December 31, 2025, we separately presented Modernization expense in our Income Statements. As a result, prior year amounts were reclassified from Restructuring expense to conform to the current year presentation. Additionally during the year ended December 31, 2025, we reclassified $6 million of certain amounts related to ongoing litigation from General and administrative expense to Litigation charges in order to conform our 2024 results with our current year presentation.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Welk</w:t>
      </w:r>
    </w:p>
    <w:p>
      <w:pPr>
        <w:spacing w:after="0" w:line="11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On April 1, 2021 (the “Welk Acquisition Date”), we completed the acquisition of Welk Hospitality Group, Inc. (“Welk”) through a series of transactions (the “Welk Acquisition”), after which Welk became our indirect wholly-owned subsidiary. We refer to the business and brand that we acquired in the Welk Acquisition as “Legacy-Welk.” During 2023, we rebranded all Legacy-Welk resorts as Hyatt Vacation Club resorts.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ILG</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On September 1, 2018,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The businesses acquired from ILG that we currently operate as part of our Vacation Ownership business include Vistana Signature Experiences, which includes vacation ownership products branded as Sheraton or Westin, and Hyatt Vacation Ownership. The businesses acquired from ILG that we currently operate as part of our Exchange &amp; Third-Party Management business include Interval International and Aqua-Aston Hospitality.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revenue in accordance with Accounting Standards Codification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(“ASC 606”).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Vacation Ownership Products</w:t>
      </w:r>
    </w:p>
    <w:p>
      <w:pPr>
        <w:spacing w:after="0" w:line="118"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rPr>
        <w:t>We market and sell vacation ownership products in our Vacation Ownership segment. Vacation ownership products include deeded vacation ownership products, deeded beneficial interests, rights to use real estate and other interests in trusts that solely hold real estate (collectively “vacation ownership products” or “VOIs”). Vacation ownership products may be sold for cash or we may provide financing.</w:t>
      </w:r>
    </w:p>
    <w:p>
      <w:pPr>
        <w:spacing w:after="0" w:line="6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In connection with the sale of vacation ownership products, we provide sales incentives to certain purchasers. Incentives typically include Marriott Bonvoy points, Hyatt’s customer loyalty program points (“World of Hyatt” points), or an alternative sales incentive that we refer to as “plus points.” Plus points are redeemable for stays at our resorts or for use in an exclusive selection of travel packages provided by third-party tour operators (the “Explorer Collection” or “BEYOND”), generally up to two years from the date of issuance.</w:t>
      </w:r>
    </w:p>
    <w:p>
      <w:pPr>
        <w:spacing w:after="0" w:line="6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Times New Roman" w:cs="Times New Roman" w:eastAsia="Times New Roman" w:hAnsi="Times New Roman"/>
          <w:sz w:val="17"/>
          <w:szCs w:val="17"/>
          <w:i w:val="1"/>
          <w:iCs w:val="1"/>
          <w:color w:val="auto"/>
        </w:rPr>
        <w:t>Financing Revenues</w:t>
      </w:r>
      <w:r>
        <w:rPr>
          <w:rFonts w:ascii="Times New Roman" w:cs="Times New Roman" w:eastAsia="Times New Roman" w:hAnsi="Times New Roman"/>
          <w:sz w:val="17"/>
          <w:szCs w:val="17"/>
          <w:color w:val="auto"/>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Our assessment of collectability of the transaction price for sales of vacation ownership products is aligned with our credit granting policies for financed contracts. 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the customer class and the results of our static pool analyses, which primarily rely on historical payment data by customer class. 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VOI they have acquired. Variable consideration which has not been included within the transaction price is presented as a reserve on contracts receivable or vacation ownership notes receivable. Revisions to estimates of variable consideration from the sale of vacation ownership products impact the reserve on contracts receivable and originated vacation ownership notes receivable and can increase or decrease revenue. Revenues were reduced during 2025 by $10 million due to changes in our estimates of variable consideration for performance obligations that were satisfied in prior periods. Additionally, revenues were reduced during 2024 and 2023 by $68 million and $69 million, respectively, due to changes in our estimates of variable consideration for performance obligations that were satisfied in prior periods due to the increase in our reserve for originated vacation ownership notes receivable.</w:t>
      </w:r>
    </w:p>
    <w:p>
      <w:pPr>
        <w:spacing w:after="0" w:line="8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See Footnote 5 “Vacation Ownership Notes Receivable” for additional information on our reserve for vacation ownership notes receivable and adjustments recorded for the years presented.</w:t>
      </w:r>
    </w:p>
    <w:p>
      <w:pPr>
        <w:spacing w:after="0" w:line="47"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7"/>
          <w:szCs w:val="17"/>
          <w:color w:val="auto"/>
        </w:rPr>
        <w:t>In addition, we account for cash incentives provided to customers as a reduction of the transaction price. Refer to “</w:t>
      </w:r>
      <w:r>
        <w:rPr>
          <w:rFonts w:ascii="Times New Roman" w:cs="Times New Roman" w:eastAsia="Times New Roman" w:hAnsi="Times New Roman"/>
          <w:sz w:val="17"/>
          <w:szCs w:val="17"/>
          <w:i w:val="1"/>
          <w:iCs w:val="1"/>
          <w:color w:val="auto"/>
        </w:rPr>
        <w:t>Arrangements with Multiple Performance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Obligations</w:t>
      </w:r>
      <w:r>
        <w:rPr>
          <w:rFonts w:ascii="Times New Roman" w:cs="Times New Roman" w:eastAsia="Times New Roman" w:hAnsi="Times New Roman"/>
          <w:sz w:val="17"/>
          <w:szCs w:val="17"/>
          <w:color w:val="auto"/>
        </w:rPr>
        <w:t>” below for a description of our methods of allocating transaction price to each performance obligation.</w:t>
      </w:r>
    </w:p>
    <w:p>
      <w:pPr>
        <w:spacing w:after="0" w:line="46"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17"/>
          <w:szCs w:val="17"/>
          <w:color w:val="auto"/>
        </w:rPr>
        <w:t>We recognize revenues from the sale of vacation ownership products when control of the vacation ownership product is transferred to the customer and the transaction price is deemed collectible, which typically correlates to expiration of the statutory rescission period.</w:t>
      </w:r>
    </w:p>
    <w:p>
      <w:pPr>
        <w:spacing w:after="0" w:line="51"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7"/>
          <w:szCs w:val="17"/>
          <w:color w:val="auto"/>
        </w:rPr>
        <w:t>At the time at which we recognize revenue for VOIs, we temporarily record a contract receivable for both cash contracts and financed contracts, until the time at which we collect the cash or originate a vacation ownership note receivable, which occurs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45" w:right="359" w:bottom="1440" w:gutter="0" w:footer="0" w:header="0"/>
        </w:sectPr>
      </w:pPr>
    </w:p>
    <w:bookmarkStart w:id="82" w:name="page83"/>
    <w:bookmarkEnd w:id="82"/>
    <w:p>
      <w:pPr>
        <w:jc w:val="both"/>
        <w:ind w:right="100"/>
        <w:spacing w:after="0" w:line="259" w:lineRule="auto"/>
        <w:rPr>
          <w:sz w:val="20"/>
          <w:szCs w:val="20"/>
          <w:color w:val="auto"/>
        </w:rPr>
      </w:pPr>
      <w:r>
        <w:rPr>
          <w:rFonts w:ascii="Times New Roman" w:cs="Times New Roman" w:eastAsia="Times New Roman" w:hAnsi="Times New Roman"/>
          <w:sz w:val="17"/>
          <w:szCs w:val="17"/>
          <w:color w:val="auto"/>
        </w:rPr>
        <w:t>Revenue for plus points is recorded as Deferred revenue and other on our Balance Sheets at closing and is recognized as rental revenue upon transfer of control to the customer, which typically occurs upon delivery of the incentive, or at the point in time when the incentive is redeemed. For incentives provided by third parties (i.e. Marriott Bonvoy points, World of Hyatt points, third-party Explorer Collection offerings, or BEYOND), we evaluated whether we control the underlying good or service prior to delivery to the customer. We concluded that we are an agent for those incentives which we do not control prior to delivery and as such record the related revenue net of the related cost upon recognition.</w:t>
      </w:r>
    </w:p>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Management and Exchange Revenues and Cost Reimbursements Revenues</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Ancillary Revenues</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Ancillary revenues consist of goods and services that are sold or provided by us at food and beverage outlets, golf courses and other retail and service outlets located at our resorts. Payments for such goods and services are generally received at the point of sale in the form of cash or credit card charges. For goods and services sold, we evaluate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Management Fee Revenues and Cost Reimbursements Revenues</w:t>
      </w:r>
    </w:p>
    <w:p>
      <w:pPr>
        <w:spacing w:after="0" w:line="118"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17"/>
          <w:szCs w:val="17"/>
          <w:color w:val="auto"/>
        </w:rPr>
        <w:t>We provide day-to-day-management services, including housekeeping services, operation of reservation systems, maintenance and certain accounting and administrative services for owners’ associations, condominium owners and hotels.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generate revenue from fees we earn for managing vacation ownership resorts, clubs, owners’ associations, condominiums and hotels. In our Vacation Ownership segment, these fees are earned regardless of usage or occupancy and are typically based on either a percentage of the budgeted costs to operate the resorts or a fixed fee arrangement (“VO management fee revenues”). In our Exchange &amp; Third-Party Management segment, we earn base management fees which are typically either</w:t>
      </w:r>
    </w:p>
    <w:p>
      <w:pPr>
        <w:spacing w:after="0" w:line="1" w:lineRule="exact"/>
        <w:rPr>
          <w:sz w:val="20"/>
          <w:szCs w:val="20"/>
          <w:color w:val="auto"/>
        </w:rPr>
      </w:pPr>
    </w:p>
    <w:p>
      <w:pPr>
        <w:ind w:firstLine="2"/>
        <w:spacing w:after="0" w:line="254" w:lineRule="auto"/>
        <w:tabs>
          <w:tab w:leader="none" w:pos="203"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amounts, (ii) amounts based on a percentage of adjusted gross lodging revenue, or (iii) various revenue sharing agreements based on stated formulas (“Base management fee revenues”) and incentive management fees, which are generally a percentage of either operating profits or improvement in operating profits (“Incentive management fees”). In addition, we receive reimbursement of costs incurred on behalf of our customers, which consist of actual expenses with no added margin (“cost reimbursements”). Vacation Ownership segment cost reimbursements revenues exclude amounts that we have paid to the owners’ associations related to maintenance fees for unsold vacation ownership products, as we have concluded that such payments are consideration payable to a customer.</w:t>
      </w:r>
    </w:p>
    <w:p>
      <w:pPr>
        <w:spacing w:after="0" w:line="7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Management fees are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paid when the associated variable consideration is determined.</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evaluated the nature of the management services provided and concluded that the management services constitute a series of distinct services to be accounted for as a single performance obligation transferred over time. We use an input method, the number of days that management services are provided, to recognize VO management fee revenues and base management fee revenues, which is consistent with the pattern of transfer to the customers who receive and consume the benefits as services are provided each day. We recognize Incentive management fees as earned throughout the incentive period based on actual results, which is subject to estimation of the transaction price.</w:t>
      </w:r>
    </w:p>
    <w:p>
      <w:pPr>
        <w:spacing w:after="0" w:line="71"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7"/>
          <w:szCs w:val="17"/>
          <w:color w:val="auto"/>
        </w:rPr>
        <w:t>Any consideration we receive in advance of services being rendered is recorded as Deferred revenue and other on our Balance Sheets and is recognized ratably across the service period to which it relates. We recognize variable consideration for Cost reimbursements revenues when the reimbursable costs are incurred.</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Other Services Revenues</w:t>
      </w:r>
    </w:p>
    <w:p>
      <w:pPr>
        <w:spacing w:after="0" w:line="118"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7"/>
          <w:szCs w:val="17"/>
          <w:color w:val="auto"/>
        </w:rPr>
        <w:t>Other services revenues includes revenues from membership fees, club dues and additional fees for services we provide to customers. Membership fees and club dues are received in advance of providing access to the exchange services, are recorded as Deferred revenue and other on our Balance Sheets and are earned regardless of whether exchange services are provided. Generally, Interval Network memberships are cancellable and refundable on a pro-rata basis, with the exception of the Interval Network’s Platinum tier which is non-refundable.</w:t>
      </w:r>
    </w:p>
    <w:p>
      <w:pPr>
        <w:spacing w:after="0" w:line="6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We have determined that exchange services constitute a stand-ready obligation for us to provide unlimited access to exchange services over a defined period of time, when and if a customer (or customer of a customer) requests.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83" w:name="page84"/>
    <w:bookmarkEnd w:id="83"/>
    <w:p>
      <w:pPr>
        <w:ind w:right="80"/>
        <w:spacing w:after="0" w:line="283" w:lineRule="auto"/>
        <w:rPr>
          <w:sz w:val="20"/>
          <w:szCs w:val="20"/>
          <w:color w:val="auto"/>
        </w:rPr>
      </w:pPr>
      <w:r>
        <w:rPr>
          <w:rFonts w:ascii="Times New Roman" w:cs="Times New Roman" w:eastAsia="Times New Roman" w:hAnsi="Times New Roman"/>
          <w:sz w:val="17"/>
          <w:szCs w:val="17"/>
          <w:color w:val="auto"/>
        </w:rPr>
        <w:t>determined that customers benefit from the stand-ready obligation evenly throughout the period in which the customer has access to exchange services and as such, recognize membership fees and club dues on a straight-line basis over the related period of time.</w:t>
      </w:r>
    </w:p>
    <w:p>
      <w:pPr>
        <w:spacing w:after="0" w:line="5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Transaction-based fees are typically collected at a point in time and are recognized as revenue at the point in time at which the relevant goods or services are transferred to the customer. For transaction-based fees, we evaluate whether we control the underlying goods or services prior to delivery to the customer. Transaction-based fees from exchanges and other transactions in our Exchange &amp; Third-Party Management segment are generally recognized when confirmation of the transaction is provided and services have been rendered. For transactions where we do not control the goods or services prior to delivery, the related revenue is recorded net of the related cost upon recognition.</w:t>
      </w:r>
    </w:p>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Financing Revenues</w:t>
      </w:r>
    </w:p>
    <w:p>
      <w:pPr>
        <w:spacing w:after="0" w:line="1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to fifteen years. Generally, payments commence under the financing contracts 30 to 60 days after closing. We earn interest income from the financing arrangements on the principal balance outstanding over the life of the arrangement and record that interest income in Financing revenues on our Income Statements.</w:t>
      </w:r>
    </w:p>
    <w:p>
      <w:pPr>
        <w:spacing w:after="0" w:line="71"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7"/>
          <w:szCs w:val="17"/>
          <w:color w:val="auto"/>
        </w:rPr>
        <w:t>Financing revenues include transaction-based fees we charge to owners and other third parties for services. We recognize fee revenues when services have been rendered.</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Rental Revenues</w:t>
      </w:r>
    </w:p>
    <w:p>
      <w:pPr>
        <w:spacing w:after="0" w:line="11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In our Vacation Ownership segment,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In our Exchange &amp; Third-Party Management segment, we offer vacation rental opportunities for managed properties and to members of the Interval Network and certain other membership programs from seasonal oversupply or underutilized space, as well as sourced resort accommodations.</w:t>
      </w:r>
    </w:p>
    <w:p>
      <w:pPr>
        <w:spacing w:after="0" w:line="6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We receive payments for rentals primarily through credit card charges. We generally recognize rental revenues when occupancy has occurred, which is consistent with the period in which the customer benefits from such service. We recognize rental revenue from the utilization of plus points issued in connection with the sale of vacation ownership products, as described in “</w:t>
      </w:r>
      <w:r>
        <w:rPr>
          <w:rFonts w:ascii="Times New Roman" w:cs="Times New Roman" w:eastAsia="Times New Roman" w:hAnsi="Times New Roman"/>
          <w:sz w:val="17"/>
          <w:szCs w:val="17"/>
          <w:i w:val="1"/>
          <w:iCs w:val="1"/>
          <w:color w:val="auto"/>
        </w:rPr>
        <w:t>Sale of Vacation Ownership Products</w:t>
      </w:r>
      <w:r>
        <w:rPr>
          <w:rFonts w:ascii="Times New Roman" w:cs="Times New Roman" w:eastAsia="Times New Roman" w:hAnsi="Times New Roman"/>
          <w:sz w:val="17"/>
          <w:szCs w:val="17"/>
          <w:color w:val="auto"/>
        </w:rPr>
        <w:t>” above, when occupancy has occurred.</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also generate revenues from vacation packages sold to our customers. The packages have an expiration period of six to twenty-four months, and payments for such packages are non-refundable and generally paid by the customer in advance. Payments received in advance are recorded as Advance deposits on our Balance Sheets until the revenue is recognized, when occupancy has occurred. For rental revenues associated with vacation ownership products which we own and which are registered and held for sale, to the extent that the proceeds are less than costs, revenues are reported net in accordance with ASC Topic 978, “</w:t>
      </w:r>
      <w:r>
        <w:rPr>
          <w:rFonts w:ascii="Times New Roman" w:cs="Times New Roman" w:eastAsia="Times New Roman" w:hAnsi="Times New Roman"/>
          <w:sz w:val="17"/>
          <w:szCs w:val="17"/>
          <w:i w:val="1"/>
          <w:iCs w:val="1"/>
          <w:color w:val="auto"/>
        </w:rPr>
        <w:t>Real Estate</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Time-Sharing Activities</w:t>
      </w:r>
      <w:r>
        <w:rPr>
          <w:rFonts w:ascii="Times New Roman" w:cs="Times New Roman" w:eastAsia="Times New Roman" w:hAnsi="Times New Roman"/>
          <w:sz w:val="17"/>
          <w:szCs w:val="17"/>
          <w:color w:val="auto"/>
        </w:rPr>
        <w:t>.”</w:t>
      </w:r>
    </w:p>
    <w:p>
      <w:pPr>
        <w:spacing w:after="0" w:line="71"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7"/>
          <w:szCs w:val="17"/>
          <w:color w:val="auto"/>
        </w:rPr>
        <w:t>For certain rental revenues associated with our Exchange &amp; Third-Party Management segment, revenue is recognized when confirmation of the transaction is provided because we concluded we are an agent for these transactions.</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Arrangements with Multiple Performance Obligations</w:t>
      </w:r>
    </w:p>
    <w:p>
      <w:pPr>
        <w:spacing w:after="0" w:line="11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w:t>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Receivables, Contract Assets &amp; Contract Liabilities</w:t>
      </w:r>
    </w:p>
    <w:p>
      <w:pPr>
        <w:spacing w:after="0" w:line="11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84" w:name="page85"/>
    <w:bookmarkEnd w:id="84"/>
    <w:p>
      <w:pPr>
        <w:ind w:right="360"/>
        <w:spacing w:after="0" w:line="267" w:lineRule="auto"/>
        <w:rPr>
          <w:sz w:val="20"/>
          <w:szCs w:val="20"/>
          <w:color w:val="auto"/>
        </w:rPr>
      </w:pPr>
      <w:r>
        <w:rPr>
          <w:rFonts w:ascii="Times New Roman" w:cs="Times New Roman" w:eastAsia="Times New Roman" w:hAnsi="Times New Roman"/>
          <w:sz w:val="17"/>
          <w:szCs w:val="17"/>
          <w:color w:val="auto"/>
        </w:rPr>
        <w:t>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 See Footnote 3 “Revenue and Receivables” for additional information related to our receivables, contract assets and contract liabilities.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Incurred to Sell Vacation Ownership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charge marketing and sales costs we incur to sell vacation ownership products to expense when incurred.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Per Share Attributable to Common Stockholders</w:t>
      </w:r>
    </w:p>
    <w:p>
      <w:pPr>
        <w:spacing w:after="0" w:line="118"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7"/>
          <w:szCs w:val="17"/>
          <w:color w:val="auto"/>
        </w:rPr>
        <w:t>Basic earnings or loss per share attributable to common stockholders is calculated by dividing the net income or loss attributable to common stockholders by the weighted average number of shares of common stock outstanding during the reporting period. Treasury stock is excluded from the weighted average number of shares of common stock outstanding. Diluted earnings or loss per share attributable to common stockholders is calculated to give effect to all potentially dilutive common shares that were outstanding during the reporting period. The dilutive effect of outstanding equity-based compensation awards is reflected in diluted earnings per share attributable to common stockholders by application of the treasury stock method.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w:t>
      </w:r>
    </w:p>
    <w:p>
      <w:pPr>
        <w:spacing w:after="0" w:line="11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We consolidate entities under our control, including VIEs where we are deemed to be the primary beneficiary. In accordance with the applicable accounting guidance for the consolidation of VIEs, we analyze our variable interests, including loans, guarantees and equity investments, to determine if an entity in which we have a variable interest is a VIE.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VIE because we are its primary beneficiary.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0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We have several financial instruments that we are required to disclose at fair value on a recurring basis. See Footnote 6 “Financial Instruments” for further information. We also apply the provisions of fair value measurement to various non-recurring measurements for our financial and non-financial assets and liabilities.</w:t>
      </w:r>
    </w:p>
    <w:p>
      <w:pPr>
        <w:spacing w:after="0" w:line="25"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t>ASC Topic 820, “Fair Value Measurements” (“ASC 820”) defines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13" w:lineRule="exact"/>
        <w:rPr>
          <w:sz w:val="20"/>
          <w:szCs w:val="20"/>
          <w:color w:val="auto"/>
        </w:rPr>
      </w:pPr>
    </w:p>
    <w:p>
      <w:pPr>
        <w:ind w:left="460" w:hanging="304"/>
        <w:spacing w:after="0"/>
        <w:tabs>
          <w:tab w:leader="none" w:pos="4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are unadjusted quoted prices in active markets for identical assets or liabilities that we have the ability to access at the measurement date.</w:t>
      </w:r>
    </w:p>
    <w:p>
      <w:pPr>
        <w:spacing w:after="0" w:line="60" w:lineRule="exact"/>
        <w:rPr>
          <w:rFonts w:ascii="Times New Roman" w:cs="Times New Roman" w:eastAsia="Times New Roman" w:hAnsi="Times New Roman"/>
          <w:sz w:val="17"/>
          <w:szCs w:val="17"/>
          <w:color w:val="auto"/>
        </w:rPr>
      </w:pPr>
    </w:p>
    <w:p>
      <w:pPr>
        <w:ind w:left="460" w:hanging="304"/>
        <w:spacing w:after="0" w:line="267" w:lineRule="auto"/>
        <w:tabs>
          <w:tab w:leader="none" w:pos="45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2" w:lineRule="exact"/>
        <w:rPr>
          <w:rFonts w:ascii="Times New Roman" w:cs="Times New Roman" w:eastAsia="Times New Roman" w:hAnsi="Times New Roman"/>
          <w:sz w:val="17"/>
          <w:szCs w:val="17"/>
          <w:color w:val="auto"/>
        </w:rPr>
      </w:pPr>
    </w:p>
    <w:p>
      <w:pPr>
        <w:ind w:left="460" w:right="540" w:hanging="304"/>
        <w:spacing w:after="0" w:line="283" w:lineRule="auto"/>
        <w:tabs>
          <w:tab w:leader="none" w:pos="45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consider all highly liquid investments with an initial purchase maturity of three months or less at the date of purchase to be cash equivalents.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1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Restricted cash primarily consists of cash restricted for use by consolidated owners’ associations which is designated for resort operations and other specific uses, such as reserves, cash held in a reserve account related to vacation ownership notes receivable securitizations, cash collected for maintenance fees to be remitted to owners’ associations, and deposits received and held in escrow, primarily associated with the sale of vacation ownership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Accounts receivable are comprised of amounts due from customers, primarily owners’ associations, resort developers, owners and members, credit card receivables, amounts due from taxing authorities, indemnification assets, and other miscellaneous receivables. Accounts receivable outstanding longer than the contractual payment terms are considered past due. We determine our credit loss reserve for accounts receivable by considering a number of factors, including previous loss history, our judgment as to the specific customer’s current ability to pay its obligation and the condition of the general economy. We write off accounts receivable when they become uncollectible once we have exhausted all means of collection. Accounts receivable is presented net of a reserve for credit losses of $9 million and $10 million at December 31, 2025 and December 31, 2024, respectively. Accounts receivable also includes interest receivable on vacation ownership notes receivable. Write-offs of interest receivable are recorded as a reversal of previously recorded interest income.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Loss Reserves</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Acquired Vacation Ownership Notes Receivable Reserve for Credit Losses</w:t>
      </w:r>
    </w:p>
    <w:p>
      <w:pPr>
        <w:spacing w:after="0" w:line="1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As part of both the ILG Acquisition and Welk Acquisition, we acquired existing portfolios of vacation ownership notes receivable. We account for these acquired vacation ownership notes receivable using the purchased credit deteriorated assets provision of the current expected credit loss model, whereby we established a reserve for credit losses and a corresponding increase in the book value of the acquired vacation ownership notes receivable, resulting in no impact to the recorded balance. The estimates of the reserve for credit losses on the acquired vacation ownership notes receivable are based on default rates that are an output of our static pool analyses. Any changes in the reserve for credit losses are recorded as Financing expenses on our Income Statements. For acquired vacation ownership notes receivable, the estimated collateral value is transferred from vacation ownership notes receivable to inventory upon foreclosure or revocation of the related vacation ownership note receivable.</w:t>
      </w:r>
    </w:p>
    <w:p>
      <w:pPr>
        <w:spacing w:after="0" w:line="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Contracts Receivable and Originated Vacation Ownership Notes Receivable Reserve</w:t>
      </w:r>
    </w:p>
    <w:p>
      <w:pPr>
        <w:spacing w:after="0" w:line="11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We record the difference between the contract receivable or vacation ownership note receivable and the variable consideration included in the transaction price for the sale of the related vacation ownership product as a reserve on our contracts receivable or originated vacation ownership notes receivable, as applicable. See Footnote 5 “Vacation Ownership Notes Receivable” for further information.</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Past Due and Defaulted</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Although we consider loans to owners to be past due if we do not receive payment within 30 days of the due date, we suspend accrual of interest only on those loans that are over 90 days past due. For Legacy-MVW vacation ownership notes receivable, we consider loans over 150 days past due to be in default and fully reserve such amounts, less an estimate for reinstatement. For Legacy-ILG and Legacy-Welk vacation ownership notes receivable, we consider loans over 120 days past due to be in default and fully reserve such amounts, less an estimate for reinstatement.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certain circumstances, when revocation is complete.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118"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7"/>
          <w:szCs w:val="17"/>
          <w:color w:val="auto"/>
        </w:rPr>
        <w:t>Our inventory consists primarily of completed vacation ownership products.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6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We account for vacation ownership inventory and cost of vacation ownership products in accordance with the authoritative guidance for accounting for real estate time-sharing transactions, which defines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the cost of vacation ownership products related to variable consideration which has not been included within the transaction price (accordingly, no adjustment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86" w:name="page87"/>
    <w:bookmarkEnd w:id="86"/>
    <w:p>
      <w:pPr>
        <w:ind w:right="100"/>
        <w:spacing w:after="0" w:line="257" w:lineRule="auto"/>
        <w:rPr>
          <w:sz w:val="20"/>
          <w:szCs w:val="20"/>
          <w:color w:val="auto"/>
        </w:rPr>
      </w:pPr>
      <w:r>
        <w:rPr>
          <w:rFonts w:ascii="Times New Roman" w:cs="Times New Roman" w:eastAsia="Times New Roman" w:hAnsi="Times New Roman"/>
          <w:sz w:val="17"/>
          <w:szCs w:val="17"/>
          <w:color w:val="auto"/>
        </w:rPr>
        <w:t>when inventory is reacquired upon default of the related originated vacation ownership note receivable). These standards provide for changes in estimates which include future revenues, inclusive of the pricing assumptions from sales of vacation ownership products within the relative sales value calculations to be accounted for as real estate inventory true-ups, which we refer to as product cost true-up activity, and to be recorded in Cost of vacation ownership product expenses on the Income Statements in the period that the changes occurred in order to retrospectively adjust the margin previously recorded subject to those estimates to the amounts that would have been recorded historically had the revised estimates been used. Product cost true-up activity relating to vacation ownership products increased carrying values of inventory by $40 million, $39 million and $36 million during 2025, 2024 and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Property and equipment includes our sales centers, golf courses, information technology, including internal use software, finance lease assets, and other assets used in the normal course of business, as well as land held for future vacation ownership product development, and undeveloped and partially developed land parcels that are not part of an approved development plan and do not meet the criteria to be classified as held for sale. In addition, fully developed VOIs are classified as property and equipment until they are registered and available for sale. We record property and equipment at cost, including capitalized interest and real estate taxes incurred during active development. We capitalize the cost of improvements that extend the useful life of property and equipment when incurred.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Cloud Computing Arrangements</w:t>
      </w:r>
    </w:p>
    <w:p>
      <w:pPr>
        <w:spacing w:after="0" w:line="11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We have entered into various cloud computing arrangements that are considered service contracts. We capitalize certain qualified implementation costs incurred in connection with these arrangements, including both internal and external costs. Capitalization of costs begins when the preliminary project stage is completed, management with the relevant authority authorizes and commits to the funding of the project, and it is probable that the project will be completed and will be used to perform the function intended. We cease capitalization of such costs when the implementation activities are complete. Capitalized implementation costs of $35 million are recorded in Other assets on our Balance Sheets as of both December 31, 2025 and December 31, 2024.</w:t>
      </w:r>
    </w:p>
    <w:p>
      <w:pPr>
        <w:spacing w:after="0" w:line="71"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7"/>
          <w:szCs w:val="17"/>
          <w:color w:val="auto"/>
        </w:rPr>
        <w:t>We amortize capitalized implementation costs to an operating expense using the straight-line method over the term of the cloud computing arrangement (3 to 5 years). To the extent that we conclude we will not complete a project, we expect to cease using the services such capitalized costs are related to or expect to terminate the cloud computing arrangement early, we write off the remaining capitalized cost.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4"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7"/>
          <w:szCs w:val="17"/>
          <w:color w:val="auto"/>
        </w:rPr>
        <w:t>We account for leases in accordance with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(“ASC 842”). We determine if an arrangement is or contains a lease at contract inception. Operating leases include lease arrangements for land, office space, real estate, sales centers, as well as various facilities and equipment supporting our operations, with varying terms and renewal option periods.</w:t>
      </w:r>
    </w:p>
    <w:p>
      <w:pPr>
        <w:spacing w:after="0" w:line="6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Finance leases include lease arrangements for our corporate headquarters in Orlando, Florida, as well as other operations space. We also have a long-term finance lease for land underlying an operating hotel. In addition, we lease various equipment supporting our operations and classify these leases as finance leases in accordance with ASC 842. The depreciable life of these assets is limited to the expected lease term, unless there is a transfer of title or purchase option reasonably certain of exercise.</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Right-of-use assets and lease liabilities are recognized based on the present value of lease payments over the lease term at commencement date. Short-term leases, which have an initial term of a year or less, are not recorded on the balance sheet. For purposes of calculating lease liabilities, lease terms may be deemed to include options to extend or terminate the lease when it is reasonably certain that we will exercise that option. Macroeconomic conditions are the primary factor used to estimate whether an option to extend a lease term will be exercised or not.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Right-of-use assets exclude the unamortized portion of lease incentives received. Certain of our lease agreements include variable rental payments that are based on a percentage of sales over contractual levels and others include rental payments adjusted periodically for inflation. Additionally, with respect to our real estate leases, we do not separate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 and Other Intangible Assets</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assess long-lived assets, including property and equipment, leases, and definite-lived intangible assets,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7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We assess indefinite-lived intangible assets for potential impairment and continued indefinite use annually, or more frequently if an event or other circumstance indicates that we may not be able to recover the carrying amount of the asset.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perform an annual review for the potential impairment of the carrying value of goodwill in the fourth quarter, or more frequently if events or circumstances indicate a possible impairment. For purposes of evaluating goodwill for impairment, we have two reporting units, which are also our reportable operating segments. In evaluating goodwill for impairment, we may assess qualitative factors to determine whether it is more likely than not (that is, a likelihood of more than 50%)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7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Qualitative factors that we consider include, for example, macroeconomic and industry conditions, overall financial performance, and other relevant entity-specific events. If the qualitative assessment is not conclusive, then a quantitative impairment analysis for goodwill is performed at the reporting unit level. We may also choose to perform this quantitative impairment analysis instead of the qualitative analysis. The quantitative impairment analysis compares the fair value of the reporting unit, determined using the income and/or market approach, to its recorded amount. If the recorded amount exceeds the fair value, then a goodwill impairment charge is recorded for the difference up to the recorded amount of goodwill.</w:t>
      </w:r>
    </w:p>
    <w:p>
      <w:pPr>
        <w:spacing w:after="0" w:line="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calculate the estimated fair value of a reporting unit using a weighting of the income and market approaches. For the income approach, we use internally developed discounted cash flow models that include the following assumptions, among others: projections of revenues, expenses, EBITDA margin,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in consideration of industry projections, micro and macro general economic condition projections, and our expectations.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w:t>
      </w:r>
    </w:p>
    <w:p>
      <w:pPr>
        <w:spacing w:after="0" w:line="11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we expect it to be highly effective in offsetting the underlying hedged exposure and we fulfill the hedge documentation requirements. We may designate a hedge as a cash flow hedge, fair value hedge, or a net investment in non-U.S. operations hedge based on the exposure we are hedging. If a qualifying hedge is deemed effective, we record changes in fair value in other comprehensive income.</w:t>
      </w:r>
    </w:p>
    <w:p>
      <w:pPr>
        <w:spacing w:after="0" w:line="7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assess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w:t>
      </w:r>
    </w:p>
    <w:p>
      <w:pPr>
        <w:spacing w:after="0" w:line="6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We may use derivative instruments as part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0" w:right="359" w:bottom="1440" w:gutter="0" w:footer="0" w:header="0"/>
        </w:sectPr>
      </w:pPr>
    </w:p>
    <w:bookmarkStart w:id="88" w:name="page89"/>
    <w:bookmarkEnd w:id="88"/>
    <w:p>
      <w:pPr>
        <w:jc w:val="both"/>
        <w:ind w:right="280"/>
        <w:spacing w:after="0" w:line="283" w:lineRule="auto"/>
        <w:rPr>
          <w:sz w:val="20"/>
          <w:szCs w:val="20"/>
          <w:color w:val="auto"/>
        </w:rPr>
      </w:pPr>
      <w:r>
        <w:rPr>
          <w:rFonts w:ascii="Times New Roman" w:cs="Times New Roman" w:eastAsia="Times New Roman" w:hAnsi="Times New Roman"/>
          <w:sz w:val="17"/>
          <w:szCs w:val="17"/>
          <w:color w:val="auto"/>
        </w:rPr>
        <w:t>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1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Defined Contribution Plan</w:t>
      </w:r>
    </w:p>
    <w:p>
      <w:pPr>
        <w:spacing w:after="0" w:line="11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owners’ associations) for our participating employees totaling $25 million in 2025, $24 million in 2024, and $24 million in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Compensation Plan</w:t>
      </w:r>
    </w:p>
    <w:p>
      <w:pPr>
        <w:spacing w:after="0" w:line="11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Certain members of our senior management have the opportunity to participate in the Marriott Vacations Worldwide Deferred Compensation Plan (the “Deferred Compensation Plan”), which we maintain and administer. Under both the Deferred Compensation Plan and the Marriott International EDC (as defined below), participating employees are able to defer payment and income taxation of a portion of their salary and bonus. It also provides participants with the opportunity for long-term capital appreciation by crediting their accounts with notional earnings.</w:t>
      </w:r>
    </w:p>
    <w:p>
      <w:pPr>
        <w:spacing w:after="0" w:line="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Prior to the spin-off of MVW from Marriott International (the “Marriott Spin-Off”), certain members of our senior management had the opportunity to participate in the Marriott International, Inc. Executive Deferred Compensation Plan (the “Marriott International EDC”), which Marriott International maintains and administers. Subsequent to the Marriott Spin-Off, we remain liable to reimburse Marriott International for distributions to participants who were employees of Marriott Vacations Worldwide at the time of the Marriott Spin-Off, including earnings thereon.</w:t>
      </w:r>
    </w:p>
    <w:p>
      <w:pPr>
        <w:spacing w:after="0" w:line="6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For both 2025 and 2024, participants were able to select a rate of return based on market-based investment alternatives for up to 100% of their contributions and existing balances, with one of those options being a fixed rate of return of 3.5%.</w:t>
      </w:r>
    </w:p>
    <w:p>
      <w:pPr>
        <w:spacing w:after="0" w:line="71"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7"/>
          <w:szCs w:val="17"/>
          <w:color w:val="auto"/>
        </w:rPr>
        <w:t>We consolidate the liabilities of the Deferred Compensation Plan and the related assets, which consist of the COLI policies held in the rabbi trust. The rabbi trust is considered a VIE. We are the primary beneficiary of the rabbi trust because we direct the activities of the trust and are the beneficiary of the trust. At December 31, 2025 and December 31, 2024, the value of the assets held in the rabbi trust was $168 million and $131 million, respectively, and is included in the Other line within assets on our Balance Sheets.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 Costs</w:t>
      </w:r>
    </w:p>
    <w:p>
      <w:pPr>
        <w:spacing w:after="0" w:line="118"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7"/>
          <w:szCs w:val="17"/>
          <w:color w:val="auto"/>
        </w:rPr>
        <w:t>During 2024, our stockholders approved the Amended and Restated Marriott Vacations Worldwide Corporation 2020 Equity Incentive Plan (the “MVW Equity Plan”), which supersedes the Marriott Vacations Worldwide Corporation Stock and Cash Incentive Plan and the Interval Leisure Group, Inc. 2013 Stock and Incentive Plan (collectively, the “Prior Plans”). No new awards will be granted under the Prior Plans and all awards that were granted under the Prior Plans will remain outstanding and continue to be governed by the Prior Plans.</w:t>
      </w:r>
    </w:p>
    <w:p>
      <w:pPr>
        <w:spacing w:after="0" w:line="67" w:lineRule="exact"/>
        <w:rPr>
          <w:sz w:val="20"/>
          <w:szCs w:val="20"/>
          <w:color w:val="auto"/>
        </w:rPr>
      </w:pPr>
    </w:p>
    <w:p>
      <w:pPr>
        <w:jc w:val="both"/>
        <w:ind w:right="500"/>
        <w:spacing w:after="0" w:line="267" w:lineRule="auto"/>
        <w:rPr>
          <w:sz w:val="20"/>
          <w:szCs w:val="20"/>
          <w:color w:val="auto"/>
        </w:rPr>
      </w:pPr>
      <w:r>
        <w:rPr>
          <w:rFonts w:ascii="Times New Roman" w:cs="Times New Roman" w:eastAsia="Times New Roman" w:hAnsi="Times New Roman"/>
          <w:sz w:val="17"/>
          <w:szCs w:val="17"/>
          <w:color w:val="auto"/>
        </w:rPr>
        <w:t>The MVW Equity Plan is maintained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w:t>
      </w:r>
    </w:p>
    <w:p>
      <w:pPr>
        <w:spacing w:after="0" w:line="6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7"/>
          <w:szCs w:val="17"/>
          <w:color w:val="auto"/>
        </w:rPr>
        <w:t>We follow the provisions of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which requires that a company measure the expense of employee services received in exchange for an award of equity instruments based on the grant-date fair value of the award. Generally, share-based awards granted to our employees, other than RSUs with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89" w:name="page90"/>
    <w:bookmarkEnd w:id="89"/>
    <w:p>
      <w:pPr>
        <w:spacing w:after="0" w:line="262" w:lineRule="auto"/>
        <w:rPr>
          <w:sz w:val="20"/>
          <w:szCs w:val="20"/>
          <w:color w:val="auto"/>
        </w:rPr>
      </w:pPr>
      <w:r>
        <w:rPr>
          <w:rFonts w:ascii="Times New Roman" w:cs="Times New Roman" w:eastAsia="Times New Roman" w:hAnsi="Times New Roman"/>
          <w:sz w:val="17"/>
          <w:szCs w:val="17"/>
          <w:color w:val="auto"/>
        </w:rPr>
        <w:t>vesting conditions, vest ratably over a four-year period. For share-based awards with service-only vesting conditions, we record compensation expense on a straight-line basis over the requisite service period. For RSUs with performance vesting conditions, the number of RSUs earned, if any, is determined following the end of a performance period (typically three years) based upon the achievement over that period of specific quantitative operating financial measures and we recognize compensation expense once it is probable that the corresponding performance condition will be achieved.</w:t>
      </w:r>
    </w:p>
    <w:p>
      <w:pPr>
        <w:spacing w:after="0" w:line="6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SARs awarded under the MVW Equity Plan are granted at exercise prices or strike prices equal to the market price of our common stock on the date of grant (this price is referred to as the “base value”). SARs generally expire ten years after the date of grant and both vest and become exercisable in cumulative installments of one quarter of the grant per year in each of the first four years following the date of grant. Upon exercise of SARs, our employees and non-employee directors receive a number of shares of our common stock equal to the number of SARs being exercised, multiplied by the quotient of (a) the market price of the common stock on the date of exercise (this price is referred to as the “final value”) minus the base value, divided by (b) the final value.</w:t>
      </w:r>
    </w:p>
    <w:p>
      <w:pPr>
        <w:spacing w:after="0" w:line="7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recognize the expense associated with these awards on our Income Statements based on the fair value of the awards as of the date that the share-based awards are granted and adjust that expense to the estimated number of awards that we expect will vest or be earned. The fair value of RSUs represents the number of awards granted multiplied by the average of the high and low market price of our common stock on the date the awards are granted, reduced by the present value of the dividends expected to be paid on the shares during the vesting period, discounted at a risk-free interest rate. We generally determine the fair value of SARs using the Black-Scholes option valuation model, which incorporates assumptions about expected volatility, risk free interest rate, dividend yield and expected term. We issue shares from authorized shares upon the exercise of SARs held by our employees and directors.</w:t>
      </w:r>
    </w:p>
    <w:p>
      <w:pPr>
        <w:spacing w:after="0" w:line="74"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color w:val="auto"/>
        </w:rPr>
        <w:t>For share-based awards granted to non-employee directors, we recognize compensation expense on the grant date based on the fair value of the awards as of that date. See Footnote 17 “Share-Based Compensation” for more information on the MVW Equity Plan.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1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During 2015, our Board of Directors adopted, and our stockholders subsequently approved, the Marriott Vacations Worldwide Corporation Employee Stock Purchase Plan (the “ESPP”), which became effective during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Non-U.S. Operations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in the Gains (losses) and other income (expense), net line on our Income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file income tax returns, including with respect to our subsidiaries, in various jurisdictions around the world.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provision for income tax in the period that includes the enactment date.</w:t>
      </w:r>
    </w:p>
    <w:p>
      <w:pPr>
        <w:spacing w:after="0" w:line="71"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Changes in existing tax laws and rates, their related interpretations, and the uncertainty generated by the current economic environment may affect the amounts of deferred tax liabilities or the valuations of deferred tax assets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90" w:name="page91"/>
    <w:bookmarkEnd w:id="90"/>
    <w:p>
      <w:pPr>
        <w:ind w:right="320"/>
        <w:spacing w:after="0" w:line="283" w:lineRule="auto"/>
        <w:rPr>
          <w:sz w:val="20"/>
          <w:szCs w:val="20"/>
          <w:color w:val="auto"/>
        </w:rPr>
      </w:pPr>
      <w:r>
        <w:rPr>
          <w:rFonts w:ascii="Times New Roman" w:cs="Times New Roman" w:eastAsia="Times New Roman" w:hAnsi="Times New Roman"/>
          <w:sz w:val="17"/>
          <w:szCs w:val="17"/>
          <w:color w:val="auto"/>
        </w:rPr>
        <w:t>time. Our accounting for deferred tax consequences represents management’s best estimate of future events that can be appropriately reflected in the accounting estimates.</w:t>
      </w:r>
    </w:p>
    <w:p>
      <w:pPr>
        <w:spacing w:after="0" w:line="5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We record a valuation allowance on deferred taxes if we determine it is more likely than not that we will not fully realize the future benefit of deferred tax assets.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71"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We file tax returns after the close of our fiscal year end and adjust our estimated tax receivable or liability to the actual tax receivable or tax due per the filed tax returns in the provision for income tax.</w:t>
      </w:r>
    </w:p>
    <w:p>
      <w:pPr>
        <w:spacing w:after="0" w:line="51"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color w:val="auto"/>
        </w:rPr>
        <w:t>For purposes of Global Intangible Low-Taxed Income, we have elected to use the period cost method and therefore have not recorded deferred taxes for basis differences expected to reverse in future periods.</w:t>
      </w:r>
    </w:p>
    <w:p>
      <w:pPr>
        <w:spacing w:after="0" w:line="5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 Based on our evaluations of tax positions, we believe that potential tax exposures have been recorded appropriately. Additionally, we recognize accrued interest and penalties related to our unrecognized tax benefits as a component of tax expense.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Standards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Accounting Standards Update 2023-09 –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w:t>
      </w:r>
    </w:p>
    <w:p>
      <w:pPr>
        <w:spacing w:after="0" w:line="11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2023-09, which is intended to enhance the transparency and decision usefulness of income tax disclosures. We adopted ASU 2023-09 on a prospective basis beginning with the year ended December 31, 2025. The adoption did not have a material impact on our financial statements or disclosures other than the addition of incremental disclosures intended to enhance and expand our annual effective tax rate reconciliation disclosure and income taxes paid disclosure. See Footnote 4 “Income Taxes” for the additional disclosures required by the adoption of ASU 2023-09.</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Adoption of Accounting Standards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Accounting Standards Update 2024-03 - </w:t>
      </w:r>
      <w:r>
        <w:rPr>
          <w:rFonts w:ascii="Times New Roman" w:cs="Times New Roman" w:eastAsia="Times New Roman" w:hAnsi="Times New Roman"/>
          <w:sz w:val="17"/>
          <w:szCs w:val="17"/>
          <w:i w:val="1"/>
          <w:iCs w:val="1"/>
          <w:color w:val="auto"/>
        </w:rPr>
        <w:t>“Income Statement - Reporting Comprehensive Income - Expense Disaggregation Disclosures (Subtopic 220-40):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Disaggregation of Income Statement Expenses” </w:t>
      </w:r>
      <w:r>
        <w:rPr>
          <w:rFonts w:ascii="Times New Roman" w:cs="Times New Roman" w:eastAsia="Times New Roman" w:hAnsi="Times New Roman"/>
          <w:sz w:val="17"/>
          <w:szCs w:val="17"/>
          <w:color w:val="auto"/>
        </w:rPr>
        <w:t>(“ASU 2024-03”)</w:t>
      </w:r>
    </w:p>
    <w:p>
      <w:pPr>
        <w:spacing w:after="0" w:line="9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In November 2024, the FASB issued ASU 2024-03, which requires additional information about specific expense categories in the notes to financial statements for both interim and annual reporting periods. This update is effective for annual periods beginning after December 15, 2026, and interim periods within annual periods beginning after December 15, 2027, and may be adopted on a prospective or retrospective basis, with early adoption permitted. We are evaluating the impact that the adoption of this update, including the timing of implementation, will have on our disclosures.</w:t>
      </w:r>
    </w:p>
    <w:p>
      <w:pPr>
        <w:spacing w:after="0" w:line="63" w:lineRule="exact"/>
        <w:rPr>
          <w:sz w:val="20"/>
          <w:szCs w:val="20"/>
          <w:color w:val="auto"/>
        </w:rPr>
      </w:pPr>
    </w:p>
    <w:p>
      <w:pPr>
        <w:ind w:right="840"/>
        <w:spacing w:after="0" w:line="288" w:lineRule="auto"/>
        <w:rPr>
          <w:sz w:val="20"/>
          <w:szCs w:val="20"/>
          <w:color w:val="auto"/>
        </w:rPr>
      </w:pPr>
      <w:r>
        <w:rPr>
          <w:rFonts w:ascii="Times New Roman" w:cs="Times New Roman" w:eastAsia="Times New Roman" w:hAnsi="Times New Roman"/>
          <w:sz w:val="17"/>
          <w:szCs w:val="17"/>
          <w:color w:val="auto"/>
        </w:rPr>
        <w:t xml:space="preserve">Accounting Standards Update 2024-04 - </w:t>
      </w:r>
      <w:r>
        <w:rPr>
          <w:rFonts w:ascii="Times New Roman" w:cs="Times New Roman" w:eastAsia="Times New Roman" w:hAnsi="Times New Roman"/>
          <w:sz w:val="17"/>
          <w:szCs w:val="17"/>
          <w:i w:val="1"/>
          <w:iCs w:val="1"/>
          <w:color w:val="auto"/>
        </w:rPr>
        <w:t>“Debt - Debt with Conversion and Other Options (Subtopic 470-20): Induced Conversions of Convertible 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Instruments” </w:t>
      </w:r>
      <w:r>
        <w:rPr>
          <w:rFonts w:ascii="Times New Roman" w:cs="Times New Roman" w:eastAsia="Times New Roman" w:hAnsi="Times New Roman"/>
          <w:sz w:val="17"/>
          <w:szCs w:val="17"/>
          <w:color w:val="auto"/>
        </w:rPr>
        <w:t>(“ASU 2024-04”)</w:t>
      </w:r>
    </w:p>
    <w:p>
      <w:pPr>
        <w:spacing w:after="0" w:line="4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In November 2024, the FASB issued ASU 2024-04, which requires an entity to account for certain early settlements of convertible debt instruments as an induced conversion if the inducement offer includes the issuance of all consideration (in form and amount) issuable under the conversion privileges provided in the terms of the existing convertible debt instrument. This update is effective for annual periods beginning after December 15, 2025, and interim periods within those annual reporting periods, with early adoption permitted for all entities that have adopted the amendments in ASU 2020-06. We adopted ASU 2020-06 on January 1, 2022 using the modified retrospective method. We expect to adopt ASU 2024-04 effective January 1, 2026 with no material impact to our financial statements and disclosures.</w:t>
      </w:r>
    </w:p>
    <w:p>
      <w:pPr>
        <w:spacing w:after="0" w:line="70"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 xml:space="preserve">Accounting Standards Update 2025-05 - </w:t>
      </w:r>
      <w:r>
        <w:rPr>
          <w:rFonts w:ascii="Times New Roman" w:cs="Times New Roman" w:eastAsia="Times New Roman" w:hAnsi="Times New Roman"/>
          <w:sz w:val="17"/>
          <w:szCs w:val="17"/>
          <w:i w:val="1"/>
          <w:iCs w:val="1"/>
          <w:color w:val="auto"/>
        </w:rPr>
        <w:t>“Financial Instruments—Credit Losses (Topic 326): Measurement of Credit Losses for Accounts Receivable and Contract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Assets” </w:t>
      </w:r>
      <w:r>
        <w:rPr>
          <w:rFonts w:ascii="Times New Roman" w:cs="Times New Roman" w:eastAsia="Times New Roman" w:hAnsi="Times New Roman"/>
          <w:sz w:val="17"/>
          <w:szCs w:val="17"/>
          <w:color w:val="auto"/>
        </w:rPr>
        <w:t>(“ASU 2025-05”)</w:t>
      </w:r>
    </w:p>
    <w:p>
      <w:pPr>
        <w:spacing w:after="0" w:line="46"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7"/>
          <w:szCs w:val="17"/>
          <w:color w:val="auto"/>
        </w:rPr>
        <w:t>In July 2025, the FASB issued ASU 2025-05, which introduces a practical expedient for estimating expected credit losses on current accounts receivable and contract assets. Under this expedient, entities may assume that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91" w:name="page92"/>
    <w:bookmarkEnd w:id="91"/>
    <w:p>
      <w:pPr>
        <w:spacing w:after="0" w:line="262" w:lineRule="auto"/>
        <w:rPr>
          <w:sz w:val="20"/>
          <w:szCs w:val="20"/>
          <w:color w:val="auto"/>
        </w:rPr>
      </w:pPr>
      <w:r>
        <w:rPr>
          <w:rFonts w:ascii="Times New Roman" w:cs="Times New Roman" w:eastAsia="Times New Roman" w:hAnsi="Times New Roman"/>
          <w:sz w:val="17"/>
          <w:szCs w:val="17"/>
          <w:color w:val="auto"/>
        </w:rPr>
        <w:t>existing at the balance sheet date will persist for the remaining life of the asset, which simplifies the estimation process by eliminating the need to forecast future economic conditions for short-term assets. This update is effective for fiscal years beginning after December 15, 2025, and interim periods within those annual reporting periods, and is to be adopted on a prospective basis, with early adoption permitted. We are evaluating the impact of ASU 2025-05 but do not expect a material impact on our financial statements and disclosures.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 AND RECEIVABLES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Revenue by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0" w:type="dxa"/>
            <w:vAlign w:val="bottom"/>
          </w:tcPr>
          <w:p>
            <w:pPr>
              <w:spacing w:after="0"/>
              <w:rPr>
                <w:sz w:val="1"/>
                <w:szCs w:val="1"/>
                <w:color w:val="auto"/>
              </w:rPr>
            </w:pPr>
          </w:p>
        </w:tc>
      </w:tr>
      <w:tr>
        <w:trPr>
          <w:trHeight w:val="217"/>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0" w:type="dxa"/>
            <w:vAlign w:val="bottom"/>
          </w:tcPr>
          <w:p>
            <w:pPr>
              <w:spacing w:after="0"/>
              <w:rPr>
                <w:sz w:val="1"/>
                <w:szCs w:val="1"/>
                <w:color w:val="auto"/>
              </w:rPr>
            </w:pPr>
          </w:p>
        </w:tc>
      </w:tr>
      <w:tr>
        <w:trPr>
          <w:trHeight w:val="217"/>
        </w:trPr>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0" w:type="dxa"/>
            <w:vAlign w:val="bottom"/>
          </w:tcPr>
          <w:p>
            <w:pPr>
              <w:spacing w:after="0"/>
              <w:rPr>
                <w:sz w:val="1"/>
                <w:szCs w:val="1"/>
                <w:color w:val="auto"/>
              </w:rPr>
            </w:pPr>
          </w:p>
        </w:tc>
      </w:tr>
      <w:tr>
        <w:trPr>
          <w:trHeight w:val="223"/>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4,672</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0" w:type="dxa"/>
            <w:vAlign w:val="bottom"/>
          </w:tcPr>
          <w:p>
            <w:pPr>
              <w:spacing w:after="0"/>
              <w:rPr>
                <w:sz w:val="1"/>
                <w:szCs w:val="1"/>
                <w:color w:val="auto"/>
              </w:rPr>
            </w:pPr>
          </w:p>
        </w:tc>
      </w:tr>
      <w:tr>
        <w:trPr>
          <w:trHeight w:val="210"/>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3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0" w:type="dxa"/>
            <w:vAlign w:val="bottom"/>
          </w:tcPr>
          <w:p>
            <w:pPr>
              <w:spacing w:after="0"/>
              <w:rPr>
                <w:sz w:val="1"/>
                <w:szCs w:val="1"/>
                <w:color w:val="auto"/>
              </w:rPr>
            </w:pPr>
          </w:p>
        </w:tc>
      </w:tr>
      <w:tr>
        <w:trPr>
          <w:trHeight w:val="217"/>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17"/>
        </w:trPr>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0" w:type="dxa"/>
            <w:vAlign w:val="bottom"/>
          </w:tcPr>
          <w:p>
            <w:pPr>
              <w:spacing w:after="0"/>
              <w:rPr>
                <w:sz w:val="1"/>
                <w:szCs w:val="1"/>
                <w:color w:val="auto"/>
              </w:rPr>
            </w:pPr>
          </w:p>
        </w:tc>
      </w:tr>
      <w:tr>
        <w:trPr>
          <w:trHeight w:val="223"/>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4,625</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10"/>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3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0" w:type="dxa"/>
            <w:vAlign w:val="bottom"/>
          </w:tcPr>
          <w:p>
            <w:pPr>
              <w:spacing w:after="0"/>
              <w:rPr>
                <w:sz w:val="1"/>
                <w:szCs w:val="1"/>
                <w:color w:val="auto"/>
              </w:rPr>
            </w:pPr>
          </w:p>
        </w:tc>
      </w:tr>
      <w:tr>
        <w:trPr>
          <w:trHeight w:val="217"/>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17"/>
        </w:trPr>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23"/>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4,405</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10"/>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20" w:top="1146"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470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980"/>
          </w:cols>
          <w:pgMar w:left="320" w:top="1146" w:right="59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i w:val="1"/>
          <w:iCs w:val="1"/>
          <w:color w:val="auto"/>
        </w:rPr>
        <w:t>Timing of Revenue from Contracts with Customers by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detail the timing of revenue from contracts with customers by segment for each of the last three fiscal years.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2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1160" w:type="dxa"/>
            <w:vAlign w:val="bottom"/>
          </w:tcPr>
          <w:p>
            <w:pPr>
              <w:jc w:val="center"/>
              <w:ind w:left="183"/>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680" w:type="dxa"/>
            <w:vAlign w:val="bottom"/>
            <w:vMerge w:val="restart"/>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160" w:type="dxa"/>
            <w:vAlign w:val="bottom"/>
          </w:tcPr>
          <w:p>
            <w:pPr>
              <w:jc w:val="center"/>
              <w:ind w:left="163"/>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680" w:type="dxa"/>
            <w:vAlign w:val="bottom"/>
            <w:vMerge w:val="continue"/>
          </w:tcPr>
          <w:p>
            <w:pPr>
              <w:spacing w:after="0"/>
              <w:rPr>
                <w:sz w:val="13"/>
                <w:szCs w:val="13"/>
                <w:color w:val="auto"/>
              </w:rPr>
            </w:pPr>
          </w:p>
        </w:tc>
        <w:tc>
          <w:tcPr>
            <w:tcW w:w="1100" w:type="dxa"/>
            <w:vAlign w:val="bottom"/>
            <w:vMerge w:val="restart"/>
          </w:tcPr>
          <w:p>
            <w:pPr>
              <w:ind w:left="3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160" w:type="dxa"/>
            <w:vAlign w:val="bottom"/>
          </w:tcPr>
          <w:p>
            <w:pPr>
              <w:jc w:val="center"/>
              <w:ind w:left="183"/>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680" w:type="dxa"/>
            <w:vAlign w:val="bottom"/>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2,786</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Goods or services transferred at a point in</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0" w:type="dxa"/>
            <w:vAlign w:val="bottom"/>
          </w:tcPr>
          <w:p>
            <w:pPr>
              <w:spacing w:after="0"/>
              <w:rPr>
                <w:sz w:val="1"/>
                <w:szCs w:val="1"/>
                <w:color w:val="auto"/>
              </w:rPr>
            </w:pPr>
          </w:p>
        </w:tc>
      </w:tr>
      <w:tr>
        <w:trPr>
          <w:trHeight w:val="235"/>
        </w:trPr>
        <w:tc>
          <w:tcPr>
            <w:tcW w:w="3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Goods or services transferred at a point in</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w:t>
            </w:r>
          </w:p>
        </w:tc>
        <w:tc>
          <w:tcPr>
            <w:tcW w:w="0" w:type="dxa"/>
            <w:vAlign w:val="bottom"/>
          </w:tcPr>
          <w:p>
            <w:pPr>
              <w:spacing w:after="0"/>
              <w:rPr>
                <w:sz w:val="1"/>
                <w:szCs w:val="1"/>
                <w:color w:val="auto"/>
              </w:rPr>
            </w:pPr>
          </w:p>
        </w:tc>
      </w:tr>
      <w:tr>
        <w:trPr>
          <w:trHeight w:val="235"/>
        </w:trPr>
        <w:tc>
          <w:tcPr>
            <w:tcW w:w="3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w:t>
            </w:r>
          </w:p>
        </w:tc>
        <w:tc>
          <w:tcPr>
            <w:tcW w:w="0" w:type="dxa"/>
            <w:vAlign w:val="bottom"/>
          </w:tcPr>
          <w:p>
            <w:pPr>
              <w:spacing w:after="0"/>
              <w:rPr>
                <w:sz w:val="1"/>
                <w:szCs w:val="1"/>
                <w:color w:val="auto"/>
              </w:rPr>
            </w:pPr>
          </w:p>
        </w:tc>
      </w:tr>
      <w:tr>
        <w:trPr>
          <w:trHeight w:val="175"/>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Goods or services transferred at a point in</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0" w:type="dxa"/>
            <w:vAlign w:val="bottom"/>
          </w:tcPr>
          <w:p>
            <w:pPr>
              <w:spacing w:after="0"/>
              <w:rPr>
                <w:sz w:val="1"/>
                <w:szCs w:val="1"/>
                <w:color w:val="auto"/>
              </w:rPr>
            </w:pPr>
          </w:p>
        </w:tc>
      </w:tr>
      <w:tr>
        <w:trPr>
          <w:trHeight w:val="235"/>
        </w:trPr>
        <w:tc>
          <w:tcPr>
            <w:tcW w:w="3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Receivables from Contracts with Customers, Contract Assets, &amp; Contract Liabilities</w:t>
      </w:r>
    </w:p>
    <w:p>
      <w:pPr>
        <w:spacing w:after="0" w:line="169" w:lineRule="exact"/>
        <w:rPr>
          <w:sz w:val="20"/>
          <w:szCs w:val="20"/>
          <w:color w:val="auto"/>
        </w:rPr>
      </w:pPr>
    </w:p>
    <w:p>
      <w:pPr>
        <w:ind w:right="860"/>
        <w:spacing w:after="0" w:line="283" w:lineRule="auto"/>
        <w:rPr>
          <w:sz w:val="20"/>
          <w:szCs w:val="20"/>
          <w:color w:val="auto"/>
        </w:rPr>
      </w:pPr>
      <w:r>
        <w:rPr>
          <w:rFonts w:ascii="Times New Roman" w:cs="Times New Roman" w:eastAsia="Times New Roman" w:hAnsi="Times New Roman"/>
          <w:sz w:val="17"/>
          <w:szCs w:val="17"/>
          <w:color w:val="auto"/>
        </w:rPr>
        <w:t>The following table shows the composition of our receivables from contracts with customers and contract liabilities. We had no contract assets at either December 31, 2025 or December 31,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December 31, 2025</w:t>
            </w:r>
          </w:p>
        </w:tc>
        <w:tc>
          <w:tcPr>
            <w:tcW w:w="140" w:type="dxa"/>
            <w:vAlign w:val="bottom"/>
          </w:tcPr>
          <w:p>
            <w:pPr>
              <w:spacing w:after="0"/>
              <w:rPr>
                <w:sz w:val="17"/>
                <w:szCs w:val="17"/>
                <w:color w:val="auto"/>
              </w:rPr>
            </w:pPr>
          </w:p>
        </w:tc>
        <w:tc>
          <w:tcPr>
            <w:tcW w:w="1640" w:type="dxa"/>
            <w:vAlign w:val="bottom"/>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At December 31, 2024</w:t>
            </w:r>
          </w:p>
        </w:tc>
      </w:tr>
      <w:tr>
        <w:trPr>
          <w:trHeight w:val="226"/>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w:t>
            </w:r>
          </w:p>
        </w:tc>
        <w:tc>
          <w:tcPr>
            <w:tcW w:w="1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43"/>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and contracts receivable,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4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2,565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w:t>
            </w:r>
          </w:p>
        </w:tc>
      </w:tr>
      <w:tr>
        <w:trPr>
          <w:trHeight w:val="210"/>
        </w:trPr>
        <w:tc>
          <w:tcPr>
            <w:tcW w:w="4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2,836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2,690</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57"/>
        </w:trPr>
        <w:tc>
          <w:tcPr>
            <w:tcW w:w="4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Liabilities</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2"/>
        </w:trPr>
        <w:tc>
          <w:tcPr>
            <w:tcW w:w="4640" w:type="dxa"/>
            <w:vAlign w:val="bottom"/>
            <w:shd w:val="clear" w:color="auto" w:fill="CCEEFF"/>
          </w:tcPr>
          <w:p>
            <w:pPr>
              <w:ind w:left="220"/>
              <w:spacing w:after="0" w:line="251" w:lineRule="exact"/>
              <w:rPr>
                <w:sz w:val="20"/>
                <w:szCs w:val="20"/>
                <w:color w:val="auto"/>
              </w:rPr>
            </w:pPr>
            <w:r>
              <w:rPr>
                <w:rFonts w:ascii="Times New Roman" w:cs="Times New Roman" w:eastAsia="Times New Roman" w:hAnsi="Times New Roman"/>
                <w:sz w:val="17"/>
                <w:szCs w:val="17"/>
                <w:color w:val="auto"/>
              </w:rPr>
              <w:t>Advance deposits</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43"/>
        </w:trPr>
        <w:tc>
          <w:tcPr>
            <w:tcW w:w="4640" w:type="dxa"/>
            <w:vAlign w:val="bottom"/>
            <w:tcBorders>
              <w:bottom w:val="single" w:sz="8" w:color="CCEEFF"/>
            </w:tcBorders>
          </w:tcPr>
          <w:p>
            <w:pPr>
              <w:ind w:left="220"/>
              <w:spacing w:after="0" w:line="243" w:lineRule="exact"/>
              <w:rPr>
                <w:sz w:val="20"/>
                <w:szCs w:val="20"/>
                <w:color w:val="auto"/>
              </w:rPr>
            </w:pPr>
            <w:r>
              <w:rPr>
                <w:rFonts w:ascii="Times New Roman" w:cs="Times New Roman" w:eastAsia="Times New Roman" w:hAnsi="Times New Roman"/>
                <w:sz w:val="17"/>
                <w:szCs w:val="17"/>
                <w:color w:val="auto"/>
              </w:rPr>
              <w:t>Deferred revenue and other</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35"/>
        </w:trPr>
        <w:tc>
          <w:tcPr>
            <w:tcW w:w="4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300" w:hanging="298"/>
        <w:spacing w:after="0"/>
        <w:tabs>
          <w:tab w:leader="none" w:pos="30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$99 million and $105 million of other refundable deposits at December 31, 2025 and December 31, 2024,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recognized during the year ended December 31, 2025 that was included in our contract liabilities balance at December 31, 2024 was $339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recorded contract liabilities (excluding other refundable deposits) represent the aggregate amount of the transaction price allocated to the performance obligations that are unsatisfied (or partially unsatisfied) as of December 31, 2025. At December 31, 2025, approximately 90% of the recorded contract liabilities are expected to be recognized as revenue over the next two years.</w:t>
      </w:r>
    </w:p>
    <w:p>
      <w:pPr>
        <w:sectPr>
          <w:pgSz w:w="11900" w:h="16838" w:orient="portrait"/>
          <w:cols w:equalWidth="0" w:num="1">
            <w:col w:w="11180"/>
          </w:cols>
          <w:pgMar w:left="320" w:top="124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470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243" w:right="3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and Contracts Receivable</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Accounts and contracts receivable is comprised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December 31, 2025</w:t>
            </w:r>
          </w:p>
        </w:tc>
        <w:tc>
          <w:tcPr>
            <w:tcW w:w="140" w:type="dxa"/>
            <w:vAlign w:val="bottom"/>
          </w:tcPr>
          <w:p>
            <w:pPr>
              <w:spacing w:after="0"/>
              <w:rPr>
                <w:sz w:val="17"/>
                <w:szCs w:val="17"/>
                <w:color w:val="auto"/>
              </w:rPr>
            </w:pPr>
          </w:p>
        </w:tc>
        <w:tc>
          <w:tcPr>
            <w:tcW w:w="1640" w:type="dxa"/>
            <w:vAlign w:val="bottom"/>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At December 31, 2024</w:t>
            </w:r>
          </w:p>
        </w:tc>
      </w:tr>
      <w:tr>
        <w:trPr>
          <w:trHeight w:val="226"/>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from contracts with customers,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receivable</w:t>
            </w:r>
          </w:p>
        </w:tc>
        <w:tc>
          <w:tcPr>
            <w:tcW w:w="14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receivable</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Indemnification assets</w:t>
            </w:r>
          </w:p>
        </w:tc>
        <w:tc>
          <w:tcPr>
            <w:tcW w:w="14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tax credit receivable</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4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5"/>
        </w:trPr>
        <w:tc>
          <w:tcPr>
            <w:tcW w:w="4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INCOME TAXES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our (losses) or income before income taxes and noncontrolling interests for the last three fiscal years: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2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Non-U.S. jurisdictions</w:t>
            </w: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35"/>
        </w:trPr>
        <w:tc>
          <w:tcPr>
            <w:tcW w:w="70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Our (provision for) or benefit from income taxes consisted of:</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26"/>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U.S. Federal</w:t>
            </w: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U.S. State</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43"/>
        </w:trPr>
        <w:tc>
          <w:tcPr>
            <w:tcW w:w="700" w:type="dxa"/>
            <w:vAlign w:val="bottom"/>
            <w:shd w:val="clear" w:color="auto" w:fill="CCEEFF"/>
          </w:tcPr>
          <w:p>
            <w:pPr>
              <w:spacing w:after="0"/>
              <w:rPr>
                <w:sz w:val="21"/>
                <w:szCs w:val="21"/>
                <w:color w:val="auto"/>
              </w:rPr>
            </w:pP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Non-U.S.</w:t>
            </w: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43"/>
        </w:trPr>
        <w:tc>
          <w:tcPr>
            <w:tcW w:w="70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U.S. Federal</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43"/>
        </w:trPr>
        <w:tc>
          <w:tcPr>
            <w:tcW w:w="700" w:type="dxa"/>
            <w:vAlign w:val="bottom"/>
            <w:shd w:val="clear" w:color="auto" w:fill="CCEEFF"/>
          </w:tcPr>
          <w:p>
            <w:pPr>
              <w:spacing w:after="0"/>
              <w:rPr>
                <w:sz w:val="21"/>
                <w:szCs w:val="21"/>
                <w:color w:val="auto"/>
              </w:rPr>
            </w:pP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U.S. State</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3"/>
        </w:trPr>
        <w:tc>
          <w:tcPr>
            <w:tcW w:w="700" w:type="dxa"/>
            <w:vAlign w:val="bottom"/>
            <w:tcBorders>
              <w:bottom w:val="single" w:sz="8" w:color="CCEEFF"/>
            </w:tcBorders>
          </w:tcPr>
          <w:p>
            <w:pPr>
              <w:spacing w:after="0"/>
              <w:rPr>
                <w:sz w:val="21"/>
                <w:szCs w:val="21"/>
                <w:color w:val="auto"/>
              </w:rPr>
            </w:pPr>
          </w:p>
        </w:tc>
        <w:tc>
          <w:tcPr>
            <w:tcW w:w="38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 Non-U.S.</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3"/>
        </w:trPr>
        <w:tc>
          <w:tcPr>
            <w:tcW w:w="70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significant components of our deferred tax assets and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At Year-End 2025</w:t>
            </w:r>
          </w:p>
        </w:tc>
        <w:tc>
          <w:tcPr>
            <w:tcW w:w="160" w:type="dxa"/>
            <w:vAlign w:val="bottom"/>
          </w:tcPr>
          <w:p>
            <w:pPr>
              <w:spacing w:after="0"/>
              <w:rPr>
                <w:sz w:val="17"/>
                <w:szCs w:val="17"/>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5"/>
                <w:szCs w:val="15"/>
                <w:b w:val="1"/>
                <w:bCs w:val="1"/>
                <w:color w:val="auto"/>
              </w:rPr>
              <w:t>At Year-End 2024</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Provision for doubtful accounts and sales reserve</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Convertible debt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compensation</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and equipment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compensation</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 and capital loss carryforwards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credits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 assets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43"/>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3"/>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tax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r>
      <w:tr>
        <w:trPr>
          <w:trHeight w:val="243"/>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23"/>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deferred tax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43"/>
        </w:trPr>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 lived intangible assets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sales of VOIs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3"/>
        </w:trPr>
        <w:tc>
          <w:tcPr>
            <w:tcW w:w="4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w:t>
            </w:r>
          </w:p>
        </w:tc>
      </w:tr>
      <w:tr>
        <w:trPr>
          <w:trHeight w:val="243"/>
        </w:trPr>
        <w:tc>
          <w:tcPr>
            <w:tcW w:w="49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r>
      <w:tr>
        <w:trPr>
          <w:trHeight w:val="210"/>
        </w:trPr>
        <w:tc>
          <w:tcPr>
            <w:tcW w:w="4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net deferred tax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In 2025, the change in valuation allowance is primarily attributable to changes in our assessment of the realizability of net deferred tax assets related to certain entities in Mexico.</w:t>
      </w:r>
    </w:p>
    <w:p>
      <w:pPr>
        <w:spacing w:after="0" w:line="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have $7 million in foreign capital loss carryforwards, $20 million in foreign tax credits, and $159 million of foreign net operating loss carryforwards, some of which will expire in 2026; however, a significant portion of the net operating loss carryforwards have indefinite carryforward periods. We have $11 million of state net operating loss carryforwards, the majority of which will not expire within the next five years, $4 million of business interest deduction carryforwards and $6 million of state tax credit carryforwards, both of which have an indefinite carryforward period.</w:t>
      </w:r>
    </w:p>
    <w:p>
      <w:pPr>
        <w:spacing w:after="0" w:line="67"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7"/>
          <w:szCs w:val="17"/>
          <w:color w:val="auto"/>
        </w:rPr>
        <w:t>We continue to assert indefinite reinvestment in the basis of certain foreign subsidiaries. Accordingly, no deferred taxes have been accrued with respect to these outside basis differences. An estimate of the applicable tax impact is not practicable to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40"/>
          </w:cols>
          <w:pgMar w:left="320" w:top="1140"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i w:val="1"/>
          <w:iCs w:val="1"/>
          <w:color w:val="auto"/>
        </w:rPr>
        <w:t>Reconciliation of U.S. Federal Statutory Income Tax Rate to Actual Income Tax Rate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the U.S. statutory income tax rate to our effective income tax rate for 2025:</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40" w:type="dxa"/>
            <w:vAlign w:val="bottom"/>
            <w:tcBorders>
              <w:bottom w:val="single" w:sz="8" w:color="auto"/>
            </w:tcBorders>
          </w:tcPr>
          <w:p>
            <w:pPr>
              <w:spacing w:after="0"/>
              <w:rPr>
                <w:sz w:val="17"/>
                <w:szCs w:val="17"/>
                <w:color w:val="auto"/>
              </w:rPr>
            </w:pPr>
          </w:p>
        </w:tc>
      </w:tr>
      <w:tr>
        <w:trPr>
          <w:trHeight w:val="19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17"/>
                <w:szCs w:val="17"/>
                <w:color w:val="auto"/>
              </w:rPr>
            </w:pPr>
          </w:p>
        </w:tc>
        <w:tc>
          <w:tcPr>
            <w:tcW w:w="1360" w:type="dxa"/>
            <w:vAlign w:val="bottom"/>
            <w:gridSpan w:val="3"/>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4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Percent</w:t>
            </w: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at U.S. Federal Statutory Tax Rate</w:t>
            </w: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21.0%</w:t>
            </w:r>
          </w:p>
        </w:tc>
      </w:tr>
      <w:tr>
        <w:trPr>
          <w:trHeight w:val="243"/>
        </w:trPr>
        <w:tc>
          <w:tcPr>
            <w:tcW w:w="566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State and Local Income Tax, Net of Federal Effect</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Tax Effects</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34"/>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Mexico</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2"/>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Investment basis difference</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12.0%</w:t>
            </w:r>
          </w:p>
        </w:tc>
      </w:tr>
      <w:tr>
        <w:trPr>
          <w:trHeight w:val="243"/>
        </w:trPr>
        <w:tc>
          <w:tcPr>
            <w:tcW w:w="56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Valuation allowance established on investment basis difference</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(12.0%)</w:t>
            </w:r>
          </w:p>
        </w:tc>
      </w:tr>
      <w:tr>
        <w:trPr>
          <w:trHeight w:val="243"/>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Valuation allowance established due to updated realizability assessment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(12.4%)</w:t>
            </w:r>
          </w:p>
        </w:tc>
      </w:tr>
      <w:tr>
        <w:trPr>
          <w:trHeight w:val="243"/>
        </w:trPr>
        <w:tc>
          <w:tcPr>
            <w:tcW w:w="56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Change in position regarding interest expense deductibility</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4.4%</w:t>
            </w:r>
          </w:p>
        </w:tc>
      </w:tr>
      <w:tr>
        <w:trPr>
          <w:trHeight w:val="243"/>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(1.0%)</w:t>
            </w:r>
          </w:p>
        </w:tc>
      </w:tr>
      <w:tr>
        <w:trPr>
          <w:trHeight w:val="234"/>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Australia</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2"/>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Released valuation allowance due to updated realizability assessment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2.2%</w:t>
            </w:r>
          </w:p>
        </w:tc>
      </w:tr>
      <w:tr>
        <w:trPr>
          <w:trHeight w:val="243"/>
        </w:trPr>
        <w:tc>
          <w:tcPr>
            <w:tcW w:w="56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(0.3%)</w:t>
            </w:r>
          </w:p>
        </w:tc>
      </w:tr>
      <w:tr>
        <w:trPr>
          <w:trHeight w:val="24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Other foreign jurisdictions</w:t>
            </w: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(6.6%)</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Foreign Tax Effects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(13.7%)</w:t>
            </w:r>
          </w:p>
        </w:tc>
      </w:tr>
      <w:tr>
        <w:trPr>
          <w:trHeight w:val="192"/>
        </w:trPr>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2"/>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Cross-Border Tax Laws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
        </w:trPr>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withholding taxes</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(1.6%)</w:t>
            </w:r>
          </w:p>
        </w:tc>
      </w:tr>
      <w:tr>
        <w:trPr>
          <w:trHeight w:val="24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1"/>
                <w:szCs w:val="21"/>
                <w:color w:val="auto"/>
              </w:rPr>
            </w:pP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(0.1%)</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Effect of Cross-Border Tax Laws</w:t>
            </w: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(1.8%)</w:t>
            </w:r>
          </w:p>
        </w:tc>
      </w:tr>
    </w:tbl>
    <w:p>
      <w:pPr>
        <w:spacing w:after="0" w:line="188" w:lineRule="exact"/>
        <w:rPr>
          <w:sz w:val="20"/>
          <w:szCs w:val="20"/>
          <w:color w:val="auto"/>
        </w:rPr>
      </w:pPr>
    </w:p>
    <w:p>
      <w:pPr>
        <w:sectPr>
          <w:pgSz w:w="11900" w:h="16838" w:orient="portrait"/>
          <w:cols w:equalWidth="0" w:num="1">
            <w:col w:w="10139"/>
          </w:cols>
          <w:pgMar w:left="320" w:top="1243" w:right="1440"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526351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263515" cy="154305"/>
                    </a:xfrm>
                    <a:prstGeom prst="rect">
                      <a:avLst/>
                    </a:prstGeom>
                    <a:noFill/>
                  </pic:spPr>
                </pic:pic>
              </a:graphicData>
            </a:graphic>
          </wp:anchor>
        </w:drawing>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Investment basis difference</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526351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263515" cy="154305"/>
                    </a:xfrm>
                    <a:prstGeom prst="rect">
                      <a:avLst/>
                    </a:prstGeom>
                    <a:noFill/>
                  </pic:spPr>
                </pic:pic>
              </a:graphicData>
            </a:graphic>
          </wp:anchor>
        </w:drawing>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526351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263515" cy="1543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Nontaxable or Nondeductible Items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875" w:hanging="875"/>
        <w:spacing w:after="0"/>
        <w:tabs>
          <w:tab w:leader="none" w:pos="87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w:t>
      </w:r>
    </w:p>
    <w:p>
      <w:pPr>
        <w:spacing w:after="0" w:line="48" w:lineRule="exact"/>
        <w:rPr>
          <w:sz w:val="20"/>
          <w:szCs w:val="20"/>
          <w:color w:val="auto"/>
        </w:rPr>
      </w:pPr>
    </w:p>
    <w:p>
      <w:pPr>
        <w:ind w:left="75"/>
        <w:spacing w:after="0"/>
        <w:tabs>
          <w:tab w:leader="none" w:pos="754"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color w:val="auto"/>
        </w:rPr>
        <w:t>(11.2%)</w:t>
      </w:r>
    </w:p>
    <w:p>
      <w:pPr>
        <w:spacing w:after="0" w:line="48" w:lineRule="exact"/>
        <w:rPr>
          <w:sz w:val="20"/>
          <w:szCs w:val="20"/>
          <w:color w:val="auto"/>
        </w:rPr>
      </w:pPr>
    </w:p>
    <w:p>
      <w:pPr>
        <w:ind w:left="815" w:hanging="658"/>
        <w:spacing w:after="0"/>
        <w:tabs>
          <w:tab w:leader="none" w:pos="8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w:t>
      </w:r>
    </w:p>
    <w:p>
      <w:pPr>
        <w:spacing w:after="0" w:line="47" w:lineRule="exact"/>
        <w:rPr>
          <w:rFonts w:ascii="Times New Roman" w:cs="Times New Roman" w:eastAsia="Times New Roman" w:hAnsi="Times New Roman"/>
          <w:sz w:val="17"/>
          <w:szCs w:val="17"/>
          <w:color w:val="auto"/>
        </w:rPr>
      </w:pPr>
    </w:p>
    <w:p>
      <w:pPr>
        <w:ind w:left="7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27(9.0%)</w:t>
      </w:r>
    </w:p>
    <w:p>
      <w:pPr>
        <w:spacing w:after="0" w:line="200" w:lineRule="exact"/>
        <w:rPr>
          <w:sz w:val="20"/>
          <w:szCs w:val="20"/>
          <w:color w:val="auto"/>
        </w:rPr>
      </w:pPr>
    </w:p>
    <w:p>
      <w:pPr>
        <w:sectPr>
          <w:pgSz w:w="11900" w:h="16838" w:orient="portrait"/>
          <w:cols w:equalWidth="0" w:num="2">
            <w:col w:w="5905" w:space="720"/>
            <w:col w:w="3514"/>
          </w:cols>
          <w:pgMar w:left="320" w:top="1243" w:right="1440"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adjustments</w:t>
            </w:r>
          </w:p>
        </w:tc>
        <w:tc>
          <w:tcPr>
            <w:tcW w:w="6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(0.6%)</w:t>
            </w: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Tax Provision</w:t>
            </w:r>
          </w:p>
        </w:tc>
        <w:tc>
          <w:tcPr>
            <w:tcW w:w="6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(2.8%)</w:t>
            </w:r>
          </w:p>
        </w:tc>
      </w:tr>
      <w:tr>
        <w:trPr>
          <w:trHeight w:val="20"/>
        </w:trPr>
        <w:tc>
          <w:tcPr>
            <w:tcW w:w="5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300" w:hanging="298"/>
        <w:spacing w:after="0"/>
        <w:tabs>
          <w:tab w:leader="none" w:pos="30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State taxes in Hawaii and California made up the majority of the tax effect in this category.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the U.S. statutory income tax rate to our effective income tax rate for 2024 and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22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statutory income tax rate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state income taxes, net of U.S. federal tax benefit</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24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net of Section 162(m) limitation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w:t>
            </w:r>
          </w:p>
        </w:tc>
      </w:tr>
      <w:tr>
        <w:trPr>
          <w:trHeight w:val="243"/>
        </w:trPr>
        <w:tc>
          <w:tcPr>
            <w:tcW w:w="586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Other permanent differences</w:t>
            </w:r>
            <w:r>
              <w:rPr>
                <w:rFonts w:ascii="Times New Roman" w:cs="Times New Roman" w:eastAsia="Times New Roman" w:hAnsi="Times New Roman"/>
                <w:sz w:val="22"/>
                <w:szCs w:val="22"/>
                <w:color w:val="auto"/>
                <w:vertAlign w:val="superscript"/>
              </w:rPr>
              <w:t>(1)</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r>
      <w:tr>
        <w:trPr>
          <w:trHeight w:val="24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rate changes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Non-U.S. income</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24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(0.6)</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Unrecognized tax benefits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(6.3)</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r>
      <w:tr>
        <w:trPr>
          <w:trHeight w:val="24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w:t>
            </w:r>
          </w:p>
        </w:tc>
      </w:tr>
      <w:tr>
        <w:trPr>
          <w:trHeight w:val="24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items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w:t>
            </w:r>
          </w:p>
        </w:tc>
      </w:tr>
      <w:tr>
        <w:trPr>
          <w:trHeight w:val="235"/>
        </w:trPr>
        <w:tc>
          <w:tcPr>
            <w:tcW w:w="5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Effective rate</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00" w:hanging="298"/>
        <w:spacing w:after="0"/>
        <w:tabs>
          <w:tab w:leader="none" w:pos="30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2024 permanent differences are primarily related to non-deductible interest, other expenses and foreign taxes</w:t>
      </w:r>
    </w:p>
    <w:p>
      <w:pPr>
        <w:sectPr>
          <w:pgSz w:w="11900" w:h="16838" w:orient="portrait"/>
          <w:cols w:equalWidth="0" w:num="1">
            <w:col w:w="10139"/>
          </w:cols>
          <w:pgMar w:left="320" w:top="12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470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1243" w:right="1440" w:bottom="1440" w:gutter="0" w:footer="0" w:header="0"/>
          <w:type w:val="continuous"/>
        </w:sectPr>
      </w:pPr>
    </w:p>
    <w:bookmarkStart w:id="96" w:name="page97"/>
    <w:bookmarkEnd w:id="96"/>
    <w:p>
      <w:pPr>
        <w:ind w:left="300"/>
        <w:spacing w:after="0"/>
        <w:rPr>
          <w:sz w:val="20"/>
          <w:szCs w:val="20"/>
          <w:color w:val="auto"/>
        </w:rPr>
      </w:pPr>
      <w:r>
        <w:rPr>
          <w:rFonts w:ascii="Times New Roman" w:cs="Times New Roman" w:eastAsia="Times New Roman" w:hAnsi="Times New Roman"/>
          <w:sz w:val="17"/>
          <w:szCs w:val="17"/>
          <w:color w:val="auto"/>
        </w:rPr>
        <w:t>partially offset by non-taxable income. The 2023 permanent differences are primarily related to non-taxable income and foreign taxes deducted in the U.S.</w:t>
      </w:r>
    </w:p>
    <w:p>
      <w:pPr>
        <w:spacing w:after="0" w:line="112"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We conduct business in countries that grant “holidays” from income taxes for ten to thirty-year periods. These holidays expire through 2034 and may be impacted by the global minimum tax rules (Pillar 2) set forth for large multinational corporations.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 Paid, net of Refunds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our income taxes paid, net of refunds by jurisdiction for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2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4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U.S. states</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4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Aruba</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4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foreign countries</w:t>
            </w: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5"/>
        </w:trPr>
        <w:tc>
          <w:tcPr>
            <w:tcW w:w="6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Timing of Estimated Tax Payments</w:t>
      </w:r>
    </w:p>
    <w:p>
      <w:pPr>
        <w:spacing w:after="0" w:line="11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As part of the federal tax relief provided by the Internal Revenue Service for businesses in areas of Florida affected by hurricanes during 2024, we were permitted to defer certain federal income tax payments without incurring interest or penalties. As a result, we deferred $38 million of estimated tax payments from 2024 to 2025. Similarly, in 2024, under comparable relief measures related to hurricanes in 2023, we deferred $32 million of estimated tax payments from 2023 to 2024. In addition, in 2023, under similar circumstances, we deferred $45 million of estimated tax payments from 2022 to 2023. None of our 2025 estimated tax payments were deferred into 2026.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Unrecognized Tax Benefits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(excluding interest and penalties)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8"/>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Unrecognized tax benefits at beginning of year</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Increases related to tax positions taken during a prior period</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Increases related to tax positions taken during the current period</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Decreases related to tax positions taken during a prior period</w:t>
            </w:r>
          </w:p>
        </w:tc>
        <w:tc>
          <w:tcPr>
            <w:tcW w:w="26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166"/>
        </w:trPr>
        <w:tc>
          <w:tcPr>
            <w:tcW w:w="478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Decreases as a result of a lapse of the applicable statute of</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limitations</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Unrecognized tax benefits at end of year</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rPr>
        <w:t>The increase in 2025 is attributable to reserves established for interest relief provided under government relief programs, including amounts reported on the 2024 U.S. corporate income tax return and estimated amounts expected to be claimed on the 2025 return. The increase in the unrecognized tax benefits during 2023 and subsequent decrease during 2024 is primarily related to an $80 million proposed tax method change in 2023, which was filed with the IRS in 2024.</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total amount of gross interest and penalties accrued relating to unrecognized tax benefits was $41 million at December 31, 2025 and $37 million at December 31, 2024, which is predominantly attributable to non-U.S. jurisdictions. We recognized an income tax expense of $4 million in 2025, an income tax benefit of $11 million in 2024, and an income tax expense of $20 million in 2023 related to accrued interest and penalties. Unrecognized tax benefits (including interest and penalties) of $32 million and $29 million, net of indemnification, would have impacted the effective tax rate for the years ended December 31, 2025 and December 31, 2024, respectively, if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97" w:name="page98"/>
    <w:bookmarkEnd w:id="97"/>
    <w:p>
      <w:pPr>
        <w:spacing w:after="0" w:line="262" w:lineRule="auto"/>
        <w:rPr>
          <w:sz w:val="20"/>
          <w:szCs w:val="20"/>
          <w:color w:val="auto"/>
        </w:rPr>
      </w:pPr>
      <w:r>
        <w:rPr>
          <w:rFonts w:ascii="Times New Roman" w:cs="Times New Roman" w:eastAsia="Times New Roman" w:hAnsi="Times New Roman"/>
          <w:sz w:val="17"/>
          <w:szCs w:val="17"/>
          <w:color w:val="auto"/>
        </w:rPr>
        <w:t>We anticipate $36 million of unrecognized tax benefits, including interest and penalties, to be indemnified pursuant to a Tax Matters Agreement dated May 11, 2016 by and among Starwood Hotels &amp; Resorts Worldwide, Inc., Vistana Signature Experiences, Inc., and Interval Leisure Group, Inc., (the “Tax Matters Agreement”) and consequently have recorded a corresponding indemnification asset. The unrecognized tax benefits, including accrued interest and penalties, are included in Other liabilities on our Balance Sheets.</w:t>
      </w:r>
    </w:p>
    <w:p>
      <w:pPr>
        <w:spacing w:after="0" w:line="6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Our income tax returns remain subject to examination by the relevant tax authorities. Certain returns are currently under audit in various jurisdictions for tax years 2007 through 2020. The amount of the unrecognized tax benefits may change within the next twelve months as a result of audits or resolution of audit-related matters.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1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As of December 31, 2025, the $14 million tax reserve for non-income tax issues is predominantly related to the ILG Acquisition. We expect that we will be indemnified for liabilities of $4 million in connection with the Legacy-ILG non-income tax matters pursuant to the Tax Matters Agreement and consequently have recorded a corresponding indemnification asset.</w:t>
      </w:r>
    </w:p>
    <w:p>
      <w:pPr>
        <w:spacing w:after="0" w:line="6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During the third quarter of 2025, the One Big Beautiful Bill Act (“OBBBA”) was signed into law, making several provisions of the Tax Cuts and Jobs Act permanent. Under ASC 740, “Income Taxes,” the effects of changes in tax laws must be recognized in the period of enactment. We have evaluated the impact of OBBBA and have incorporated the effect of these changes into our financial statements. For the provisions effective in 2025, there was no material impact to our effective tax rate for the year ended December 31, 2025, but we continue to assess the potential impact of these law changes, including provisions becoming effective in 2026, on our business and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VACATION OWNERSHIP NOTES RECEIVABLE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vacation ownership notes receivable balances, net of reserves.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6"/>
          </w:tcPr>
          <w:p>
            <w:pPr>
              <w:jc w:val="right"/>
              <w:ind w:right="75"/>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Originated</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Acquired</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Originated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Acquired</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w:t>
            </w:r>
          </w:p>
        </w:tc>
      </w:tr>
      <w:tr>
        <w:trPr>
          <w:trHeight w:val="256"/>
        </w:trPr>
        <w:tc>
          <w:tcPr>
            <w:tcW w:w="2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43"/>
        </w:trPr>
        <w:tc>
          <w:tcPr>
            <w:tcW w:w="2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Eligible for securitization</w:t>
            </w:r>
            <w:r>
              <w:rPr>
                <w:rFonts w:ascii="Times New Roman" w:cs="Times New Roman" w:eastAsia="Times New Roman" w:hAnsi="Times New Roman"/>
                <w:sz w:val="8"/>
                <w:szCs w:val="8"/>
                <w:color w:val="auto"/>
              </w:rPr>
              <w:t>(1)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166"/>
        </w:trPr>
        <w:tc>
          <w:tcPr>
            <w:tcW w:w="220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Not eligible for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2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securitization</w:t>
            </w:r>
            <w:r>
              <w:rPr>
                <w:rFonts w:ascii="Times New Roman" w:cs="Times New Roman" w:eastAsia="Times New Roman" w:hAnsi="Times New Roman"/>
                <w:sz w:val="8"/>
                <w:szCs w:val="8"/>
                <w:color w:val="auto"/>
              </w:rPr>
              <w:t>(1)</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Non-securitized</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r>
      <w:tr>
        <w:trPr>
          <w:trHeight w:val="236"/>
        </w:trPr>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7"/>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00" w:hanging="298"/>
        <w:spacing w:after="0"/>
        <w:tabs>
          <w:tab w:leader="none" w:pos="3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 to Footnote 6 “Financial Instruments” for discussion of eligibility of our vacation ownership notes receivable for securitization.</w:t>
      </w:r>
    </w:p>
    <w:p>
      <w:pPr>
        <w:spacing w:after="0" w:line="187"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7"/>
          <w:szCs w:val="17"/>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49"/>
        </w:trPr>
        <w:tc>
          <w:tcPr>
            <w:tcW w:w="5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Interest income associated with vacation ownership notes receivable —</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166"/>
        </w:trPr>
        <w:tc>
          <w:tcPr>
            <w:tcW w:w="51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Interest income associated with vacation ownership notes receivable —</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non-securitized</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income associated with vacation ownership notes receivable</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Reserve</w:t>
      </w:r>
    </w:p>
    <w:p>
      <w:pPr>
        <w:spacing w:after="0" w:line="118"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spacing w:after="0" w:line="5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In the third quarter of 2023, we increased our vacation ownership notes receivable reserve to reflect then-current trends in delinquencies and default rates. As a result, we increased our originated vacation ownership notes receivable reserve by $59 million. We estimated the amount of the increase in our sales reserve primarily using information from a historical period of increased defaults. The additional reserve recorded in 2023 was the result of an adjustment to our future default rate estimate to reflect then-current macroeconomic conditions, including inflation outpacing wage growth, continuing high interest rates, mixed economic indicators and increased global insecurity.</w:t>
      </w:r>
    </w:p>
    <w:p>
      <w:pPr>
        <w:spacing w:after="0" w:line="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the second quarter of 2024, we increased our sales reserve by $70 million to reflect the then-current macroeconomic conditions, including the cumulative impact of inflation on consumers and the related impact on year-over-year increases in maintenance fees for 2023 and 2024, which we believed were driving continued elevated delinquencies and default rates, higher consumer debt levels, continued high interest rates, uncertainty around timing and frequency of interest rate adjustments, and continued mixed economic indicators.</w:t>
      </w:r>
    </w:p>
    <w:p>
      <w:pPr>
        <w:spacing w:after="0" w:line="6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Beginning in the third quarter of 2024, we also increased our sales reserve rate to reflect higher expected cumulative losses on new originations, consistent with more recent trends. While our delinquency rates for 2025 have declined from those experienced in 2024 and 2023, we do not expect to lower the sales reserve for new originations until we have sufficient, sustained evidence of continued improvement in delinquency and default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Quality Indicators - Vacation Ownership Notes Receivable</w:t>
      </w:r>
    </w:p>
    <w:p>
      <w:pPr>
        <w:spacing w:after="0" w:line="11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VOI they have acquired.</w:t>
      </w:r>
    </w:p>
    <w:p>
      <w:pPr>
        <w:spacing w:after="0" w:line="64"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color w:val="auto"/>
        </w:rPr>
        <w:t>The weighted average FICO score within our consolidated vacation ownership notes receivable pool was 729 and 725 at December 31, 2025 and December 31, 2024, respectively, based upon the FICO score of the borrower at the time of origination.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Originated Vacation Ownership Notes Receivable</w:t>
      </w:r>
    </w:p>
    <w:p>
      <w:pPr>
        <w:spacing w:after="0" w:line="11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December 31, 2025</w:t>
      </w:r>
      <w:r>
        <w:rPr>
          <w:rFonts w:ascii="Times New Roman" w:cs="Times New Roman" w:eastAsia="Times New Roman" w:hAnsi="Times New Roman"/>
          <w:sz w:val="17"/>
          <w:szCs w:val="17"/>
          <w:color w:val="EE2724"/>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7"/>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60" w:type="dxa"/>
            <w:vAlign w:val="bottom"/>
          </w:tcPr>
          <w:p>
            <w:pPr>
              <w:spacing w:after="0"/>
              <w:rPr>
                <w:sz w:val="17"/>
                <w:szCs w:val="17"/>
                <w:color w:val="auto"/>
              </w:rPr>
            </w:pPr>
          </w:p>
        </w:tc>
        <w:tc>
          <w:tcPr>
            <w:tcW w:w="1260" w:type="dxa"/>
            <w:vAlign w:val="bottom"/>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0" w:type="dxa"/>
            <w:vAlign w:val="bottom"/>
          </w:tcPr>
          <w:p>
            <w:pPr>
              <w:spacing w:after="0"/>
              <w:rPr>
                <w:sz w:val="1"/>
                <w:szCs w:val="1"/>
                <w:color w:val="auto"/>
              </w:rPr>
            </w:pPr>
          </w:p>
        </w:tc>
      </w:tr>
      <w:tr>
        <w:trPr>
          <w:trHeight w:val="23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6"/>
              <w:spacing w:after="0" w:line="189" w:lineRule="exact"/>
              <w:rPr>
                <w:sz w:val="20"/>
                <w:szCs w:val="20"/>
                <w:color w:val="auto"/>
              </w:rPr>
            </w:pPr>
            <w:r>
              <w:rPr>
                <w:rFonts w:ascii="Times New Roman" w:cs="Times New Roman" w:eastAsia="Times New Roman" w:hAnsi="Times New Roman"/>
                <w:sz w:val="17"/>
                <w:szCs w:val="17"/>
                <w:color w:val="auto"/>
                <w:w w:val="95"/>
              </w:rPr>
              <w:t>11.9%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56"/>
              <w:spacing w:after="0" w:line="189" w:lineRule="exact"/>
              <w:rPr>
                <w:sz w:val="20"/>
                <w:szCs w:val="20"/>
                <w:color w:val="auto"/>
              </w:rPr>
            </w:pPr>
            <w:r>
              <w:rPr>
                <w:rFonts w:ascii="Times New Roman" w:cs="Times New Roman" w:eastAsia="Times New Roman" w:hAnsi="Times New Roman"/>
                <w:sz w:val="17"/>
                <w:szCs w:val="17"/>
                <w:color w:val="auto"/>
              </w:rPr>
              <w:t>13.3%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6"/>
              <w:spacing w:after="0" w:line="189" w:lineRule="exact"/>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rPr>
              <w:t>0.0% to 20.9%</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rPr>
              <w:t>0.0% to 20.9%</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rPr>
              <w:t>0.0% to 20.9%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20" w:top="1192" w:right="419" w:bottom="1440" w:gutter="0" w:footer="0" w:header="0"/>
        </w:sectPr>
      </w:pPr>
    </w:p>
    <w:bookmarkStart w:id="99" w:name="page100"/>
    <w:bookmarkEnd w:id="99"/>
    <w:p>
      <w:pPr>
        <w:spacing w:after="0" w:line="267" w:lineRule="auto"/>
        <w:rPr>
          <w:sz w:val="20"/>
          <w:szCs w:val="20"/>
          <w:color w:val="auto"/>
        </w:rPr>
      </w:pPr>
      <w:r>
        <w:rPr>
          <w:rFonts w:ascii="Times New Roman" w:cs="Times New Roman" w:eastAsia="Times New Roman" w:hAnsi="Times New Roman"/>
          <w:sz w:val="17"/>
          <w:szCs w:val="17"/>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tbl>
      <w:tblPr>
        <w:tblLayout w:type="fixed"/>
        <w:tblInd w:w="0" w:type="dxa"/>
        <w:tblCellMar>
          <w:top w:w="0" w:type="dxa"/>
          <w:left w:w="0" w:type="dxa"/>
          <w:bottom w:w="0" w:type="dxa"/>
          <w:right w:w="0" w:type="dxa"/>
        </w:tblCellMar>
      </w:tblPr>
      <w:tr>
        <w:trPr>
          <w:trHeight w:val="205"/>
        </w:trPr>
        <w:tc>
          <w:tcPr>
            <w:tcW w:w="3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gridSpan w:val="7"/>
          </w:tcPr>
          <w:p>
            <w:pPr>
              <w:jc w:val="center"/>
              <w:ind w:right="55"/>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Reserve</w:t>
            </w:r>
          </w:p>
        </w:tc>
      </w:tr>
      <w:tr>
        <w:trPr>
          <w:trHeight w:val="199"/>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320" w:type="dxa"/>
            <w:vAlign w:val="bottom"/>
          </w:tcPr>
          <w:p>
            <w:pPr>
              <w:spacing w:after="0"/>
              <w:rPr>
                <w:sz w:val="17"/>
                <w:szCs w:val="17"/>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4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175"/>
        </w:trPr>
        <w:tc>
          <w:tcPr>
            <w:tcW w:w="3820" w:type="dxa"/>
            <w:vAlign w:val="bottom"/>
          </w:tcPr>
          <w:p>
            <w:pPr>
              <w:ind w:left="120"/>
              <w:spacing w:after="0" w:line="176" w:lineRule="exact"/>
              <w:rPr>
                <w:sz w:val="20"/>
                <w:szCs w:val="20"/>
                <w:color w:val="auto"/>
              </w:rPr>
            </w:pPr>
            <w:r>
              <w:rPr>
                <w:rFonts w:ascii="Times New Roman" w:cs="Times New Roman" w:eastAsia="Times New Roman" w:hAnsi="Times New Roman"/>
                <w:sz w:val="17"/>
                <w:szCs w:val="17"/>
                <w:color w:val="auto"/>
              </w:rPr>
              <w:t>Increase in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reserve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43"/>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Securitizations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Clean-up call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Write-offs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175"/>
        </w:trPr>
        <w:tc>
          <w:tcPr>
            <w:tcW w:w="38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8"/>
                <w:szCs w:val="8"/>
                <w:color w:val="auto"/>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175"/>
        </w:trPr>
        <w:tc>
          <w:tcPr>
            <w:tcW w:w="38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Increase in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reserve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43"/>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Securitizations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Clean-up call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Write-offs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175"/>
        </w:trPr>
        <w:tc>
          <w:tcPr>
            <w:tcW w:w="38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8"/>
                <w:szCs w:val="8"/>
                <w:color w:val="auto"/>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175"/>
        </w:trPr>
        <w:tc>
          <w:tcPr>
            <w:tcW w:w="38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Increase in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reserve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43"/>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Securitizations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Clean-up call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Write-offs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175"/>
        </w:trPr>
        <w:tc>
          <w:tcPr>
            <w:tcW w:w="38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8"/>
                <w:szCs w:val="8"/>
                <w:color w:val="auto"/>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00" w:right="140" w:hanging="298"/>
        <w:spacing w:after="0" w:line="228" w:lineRule="auto"/>
        <w:tabs>
          <w:tab w:leader="none" w:pos="288"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show originated vacation ownership notes receivable, before reserves, by brand and borrower FICO score at origination.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gridSpan w:val="13"/>
          </w:tcPr>
          <w:p>
            <w:pPr>
              <w:jc w:val="center"/>
              <w:ind w:right="157"/>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as of December 31, 2025</w:t>
            </w:r>
          </w:p>
        </w:tc>
      </w:tr>
      <w:tr>
        <w:trPr>
          <w:trHeight w:val="19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7"/>
                <w:szCs w:val="17"/>
                <w:color w:val="auto"/>
              </w:rPr>
            </w:pP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w w:val="97"/>
              </w:rPr>
              <w:t>&lt; 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40" w:type="dxa"/>
            <w:vAlign w:val="bottom"/>
          </w:tcPr>
          <w:p>
            <w:pPr>
              <w:spacing w:after="0"/>
              <w:rPr>
                <w:sz w:val="17"/>
                <w:szCs w:val="17"/>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r>
      <w:tr>
        <w:trPr>
          <w:trHeight w:val="24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35"/>
        </w:trPr>
        <w:tc>
          <w:tcPr>
            <w:tcW w:w="2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3"/>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13"/>
          </w:tcPr>
          <w:p>
            <w:pPr>
              <w:jc w:val="center"/>
              <w:ind w:right="157"/>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as of December 31, 2024</w:t>
            </w:r>
          </w:p>
        </w:tc>
      </w:tr>
      <w:tr>
        <w:trPr>
          <w:trHeight w:val="19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7"/>
                <w:szCs w:val="17"/>
                <w:color w:val="auto"/>
              </w:rPr>
            </w:pP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w w:val="97"/>
              </w:rPr>
              <w:t>&lt; 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40" w:type="dxa"/>
            <w:vAlign w:val="bottom"/>
          </w:tcPr>
          <w:p>
            <w:pPr>
              <w:spacing w:after="0"/>
              <w:rPr>
                <w:sz w:val="17"/>
                <w:szCs w:val="17"/>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w:t>
            </w:r>
          </w:p>
        </w:tc>
      </w:tr>
      <w:tr>
        <w:trPr>
          <w:trHeight w:val="24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35"/>
        </w:trPr>
        <w:tc>
          <w:tcPr>
            <w:tcW w:w="2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40"/>
          </w:cols>
          <w:pgMar w:left="320" w:top="1159" w:right="439" w:bottom="1440" w:gutter="0" w:footer="0" w:header="0"/>
        </w:sectPr>
      </w:pPr>
    </w:p>
    <w:bookmarkStart w:id="100" w:name="page101"/>
    <w:bookmarkEnd w:id="100"/>
    <w:p>
      <w:pPr>
        <w:ind w:right="500"/>
        <w:spacing w:after="0" w:line="275" w:lineRule="auto"/>
        <w:rPr>
          <w:sz w:val="20"/>
          <w:szCs w:val="20"/>
          <w:color w:val="auto"/>
        </w:rPr>
      </w:pPr>
      <w:r>
        <w:rPr>
          <w:rFonts w:ascii="Times New Roman" w:cs="Times New Roman" w:eastAsia="Times New Roman" w:hAnsi="Times New Roman"/>
          <w:sz w:val="17"/>
          <w:szCs w:val="17"/>
          <w:color w:val="auto"/>
        </w:rPr>
        <w:t>The following tables detail the origination year of our originated vacation ownership notes receivable, before reserves, by brand and borrower FICO score at origination as of December 31, 2025, and gross write-offs by brand for the year ended December 31, 2025.</w:t>
      </w:r>
    </w:p>
    <w:tbl>
      <w:tblPr>
        <w:tblLayout w:type="fixed"/>
        <w:tblInd w:w="0" w:type="dxa"/>
        <w:tblCellMar>
          <w:top w:w="0" w:type="dxa"/>
          <w:left w:w="0" w:type="dxa"/>
          <w:bottom w:w="0" w:type="dxa"/>
          <w:right w:w="0" w:type="dxa"/>
        </w:tblCellMar>
      </w:tblPr>
      <w:tr>
        <w:trPr>
          <w:trHeight w:val="205"/>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20" w:type="dxa"/>
            <w:vAlign w:val="bottom"/>
            <w:tcBorders>
              <w:bottom w:val="single" w:sz="8" w:color="auto"/>
            </w:tcBorders>
            <w:gridSpan w:val="25"/>
          </w:tcPr>
          <w:p>
            <w:pPr>
              <w:jc w:val="right"/>
              <w:ind w:right="596"/>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 Marriott Vacation Ownership</w:t>
            </w:r>
          </w:p>
        </w:tc>
      </w:tr>
      <w:tr>
        <w:trPr>
          <w:trHeight w:val="199"/>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2021 &amp; Prior</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224"/>
        </w:trPr>
        <w:tc>
          <w:tcPr>
            <w:tcW w:w="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w:t>
            </w:r>
          </w:p>
        </w:tc>
        <w:tc>
          <w:tcPr>
            <w:tcW w:w="1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r>
      <w:tr>
        <w:trPr>
          <w:trHeight w:val="24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600</w:t>
            </w:r>
          </w:p>
        </w:tc>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w:t>
            </w:r>
          </w:p>
        </w:tc>
      </w:tr>
      <w:tr>
        <w:trPr>
          <w:trHeight w:val="24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 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43"/>
        </w:trPr>
        <w:tc>
          <w:tcPr>
            <w:tcW w:w="1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 Score</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w:t>
            </w:r>
          </w:p>
        </w:tc>
      </w:tr>
      <w:tr>
        <w:trPr>
          <w:trHeight w:val="235"/>
        </w:trPr>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r>
      <w:tr>
        <w:trPr>
          <w:trHeight w:val="20"/>
        </w:trPr>
        <w:tc>
          <w:tcPr>
            <w:tcW w:w="16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4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write-offs</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522"/>
        </w:trPr>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24"/>
          </w:tcPr>
          <w:p>
            <w:pPr>
              <w:jc w:val="right"/>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 Hyatt Vacation Ownership</w:t>
            </w:r>
          </w:p>
        </w:tc>
        <w:tc>
          <w:tcPr>
            <w:tcW w:w="720" w:type="dxa"/>
            <w:vAlign w:val="bottom"/>
            <w:tcBorders>
              <w:bottom w:val="single" w:sz="8" w:color="auto"/>
            </w:tcBorders>
          </w:tcPr>
          <w:p>
            <w:pPr>
              <w:spacing w:after="0"/>
              <w:rPr>
                <w:sz w:val="24"/>
                <w:szCs w:val="24"/>
                <w:color w:val="auto"/>
              </w:rPr>
            </w:pPr>
          </w:p>
        </w:tc>
      </w:tr>
      <w:tr>
        <w:trPr>
          <w:trHeight w:val="199"/>
        </w:trPr>
        <w:tc>
          <w:tcPr>
            <w:tcW w:w="1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2021 &amp; Prior</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224"/>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4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600</w:t>
            </w:r>
          </w:p>
        </w:tc>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4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 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 Score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5"/>
        </w:trPr>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0"/>
        </w:trPr>
        <w:tc>
          <w:tcPr>
            <w:tcW w:w="16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4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write-offs</w:t>
            </w: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Acquired Vacation Ownership Notes Receivable</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Acquired vacation ownership notes receivable represent vacation ownership notes receivable acquired as part of the ILG Acquisition and the Welk Acquisition. The following table shows future contractual principal payments, net of an $8 million reserve, and interest rates for our acquired vacation ownership notes receivable at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7"/>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60" w:type="dxa"/>
            <w:vAlign w:val="bottom"/>
          </w:tcPr>
          <w:p>
            <w:pPr>
              <w:spacing w:after="0"/>
              <w:rPr>
                <w:sz w:val="17"/>
                <w:szCs w:val="17"/>
                <w:color w:val="auto"/>
              </w:rPr>
            </w:pPr>
          </w:p>
        </w:tc>
        <w:tc>
          <w:tcPr>
            <w:tcW w:w="1260" w:type="dxa"/>
            <w:vAlign w:val="bottom"/>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35"/>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6"/>
              <w:spacing w:after="0" w:line="189" w:lineRule="exact"/>
              <w:rPr>
                <w:sz w:val="20"/>
                <w:szCs w:val="20"/>
                <w:color w:val="auto"/>
              </w:rPr>
            </w:pPr>
            <w:r>
              <w:rPr>
                <w:rFonts w:ascii="Times New Roman" w:cs="Times New Roman" w:eastAsia="Times New Roman" w:hAnsi="Times New Roman"/>
                <w:sz w:val="17"/>
                <w:szCs w:val="17"/>
                <w:color w:val="auto"/>
              </w:rPr>
              <w:t>13.8%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56"/>
              <w:spacing w:after="0" w:line="189" w:lineRule="exact"/>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6"/>
              <w:spacing w:after="0" w:line="189" w:lineRule="exact"/>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rPr>
              <w:t>0.0% to 21.9%</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rPr>
              <w:t>0.0% to 21.9%</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rPr>
              <w:t>0.0% to 21.9%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249"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color w:val="auto"/>
        </w:rPr>
        <w:t>The following tables show acquired vacation ownership notes receivable, before reserves, by brand and borrower FICO score at origination.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gridSpan w:val="19"/>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as of December 31, 2025</w:t>
            </w:r>
          </w:p>
        </w:tc>
      </w:tr>
      <w:tr>
        <w:trPr>
          <w:trHeight w:val="19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7"/>
                <w:szCs w:val="17"/>
                <w:color w:val="auto"/>
              </w:rPr>
            </w:pPr>
          </w:p>
        </w:tc>
        <w:tc>
          <w:tcPr>
            <w:tcW w:w="800" w:type="dxa"/>
            <w:vAlign w:val="bottom"/>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1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20" w:type="dxa"/>
            <w:vAlign w:val="bottom"/>
          </w:tcPr>
          <w:p>
            <w:pPr>
              <w:spacing w:after="0"/>
              <w:rPr>
                <w:sz w:val="17"/>
                <w:szCs w:val="17"/>
                <w:color w:val="auto"/>
              </w:rPr>
            </w:pPr>
          </w:p>
        </w:tc>
        <w:tc>
          <w:tcPr>
            <w:tcW w:w="820" w:type="dxa"/>
            <w:vAlign w:val="bottom"/>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35"/>
        </w:trPr>
        <w:tc>
          <w:tcPr>
            <w:tcW w:w="26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91"/>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19"/>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as of December 31, 2024</w:t>
            </w:r>
          </w:p>
        </w:tc>
      </w:tr>
      <w:tr>
        <w:trPr>
          <w:trHeight w:val="19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7"/>
                <w:szCs w:val="17"/>
                <w:color w:val="auto"/>
              </w:rPr>
            </w:pPr>
          </w:p>
        </w:tc>
        <w:tc>
          <w:tcPr>
            <w:tcW w:w="800" w:type="dxa"/>
            <w:vAlign w:val="bottom"/>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20" w:type="dxa"/>
            <w:vAlign w:val="bottom"/>
          </w:tcPr>
          <w:p>
            <w:pPr>
              <w:spacing w:after="0"/>
              <w:rPr>
                <w:sz w:val="17"/>
                <w:szCs w:val="17"/>
                <w:color w:val="auto"/>
              </w:rPr>
            </w:pPr>
          </w:p>
        </w:tc>
        <w:tc>
          <w:tcPr>
            <w:tcW w:w="820" w:type="dxa"/>
            <w:vAlign w:val="bottom"/>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35"/>
        </w:trPr>
        <w:tc>
          <w:tcPr>
            <w:tcW w:w="26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on Non-Accrual Status</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For both non-securitized and securitized vacation ownership notes receivable, we estimated the average remaining default rate of 13.51% as of December 31, 2025 and 13.96% as of December 31, 2024. A 0.5 percentage point increase in the estimated default rate would have resulted in an increase in the related vacation ownership notes receivable reserve of $15 million as of December 31, 2025 and $14 million as of December 31, 2024.</w:t>
      </w:r>
    </w:p>
    <w:p>
      <w:pPr>
        <w:spacing w:after="0" w:line="6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The following table shows our recorded investment in non-accrual vacation ownership notes receivable, which are vacation ownership notes receivable that are 90 days or more past due.</w:t>
      </w:r>
    </w:p>
    <w:p>
      <w:pPr>
        <w:sectPr>
          <w:pgSz w:w="11900" w:h="16838" w:orient="portrait"/>
          <w:cols w:equalWidth="0" w:num="1">
            <w:col w:w="11120"/>
          </w:cols>
          <w:pgMar w:left="320" w:top="1197" w:right="459" w:bottom="1440" w:gutter="0" w:footer="0" w:header="0"/>
        </w:sect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39" w:lineRule="exact"/>
        <w:rPr>
          <w:sz w:val="20"/>
          <w:szCs w:val="20"/>
          <w:color w:val="auto"/>
        </w:rPr>
      </w:pPr>
    </w:p>
    <w:p>
      <w:pPr>
        <w:ind w:left="20"/>
        <w:spacing w:after="0" w:line="246" w:lineRule="auto"/>
        <w:rPr>
          <w:sz w:val="20"/>
          <w:szCs w:val="20"/>
          <w:color w:val="auto"/>
        </w:rPr>
      </w:pPr>
      <w:r>
        <w:rPr>
          <w:rFonts w:ascii="Times New Roman" w:cs="Times New Roman" w:eastAsia="Times New Roman" w:hAnsi="Times New Roman"/>
          <w:sz w:val="17"/>
          <w:szCs w:val="17"/>
          <w:color w:val="auto"/>
        </w:rPr>
        <w:t>Investment in vacation ownership notes receivable on non-accrual status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-251460</wp:posOffset>
            </wp:positionV>
            <wp:extent cx="5263515" cy="2520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263515" cy="252095"/>
                    </a:xfrm>
                    <a:prstGeom prst="rect">
                      <a:avLst/>
                    </a:prstGeom>
                    <a:noFill/>
                  </pic:spPr>
                </pic:pic>
              </a:graphicData>
            </a:graphic>
          </wp:anchor>
        </w:drawing>
      </w:r>
    </w:p>
    <w:p>
      <w:pPr>
        <w:ind w:left="20"/>
        <w:spacing w:after="0" w:line="246" w:lineRule="auto"/>
        <w:rPr>
          <w:sz w:val="20"/>
          <w:szCs w:val="20"/>
          <w:color w:val="auto"/>
        </w:rPr>
      </w:pPr>
      <w:r>
        <w:rPr>
          <w:rFonts w:ascii="Times New Roman" w:cs="Times New Roman" w:eastAsia="Times New Roman" w:hAnsi="Times New Roman"/>
          <w:sz w:val="17"/>
          <w:szCs w:val="17"/>
          <w:color w:val="auto"/>
        </w:rPr>
        <w:t>Investment in vacation ownership notes receivable on non-accrual status at December 31, 2024</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b w:val="1"/>
          <w:bCs w:val="1"/>
          <w:color w:val="auto"/>
        </w:rPr>
        <w:t>Vacation Ownership Notes Receivable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78"/>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88"/>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24"/>
                <w:szCs w:val="24"/>
                <w:color w:val="auto"/>
              </w:rPr>
            </w:pPr>
          </w:p>
        </w:tc>
        <w:tc>
          <w:tcPr>
            <w:tcW w:w="1020" w:type="dxa"/>
            <w:vAlign w:val="bottom"/>
            <w:tcBorders>
              <w:top w:val="single" w:sz="8" w:color="auto"/>
            </w:tcBorders>
          </w:tcPr>
          <w:p>
            <w:pPr>
              <w:jc w:val="right"/>
              <w:ind w:right="818"/>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20</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39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24"/>
                <w:szCs w:val="24"/>
                <w:color w:val="auto"/>
              </w:rPr>
            </w:pPr>
          </w:p>
        </w:tc>
        <w:tc>
          <w:tcPr>
            <w:tcW w:w="102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24</w:t>
            </w:r>
          </w:p>
        </w:tc>
        <w:tc>
          <w:tcPr>
            <w:tcW w:w="120" w:type="dxa"/>
            <w:vAlign w:val="bottom"/>
          </w:tcPr>
          <w:p>
            <w:pPr>
              <w:spacing w:after="0"/>
              <w:rPr>
                <w:sz w:val="24"/>
                <w:szCs w:val="24"/>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bl>
    <w:p>
      <w:pPr>
        <w:spacing w:after="0" w:line="293" w:lineRule="exact"/>
        <w:rPr>
          <w:sz w:val="20"/>
          <w:szCs w:val="20"/>
          <w:color w:val="auto"/>
        </w:rPr>
      </w:pPr>
    </w:p>
    <w:p>
      <w:pPr>
        <w:sectPr>
          <w:pgSz w:w="11900" w:h="16838" w:orient="portrait"/>
          <w:cols w:equalWidth="0" w:num="2">
            <w:col w:w="4040" w:space="240"/>
            <w:col w:w="6840"/>
          </w:cols>
          <w:pgMar w:left="320" w:top="1197" w:right="459" w:bottom="1440" w:gutter="0" w:footer="0" w:header="0"/>
          <w:type w:val="continuous"/>
        </w:sectPr>
      </w:pPr>
    </w:p>
    <w:p>
      <w:pPr>
        <w:spacing w:after="0" w:line="73"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The following table shows the aging of the recorded investment in principal, before reserves, in vacation ownership notes receivable as of December 31, 2025 and December 31,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77"/>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77"/>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31 – 90 days past due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43"/>
        </w:trPr>
        <w:tc>
          <w:tcPr>
            <w:tcW w:w="1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91 – 120 days past due</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Greater than 120 days</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past due</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23"/>
        </w:trPr>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past due</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2,678</w:t>
            </w:r>
          </w:p>
        </w:tc>
        <w:tc>
          <w:tcPr>
            <w:tcW w:w="0" w:type="dxa"/>
            <w:vAlign w:val="bottom"/>
          </w:tcPr>
          <w:p>
            <w:pPr>
              <w:spacing w:after="0"/>
              <w:rPr>
                <w:sz w:val="1"/>
                <w:szCs w:val="1"/>
                <w:color w:val="auto"/>
              </w:rPr>
            </w:pPr>
          </w:p>
        </w:tc>
      </w:tr>
      <w:tr>
        <w:trPr>
          <w:trHeight w:val="146"/>
        </w:trPr>
        <w:tc>
          <w:tcPr>
            <w:tcW w:w="19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Total vacation ownership</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2,188</w:t>
            </w:r>
          </w:p>
        </w:tc>
        <w:tc>
          <w:tcPr>
            <w:tcW w:w="120" w:type="dxa"/>
            <w:vAlign w:val="bottom"/>
          </w:tcPr>
          <w:p>
            <w:pPr>
              <w:spacing w:after="0"/>
              <w:rPr>
                <w:sz w:val="12"/>
                <w:szCs w:val="12"/>
                <w:color w:val="auto"/>
              </w:rPr>
            </w:pPr>
          </w:p>
        </w:tc>
        <w:tc>
          <w:tcPr>
            <w:tcW w:w="20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3,100</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3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2,197</w:t>
            </w:r>
          </w:p>
        </w:tc>
        <w:tc>
          <w:tcPr>
            <w:tcW w:w="120" w:type="dxa"/>
            <w:vAlign w:val="bottom"/>
          </w:tcPr>
          <w:p>
            <w:pPr>
              <w:spacing w:after="0"/>
              <w:rPr>
                <w:sz w:val="12"/>
                <w:szCs w:val="12"/>
                <w:color w:val="auto"/>
              </w:rPr>
            </w:pPr>
          </w:p>
        </w:tc>
        <w:tc>
          <w:tcPr>
            <w:tcW w:w="20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0" w:type="dxa"/>
            <w:vAlign w:val="bottom"/>
          </w:tcPr>
          <w:p>
            <w:pPr>
              <w:spacing w:after="0"/>
              <w:rPr>
                <w:sz w:val="1"/>
                <w:szCs w:val="1"/>
                <w:color w:val="auto"/>
              </w:rPr>
            </w:pPr>
          </w:p>
        </w:tc>
      </w:tr>
      <w:tr>
        <w:trPr>
          <w:trHeight w:val="205"/>
        </w:trPr>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w:t>
            </w: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20"/>
          </w:cols>
          <w:pgMar w:left="320" w:top="1197" w:right="45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6. FINANCIAL INSTRUMENTS</w:t>
      </w:r>
    </w:p>
    <w:p>
      <w:pPr>
        <w:spacing w:after="0" w:line="1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8"/>
          </w:tcPr>
          <w:p>
            <w:pPr>
              <w:ind w:left="200"/>
              <w:spacing w:after="0"/>
              <w:rPr>
                <w:sz w:val="20"/>
                <w:szCs w:val="20"/>
                <w:color w:val="auto"/>
              </w:rPr>
            </w:pPr>
            <w:r>
              <w:rPr>
                <w:rFonts w:ascii="Times New Roman" w:cs="Times New Roman" w:eastAsia="Times New Roman" w:hAnsi="Times New Roman"/>
                <w:sz w:val="15"/>
                <w:szCs w:val="15"/>
                <w:b w:val="1"/>
                <w:bCs w:val="1"/>
                <w:color w:val="auto"/>
              </w:rPr>
              <w:t>At December 31, 2025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gridSpan w:val="6"/>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0" w:type="dxa"/>
            <w:vAlign w:val="bottom"/>
          </w:tcPr>
          <w:p>
            <w:pPr>
              <w:spacing w:after="0"/>
              <w:rPr>
                <w:sz w:val="1"/>
                <w:szCs w:val="1"/>
                <w:color w:val="auto"/>
              </w:rPr>
            </w:pPr>
          </w:p>
        </w:tc>
      </w:tr>
      <w:tr>
        <w:trPr>
          <w:trHeight w:val="199"/>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24"/>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3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0" w:type="dxa"/>
            <w:vAlign w:val="bottom"/>
          </w:tcPr>
          <w:p>
            <w:pPr>
              <w:spacing w:after="0"/>
              <w:rPr>
                <w:sz w:val="1"/>
                <w:szCs w:val="1"/>
                <w:color w:val="auto"/>
              </w:rPr>
            </w:pPr>
          </w:p>
        </w:tc>
      </w:tr>
      <w:tr>
        <w:trPr>
          <w:trHeight w:val="166"/>
        </w:trPr>
        <w:tc>
          <w:tcPr>
            <w:tcW w:w="31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Contracts receivable for financed VOI sales,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4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10"/>
        </w:trPr>
        <w:tc>
          <w:tcPr>
            <w:tcW w:w="3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financial assets</w:t>
            </w:r>
          </w:p>
        </w:tc>
        <w:tc>
          <w:tcPr>
            <w:tcW w:w="3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2,728</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0" w:type="dxa"/>
            <w:vAlign w:val="bottom"/>
          </w:tcPr>
          <w:p>
            <w:pPr>
              <w:spacing w:after="0"/>
              <w:rPr>
                <w:sz w:val="1"/>
                <w:szCs w:val="1"/>
                <w:color w:val="auto"/>
              </w:rPr>
            </w:pPr>
          </w:p>
        </w:tc>
      </w:tr>
      <w:tr>
        <w:trPr>
          <w:trHeight w:val="24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net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Revolving Corporate Credit Facility, net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2028</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net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43"/>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2029</w:t>
            </w: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net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2033</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net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notes, net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2027</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notes, net</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0" w:type="dxa"/>
            <w:vAlign w:val="bottom"/>
          </w:tcPr>
          <w:p>
            <w:pPr>
              <w:spacing w:after="0"/>
              <w:rPr>
                <w:sz w:val="1"/>
                <w:szCs w:val="1"/>
                <w:color w:val="auto"/>
              </w:rPr>
            </w:pPr>
          </w:p>
        </w:tc>
      </w:tr>
      <w:tr>
        <w:trPr>
          <w:trHeight w:val="210"/>
        </w:trPr>
        <w:tc>
          <w:tcPr>
            <w:tcW w:w="3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financial liabilities</w:t>
            </w:r>
          </w:p>
        </w:tc>
        <w:tc>
          <w:tcPr>
            <w:tcW w:w="3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8"/>
          </w:tcPr>
          <w:p>
            <w:pPr>
              <w:ind w:left="220"/>
              <w:spacing w:after="0"/>
              <w:rPr>
                <w:sz w:val="20"/>
                <w:szCs w:val="20"/>
                <w:color w:val="auto"/>
              </w:rPr>
            </w:pPr>
            <w:r>
              <w:rPr>
                <w:rFonts w:ascii="Times New Roman" w:cs="Times New Roman" w:eastAsia="Times New Roman" w:hAnsi="Times New Roman"/>
                <w:sz w:val="15"/>
                <w:szCs w:val="15"/>
                <w:b w:val="1"/>
                <w:bCs w:val="1"/>
                <w:color w:val="auto"/>
              </w:rPr>
              <w:t>At December 31, 2025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6"/>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0" w:type="dxa"/>
            <w:vAlign w:val="bottom"/>
          </w:tcPr>
          <w:p>
            <w:pPr>
              <w:spacing w:after="0"/>
              <w:rPr>
                <w:sz w:val="1"/>
                <w:szCs w:val="1"/>
                <w:color w:val="auto"/>
              </w:rPr>
            </w:pPr>
          </w:p>
        </w:tc>
      </w:tr>
      <w:tr>
        <w:trPr>
          <w:trHeight w:val="199"/>
        </w:trPr>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24"/>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0" w:type="dxa"/>
            <w:vAlign w:val="bottom"/>
          </w:tcPr>
          <w:p>
            <w:pPr>
              <w:spacing w:after="0"/>
              <w:rPr>
                <w:sz w:val="1"/>
                <w:szCs w:val="1"/>
                <w:color w:val="auto"/>
              </w:rPr>
            </w:pPr>
          </w:p>
        </w:tc>
      </w:tr>
      <w:tr>
        <w:trPr>
          <w:trHeight w:val="256"/>
        </w:trPr>
        <w:tc>
          <w:tcPr>
            <w:tcW w:w="318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Eligible for securitization</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Not eligible for securitization</w:t>
            </w: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Non-securitized</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0" w:type="dxa"/>
            <w:vAlign w:val="bottom"/>
          </w:tcPr>
          <w:p>
            <w:pPr>
              <w:spacing w:after="0"/>
              <w:rPr>
                <w:sz w:val="1"/>
                <w:szCs w:val="1"/>
                <w:color w:val="auto"/>
              </w:rPr>
            </w:pPr>
          </w:p>
        </w:tc>
      </w:tr>
      <w:tr>
        <w:trPr>
          <w:trHeight w:val="256"/>
        </w:trPr>
        <w:tc>
          <w:tcPr>
            <w:tcW w:w="38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4"/>
              </w:rPr>
              <w:t>Total</w:t>
            </w:r>
          </w:p>
        </w:tc>
        <w:tc>
          <w:tcPr>
            <w:tcW w:w="2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2,565</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6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color w:val="auto"/>
        </w:rPr>
        <w:t>other similar factors that may reflect investor demand in a securitization transaction or the cost to effectively securitize the vacation ownership notes receivable.</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Contracts Receivable for Financed VOI Sales</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At the time at which we recognize revenue for our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We concluded that this fair value measurement should be categorized within Level 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Assets</w:t>
      </w:r>
    </w:p>
    <w:p>
      <w:pPr>
        <w:spacing w:after="0" w:line="118"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7"/>
          <w:szCs w:val="17"/>
          <w:color w:val="auto"/>
        </w:rPr>
        <w:t>Other assets include $168 million and $131 million of COLI policies acquired on the lives of certain participants in the Marriott Vacations Worldwide Deferred Compensation Plan at December 31, 2025 and December 31, 2024, respectively, that are held in a rabbi trust. The carrying value of the COLI policies is equal to their cash surrender value (Level 2 inputs).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Securitized Debt</w:t>
      </w:r>
    </w:p>
    <w:p>
      <w:pPr>
        <w:spacing w:after="0" w:line="11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18"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Term Loan (as defined in Footnote 15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Corporate Credit Facility</w:t>
      </w:r>
    </w:p>
    <w:p>
      <w:pPr>
        <w:spacing w:after="0" w:line="118"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We estimate that the gross carrying value of our Revolving Corporate Credit Facility (as defined in Footnote 15 “Debt”) approximates fair value as the contractual interest rate is variable plus an applicable margin. We concluded that this fair value measurement should be categorized within Level 3.</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1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2028 Notes, 2029 Notes, and 2033 Notes (each as defined in Footnote 15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18"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EARNINGS PER SHARE</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Basic earnings or loss per share attributable to common stockholders is calculated by dividing net income or loss attributable to common stockholders by the weighted average number of shares of common stock outstanding during the reporting period. Diluted earnings or loss per share attributable to common stockholders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share applicable to common stockholders by application of the treasury stock method.</w:t>
      </w:r>
    </w:p>
    <w:p>
      <w:pPr>
        <w:spacing w:after="0" w:line="7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shares issuable on exercise of the warrants sold in connection with the issuance of our convertible notes will not impact the total dilutive weighted average shares outstanding unless and until the price of our common stock exceeds the respective strike price. If the price of our common stock exceeds the respective strike price of any of the warrants, we will include the dilutive effect of the additional shares that may be issued upon exercise of the warrants in total dilutive weighted average shares outstanding, which we calculate using the treasury stock method, to the extent that the additional shares are dilutive. The convertible note hedges purchased in connection with each issuance of the convertible notes are considered to be anti-dilutive and do not impact our calculation of diluted earnings per share attributable to common stockholders for any periods presented herein.</w:t>
      </w:r>
    </w:p>
    <w:p>
      <w:pPr>
        <w:spacing w:after="0" w:line="74"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7"/>
          <w:szCs w:val="17"/>
          <w:color w:val="auto"/>
        </w:rPr>
        <w:t>The tables below illustrate the reconciliation of the earnings or loss and number of shares used in our calculation of basic and diluted earnings or loss per share attributable to common stockholders.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attributable to common stockholders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4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Shares for basic (loss) earnings per share</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3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(loss) earnings per share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5"/>
                <w:szCs w:val="15"/>
                <w:b w:val="1"/>
                <w:bCs w:val="1"/>
                <w:color w:val="auto"/>
              </w:rPr>
              <w:t>2024</w:t>
            </w:r>
            <w:r>
              <w:rPr>
                <w:rFonts w:ascii="Times New Roman" w:cs="Times New Roman" w:eastAsia="Times New Roman" w:hAnsi="Times New Roman"/>
                <w:sz w:val="19"/>
                <w:szCs w:val="19"/>
                <w:b w:val="1"/>
                <w:bCs w:val="1"/>
                <w:color w:val="auto"/>
                <w:vertAlign w:val="superscript"/>
              </w:rPr>
              <w:t>(1)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5"/>
                <w:szCs w:val="15"/>
                <w:b w:val="1"/>
                <w:bCs w:val="1"/>
                <w:color w:val="auto"/>
              </w:rPr>
              <w:t>2023</w:t>
            </w:r>
            <w:r>
              <w:rPr>
                <w:rFonts w:ascii="Times New Roman" w:cs="Times New Roman" w:eastAsia="Times New Roman" w:hAnsi="Times New Roman"/>
                <w:sz w:val="19"/>
                <w:szCs w:val="19"/>
                <w:b w:val="1"/>
                <w:bCs w:val="1"/>
                <w:color w:val="auto"/>
                <w:vertAlign w:val="superscript"/>
              </w:rPr>
              <w:t>(1)</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attributable to common stockholders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166"/>
        </w:trPr>
        <w:tc>
          <w:tcPr>
            <w:tcW w:w="47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Add back of interest expense related to convertible notes, net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0"/>
        </w:trPr>
        <w:tc>
          <w:tcPr>
            <w:tcW w:w="47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tax</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 used to calculate diluted (loss) earnings per share</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r>
      <w:tr>
        <w:trPr>
          <w:trHeight w:val="243"/>
        </w:trPr>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for basic (loss) earnings per share</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43"/>
        </w:trPr>
        <w:tc>
          <w:tcPr>
            <w:tcW w:w="476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Effect of dilutive shares outstanding</w:t>
            </w:r>
            <w:r>
              <w:rPr>
                <w:rFonts w:ascii="Times New Roman" w:cs="Times New Roman" w:eastAsia="Times New Roman" w:hAnsi="Times New Roman"/>
                <w:sz w:val="22"/>
                <w:szCs w:val="22"/>
                <w:color w:val="auto"/>
                <w:vertAlign w:val="superscript"/>
              </w:rPr>
              <w:t>(3)</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Employee SARs</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43"/>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Restricted stock units</w:t>
            </w: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43"/>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2026 Convertible Notes</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3"/>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2027 Convertible Notes</w:t>
            </w: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for diluted (loss) earnings per share</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(loss) earnings per share</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w:t>
            </w: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300" w:right="160" w:hanging="298"/>
        <w:spacing w:after="0" w:line="238" w:lineRule="auto"/>
        <w:tabs>
          <w:tab w:leader="none" w:pos="288"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computations of diluted earnings per share attributable to common stockholders above exclude approximately 222,000 and 193,000 shares of common stock, the maximum number of shares issuable as of December 31, 2024 and December 31, 2023, respectively, upon the vesting of certain performance-based awards, because the performance conditions required to be met for the shares subject to such awards to vest were not achieved by the end of the reporting period.</w:t>
      </w:r>
    </w:p>
    <w:p>
      <w:pPr>
        <w:spacing w:after="0" w:line="88" w:lineRule="exact"/>
        <w:rPr>
          <w:rFonts w:ascii="Times New Roman" w:cs="Times New Roman" w:eastAsia="Times New Roman" w:hAnsi="Times New Roman"/>
          <w:sz w:val="22"/>
          <w:szCs w:val="22"/>
          <w:color w:val="auto"/>
          <w:vertAlign w:val="superscript"/>
        </w:rPr>
      </w:pPr>
    </w:p>
    <w:p>
      <w:pPr>
        <w:ind w:left="300" w:right="400" w:hanging="298"/>
        <w:spacing w:after="0" w:line="228" w:lineRule="auto"/>
        <w:tabs>
          <w:tab w:leader="none" w:pos="288"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2025, $18 million of interest expense related to convertible notes, net of tax, was excluded from the above calculation of diluted net loss per share attributable to common stockholders as the effects of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05" w:name="page106"/>
    <w:bookmarkEnd w:id="105"/>
    <w:p>
      <w:pPr>
        <w:ind w:left="300" w:right="400" w:hanging="298"/>
        <w:spacing w:after="0" w:line="228" w:lineRule="auto"/>
        <w:tabs>
          <w:tab w:leader="none" w:pos="288"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2025, the following potentially dilutive securities were excluded from the above calculation of diluted net loss per share attributable to common stockholders as the effects of including these securities would have been anti-dilutive.</w:t>
      </w:r>
    </w:p>
    <w:p>
      <w:pPr>
        <w:spacing w:after="0" w:line="43" w:lineRule="exact"/>
        <w:rPr>
          <w:sz w:val="20"/>
          <w:szCs w:val="20"/>
          <w:color w:val="auto"/>
        </w:rPr>
      </w:pPr>
    </w:p>
    <w:tbl>
      <w:tblPr>
        <w:tblLayout w:type="fixed"/>
        <w:tblInd w:w="300" w:type="dxa"/>
        <w:tblCellMar>
          <w:top w:w="0" w:type="dxa"/>
          <w:left w:w="0" w:type="dxa"/>
          <w:bottom w:w="0" w:type="dxa"/>
          <w:right w:w="0" w:type="dxa"/>
        </w:tblCellMar>
      </w:tblPr>
      <w:tr>
        <w:trPr>
          <w:trHeight w:val="225"/>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17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 Convertible Notes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 Convertible Notes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0"/>
        </w:trPr>
        <w:tc>
          <w:tcPr>
            <w:tcW w:w="628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
        </w:trPr>
        <w:tc>
          <w:tcPr>
            <w:tcW w:w="6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In accordance with the applicable accounting guidance for calculating earnings per share, for the year ended December 31, 2024, we excluded from our calculation of diluted earnings per share 643,167 shares underlying SARs that may settle in shares of common stock because the exercise prices of such SARs, which ranged from $93.73 to $173.88, were greater than the average market price of our common stock for the applicable period.</w:t>
      </w:r>
    </w:p>
    <w:p>
      <w:pPr>
        <w:spacing w:after="0" w:line="6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For the year ended December 31, 2023, we excluded from our calculation of diluted earnings per share 287,125 shares underlying SARs that may settle in shares of common stock because the exercise prices of such SARs, which ranged from $143.38 to $173.88, were greater than the average market price of our common stock for the applicable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INVENTORY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inventory balances: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At Year-End 2025</w:t>
            </w:r>
          </w:p>
        </w:tc>
        <w:tc>
          <w:tcPr>
            <w:tcW w:w="160" w:type="dxa"/>
            <w:vAlign w:val="bottom"/>
          </w:tcPr>
          <w:p>
            <w:pPr>
              <w:spacing w:after="0"/>
              <w:rPr>
                <w:sz w:val="17"/>
                <w:szCs w:val="17"/>
                <w:color w:val="auto"/>
              </w:rPr>
            </w:pPr>
          </w:p>
        </w:tc>
        <w:tc>
          <w:tcPr>
            <w:tcW w:w="144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At Year-End 2024</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inventory</w:t>
            </w:r>
            <w:r>
              <w:rPr>
                <w:rFonts w:ascii="Times New Roman" w:cs="Times New Roman" w:eastAsia="Times New Roman" w:hAnsi="Times New Roman"/>
                <w:sz w:val="19"/>
                <w:szCs w:val="19"/>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5"/>
        </w:trPr>
        <w:tc>
          <w:tcPr>
            <w:tcW w:w="4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300" w:right="300" w:hanging="298"/>
        <w:spacing w:after="0" w:line="228" w:lineRule="auto"/>
        <w:tabs>
          <w:tab w:leader="none" w:pos="288"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completed inventory that is registered for sale as VOIs and vacation ownership inventory expected to be reacquired pursuant to estimated future defaults on originated vacation ownership notes receivable.</w:t>
      </w:r>
    </w:p>
    <w:p>
      <w:pPr>
        <w:spacing w:after="0" w:line="13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addition to the above, at December 31, 2025 and December 31, 2024, we had $224 million and $271 million, respectively, of completed vacation ownership units which are classified as a component of Property and equipment, net until the time at which they are available and legally registered for sale as vacation ownership products.</w:t>
      </w:r>
    </w:p>
    <w:p>
      <w:pPr>
        <w:spacing w:after="0" w:line="11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7"/>
          <w:szCs w:val="17"/>
          <w:color w:val="auto"/>
        </w:rPr>
        <w:t>We also had deposits on future purchases of inventory of $31 million at December 31, 2025, of which $26 million was included in Other assets and $5 million was included in Accounts and contracts receivable, net on our Balance Sheet, and $33 million at December 31, 2024, of which $29 million was included in Other assets and $4 million was included in Accounts and contracts receivable, net on our Balance Sheet.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Footnote 20 “Restructuring and Impairment” for information on the impairment of inventory.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PROPERTY AND EQUIPMENT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composition of our property and equipment balances: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At Year-End 2025</w:t>
            </w:r>
          </w:p>
        </w:tc>
        <w:tc>
          <w:tcPr>
            <w:tcW w:w="160" w:type="dxa"/>
            <w:vAlign w:val="bottom"/>
          </w:tcPr>
          <w:p>
            <w:pPr>
              <w:spacing w:after="0"/>
              <w:rPr>
                <w:sz w:val="17"/>
                <w:szCs w:val="17"/>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At Year-End 2024</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land improvements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leasehold improvements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fixtures and other equipment</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Information technology</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r>
      <w:tr>
        <w:trPr>
          <w:trHeight w:val="210"/>
        </w:trPr>
        <w:tc>
          <w:tcPr>
            <w:tcW w:w="49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Footnote 20 “Restructuring and Impairment” for information on the impairment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146"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color w:val="auto"/>
        </w:rPr>
        <w:t>10. GOODWILL</w:t>
      </w:r>
    </w:p>
    <w:p>
      <w:pPr>
        <w:spacing w:after="0" w:line="116"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17"/>
          <w:szCs w:val="17"/>
          <w:color w:val="auto"/>
        </w:rPr>
        <w:t>The following table details the carrying amount of our goodwill at December 31, 2025 and December 31, 2024, and reflects goodwill attributed to the ILG Acquisition and the Welk Acquisition.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Exchange &amp; Third-Party</w:t>
            </w:r>
          </w:p>
        </w:tc>
        <w:tc>
          <w:tcPr>
            <w:tcW w:w="160" w:type="dxa"/>
            <w:vAlign w:val="bottom"/>
          </w:tcPr>
          <w:p>
            <w:pPr>
              <w:spacing w:after="0"/>
              <w:rPr>
                <w:sz w:val="15"/>
                <w:szCs w:val="15"/>
                <w:color w:val="auto"/>
              </w:rPr>
            </w:pPr>
          </w:p>
        </w:tc>
        <w:tc>
          <w:tcPr>
            <w:tcW w:w="1540" w:type="dxa"/>
            <w:vAlign w:val="bottom"/>
            <w:vMerge w:val="restart"/>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Total Consolidated</w:t>
            </w:r>
          </w:p>
        </w:tc>
        <w:tc>
          <w:tcPr>
            <w:tcW w:w="0" w:type="dxa"/>
            <w:vAlign w:val="bottom"/>
          </w:tcPr>
          <w:p>
            <w:pPr>
              <w:spacing w:after="0"/>
              <w:rPr>
                <w:sz w:val="1"/>
                <w:szCs w:val="1"/>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4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jc w:val="center"/>
              <w:ind w:left="937"/>
              <w:spacing w:after="0"/>
              <w:rPr>
                <w:sz w:val="20"/>
                <w:szCs w:val="20"/>
                <w:color w:val="auto"/>
              </w:rPr>
            </w:pPr>
            <w:r>
              <w:rPr>
                <w:rFonts w:ascii="Times New Roman" w:cs="Times New Roman" w:eastAsia="Times New Roman" w:hAnsi="Times New Roman"/>
                <w:sz w:val="17"/>
                <w:szCs w:val="17"/>
                <w:color w:val="auto"/>
                <w:w w:val="93"/>
              </w:rPr>
              <w:t>347</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0" w:type="dxa"/>
            <w:vAlign w:val="bottom"/>
          </w:tcPr>
          <w:p>
            <w:pPr>
              <w:spacing w:after="0"/>
              <w:rPr>
                <w:sz w:val="1"/>
                <w:szCs w:val="1"/>
                <w:color w:val="auto"/>
              </w:rPr>
            </w:pPr>
          </w:p>
        </w:tc>
      </w:tr>
      <w:tr>
        <w:trPr>
          <w:trHeight w:val="256"/>
        </w:trPr>
        <w:tc>
          <w:tcPr>
            <w:tcW w:w="3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140" w:type="dxa"/>
            <w:vAlign w:val="bottom"/>
          </w:tcPr>
          <w:p>
            <w:pPr>
              <w:spacing w:after="0"/>
              <w:rPr>
                <w:sz w:val="22"/>
                <w:szCs w:val="22"/>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420" w:type="dxa"/>
            <w:vAlign w:val="bottom"/>
          </w:tcPr>
          <w:p>
            <w:pPr>
              <w:jc w:val="center"/>
              <w:ind w:left="897"/>
              <w:spacing w:after="0"/>
              <w:rPr>
                <w:sz w:val="20"/>
                <w:szCs w:val="20"/>
                <w:color w:val="auto"/>
              </w:rPr>
            </w:pPr>
            <w:r>
              <w:rPr>
                <w:rFonts w:ascii="Times New Roman" w:cs="Times New Roman" w:eastAsia="Times New Roman" w:hAnsi="Times New Roman"/>
                <w:sz w:val="17"/>
                <w:szCs w:val="17"/>
                <w:color w:val="auto"/>
                <w:w w:val="97"/>
              </w:rPr>
              <w:t>(159)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35"/>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bottom w:val="single" w:sz="8" w:color="auto"/>
            </w:tcBorders>
            <w:shd w:val="clear" w:color="auto" w:fill="CCEEFF"/>
          </w:tcPr>
          <w:p>
            <w:pPr>
              <w:jc w:val="center"/>
              <w:ind w:left="937"/>
              <w:spacing w:after="0"/>
              <w:rPr>
                <w:sz w:val="20"/>
                <w:szCs w:val="20"/>
                <w:color w:val="auto"/>
              </w:rPr>
            </w:pPr>
            <w:r>
              <w:rPr>
                <w:rFonts w:ascii="Times New Roman" w:cs="Times New Roman" w:eastAsia="Times New Roman" w:hAnsi="Times New Roman"/>
                <w:sz w:val="17"/>
                <w:szCs w:val="17"/>
                <w:color w:val="auto"/>
                <w:w w:val="93"/>
              </w:rPr>
              <w:t>188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2,958</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performed our annual goodwill impairment test as of October 1, 2025 and prepared a quantitative assessment for both the Vacation Ownership and the Exchange</w:t>
      </w:r>
    </w:p>
    <w:p>
      <w:pPr>
        <w:spacing w:after="0" w:line="26" w:lineRule="exact"/>
        <w:rPr>
          <w:sz w:val="20"/>
          <w:szCs w:val="20"/>
          <w:color w:val="auto"/>
        </w:rPr>
      </w:pPr>
    </w:p>
    <w:p>
      <w:pPr>
        <w:ind w:left="180" w:hanging="178"/>
        <w:spacing w:after="0"/>
        <w:tabs>
          <w:tab w:leader="none" w:pos="1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Management reporting units. We utilized a combination of the income and market approaches to estimate the fair value of our reporting units (Level</w:t>
      </w:r>
    </w:p>
    <w:p>
      <w:pPr>
        <w:spacing w:after="0" w:line="9" w:lineRule="exact"/>
        <w:rPr>
          <w:rFonts w:ascii="Times New Roman" w:cs="Times New Roman" w:eastAsia="Times New Roman" w:hAnsi="Times New Roman"/>
          <w:sz w:val="17"/>
          <w:szCs w:val="17"/>
          <w:color w:val="auto"/>
        </w:rPr>
      </w:pPr>
    </w:p>
    <w:p>
      <w:pPr>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and concluded that there was no impairment of the Vacation Ownership unit. We recognized a non-cash impairment charge of $159 million in the Impairment line on our Income Statement during 2025 related to the Exchange &amp; Third-Party Management reporting unit, as a result of the change in expected future operating results based on a sustained decline in operating performance in comparison to prior expectations and the impact of market factors, including a decline in our stock price and market capitalization. Accumulated impairment losses to Goodwill in our Exchange &amp; Third-Party Management reporting unit at December 31, 2025 and December 31, 2024 were $232 million and $73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INTANGIBLE ASSETS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composition of our intangible asset balances: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At Year-End 2025</w:t>
            </w:r>
          </w:p>
        </w:tc>
        <w:tc>
          <w:tcPr>
            <w:tcW w:w="160" w:type="dxa"/>
            <w:vAlign w:val="bottom"/>
          </w:tcPr>
          <w:p>
            <w:pPr>
              <w:spacing w:after="0"/>
              <w:rPr>
                <w:sz w:val="17"/>
                <w:szCs w:val="17"/>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At Year-End 2024</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Definite-lived intangible assets</w:t>
            </w: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Member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contracts</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intangible assets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43"/>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Trade names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35"/>
        </w:trPr>
        <w:tc>
          <w:tcPr>
            <w:tcW w:w="4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Definite-Lived Intangible Assets</w:t>
      </w:r>
    </w:p>
    <w:p>
      <w:pPr>
        <w:spacing w:after="0" w:line="11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Definite-lived intangible assets, all of which were acquired as part of the ILG and Welk Acquisitions, are amortized on a straight-line basis over their estimated useful lives, ranging from 15 to 20 years. We recorded amortization expense of $62 million, $60 million, and $61 million during 2025, 2024, and 2023, respectively, in the Depreciation and amortization line of our Income Statements. We estimate that our annual amortization expense will continue to be approximately $60 million for each of the next five fiscal years.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Indefinite-Lived Intangible Assets</w:t>
      </w:r>
    </w:p>
    <w:p>
      <w:pPr>
        <w:spacing w:after="0" w:line="116"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color w:val="auto"/>
        </w:rPr>
        <w:t>The following table summarizes the activity related to our indefinite-lived intangible assets, all of which are related to the Exchange &amp; Third-Party Management segment.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Trade Names and Trademarks</w:t>
            </w:r>
          </w:p>
        </w:tc>
      </w:tr>
      <w:tr>
        <w:trPr>
          <w:trHeight w:val="238"/>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center"/>
              <w:ind w:left="815"/>
              <w:spacing w:after="0"/>
              <w:rPr>
                <w:sz w:val="20"/>
                <w:szCs w:val="20"/>
                <w:color w:val="auto"/>
              </w:rPr>
            </w:pPr>
            <w:r>
              <w:rPr>
                <w:rFonts w:ascii="Times New Roman" w:cs="Times New Roman" w:eastAsia="Times New Roman" w:hAnsi="Times New Roman"/>
                <w:sz w:val="17"/>
                <w:szCs w:val="17"/>
                <w:color w:val="auto"/>
              </w:rPr>
              <w:t>63</w:t>
            </w:r>
          </w:p>
        </w:tc>
      </w:tr>
      <w:tr>
        <w:trPr>
          <w:trHeight w:val="256"/>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10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left="775"/>
              <w:spacing w:after="0"/>
              <w:rPr>
                <w:sz w:val="20"/>
                <w:szCs w:val="20"/>
                <w:color w:val="auto"/>
              </w:rPr>
            </w:pPr>
            <w:r>
              <w:rPr>
                <w:rFonts w:ascii="Times New Roman" w:cs="Times New Roman" w:eastAsia="Times New Roman" w:hAnsi="Times New Roman"/>
                <w:sz w:val="17"/>
                <w:szCs w:val="17"/>
                <w:color w:val="auto"/>
              </w:rPr>
              <w:t>(21)</w:t>
            </w:r>
          </w:p>
        </w:tc>
      </w:tr>
      <w:tr>
        <w:trPr>
          <w:trHeight w:val="23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center"/>
              <w:ind w:left="815"/>
              <w:spacing w:after="0"/>
              <w:rPr>
                <w:sz w:val="20"/>
                <w:szCs w:val="20"/>
                <w:color w:val="auto"/>
              </w:rPr>
            </w:pPr>
            <w:r>
              <w:rPr>
                <w:rFonts w:ascii="Times New Roman" w:cs="Times New Roman" w:eastAsia="Times New Roman" w:hAnsi="Times New Roman"/>
                <w:sz w:val="17"/>
                <w:szCs w:val="17"/>
                <w:color w:val="auto"/>
              </w:rPr>
              <w:t>42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7"/>
          <w:szCs w:val="17"/>
          <w:color w:val="auto"/>
        </w:rPr>
        <w:t>We performed our annual impairment test of indefinite-lived intangible assets during the fourth quarter of 2025. We used the relief of royalty method under the income approach in calculating the fair value of the trade names and trademarks (Level 3). As a result of our annual impairment test, we recorded a non-cash impairment charge of $21 million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color w:val="auto"/>
        </w:rPr>
        <w:t>Impairment line on our Income Statement, which was primarily attributed to the decline in estimated future revenues in comparison to prior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CONTINGENCIES AND COMMITMENTS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Letters of Credit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we had the following commitments outstanding:</w:t>
      </w:r>
    </w:p>
    <w:p>
      <w:pPr>
        <w:spacing w:after="0" w:line="112" w:lineRule="exact"/>
        <w:rPr>
          <w:sz w:val="20"/>
          <w:szCs w:val="20"/>
          <w:color w:val="auto"/>
        </w:rPr>
      </w:pPr>
    </w:p>
    <w:p>
      <w:pPr>
        <w:ind w:left="300" w:right="200" w:hanging="298"/>
        <w:spacing w:after="0" w:line="267" w:lineRule="auto"/>
        <w:tabs>
          <w:tab w:leader="none" w:pos="29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various agreements for cloud computing and outsourcing of development, maintenance and support related to information technology that we use in the normal course of business. We expect aggregate obligations under these contracts of $131 million, of which we expect $78 million, $28 million, $11 million, $5 million, $6 million and $3 million will be paid in 2026, 2027, 2028, 2029, 2030, and thereafter, respectively.</w:t>
      </w:r>
    </w:p>
    <w:p>
      <w:pPr>
        <w:spacing w:after="0" w:line="63" w:lineRule="exact"/>
        <w:rPr>
          <w:rFonts w:ascii="Times New Roman" w:cs="Times New Roman" w:eastAsia="Times New Roman" w:hAnsi="Times New Roman"/>
          <w:sz w:val="17"/>
          <w:szCs w:val="17"/>
          <w:color w:val="auto"/>
        </w:rPr>
      </w:pPr>
    </w:p>
    <w:p>
      <w:pPr>
        <w:ind w:left="300" w:right="420" w:hanging="298"/>
        <w:spacing w:after="0" w:line="267" w:lineRule="auto"/>
        <w:tabs>
          <w:tab w:leader="none" w:pos="29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commitment to purchase property and vacation ownership units located in Nashville, Tennessee, contingent upon completion of construction to agreed-upon standards within specified timeframes, for use in our Vacation Ownership segment. We expect to complete the acquisition of 168 vacation ownership units in 2027, and we expect to make payments when specific construction milestones are completed of $122 million in 2027.</w:t>
      </w:r>
    </w:p>
    <w:p>
      <w:pPr>
        <w:spacing w:after="0" w:line="63" w:lineRule="exact"/>
        <w:rPr>
          <w:rFonts w:ascii="Times New Roman" w:cs="Times New Roman" w:eastAsia="Times New Roman" w:hAnsi="Times New Roman"/>
          <w:sz w:val="17"/>
          <w:szCs w:val="17"/>
          <w:color w:val="auto"/>
        </w:rPr>
      </w:pPr>
    </w:p>
    <w:p>
      <w:pPr>
        <w:ind w:left="300" w:right="80" w:hanging="298"/>
        <w:spacing w:after="0" w:line="262" w:lineRule="auto"/>
        <w:tabs>
          <w:tab w:leader="none" w:pos="29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remaining commitment of $11 million to purchase 32 vacation ownership units located in Bali, Indonesia, contingent upon completion of construction to agreed-upon standards within specified timeframes, for use in our Vacation Ownership segment. We expect to complete the acquisition of these vacation ownership units in 2027, and we expect to make remaining payments with respect to these units when specific construction milestones are completed as follows: $10 million in 2026 and $1 million in 2027.</w:t>
      </w:r>
    </w:p>
    <w:p>
      <w:pPr>
        <w:spacing w:after="0" w:line="67" w:lineRule="exact"/>
        <w:rPr>
          <w:rFonts w:ascii="Times New Roman" w:cs="Times New Roman" w:eastAsia="Times New Roman" w:hAnsi="Times New Roman"/>
          <w:sz w:val="17"/>
          <w:szCs w:val="17"/>
          <w:color w:val="auto"/>
        </w:rPr>
      </w:pPr>
    </w:p>
    <w:p>
      <w:pPr>
        <w:ind w:left="300" w:hanging="298"/>
        <w:spacing w:after="0" w:line="262" w:lineRule="auto"/>
        <w:tabs>
          <w:tab w:leader="none" w:pos="29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remaining commitment of $41 million to purchase 60 vacation ownership units located in Khao Lak, Thailand, contingent upon completion of construction to agreed-upon standards within specified timeframes, for use in our Vacation Ownership segment. We expect to complete the acquisition of these vacation ownership units in 2026, and we expect to make remaining payments with respect to these units as follows: $4 million in 2026, $4 million in 2027, and $33 million in 2028.</w:t>
      </w:r>
    </w:p>
    <w:p>
      <w:pPr>
        <w:spacing w:after="0" w:line="67" w:lineRule="exact"/>
        <w:rPr>
          <w:rFonts w:ascii="Times New Roman" w:cs="Times New Roman" w:eastAsia="Times New Roman" w:hAnsi="Times New Roman"/>
          <w:sz w:val="17"/>
          <w:szCs w:val="17"/>
          <w:color w:val="auto"/>
        </w:rPr>
      </w:pPr>
    </w:p>
    <w:p>
      <w:pPr>
        <w:ind w:left="300" w:right="60" w:hanging="298"/>
        <w:spacing w:after="0" w:line="267" w:lineRule="auto"/>
        <w:tabs>
          <w:tab w:leader="none" w:pos="29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commitment to acquire real estate in Waikiki, Hawaii for use in our Vacation Ownership segment via our involvement with a VIE. Refer to Footnote 18 “Variable Interest Entities” for additional information about this commitment, including purchases that occurred during 2025 and 2024 pursuant to this commitment, and for additional information about our activities relating to the VIE involved in this commitment.</w:t>
      </w:r>
    </w:p>
    <w:p>
      <w:pPr>
        <w:spacing w:after="0" w:line="63" w:lineRule="exact"/>
        <w:rPr>
          <w:rFonts w:ascii="Times New Roman" w:cs="Times New Roman" w:eastAsia="Times New Roman" w:hAnsi="Times New Roman"/>
          <w:sz w:val="17"/>
          <w:szCs w:val="17"/>
          <w:color w:val="auto"/>
        </w:rPr>
      </w:pPr>
    </w:p>
    <w:p>
      <w:pPr>
        <w:ind w:left="300" w:right="240" w:hanging="298"/>
        <w:spacing w:after="0" w:line="262" w:lineRule="auto"/>
        <w:tabs>
          <w:tab w:leader="none" w:pos="29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our sale of a hotel in Cancun, we entered into a commitment to purchase vacation ownership units located in Puerto Vallarta, Mexico, contingent upon completion of construction to agreed-upon standards within specified timeframes, for use in our Vacation Ownership segment. We expect to complete the acquisition of 64 vacation ownership units in 2028, and we expect to make payments of $46 million when specific construction milestones are completed in 2028.</w:t>
      </w:r>
    </w:p>
    <w:p>
      <w:pPr>
        <w:spacing w:after="0" w:line="67"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Surety bonds issued as of December 31, 2025 totaled $140 million, the majority of which were requested by federal, state or local governments in connection with our operations.</w:t>
      </w:r>
    </w:p>
    <w:p>
      <w:pPr>
        <w:spacing w:after="0" w:line="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As of December 31, 2025, we had $13 million of letters of credit outstanding under our Revolving Corporate Credit Facility (as defined in Footnote 15 “Debt”), of which $12 million were related to and in lieu of reserves required for certain of our outstanding securitization transactions. In addition, as of December 31, 2025, we had $25 million in letters of credit outstanding that were related to and in lieu of reserves required for certain other outstanding securitization transactions, which were not issued pursuant to, nor do they impact our borrowing capacity under, the Revolving Corporate Credit Facility.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Guarantees</w:t>
      </w:r>
    </w:p>
    <w:p>
      <w:pPr>
        <w:spacing w:after="0" w:line="11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December 31, 2025, our expected commitment for 2026 is $29 million, which will ultimately be recorded as a component of rental expense on our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i w:val="1"/>
          <w:iCs w:val="1"/>
          <w:color w:val="auto"/>
        </w:rPr>
        <w:t>Loss Contingencies</w:t>
      </w:r>
    </w:p>
    <w:p>
      <w:pPr>
        <w:spacing w:after="0" w:line="11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In the ordinary course of our business, various claims and lawsuits have been filed or are pending against us. A number of these lawsuits and claims may exist at any given time.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have accrued for certain pending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LEASES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carrying values of our leases and the classification on our Balance Sheet.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Balance Sheet Classification</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At December 31, 2025</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At December 31, 2024</w:t>
            </w:r>
          </w:p>
        </w:tc>
      </w:tr>
      <w:tr>
        <w:trPr>
          <w:trHeight w:val="22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Other assets</w:t>
            </w:r>
          </w:p>
        </w:tc>
        <w:tc>
          <w:tcPr>
            <w:tcW w:w="6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43"/>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assets</w:t>
            </w:r>
          </w:p>
        </w:tc>
        <w:tc>
          <w:tcPr>
            <w:tcW w:w="27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35"/>
        </w:trPr>
        <w:tc>
          <w:tcPr>
            <w:tcW w:w="22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2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Accrued liabilities</w:t>
            </w:r>
          </w:p>
        </w:tc>
        <w:tc>
          <w:tcPr>
            <w:tcW w:w="6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43"/>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7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Debt, net</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35"/>
        </w:trPr>
        <w:tc>
          <w:tcPr>
            <w:tcW w:w="22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costs and the classification on our Income Statements for 2025, 2024, and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Income Statement Classification</w:t>
            </w:r>
          </w:p>
        </w:tc>
        <w:tc>
          <w:tcPr>
            <w:tcW w:w="240" w:type="dxa"/>
            <w:vAlign w:val="bottom"/>
          </w:tcPr>
          <w:p>
            <w:pPr>
              <w:spacing w:after="0"/>
              <w:rPr>
                <w:sz w:val="17"/>
                <w:szCs w:val="17"/>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62"/>
        </w:trPr>
        <w:tc>
          <w:tcPr>
            <w:tcW w:w="254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2420" w:type="dxa"/>
            <w:vAlign w:val="bottom"/>
            <w:tcBorders>
              <w:top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Marketing and sales expense</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66"/>
        </w:trPr>
        <w:tc>
          <w:tcPr>
            <w:tcW w:w="2540" w:type="dxa"/>
            <w:vAlign w:val="bottom"/>
            <w:vMerge w:val="continue"/>
            <w:shd w:val="clear" w:color="auto" w:fill="CCEEFF"/>
          </w:tcPr>
          <w:p>
            <w:pPr>
              <w:spacing w:after="0"/>
              <w:rPr>
                <w:sz w:val="14"/>
                <w:szCs w:val="14"/>
                <w:color w:val="auto"/>
              </w:rPr>
            </w:pPr>
          </w:p>
        </w:tc>
        <w:tc>
          <w:tcPr>
            <w:tcW w:w="2520" w:type="dxa"/>
            <w:vAlign w:val="bottom"/>
            <w:gridSpan w:val="2"/>
            <w:shd w:val="clear" w:color="auto" w:fill="CCEEFF"/>
          </w:tcPr>
          <w:p>
            <w:pPr>
              <w:jc w:val="center"/>
              <w:ind w:right="100"/>
              <w:spacing w:after="0" w:line="167" w:lineRule="exact"/>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expense</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Depreciation and amortization</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3"/>
        </w:trPr>
        <w:tc>
          <w:tcPr>
            <w:tcW w:w="2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Financing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Marketing and sales expense</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maturity of our operating and finance lease liabilities as of December 31,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 in millions)</w:t>
            </w: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Finance Leases</w:t>
            </w:r>
          </w:p>
        </w:tc>
        <w:tc>
          <w:tcPr>
            <w:tcW w:w="320" w:type="dxa"/>
            <w:vAlign w:val="bottom"/>
          </w:tcPr>
          <w:p>
            <w:pPr>
              <w:spacing w:after="0"/>
              <w:rPr>
                <w:sz w:val="17"/>
                <w:szCs w:val="17"/>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4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r>
      <w:tr>
        <w:trPr>
          <w:trHeight w:val="24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35"/>
        </w:trPr>
        <w:tc>
          <w:tcPr>
            <w:tcW w:w="3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2"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i w:val="1"/>
          <w:iCs w:val="1"/>
          <w:color w:val="auto"/>
        </w:rPr>
        <w:t>Lease Term and Discount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additional information about our lease obligations.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At December 31, 2025</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At December 31, 2024</w:t>
            </w:r>
          </w:p>
        </w:tc>
      </w:tr>
      <w:tr>
        <w:trPr>
          <w:trHeight w:val="22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w:t>
            </w: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5.6 years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 years</w:t>
            </w:r>
          </w:p>
        </w:tc>
      </w:tr>
      <w:tr>
        <w:trPr>
          <w:trHeight w:val="243"/>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34.4 years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35.1 years</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w:t>
            </w:r>
          </w:p>
        </w:tc>
      </w:tr>
      <w:tr>
        <w:trPr>
          <w:trHeight w:val="244"/>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for 2025,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Cash paid for amounts included in measurement of lease</w:t>
            </w: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flows for finance leases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43"/>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43"/>
        </w:trPr>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 cash flows for finance leases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43"/>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SECURITIZED DEBT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securitized debt, net of unamortized debt discount and issuance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At December 31,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At December 31, 2024</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securitizations, gross</w:t>
            </w:r>
            <w:r>
              <w:rPr>
                <w:rFonts w:ascii="Times New Roman" w:cs="Times New Roman" w:eastAsia="Times New Roman" w:hAnsi="Times New Roman"/>
                <w:sz w:val="9"/>
                <w:szCs w:val="9"/>
                <w:color w:val="auto"/>
              </w:rPr>
              <w:t>(1)</w:t>
            </w:r>
          </w:p>
        </w:tc>
        <w:tc>
          <w:tcPr>
            <w:tcW w:w="620" w:type="dxa"/>
            <w:vAlign w:val="bottom"/>
            <w:tcBorders>
              <w:top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3"/>
        </w:trPr>
        <w:tc>
          <w:tcPr>
            <w:tcW w:w="4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2,014</w:t>
            </w:r>
          </w:p>
        </w:tc>
      </w:tr>
      <w:tr>
        <w:trPr>
          <w:trHeight w:val="243"/>
        </w:trPr>
        <w:tc>
          <w:tcPr>
            <w:tcW w:w="4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Credit Facility, gross</w:t>
            </w:r>
          </w:p>
        </w:tc>
        <w:tc>
          <w:tcPr>
            <w:tcW w:w="6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r>
              <w:rPr>
                <w:rFonts w:ascii="Times New Roman" w:cs="Times New Roman" w:eastAsia="Times New Roman" w:hAnsi="Times New Roman"/>
                <w:sz w:val="9"/>
                <w:szCs w:val="9"/>
                <w:color w:val="auto"/>
              </w:rPr>
              <w:t>(2)</w:t>
            </w: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4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43"/>
        </w:trPr>
        <w:tc>
          <w:tcPr>
            <w:tcW w:w="49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35"/>
        </w:trPr>
        <w:tc>
          <w:tcPr>
            <w:tcW w:w="4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00" w:hanging="298"/>
        <w:spacing w:after="0"/>
        <w:tabs>
          <w:tab w:leader="none" w:pos="30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rates as of December 31, 2025 range from 1.5% to 6.6%, with a weighted average interest rate of 4.8%.</w:t>
      </w:r>
    </w:p>
    <w:p>
      <w:pPr>
        <w:spacing w:after="0" w:line="51" w:lineRule="exact"/>
        <w:rPr>
          <w:rFonts w:ascii="Times New Roman" w:cs="Times New Roman" w:eastAsia="Times New Roman" w:hAnsi="Times New Roman"/>
          <w:sz w:val="22"/>
          <w:szCs w:val="22"/>
          <w:color w:val="auto"/>
          <w:vertAlign w:val="superscript"/>
        </w:rPr>
      </w:pPr>
    </w:p>
    <w:p>
      <w:pPr>
        <w:ind w:left="300" w:hanging="298"/>
        <w:spacing w:after="0" w:line="218" w:lineRule="auto"/>
        <w:tabs>
          <w:tab w:leader="none" w:pos="288"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$2 million of unamortized debt issuance costs classified as a component of Other Assets on our Balance Sheet as of December 31, 2025, as no cash borrowings were outstanding under the Warehouse Credit Facility at that time.</w:t>
      </w:r>
    </w:p>
    <w:p>
      <w:pPr>
        <w:spacing w:after="0" w:line="8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All of our securitized debt is non-recourse. See Footnote 18 “Variable Interest Entities” for a discussion of the collateral for the non-recourse debt associated with our securitized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020"/>
          </w:cols>
          <w:pgMar w:left="320" w:top="1140" w:right="5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color w:val="auto"/>
        </w:rPr>
        <w:t>The following table shows anticipated future principal payments for our securitized debt as of December 31,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5"/>
                <w:szCs w:val="15"/>
                <w:color w:val="auto"/>
              </w:rPr>
            </w:pPr>
          </w:p>
        </w:tc>
        <w:tc>
          <w:tcPr>
            <w:tcW w:w="1520" w:type="dxa"/>
            <w:vAlign w:val="bottom"/>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0" w:type="dxa"/>
            <w:vAlign w:val="bottom"/>
          </w:tcPr>
          <w:p>
            <w:pPr>
              <w:spacing w:after="0"/>
              <w:rPr>
                <w:sz w:val="1"/>
                <w:szCs w:val="1"/>
                <w:color w:val="auto"/>
              </w:rPr>
            </w:pPr>
          </w:p>
        </w:tc>
      </w:tr>
      <w:tr>
        <w:trPr>
          <w:trHeight w:val="117"/>
        </w:trPr>
        <w:tc>
          <w:tcPr>
            <w:tcW w:w="6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vMerge w:val="restart"/>
          </w:tcPr>
          <w:p>
            <w:pPr>
              <w:jc w:val="center"/>
              <w:ind w:right="77"/>
              <w:spacing w:after="0" w:line="154"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0" w:type="dxa"/>
            <w:vAlign w:val="bottom"/>
          </w:tcPr>
          <w:p>
            <w:pPr>
              <w:spacing w:after="0"/>
              <w:rPr>
                <w:sz w:val="1"/>
                <w:szCs w:val="1"/>
                <w:color w:val="auto"/>
              </w:rPr>
            </w:pPr>
          </w:p>
        </w:tc>
      </w:tr>
      <w:tr>
        <w:trPr>
          <w:trHeight w:val="37"/>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Payments Year</w:t>
            </w:r>
          </w:p>
        </w:tc>
        <w:tc>
          <w:tcPr>
            <w:tcW w:w="14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4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43"/>
        </w:trPr>
        <w:tc>
          <w:tcPr>
            <w:tcW w:w="6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4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2030</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Securitizations</w:t>
      </w:r>
    </w:p>
    <w:p>
      <w:pPr>
        <w:spacing w:after="0" w:line="11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2025, and as of December 31, 2025, no securitized vacation ownership notes receivable pools were out of compliance with their respective established parameters. As of December 31, 2025, we had 12 securitized vacation ownership notes receivable pools outstanding.</w:t>
      </w:r>
    </w:p>
    <w:p>
      <w:pPr>
        <w:spacing w:after="0" w:line="7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5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During the second quarter of 2025, we securitized a pool of $459 million of vacation ownership notes receivable. In connection with the securitization, $450 million in vacation ownership loan backed notes were issued by MVW 2025-1 LLC (the “2025-1 LLC”) in a private placement. Three classes of vacation ownership loan backed notes were issued by the 2025-1 LLC: $277 million of Class A Notes, $93 million of Class B Notes, and $80 million of Class C Notes. The Class A Notes have an interest rate of 4.97%, the Class B Notes have an interest rate of 5.21%, and the Class C Notes have an interest rate of 5.75%, for an overall weighted average interest rate of 5.16%. Proceeds from the transaction, net of fees, were used to repay the outstanding obligations on our warehouse credit facility (as defined below) and for other general corporate purposes.</w:t>
      </w:r>
    </w:p>
    <w:p>
      <w:pPr>
        <w:spacing w:after="0" w:line="7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During the fourth quarter of 2025, we securitized a pool of $479 million of vacation ownership notes receivable. In connection with the securitization, $470 million in vacation ownership loan backed notes were issued by MVW 2025-2 LLC (the “2025-2 LLC”) in a private placement. Three classes of vacation ownership loan backed notes were issued by the 2025-2 LLC: $283 million of Class A Notes, $106 million of Class B Notes, and $81 million of Class C Notes. The Class A Notes have an interest rate of 4.48%, the Class B Notes have an interest rate of 4.72%, and the Class C Notes have an interest rate of 4.97%, for an overall weighted average interest rate of 4.62%. Proceeds from the transaction, net of fees, were used to repay the outstanding obligations on our warehouse credit facility (as defined below) and for other general corporate purposes.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Warehouse Credit Facility</w:t>
      </w:r>
    </w:p>
    <w:p>
      <w:pPr>
        <w:spacing w:after="0" w:line="11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warehouse credit facility (the “Warehouse Credit Facility”), which has a borrowing capacity of $500 million, allows for the securitization of vacation ownership notes receivable on a revolving non-recourse basis. If not renewed prior to termination, any amounts outstanding under the Warehouse Credit Facility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w:t>
      </w:r>
    </w:p>
    <w:p>
      <w:pPr>
        <w:spacing w:after="0" w:line="67"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During the second quarter of 2025, we amended certain agreements associated with our Warehouse Credit Facility (the “Warehouse Amendment”). The Warehouse Amendment extended the revolving period from June 11, 2026 to June 11, 2027, and changed the credit spread from 115 basis points over the Secured Overnight Financing Rate (“SOFR”) to 110 basis points over SOFR. The Warehouse Amendment made no other material changes to the Warehouse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11" w:name="page112"/>
    <w:bookmarkEnd w:id="111"/>
    <w:p>
      <w:pPr>
        <w:spacing w:after="0" w:line="291" w:lineRule="auto"/>
        <w:rPr>
          <w:sz w:val="20"/>
          <w:szCs w:val="20"/>
          <w:color w:val="auto"/>
        </w:rPr>
      </w:pPr>
      <w:r>
        <w:rPr>
          <w:rFonts w:ascii="Times New Roman" w:cs="Times New Roman" w:eastAsia="Times New Roman" w:hAnsi="Times New Roman"/>
          <w:sz w:val="16"/>
          <w:szCs w:val="16"/>
          <w:color w:val="auto"/>
        </w:rPr>
        <w:t>The advance rate for vacation ownership notes receivable securitized using the Warehouse Credit Facility varies based on the characteristics of the securitized vacation ownership notes receivable. We also pay unused facility and other fees under the Warehouse Credit Facility. We generally expect to securitize our vacation ownership notes receivable, including any vacation ownership notes receivable held in the Warehouse Credit Facility, in the ABS market typically twice a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DEBT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debt balances, net of unamortized debt discount and issuance costs: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December 31, 2025</w:t>
            </w:r>
          </w:p>
        </w:tc>
        <w:tc>
          <w:tcPr>
            <w:tcW w:w="120" w:type="dxa"/>
            <w:vAlign w:val="bottom"/>
          </w:tcPr>
          <w:p>
            <w:pPr>
              <w:spacing w:after="0"/>
              <w:rPr>
                <w:sz w:val="17"/>
                <w:szCs w:val="17"/>
                <w:color w:val="auto"/>
              </w:rPr>
            </w:pPr>
          </w:p>
        </w:tc>
        <w:tc>
          <w:tcPr>
            <w:tcW w:w="1620" w:type="dxa"/>
            <w:vAlign w:val="bottom"/>
          </w:tcPr>
          <w:p>
            <w:pPr>
              <w:jc w:val="right"/>
              <w:ind w:right="75"/>
              <w:spacing w:after="0"/>
              <w:rPr>
                <w:sz w:val="20"/>
                <w:szCs w:val="20"/>
                <w:color w:val="auto"/>
              </w:rPr>
            </w:pPr>
            <w:r>
              <w:rPr>
                <w:rFonts w:ascii="Times New Roman" w:cs="Times New Roman" w:eastAsia="Times New Roman" w:hAnsi="Times New Roman"/>
                <w:sz w:val="15"/>
                <w:szCs w:val="15"/>
                <w:b w:val="1"/>
                <w:bCs w:val="1"/>
                <w:color w:val="auto"/>
              </w:rPr>
              <w:t>At December 31, 2024</w:t>
            </w: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 Credit Facility</w:t>
            </w: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Term Loan</w:t>
            </w:r>
            <w:r>
              <w:rPr>
                <w:rFonts w:ascii="Times New Roman" w:cs="Times New Roman" w:eastAsia="Times New Roman" w:hAnsi="Times New Roman"/>
                <w:sz w:val="9"/>
                <w:szCs w:val="9"/>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r>
      <w:tr>
        <w:trPr>
          <w:trHeight w:val="192"/>
        </w:trPr>
        <w:tc>
          <w:tcPr>
            <w:tcW w:w="4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Revolving Corporate Credit Facility</w:t>
            </w:r>
          </w:p>
        </w:tc>
        <w:tc>
          <w:tcPr>
            <w:tcW w:w="1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issuance costs</w:t>
            </w:r>
            <w:r>
              <w:rPr>
                <w:rFonts w:ascii="Times New Roman" w:cs="Times New Roman" w:eastAsia="Times New Roman" w:hAnsi="Times New Roman"/>
                <w:sz w:val="9"/>
                <w:szCs w:val="9"/>
                <w:color w:val="auto"/>
              </w:rPr>
              <w:t>(2)</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Senior Unsecured Notes</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2028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192"/>
        </w:trPr>
        <w:tc>
          <w:tcPr>
            <w:tcW w:w="4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2029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r>
      <w:tr>
        <w:trPr>
          <w:trHeight w:val="192"/>
        </w:trPr>
        <w:tc>
          <w:tcPr>
            <w:tcW w:w="4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2033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Convertible Notes</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2026 Convertible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4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w:t>
            </w:r>
          </w:p>
        </w:tc>
      </w:tr>
      <w:tr>
        <w:trPr>
          <w:trHeight w:val="192"/>
        </w:trPr>
        <w:tc>
          <w:tcPr>
            <w:tcW w:w="4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2027 Convertible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192"/>
        </w:trPr>
        <w:tc>
          <w:tcPr>
            <w:tcW w:w="4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4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35"/>
        </w:trPr>
        <w:tc>
          <w:tcPr>
            <w:tcW w:w="4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300" w:hanging="298"/>
        <w:spacing w:after="0"/>
        <w:tabs>
          <w:tab w:leader="none" w:pos="3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effective interest rate as of December 31, 2025 was 6.0%.</w:t>
      </w:r>
    </w:p>
    <w:p>
      <w:pPr>
        <w:spacing w:after="0" w:line="51" w:lineRule="exact"/>
        <w:rPr>
          <w:rFonts w:ascii="Times New Roman" w:cs="Times New Roman" w:eastAsia="Times New Roman" w:hAnsi="Times New Roman"/>
          <w:sz w:val="22"/>
          <w:szCs w:val="22"/>
          <w:color w:val="auto"/>
          <w:vertAlign w:val="superscript"/>
        </w:rPr>
      </w:pPr>
    </w:p>
    <w:p>
      <w:pPr>
        <w:ind w:left="300" w:right="160" w:hanging="298"/>
        <w:spacing w:after="0" w:line="218" w:lineRule="auto"/>
        <w:tabs>
          <w:tab w:leader="none" w:pos="288"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$4 million of unamortized debt issuance costs classified as a component of Other Assets on our Balance Sheet as of December 31, 2025, as no cash borrowings were outstanding under the Revolving Corporate Credit Facility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146" w:right="3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color w:val="auto"/>
        </w:rPr>
        <w:t>The following table shows scheduled principal payments for our debt, excluding finance leases, as of December 31,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Payments Year</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9"/>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Thereafter</w:t>
            </w:r>
          </w:p>
        </w:tc>
        <w:tc>
          <w:tcPr>
            <w:tcW w:w="200" w:type="dxa"/>
            <w:vAlign w:val="bottom"/>
          </w:tcPr>
          <w:p>
            <w:pPr>
              <w:spacing w:after="0"/>
              <w:rPr>
                <w:sz w:val="17"/>
                <w:szCs w:val="17"/>
                <w:color w:val="auto"/>
              </w:rPr>
            </w:pPr>
          </w:p>
        </w:tc>
        <w:tc>
          <w:tcPr>
            <w:tcW w:w="700" w:type="dxa"/>
            <w:vAlign w:val="bottom"/>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r>
      <w:tr>
        <w:trPr>
          <w:trHeight w:val="243"/>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 Notes</w:t>
            </w: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4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 Notes</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43"/>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2033 Notes</w:t>
            </w: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175"/>
        </w:trPr>
        <w:tc>
          <w:tcPr>
            <w:tcW w:w="1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2026 Convertible</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21"/>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175"/>
        </w:trPr>
        <w:tc>
          <w:tcPr>
            <w:tcW w:w="16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2027 Convertible</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1"/>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35"/>
        </w:trPr>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Credit Facility</w:t>
      </w:r>
    </w:p>
    <w:p>
      <w:pPr>
        <w:spacing w:after="0" w:line="118"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color w:val="auto"/>
        </w:rPr>
        <w:t>Our corporate credit facility (the “Corporate Credit Facility”) provides support for our business, including ongoing liquidity and letters of credit, and consists of a term loan facility (the “Term Loan”) and a revolving credit facility (the “Revolving Corporate Credit Facility”), which includes a letter of credit sub-facility.</w:t>
      </w:r>
    </w:p>
    <w:p>
      <w:pPr>
        <w:spacing w:after="0" w:line="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During the first quarter of 2025, we entered into an amendment to the Corporate Credit Facility (the “Amendment”), which, among other things; increased the borrowing capacity of our Revolving Corporate Credit Facility from $750 million to $800 million; extended the termination date from March 31, 2027 to March 24, 2030; and reduced certain fees and interest costs. The Amendment also increased the letter of credit sub-facility of the Revolving Corporate Credit Facility from $75 million to $150 million.</w:t>
      </w:r>
    </w:p>
    <w:p>
      <w:pPr>
        <w:spacing w:after="0" w:line="6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Additionally, the Amendment provided for a new $450 million senior secured delayed-draw term loan facility (the “Delayed-Draw Term Loan”) scheduled to mature on December 31, 2027, which was subsequently terminated in the third quarter of 2025 in connection with the issuance of the 2033 Notes (as defined and discussed below). We did not draw on the Delayed-Draw Term Loan at any time.</w:t>
      </w:r>
    </w:p>
    <w:p>
      <w:pPr>
        <w:spacing w:after="0" w:line="64"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7"/>
          <w:szCs w:val="17"/>
          <w:color w:val="auto"/>
        </w:rPr>
        <w:t>Borrowings under the Revolving Corporate Credit Facility generally bear interest at a floating rate (SOFR or Prime) plus an applicable margin that varies from 0.50% to 2.00% depending on the type of loan and our leverage. In addition, we pay a commitment fee on the unused availability under the Revolving Corporate Credit Facility at a rate that varies from 20 to 25 basis points per annum, also depending on our leverage.</w:t>
      </w:r>
    </w:p>
    <w:p>
      <w:pPr>
        <w:spacing w:after="0" w:line="6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Any amounts borrowed under the Corporate Credit Facility, as well as obligations with respect to letters of credit issued pursuant to the Revolving Corporate Credit Facility, are secured by a perfected first priority security interest in substantially all of the assets of the borrower under, and guarantors of, that facility (which include MVWC and certain of our direct and indirect, existing and future, domestic subsidiaries, excluding certain bankruptcy remote special purpose entities).</w:t>
      </w:r>
    </w:p>
    <w:p>
      <w:pPr>
        <w:spacing w:after="0" w:line="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During the second quarter of 2025, we entered into a $300 million interest rate swap pursuant to which we pay interest at a fixed rate of 3.344% and receive interest at a floating rate (SOFR) through May 2027 to hedge a portion of our interest rate risk on the Term Loan. This interest rate swap has been designated and qualifies as a cash flow hedge of interest rate risk and is recorded in Other Liabilities on our Balance Sheet as of December 31, 2025. We characterize payments we make or receive in connection with this derivative instrument as interest expense and a reclassification of accumulated other comprehensive income or loss for presentation purposes.</w:t>
      </w:r>
    </w:p>
    <w:p>
      <w:pPr>
        <w:spacing w:after="0" w:line="7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The following table reflects the activity in accumulated other comprehensive income or loss related to our derivative instruments during 2025, 2024 and 2023. There were no reclassifications to the Income Statement for any of the periods presented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Beginning of Year</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43"/>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loss before reclassifications</w:t>
            </w:r>
          </w:p>
        </w:tc>
        <w:tc>
          <w:tcPr>
            <w:tcW w:w="280" w:type="dxa"/>
            <w:vAlign w:val="bottom"/>
          </w:tcPr>
          <w:p>
            <w:pPr>
              <w:spacing w:after="0"/>
              <w:rPr>
                <w:sz w:val="21"/>
                <w:szCs w:val="21"/>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5"/>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End of Year</w:t>
            </w: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senior notes include:</w:t>
      </w:r>
    </w:p>
    <w:p>
      <w:pPr>
        <w:spacing w:after="0" w:line="112" w:lineRule="exact"/>
        <w:rPr>
          <w:sz w:val="20"/>
          <w:szCs w:val="20"/>
          <w:color w:val="auto"/>
        </w:rPr>
      </w:pPr>
    </w:p>
    <w:p>
      <w:pPr>
        <w:ind w:left="300" w:right="400" w:hanging="298"/>
        <w:spacing w:after="0" w:line="283" w:lineRule="auto"/>
        <w:tabs>
          <w:tab w:leader="none" w:pos="29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 million aggregate principal amount of 4.750% Senior Unsecured Notes due 2028 issued in 2019 with a maturity date of January 15, 2028 (the “2028 Notes”).</w:t>
      </w:r>
    </w:p>
    <w:p>
      <w:pPr>
        <w:spacing w:after="0" w:line="5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4.500% Senior Unsecured Notes due 2029 issued in 2021 with a maturity date of June 15, 2029 (the “2029 Notes”).</w:t>
      </w:r>
    </w:p>
    <w:p>
      <w:pPr>
        <w:spacing w:after="0" w:line="111" w:lineRule="exact"/>
        <w:rPr>
          <w:rFonts w:ascii="Times New Roman" w:cs="Times New Roman" w:eastAsia="Times New Roman" w:hAnsi="Times New Roman"/>
          <w:sz w:val="17"/>
          <w:szCs w:val="17"/>
          <w:color w:val="auto"/>
        </w:rPr>
      </w:pPr>
    </w:p>
    <w:p>
      <w:pPr>
        <w:ind w:left="300" w:right="480" w:hanging="298"/>
        <w:spacing w:after="0" w:line="283" w:lineRule="auto"/>
        <w:tabs>
          <w:tab w:leader="none" w:pos="29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$575 million aggregate principal amount of 6.500% Senior Unsecured Notes due 2033 issued in 2025 with a maturity date of October 1, 2033 (the “2033 Notes”).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2028 Notes</w:t>
      </w:r>
    </w:p>
    <w:p>
      <w:pPr>
        <w:spacing w:after="0" w:line="118"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7"/>
          <w:szCs w:val="17"/>
          <w:color w:val="auto"/>
        </w:rPr>
        <w:t>We issued the 2028 Notes under an indenture with The Bank of New York Mellon Trust Company, N.A., as trustee. We received net proceeds of $346 million from the offering, after deducting the underwriting discount and estimated expenses. We pay interest on the 2028 Notes on March 15 and September 15 of each year. We may redeem some or all of the 2028 Notes prior to maturity under the terms provided in the indenture.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2029 Notes</w:t>
      </w:r>
    </w:p>
    <w:p>
      <w:pPr>
        <w:spacing w:after="0" w:line="118"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7"/>
          <w:szCs w:val="17"/>
          <w:color w:val="auto"/>
        </w:rPr>
        <w:t>We issued the 2029 Notes under an indenture with The Bank of New York Mellon Trust Company, N.A., as trustee. We received net proceeds of $493 million from the offering, after deducting the underwriting fees and transaction expenses. We pay interest on the 2029 Notes on June 15 and December 15 of each year. We may redeem some or all of the 2029 Notes prior to maturity under the terms provided in the indenture.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2033 Notes</w:t>
      </w:r>
    </w:p>
    <w:p>
      <w:pPr>
        <w:spacing w:after="0" w:line="11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We issued the 2033 Notes under an indenture with the Bank of New York Mellon Trust Company, N.A, as trustee. We received net proceeds of $567 million from the offering, after deducting the underwriting fees and transaction expenses, and used these net proceeds to repay our 2026 Convertible Notes (as defined below) subsequent to the end of 2025. We will pay interest on the 2033 Notes on April 1 and October 1 of each year, commencing on April 1, 2026. We may redeem some or all of the 2033 Notes prior to maturity under the terms provided in the indenture.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2021, we issued $575 million aggregate principal amount of convertible senior notes (the “2026 Convertible Notes”) that bear interest at a rate of 0.00%.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2026 Convertible Notes mature on January 15, 2026, unless earlier repurchased or converted in accordance with their terms prior to that date.</w:t>
      </w:r>
    </w:p>
    <w:p>
      <w:pPr>
        <w:spacing w:after="0" w:line="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conversion rate of the 2026 Convertible Notes is subject to adjustment for certain events as described in the indenture governing the notes and was subject to adjustment as of December 31, 2025 to 6.6865 shares of common stock per $1,000 principal amount of 2026 Convertible Notes (equivalent to a conversion price of $149.56 per share of our common stock), as a result of the dividends we declared since issuance of the 2026 Convertible Notes that were greater than the quarterly dividend we paid when the 2026 Convertible Notes were issued. As of December 31, 2025, upon conversion, we will pay or deliver cash for the principal balance of the notes, and settle any conversion premium in, shares of our common stock. As of December 31, 2025, the effective interest rate was 0.55%. Amortization of debt issuance costs related to the 2026 Convertible Notes was $3 million in each of the three years ended December 31, 2025, 2024, and 2023.</w:t>
      </w:r>
    </w:p>
    <w:p>
      <w:pPr>
        <w:spacing w:after="0" w:line="7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color w:val="auto"/>
        </w:rPr>
        <w:t>The 2026 Convertible Notes matured at par subsequent to the end of 2025, on January 15, 2026, at which time none of the 2026 Convertible Notes were converted and all were settled in cash, and the deferred financing costs were fully amortized.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 Hedges and Warrants</w:t>
      </w:r>
    </w:p>
    <w:p>
      <w:pPr>
        <w:spacing w:after="0" w:line="11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a total of 3.8 million shares of our common stock, and warrant transactions (the “2026 Warrants”), whereby we sold to the counterparties to the 2026 Convertible Note Hedges warrants to acquire 3.8 million shares of our common stock, in each case, as of December 31, 2025. The strike prices of the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40" w:right="359" w:bottom="1440" w:gutter="0" w:footer="0" w:header="0"/>
        </w:sectPr>
      </w:pPr>
    </w:p>
    <w:bookmarkStart w:id="114" w:name="page115"/>
    <w:bookmarkEnd w:id="114"/>
    <w:p>
      <w:pPr>
        <w:ind w:right="820"/>
        <w:spacing w:after="0" w:line="283" w:lineRule="auto"/>
        <w:rPr>
          <w:sz w:val="20"/>
          <w:szCs w:val="20"/>
          <w:color w:val="auto"/>
        </w:rPr>
      </w:pPr>
      <w:r>
        <w:rPr>
          <w:rFonts w:ascii="Times New Roman" w:cs="Times New Roman" w:eastAsia="Times New Roman" w:hAnsi="Times New Roman"/>
          <w:sz w:val="17"/>
          <w:szCs w:val="17"/>
          <w:color w:val="auto"/>
        </w:rPr>
        <w:t>Convertible Note Hedges and the 2026 Warrants were subject to adjustment to $149.56 and $186.94, respectively, as of December 31, 2025 and no 2026 Convertible Note Hedges or 2026 Warrants have been exercised.</w:t>
      </w:r>
    </w:p>
    <w:p>
      <w:pPr>
        <w:spacing w:after="0" w:line="51"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color w:val="auto"/>
        </w:rPr>
        <w:t>The 2026 Convertible Note Hedges expired upon the maturity of the 2026 Convertible Notes, subsequent to the end of 2025, and none were exercised. The 2026 Warrants expire in ratable portions over the 70 trading day period commencing on April 15, 2026.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2027 Convertible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2022, we issued $575 million aggregate principal amount of convertible senior notes (the “2027 Convertible Notes”) that bear interest at a rate of 3.25%.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2027 Convertible Notes mature on December 15, 2027, unless earlier repurchased or converted in accordance with their terms prior to that date.</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conversion rate of the 2027 Convertible Notes is subject to adjustment for certain events as described in the indenture governing the notes and was subject to adjustment as of December 31, 2025 to 5.3099 shares of common stock per $1,000 principal amount of 2027 Convertible Notes (equivalent to a conversion price of $188.33 per share of our common stock), as a result of the dividends we declared since issuance of the 2027 Convertible Notes that were greater than the quarterly dividend we paid when the 2027 Convertible Notes were issued. Upon conversion, we will pay or deliver, as the case may be, cash, shares of our common stock, or a combination of cash and shares of our common stock, at our election. As of December 31, 2025, the effective interest rate was 3.88%. Contractual interest expense related to the 2027 Convertible Notes was $19 million and amortization of debt issuance costs was $3 million in each of the three years ended December 31, 2025, 2024, and 2023.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2027 Convertible Note Hedges and Warrants</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connection with the offering of the 2027 Convertible Notes, we concurrently entered into the following privately-negotiated separate transactions: convertible note hedge transactions with respect to our common stock (the “2027 Convertible Note Hedges”), covering a total of 3.1 million shares of our common stock, and warrant transactions (the “2027 Warrants”), whereby we sold to the counterparties to the 2027 Convertible Note Hedges warrants to acquire 3.1 million shares of our common stock, in each case, as of December 31, 2025. The strike prices of the 2027 Convertible Note Hedges and the 2027 Warrants were subject to adjustment to $188.33 and $284.26, respectively, as of December 31, 2025, and no 2027 Convertible Note Hedges or 2027 Warrants have been exercised.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Finance Leases</w:t>
      </w:r>
    </w:p>
    <w:p>
      <w:pPr>
        <w:spacing w:after="0" w:line="118"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See Footnote 13 “Leases” for information on our finance leases. Non-cash financing activities related to our lease liabilities during 2025, 2024, and 2023, were $7 million, $16 million, and $108 million, respectively.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Security and Guarantees</w:t>
      </w:r>
    </w:p>
    <w:p>
      <w:pPr>
        <w:spacing w:after="0" w:line="11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entities), subject to certain exceptions. In addition, the Corporate Credit Facility, the 2026 Convertible Notes, the 2027 Convertible Notes, the 2028 Notes, the 2029 Notes, and the 2033 Notes are guaranteed by MVWC and certain of our direct and indirect, existing and future, domestic subsidiaries, excluding certain bankruptcy remote special purpose entities.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STOCKHOLDERS’ EQUITY</w:t>
      </w:r>
    </w:p>
    <w:p>
      <w:pPr>
        <w:spacing w:after="0" w:line="11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Marriott Vacations Worldwide has 100,000,000 authorized shares of common stock, par value of $0.01 per share. At December 31, 2025, there were 75,891,531 shares of Marriott Vacations Worldwide common stock issued, of which 34,124,033 shares were outstanding and 41,767,498 shares were held as treasury stock. At December 31, 2024, there were 75,852,678 shares of Marriott Vacations Worldwide common stock issued, of which 34,877,925 shares were outstanding and 40,974,753 shares were held as treasury stock. Marriott Vacations Worldwide has 2,000,000 authorized shares of preferred stock, par value of $0.01 per share, none of which were issued or outstanding as of December 31, 2025 or December 31,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118"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color w:val="auto"/>
        </w:rPr>
        <w:t>From time to time, with the approval of our Board of Directors, we may undertake programs to purchase shares of our common stock (each, a “Share Repurchase Program”). During the second quarter of 2023,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15" w:name="page116"/>
    <w:bookmarkEnd w:id="115"/>
    <w:p>
      <w:pPr>
        <w:ind w:right="200"/>
        <w:spacing w:after="0" w:line="262" w:lineRule="auto"/>
        <w:rPr>
          <w:sz w:val="20"/>
          <w:szCs w:val="20"/>
          <w:color w:val="auto"/>
        </w:rPr>
      </w:pPr>
      <w:r>
        <w:rPr>
          <w:rFonts w:ascii="Times New Roman" w:cs="Times New Roman" w:eastAsia="Times New Roman" w:hAnsi="Times New Roman"/>
          <w:sz w:val="17"/>
          <w:szCs w:val="17"/>
          <w:color w:val="auto"/>
        </w:rPr>
        <w:t>increased the then-remaining authorization under our previously approved Share Repurchase Program to authorize purchases up to $600 million and extended the term of this program to December 31, 2024. During the fourth quarter of 2024, our Board of Directors extended the term of this program to December 31, 2025. During the fourth quarter of 2025, our Board of Directors extended the term of this program to December 31, 2026. As of December 31, 2025, approximately $322 million remained available for share repurchases under the current Share Repurchase Program.</w:t>
      </w:r>
    </w:p>
    <w:p>
      <w:pPr>
        <w:spacing w:after="0" w:line="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Share Repurchase Program:</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Cost Basis of 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Average Price</w:t>
            </w:r>
          </w:p>
        </w:tc>
      </w:tr>
      <w:tr>
        <w:trPr>
          <w:trHeight w:val="204"/>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3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Paid per Share</w:t>
            </w: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25,790,550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95.40</w:t>
            </w:r>
          </w:p>
        </w:tc>
      </w:tr>
      <w:tr>
        <w:trPr>
          <w:trHeight w:val="243"/>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 the year ended December 31, 2025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1,004,613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61.26</w:t>
            </w:r>
          </w:p>
        </w:tc>
      </w:tr>
      <w:tr>
        <w:trPr>
          <w:trHeight w:val="235"/>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26,795,163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94.12</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1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We declared cash dividends to holders of common stock during the year ended December 31, 2025 as follows. Any future dividend payments will be subject to the restrictions imposed under the agreements covering our debt and approval of our Board of Directors. There can be no assurance that we will pay dividends in the future.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Stockholder Record Date</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Dividend per Share</w:t>
            </w:r>
          </w:p>
        </w:tc>
      </w:tr>
      <w:tr>
        <w:trPr>
          <w:trHeight w:val="226"/>
        </w:trPr>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20, 2025</w:t>
            </w: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5, 2025</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March 19, 2025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$0.79</w:t>
            </w:r>
          </w:p>
        </w:tc>
      </w:tr>
      <w:tr>
        <w:trPr>
          <w:trHeight w:val="237"/>
        </w:trPr>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May 12, 2025</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May 23, 2025</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June 6, 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$0.79</w:t>
            </w:r>
          </w:p>
        </w:tc>
      </w:tr>
      <w:tr>
        <w:trPr>
          <w:trHeight w:val="249"/>
        </w:trPr>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September 3, 2025</w:t>
            </w:r>
          </w:p>
        </w:tc>
        <w:tc>
          <w:tcPr>
            <w:tcW w:w="2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September 17, 2025</w:t>
            </w:r>
          </w:p>
        </w:tc>
        <w:tc>
          <w:tcPr>
            <w:tcW w:w="2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October 1, 2025</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$0.79</w:t>
            </w:r>
          </w:p>
        </w:tc>
      </w:tr>
      <w:tr>
        <w:trPr>
          <w:trHeight w:val="244"/>
        </w:trPr>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December 12, 2025</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December 24, 2025</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January 7, 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$0.80</w:t>
            </w:r>
          </w:p>
        </w:tc>
      </w:tr>
    </w:tbl>
    <w:p>
      <w:pPr>
        <w:spacing w:after="0" w:line="213"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7"/>
          <w:szCs w:val="17"/>
          <w:color w:val="auto"/>
        </w:rPr>
        <w:t>Subsequent to the end of 2025, on February 19, 2026, our Board of Directors declared a quarterly dividend of $0.80 per share to be paid on March 18, 2026 to stockholders of record as of March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color w:val="auto"/>
        </w:rPr>
        <w:t>17. SHARE-BASED COMPENSATION</w:t>
      </w:r>
    </w:p>
    <w:p>
      <w:pPr>
        <w:spacing w:after="0" w:line="167"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7"/>
          <w:szCs w:val="17"/>
          <w:color w:val="auto"/>
        </w:rPr>
        <w:t>The MVW Equity Plan is maintained for the benefit of our officers, directors, and employees. Under the MVW Equity Plan, we are authorized to award: (1) RSUs of our common stock, (2) SARs relating to our common stock, and (3) stock options to purchase our common stock. A total of approximately 3 million shares are authorized for issuance pursuant to grants under the MVW Equity Plan. As of December 31, 2025, approximately 1 million shares were available for grants under the MVW Equity Plan.</w:t>
      </w:r>
    </w:p>
    <w:p>
      <w:pPr>
        <w:spacing w:after="0" w:line="11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The following table details our share-based compensation expense related to award grants to our officers, directors, and employees. We recognized $7 million of tax benefits associated with share-based compensation during each of the three years ended December 31, 2025, 2024, and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 RSUs</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Performance-based RSUs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4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43"/>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SARs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5"/>
        </w:trPr>
        <w:tc>
          <w:tcPr>
            <w:tcW w:w="34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our deferred compensation costs related to unvested awards: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At Year-End 2025</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8"/>
                <w:szCs w:val="18"/>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At Year-End 2024</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 RSUs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Performance-based RSUs</w:t>
            </w: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3"/>
        </w:trPr>
        <w:tc>
          <w:tcPr>
            <w:tcW w:w="4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SARs</w:t>
            </w: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5"/>
        </w:trPr>
        <w:tc>
          <w:tcPr>
            <w:tcW w:w="4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300" w:right="560" w:hanging="298"/>
        <w:spacing w:after="0" w:line="228" w:lineRule="auto"/>
        <w:tabs>
          <w:tab w:leader="none" w:pos="288"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2025, the weighted average remaining term for RSU grants outstanding at year-end 2025 was one to three years and we expect that deferred compensation expense will be recognized over a weighted average term of two years.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18"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We have issued RSUs that vest over time, which we refer to as service-based RSUs, and RSUs that vest based on performance with respect to established criteria, which we refer to as performance-based RSUs.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changes in our outstanding RSUs and the associated weighted average grant-date fair values: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rPr>
                <w:sz w:val="17"/>
                <w:szCs w:val="17"/>
                <w:color w:val="auto"/>
              </w:rPr>
            </w:pPr>
          </w:p>
        </w:tc>
        <w:tc>
          <w:tcPr>
            <w:tcW w:w="206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5"/>
                <w:szCs w:val="15"/>
                <w:b w:val="1"/>
                <w:bCs w:val="1"/>
                <w:color w:val="auto"/>
              </w:rPr>
              <w:t>Service-based</w:t>
            </w:r>
          </w:p>
        </w:tc>
        <w:tc>
          <w:tcPr>
            <w:tcW w:w="100" w:type="dxa"/>
            <w:vAlign w:val="bottom"/>
          </w:tcPr>
          <w:p>
            <w:pPr>
              <w:spacing w:after="0"/>
              <w:rPr>
                <w:sz w:val="17"/>
                <w:szCs w:val="17"/>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Performance-based</w:t>
            </w: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9"/>
              <w:spacing w:after="0" w:line="147"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020" w:type="dxa"/>
            <w:vAlign w:val="bottom"/>
            <w:vMerge w:val="restart"/>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3"/>
                <w:szCs w:val="13"/>
                <w:color w:val="auto"/>
              </w:rPr>
            </w:pPr>
          </w:p>
        </w:tc>
        <w:tc>
          <w:tcPr>
            <w:tcW w:w="1020" w:type="dxa"/>
            <w:vAlign w:val="bottom"/>
            <w:gridSpan w:val="3"/>
          </w:tcPr>
          <w:p>
            <w:pPr>
              <w:jc w:val="center"/>
              <w:ind w:right="100"/>
              <w:spacing w:after="0" w:line="154" w:lineRule="exact"/>
              <w:rPr>
                <w:sz w:val="20"/>
                <w:szCs w:val="20"/>
                <w:color w:val="auto"/>
              </w:rPr>
            </w:pPr>
            <w:r>
              <w:rPr>
                <w:rFonts w:ascii="Times New Roman" w:cs="Times New Roman" w:eastAsia="Times New Roman" w:hAnsi="Times New Roman"/>
                <w:sz w:val="15"/>
                <w:szCs w:val="15"/>
                <w:b w:val="1"/>
                <w:bCs w:val="1"/>
                <w:color w:val="auto"/>
              </w:rPr>
              <w:t>Grant-Date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3"/>
                <w:szCs w:val="13"/>
                <w:color w:val="auto"/>
              </w:rPr>
            </w:pPr>
          </w:p>
        </w:tc>
        <w:tc>
          <w:tcPr>
            <w:tcW w:w="118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Date Fair</w:t>
            </w:r>
          </w:p>
        </w:tc>
        <w:tc>
          <w:tcPr>
            <w:tcW w:w="8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137"/>
              <w:spacing w:after="0" w:line="154" w:lineRule="exact"/>
              <w:rPr>
                <w:sz w:val="20"/>
                <w:szCs w:val="20"/>
                <w:color w:val="auto"/>
              </w:rPr>
            </w:pPr>
            <w:r>
              <w:rPr>
                <w:rFonts w:ascii="Times New Roman" w:cs="Times New Roman" w:eastAsia="Times New Roman" w:hAnsi="Times New Roman"/>
                <w:sz w:val="15"/>
                <w:szCs w:val="15"/>
                <w:b w:val="1"/>
                <w:bCs w:val="1"/>
                <w:color w:val="auto"/>
              </w:rPr>
              <w:t>Date Fair</w:t>
            </w:r>
          </w:p>
        </w:tc>
        <w:tc>
          <w:tcPr>
            <w:tcW w:w="0" w:type="dxa"/>
            <w:vAlign w:val="bottom"/>
          </w:tcPr>
          <w:p>
            <w:pPr>
              <w:spacing w:after="0"/>
              <w:rPr>
                <w:sz w:val="1"/>
                <w:szCs w:val="1"/>
                <w:color w:val="auto"/>
              </w:rPr>
            </w:pPr>
          </w:p>
        </w:tc>
      </w:tr>
      <w:tr>
        <w:trPr>
          <w:trHeight w:val="204"/>
        </w:trPr>
        <w:tc>
          <w:tcPr>
            <w:tcW w:w="1940" w:type="dxa"/>
            <w:vAlign w:val="bottom"/>
          </w:tcPr>
          <w:p>
            <w:pPr>
              <w:spacing w:after="0"/>
              <w:rPr>
                <w:sz w:val="17"/>
                <w:szCs w:val="17"/>
                <w:color w:val="auto"/>
              </w:rPr>
            </w:pPr>
          </w:p>
        </w:tc>
        <w:tc>
          <w:tcPr>
            <w:tcW w:w="1020" w:type="dxa"/>
            <w:vAlign w:val="bottom"/>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RSUs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Per RSU</w:t>
            </w:r>
          </w:p>
        </w:tc>
        <w:tc>
          <w:tcPr>
            <w:tcW w:w="860" w:type="dxa"/>
            <w:vAlign w:val="bottom"/>
          </w:tcPr>
          <w:p>
            <w:pPr>
              <w:jc w:val="right"/>
              <w:ind w:right="158"/>
              <w:spacing w:after="0"/>
              <w:rPr>
                <w:sz w:val="20"/>
                <w:szCs w:val="20"/>
                <w:color w:val="auto"/>
              </w:rPr>
            </w:pPr>
            <w:r>
              <w:rPr>
                <w:rFonts w:ascii="Times New Roman" w:cs="Times New Roman" w:eastAsia="Times New Roman" w:hAnsi="Times New Roman"/>
                <w:sz w:val="15"/>
                <w:szCs w:val="15"/>
                <w:b w:val="1"/>
                <w:bCs w:val="1"/>
                <w:color w:val="auto"/>
              </w:rPr>
              <w:t>RSUs</w:t>
            </w:r>
          </w:p>
        </w:tc>
        <w:tc>
          <w:tcPr>
            <w:tcW w:w="12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Value Per RSU</w:t>
            </w:r>
          </w:p>
        </w:tc>
        <w:tc>
          <w:tcPr>
            <w:tcW w:w="840" w:type="dxa"/>
            <w:vAlign w:val="bottom"/>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RSUs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Value Per RSU</w:t>
            </w:r>
          </w:p>
        </w:tc>
        <w:tc>
          <w:tcPr>
            <w:tcW w:w="0" w:type="dxa"/>
            <w:vAlign w:val="bottom"/>
          </w:tcPr>
          <w:p>
            <w:pPr>
              <w:spacing w:after="0"/>
              <w:rPr>
                <w:sz w:val="1"/>
                <w:szCs w:val="1"/>
                <w:color w:val="auto"/>
              </w:rPr>
            </w:pPr>
          </w:p>
        </w:tc>
      </w:tr>
      <w:tr>
        <w:trPr>
          <w:trHeight w:val="156"/>
        </w:trPr>
        <w:tc>
          <w:tcPr>
            <w:tcW w:w="19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7"/>
                <w:szCs w:val="17"/>
                <w:color w:val="auto"/>
              </w:rPr>
              <w:t>Outstanding at year-end</w:t>
            </w: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783,527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375,832</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1,159,359</w:t>
            </w:r>
          </w:p>
        </w:tc>
        <w:tc>
          <w:tcPr>
            <w:tcW w:w="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106.92</w:t>
            </w:r>
          </w:p>
        </w:tc>
        <w:tc>
          <w:tcPr>
            <w:tcW w:w="0" w:type="dxa"/>
            <w:vAlign w:val="bottom"/>
          </w:tcPr>
          <w:p>
            <w:pPr>
              <w:spacing w:after="0"/>
              <w:rPr>
                <w:sz w:val="1"/>
                <w:szCs w:val="1"/>
                <w:color w:val="auto"/>
              </w:rPr>
            </w:pPr>
          </w:p>
        </w:tc>
      </w:tr>
      <w:tr>
        <w:trPr>
          <w:trHeight w:val="243"/>
        </w:trPr>
        <w:tc>
          <w:tcPr>
            <w:tcW w:w="1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581,375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62.86</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423,863</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63.38</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1,005,238</w:t>
            </w:r>
          </w:p>
        </w:tc>
        <w:tc>
          <w:tcPr>
            <w:tcW w:w="3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63.07</w:t>
            </w: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(278,406)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111.12</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(8,923)</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152.12</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(287,329)</w:t>
            </w:r>
          </w:p>
        </w:tc>
        <w:tc>
          <w:tcPr>
            <w:tcW w:w="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112.40</w:t>
            </w:r>
          </w:p>
        </w:tc>
        <w:tc>
          <w:tcPr>
            <w:tcW w:w="0" w:type="dxa"/>
            <w:vAlign w:val="bottom"/>
          </w:tcPr>
          <w:p>
            <w:pPr>
              <w:spacing w:after="0"/>
              <w:rPr>
                <w:sz w:val="1"/>
                <w:szCs w:val="1"/>
                <w:color w:val="auto"/>
              </w:rPr>
            </w:pPr>
          </w:p>
        </w:tc>
      </w:tr>
      <w:tr>
        <w:trPr>
          <w:trHeight w:val="243"/>
        </w:trPr>
        <w:tc>
          <w:tcPr>
            <w:tcW w:w="1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79.34</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(191,569)</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104.63</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(233,768)</w:t>
            </w:r>
          </w:p>
        </w:tc>
        <w:tc>
          <w:tcPr>
            <w:tcW w:w="3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100.07</w:t>
            </w:r>
          </w:p>
        </w:tc>
        <w:tc>
          <w:tcPr>
            <w:tcW w:w="0" w:type="dxa"/>
            <w:vAlign w:val="bottom"/>
          </w:tcPr>
          <w:p>
            <w:pPr>
              <w:spacing w:after="0"/>
              <w:rPr>
                <w:sz w:val="1"/>
                <w:szCs w:val="1"/>
                <w:color w:val="auto"/>
              </w:rPr>
            </w:pPr>
          </w:p>
        </w:tc>
      </w:tr>
      <w:tr>
        <w:trPr>
          <w:trHeight w:val="155"/>
        </w:trPr>
        <w:tc>
          <w:tcPr>
            <w:tcW w:w="1940" w:type="dxa"/>
            <w:vAlign w:val="bottom"/>
            <w:tcBorders>
              <w:top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Outstanding at year-end</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1,044,297</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599,203</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1,643,500</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2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79.07</w:t>
            </w: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w:t>
            </w: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80.12</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color w:val="auto"/>
        </w:rPr>
        <w:t>The weighted average grant-date fair value per RSU granted in 2024 and 2023 was $86.73 and $143.08, respectively. The fair value of the RSUs which vested in 2025, 2024, and 2023 was $23 million, $22 million, and $36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244"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changes in our outstanding SARs and the associated weighted average exercise prices: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1717"/>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49"/>
        </w:trPr>
        <w:tc>
          <w:tcPr>
            <w:tcW w:w="43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right"/>
              <w:ind w:right="377"/>
              <w:spacing w:after="0" w:line="149" w:lineRule="exact"/>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04"/>
        </w:trPr>
        <w:tc>
          <w:tcPr>
            <w:tcW w:w="436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SARs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5"/>
                <w:szCs w:val="15"/>
                <w:b w:val="1"/>
                <w:bCs w:val="1"/>
                <w:color w:val="auto"/>
              </w:rPr>
              <w:t>Exercise Price Per SAR</w:t>
            </w:r>
          </w:p>
        </w:tc>
      </w:tr>
      <w:tr>
        <w:trPr>
          <w:trHeight w:val="22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year-end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758,729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116.59</w:t>
            </w:r>
          </w:p>
        </w:tc>
      </w:tr>
      <w:tr>
        <w:trPr>
          <w:trHeight w:val="243"/>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7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245,440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61.22</w:t>
            </w:r>
          </w:p>
        </w:tc>
      </w:tr>
      <w:tr>
        <w:trPr>
          <w:trHeight w:val="24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1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(22,511)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69.63</w:t>
            </w:r>
          </w:p>
        </w:tc>
      </w:tr>
      <w:tr>
        <w:trPr>
          <w:trHeight w:val="243"/>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Forfeited or expired</w:t>
            </w:r>
          </w:p>
        </w:tc>
        <w:tc>
          <w:tcPr>
            <w:tcW w:w="17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7"/>
                <w:szCs w:val="17"/>
                <w:color w:val="auto"/>
              </w:rPr>
              <w:t>(24,089)</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82.56</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year-end 2025</w:t>
            </w:r>
            <w:r>
              <w:rPr>
                <w:rFonts w:ascii="Times New Roman" w:cs="Times New Roman" w:eastAsia="Times New Roman" w:hAnsi="Times New Roman"/>
                <w:sz w:val="8"/>
                <w:szCs w:val="8"/>
                <w:color w:val="auto"/>
              </w:rPr>
              <w:t>(1)(2)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957,569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left="300" w:hanging="298"/>
        <w:spacing w:after="0"/>
        <w:tabs>
          <w:tab w:leader="none" w:pos="300"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2025, outstanding SARs had an aggregate intrinsic value of $1 million and a weighted average remaining term of 5 years.</w:t>
      </w:r>
    </w:p>
    <w:p>
      <w:pPr>
        <w:spacing w:after="0" w:line="51" w:lineRule="exact"/>
        <w:rPr>
          <w:rFonts w:ascii="Times New Roman" w:cs="Times New Roman" w:eastAsia="Times New Roman" w:hAnsi="Times New Roman"/>
          <w:sz w:val="22"/>
          <w:szCs w:val="22"/>
          <w:color w:val="auto"/>
          <w:vertAlign w:val="superscript"/>
        </w:rPr>
      </w:pPr>
    </w:p>
    <w:p>
      <w:pPr>
        <w:ind w:left="300" w:right="660" w:hanging="298"/>
        <w:spacing w:after="0" w:line="218" w:lineRule="auto"/>
        <w:tabs>
          <w:tab w:leader="none" w:pos="288"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2025, 630,361 SARs with a weighted average exercise price of $118.38 had no intrinsic value, and a weighted average remaining contractual term of 4 years were exercisable</w:t>
      </w:r>
      <w:r>
        <w:rPr>
          <w:rFonts w:ascii="Times New Roman" w:cs="Times New Roman" w:eastAsia="Times New Roman" w:hAnsi="Times New Roman"/>
          <w:sz w:val="17"/>
          <w:szCs w:val="17"/>
          <w:color w:val="EE2724"/>
        </w:rPr>
        <w:t>.</w:t>
      </w:r>
    </w:p>
    <w:p>
      <w:pPr>
        <w:spacing w:after="0" w:line="137"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color w:val="auto"/>
        </w:rPr>
        <w:t>The weighted average grant-date fair value per SAR granted in 2025, 2024, and 2023 was $18.83, $34.58, and $58.50, respectively. The SARs which vested in 2025, 2024, and 2023 did not have any intrinsic value. The aggregate intrinsic value of SARs which were exercised in 2025, 2024, and 2023 was less than $1 million, $1 million, and less than $1 million, respectively.</w:t>
      </w:r>
    </w:p>
    <w:p>
      <w:pPr>
        <w:spacing w:after="0" w:line="11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outlines the assumptions used to estimate the fair value of grants in 2025, 2024, and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22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45.79%</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- 51.27%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45.78%</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40.47%</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- 6.64%</w:t>
            </w:r>
          </w:p>
        </w:tc>
        <w:tc>
          <w:tcPr>
            <w:tcW w:w="1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1.87%</w:t>
            </w: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- 4.03%</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4.23%</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4.07%</w:t>
            </w:r>
          </w:p>
        </w:tc>
      </w:tr>
      <w:tr>
        <w:trPr>
          <w:trHeight w:val="244"/>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46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3.5 - 6.25</w:t>
            </w:r>
          </w:p>
        </w:tc>
        <w:tc>
          <w:tcPr>
            <w:tcW w:w="1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VARIABLE INTEREST ENTITIES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 Related to Our Vacation Ownership Notes Receivable Securitizations</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general corporate purposes. In a vacation ownership notes receivable securitization, several classes of debt securities issued by a special purpose entity are generally collateralized by a single pool of transferred assets, which consist of vacation ownership notes receivable. With each vacation ownership notes receivable securitization, we may retain all or a portion of the securities that are issued, and certain residual interests.</w:t>
      </w:r>
    </w:p>
    <w:p>
      <w:pPr>
        <w:spacing w:after="0" w:line="7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243" w:right="379" w:bottom="1440" w:gutter="0" w:footer="0" w:header="0"/>
        </w:sectPr>
      </w:pPr>
    </w:p>
    <w:bookmarkStart w:id="118" w:name="page119"/>
    <w:bookmarkEnd w:id="118"/>
    <w:p>
      <w:pPr>
        <w:spacing w:after="0" w:line="283" w:lineRule="auto"/>
        <w:rPr>
          <w:sz w:val="20"/>
          <w:szCs w:val="20"/>
          <w:color w:val="auto"/>
        </w:rPr>
      </w:pPr>
      <w:r>
        <w:rPr>
          <w:rFonts w:ascii="Times New Roman" w:cs="Times New Roman" w:eastAsia="Times New Roman" w:hAnsi="Times New Roman"/>
          <w:sz w:val="17"/>
          <w:szCs w:val="17"/>
          <w:color w:val="auto"/>
        </w:rPr>
        <w:t>The following table shows consolidated assets, which are collateral for the obligations of the VIEs related to our vacation ownership notes receivable securitizations, and consolidated liabilities included on our Balance Sheet at December 31, 2025:</w:t>
      </w:r>
    </w:p>
    <w:p>
      <w:pPr>
        <w:sectPr>
          <w:pgSz w:w="11900" w:h="16838" w:orient="portrait"/>
          <w:cols w:equalWidth="0" w:num="1">
            <w:col w:w="10180"/>
          </w:cols>
          <w:pgMar w:left="320" w:top="1146" w:right="13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Assets</w:t>
      </w:r>
    </w:p>
    <w:p>
      <w:pPr>
        <w:spacing w:after="0" w:line="52" w:lineRule="exact"/>
        <w:rPr>
          <w:sz w:val="20"/>
          <w:szCs w:val="20"/>
          <w:color w:val="auto"/>
        </w:rPr>
      </w:pPr>
    </w:p>
    <w:p>
      <w:pPr>
        <w:ind w:left="100"/>
        <w:spacing w:after="0" w:line="238" w:lineRule="auto"/>
        <w:rPr>
          <w:sz w:val="20"/>
          <w:szCs w:val="20"/>
          <w:color w:val="auto"/>
        </w:rPr>
      </w:pPr>
      <w:r>
        <w:rPr>
          <w:rFonts w:ascii="Times New Roman" w:cs="Times New Roman" w:eastAsia="Times New Roman" w:hAnsi="Times New Roman"/>
          <w:sz w:val="17"/>
          <w:szCs w:val="17"/>
          <w:color w:val="auto"/>
        </w:rPr>
        <w:t>Vacation ownership notes receivable, net of reserves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Interest receivable</w:t>
      </w:r>
    </w:p>
    <w:p>
      <w:pPr>
        <w:spacing w:after="0" w:line="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Restricted cash</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Total</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Liabilities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Warehouse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6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560" w:type="dxa"/>
            <w:vAlign w:val="bottom"/>
            <w:gridSpan w:val="2"/>
            <w:vMerge w:val="continue"/>
          </w:tcPr>
          <w:p>
            <w:pPr>
              <w:spacing w:after="0"/>
              <w:rPr>
                <w:sz w:val="13"/>
                <w:szCs w:val="13"/>
                <w:color w:val="auto"/>
              </w:rPr>
            </w:pPr>
          </w:p>
        </w:tc>
        <w:tc>
          <w:tcPr>
            <w:tcW w:w="1320" w:type="dxa"/>
            <w:vAlign w:val="bottom"/>
            <w:vMerge w:val="restart"/>
          </w:tcPr>
          <w:p>
            <w:pPr>
              <w:ind w:left="4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Credit Facility</w:t>
            </w:r>
          </w:p>
        </w:tc>
        <w:tc>
          <w:tcPr>
            <w:tcW w:w="140" w:type="dxa"/>
            <w:vAlign w:val="bottom"/>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-7620</wp:posOffset>
            </wp:positionV>
            <wp:extent cx="526351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5263515" cy="15430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20" w:type="dxa"/>
            <w:vAlign w:val="bottom"/>
          </w:tcPr>
          <w:p>
            <w:pPr>
              <w:spacing w:after="0"/>
              <w:rPr>
                <w:sz w:val="19"/>
                <w:szCs w:val="19"/>
                <w:color w:val="auto"/>
              </w:rPr>
            </w:pPr>
          </w:p>
        </w:tc>
        <w:tc>
          <w:tcPr>
            <w:tcW w:w="64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w:t>
            </w:r>
          </w:p>
        </w:tc>
      </w:tr>
      <w:tr>
        <w:trPr>
          <w:trHeight w:val="243"/>
        </w:trPr>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2"/>
        </w:trPr>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0"/>
        </w:trPr>
        <w:tc>
          <w:tcPr>
            <w:tcW w:w="5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-486410</wp:posOffset>
            </wp:positionV>
            <wp:extent cx="5263515"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263515" cy="15430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-177800</wp:posOffset>
            </wp:positionV>
            <wp:extent cx="5263515"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263515" cy="16256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3080" w:space="680"/>
            <w:col w:w="6420"/>
          </w:cols>
          <w:pgMar w:left="320" w:top="1146" w:right="139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payable</w:t>
            </w:r>
          </w:p>
        </w:tc>
        <w:tc>
          <w:tcPr>
            <w:tcW w:w="5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Securitized debt</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w:t>
            </w:r>
          </w:p>
        </w:tc>
      </w:tr>
      <w:tr>
        <w:trPr>
          <w:trHeight w:val="235"/>
        </w:trPr>
        <w:tc>
          <w:tcPr>
            <w:tcW w:w="37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interest income and expense recognized as a result of our involvement with these VIEs during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5"/>
                <w:szCs w:val="15"/>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2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Warehouse</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220" w:type="dxa"/>
            <w:vAlign w:val="bottom"/>
          </w:tcPr>
          <w:p>
            <w:pPr>
              <w:spacing w:after="0"/>
              <w:rPr>
                <w:sz w:val="13"/>
                <w:szCs w:val="13"/>
                <w:color w:val="auto"/>
              </w:rPr>
            </w:pPr>
          </w:p>
        </w:tc>
        <w:tc>
          <w:tcPr>
            <w:tcW w:w="130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5"/>
                <w:szCs w:val="15"/>
                <w:b w:val="1"/>
                <w:bCs w:val="1"/>
                <w:color w:val="auto"/>
              </w:rPr>
              <w:t>Credit</w:t>
            </w:r>
          </w:p>
        </w:tc>
        <w:tc>
          <w:tcPr>
            <w:tcW w:w="320" w:type="dxa"/>
            <w:vAlign w:val="bottom"/>
          </w:tcPr>
          <w:p>
            <w:pPr>
              <w:spacing w:after="0"/>
              <w:rPr>
                <w:sz w:val="13"/>
                <w:szCs w:val="13"/>
                <w:color w:val="auto"/>
              </w:rPr>
            </w:pPr>
          </w:p>
        </w:tc>
        <w:tc>
          <w:tcPr>
            <w:tcW w:w="1080" w:type="dxa"/>
            <w:vAlign w:val="bottom"/>
            <w:vMerge w:val="restart"/>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Facility</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1"/>
                <w:szCs w:val="21"/>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issuance cost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4"/>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vacation ownership notes receivable securitization VIEs: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2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Inflows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proceeds from vacation ownership notes receivable securitizations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Principal receipts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receipts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Reserve release</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23"/>
        </w:trPr>
        <w:tc>
          <w:tcPr>
            <w:tcW w:w="5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1,942</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Outflows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payments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Voluntary repurchases of defaulted vacation ownership notes receivable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Voluntary clean-up call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payments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43"/>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223"/>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w:t>
            </w:r>
          </w:p>
        </w:tc>
      </w:tr>
      <w:tr>
        <w:trPr>
          <w:trHeight w:val="210"/>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w:t>
            </w: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80"/>
          </w:cols>
          <w:pgMar w:left="320" w:top="1146" w:right="13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Warehouse Credit Facility VIE: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Inflows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vacation ownership notes receivable securitizations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Principal receipts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receipts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Reserve release</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5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Outflows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payments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Voluntary repurchases of defaulted vacation ownership notes receivable</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Repayment of Warehouse Credit Facility</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payments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43"/>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3"/>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10"/>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Under the terms of our vacation ownership notes receivable securitizations, we have the right to substitute loans for, or repurchase, defaulted loans at our option, subject to certain limitations. We made voluntary repurchases of defaulted vacation ownership notes receivable of $157 million during 2025, $164 million during 2024 and $123 million during 2023. We also made voluntary repurchases of $731 million, $615 million and $774 million of other non-defaulted vacation ownership notes receivable during 2025, 2024 and 2023, respectively, to retire previous vacation ownership notes receivable securitizations and to repay the Warehouse Credit Facility.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Variable Interest Entities</w:t>
      </w:r>
    </w:p>
    <w:p>
      <w:pPr>
        <w:spacing w:after="0" w:line="11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We have a commitment to purchase completed vacation ownership units located in Waikiki, Hawaii for $41 million in 2026. The property is held by a VIE for which we are not the primary beneficiary. We do not control the decisions that most significantly impact the economic performance of the entity as we cannot prevent the variable interest entity from selling the property at a higher price. Accordingly, we have not consolidated the VIE. As of December 31, 2025, our Balance Sheet reflected $1 million in Accounts and contracts receivable, net, including a note receivable of less than $1 million and $4 million in Property and equipment, net. We believe that our maximum exposure to loss as a result of our involvement with this VIE is approximately $5 million as of December 31, 2025.</w:t>
      </w:r>
    </w:p>
    <w:p>
      <w:pPr>
        <w:spacing w:after="0" w:line="7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During the third quarter of 2025, we acquired 48 completed vacation ownership units located at our Marriott Vacation Club, Waikiki property for $82 million. The transaction was accounted for as an asset acquisition with $80 million of the purchase price allocated to Property and Equipment, net, representing the portion of vacation ownership units purchased that are not registered and available for sale in their current form, and the remaining $2 million was allocated to Inventory.</w:t>
      </w:r>
    </w:p>
    <w:p>
      <w:pPr>
        <w:spacing w:after="0" w:line="6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During the third quarter of 2024, we acquired 38 completed vacation ownership units located at our Marriott Vacation Club, Waikiki property for $65 million. The transaction was accounted for as an asset acquisition with all of the purchase price allocated to Inventory, as all of the vacation ownership units were registered and available for sale in their current form. Additionally, during the first quarter of 2024, we acquired retail space located at our Marriott Vacation Club, Waikiki property for $48 million. The transaction was accounted for as an asset acquisition and the acquired property is included in Property and Equipment, net on our Balance Sheet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19. BUSINESS SEGMENTS</w:t>
      </w:r>
    </w:p>
    <w:p>
      <w:pPr>
        <w:spacing w:after="0" w:line="11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 Vacation Ownership and Exchange &amp; Third-Party Management. These segments are managed independently due to the differing nature of their products and services.</w:t>
      </w:r>
    </w:p>
    <w:p>
      <w:pPr>
        <w:spacing w:after="0" w:line="11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125"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0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Exchange &amp; Third-Party Management includes an exchange network and membership programs, as well as provision of management services to other resorts and lodging properties. We provide these services through our Interval International and Aqua-Aston businesses. Exchange &amp; Third-Party Management revenue generally is fee-based and derived from membership, exchange, and rental transactions, property and owners’ association management, and other related products and services.</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Our CODM uses Adjusted Earnings before Interest Expense, Taxes, Depreciation and Amortization (“Adjusted EBITDA”) to evaluate the profitability of our operating segments, and the components of net income or loss attributable to common stockholders excluded from Adjusted EBITDA are not separately evaluated. Our CODM reviews budget-to-actual and/or forecast-to-actual variances on a monthly basis using Adjusted EBITDA to make decisions about capital allocation and resource distribution to the segments. Adjusted EBITDA is defined as net income or loss attributable to common stockholders, before interest expense (excluding consumer financing interest expense associated with term securitization transactions), income taxes, depreciation and amortization, excluding share-based compensation expense and amortization of cloud computing software implementation costs, and adjusted for certain items that affect the comparability of our operating performance. We do not report asset information by segment because that information is not used to evaluate performance or allocate resources between segments.</w:t>
      </w:r>
    </w:p>
    <w:p>
      <w:pPr>
        <w:spacing w:after="0" w:line="129"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7"/>
          <w:szCs w:val="17"/>
          <w:color w:val="auto"/>
        </w:rPr>
        <w:t>During the first quarter of 2025, we began excluding Amortization of cloud computing software implementation costs, which are not included in Depreciation and amortization, from Adjusted EBITDA for comparability purposes, to address the considerable variability among companies in the utilization of productive assets, and have reclassified prior year amounts to conform with our current year presentation.</w:t>
      </w:r>
    </w:p>
    <w:p>
      <w:pPr>
        <w:spacing w:after="0" w:line="115"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7"/>
          <w:szCs w:val="17"/>
          <w:color w:val="auto"/>
        </w:rPr>
        <w:t>Additionally, during the year ended December 31, 2025, we reclassified $6 million of certain prior year amounts related to ongoing litigation from General and administrative expense to Litigation charges in order to conform with our current year presentation.</w:t>
      </w:r>
    </w:p>
    <w:p>
      <w:pPr>
        <w:spacing w:after="0" w:line="102" w:lineRule="exact"/>
        <w:rPr>
          <w:sz w:val="20"/>
          <w:szCs w:val="20"/>
          <w:color w:val="auto"/>
        </w:rPr>
      </w:pPr>
    </w:p>
    <w:p>
      <w:pPr>
        <w:ind w:right="840"/>
        <w:spacing w:after="0" w:line="283" w:lineRule="auto"/>
        <w:rPr>
          <w:sz w:val="20"/>
          <w:szCs w:val="20"/>
          <w:color w:val="auto"/>
        </w:rPr>
      </w:pPr>
      <w:r>
        <w:rPr>
          <w:rFonts w:ascii="Times New Roman" w:cs="Times New Roman" w:eastAsia="Times New Roman" w:hAnsi="Times New Roman"/>
          <w:sz w:val="17"/>
          <w:szCs w:val="17"/>
          <w:color w:val="auto"/>
        </w:rPr>
        <w:t>Our reconciliation of the aggregate amount of Adjusted EBITDA for our reportable segments to consolidated net income or loss attributable to common stockholders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Revenues and Adjusted EBITDA</w:t>
      </w:r>
    </w:p>
    <w:p>
      <w:pPr>
        <w:spacing w:after="0" w:line="6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The table below presents the following for the periods presented: revenues, disaggregated by segment, reconciled to consolidated revenue; segment expenses, including significant expense categories and amounts that align with segment-level information regularly provided to our CODM; and segment Adjusted EBITDA reconciled to Net income or loss attributable to common stockholders.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60" w:type="dxa"/>
            <w:vAlign w:val="bottom"/>
          </w:tcPr>
          <w:p>
            <w:pPr>
              <w:spacing w:after="0"/>
              <w:rPr>
                <w:sz w:val="13"/>
                <w:szCs w:val="13"/>
                <w:color w:val="auto"/>
              </w:rPr>
            </w:pPr>
          </w:p>
        </w:tc>
        <w:tc>
          <w:tcPr>
            <w:tcW w:w="560" w:type="dxa"/>
            <w:vAlign w:val="bottom"/>
            <w:vMerge w:val="restart"/>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40" w:type="dxa"/>
            <w:vAlign w:val="bottom"/>
          </w:tcPr>
          <w:p>
            <w:pPr>
              <w:spacing w:after="0"/>
              <w:rPr>
                <w:sz w:val="13"/>
                <w:szCs w:val="13"/>
                <w:color w:val="auto"/>
              </w:rPr>
            </w:pPr>
          </w:p>
        </w:tc>
        <w:tc>
          <w:tcPr>
            <w:tcW w:w="560" w:type="dxa"/>
            <w:vAlign w:val="bottom"/>
            <w:vMerge w:val="restart"/>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40" w:type="dxa"/>
            <w:vAlign w:val="bottom"/>
          </w:tcPr>
          <w:p>
            <w:pPr>
              <w:spacing w:after="0"/>
              <w:rPr>
                <w:sz w:val="13"/>
                <w:szCs w:val="13"/>
                <w:color w:val="auto"/>
              </w:rPr>
            </w:pPr>
          </w:p>
        </w:tc>
        <w:tc>
          <w:tcPr>
            <w:tcW w:w="580" w:type="dxa"/>
            <w:vAlign w:val="bottom"/>
            <w:vMerge w:val="restart"/>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4,805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4,730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4,468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Reconciliation of revenues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consolidated revenues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Cost of vacation ownership</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tcPr>
          <w:p>
            <w:pPr>
              <w:ind w:left="220"/>
              <w:spacing w:after="0" w:line="243"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(2)(3)</w:t>
            </w: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2"/>
                <w:szCs w:val="22"/>
                <w:color w:val="auto"/>
                <w:vertAlign w:val="superscript"/>
              </w:rPr>
              <w:t>(1)(3)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66"/>
        </w:trPr>
        <w:tc>
          <w:tcPr>
            <w:tcW w:w="24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Amortization of cloud computing</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software implementation costs</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7"/>
                <w:szCs w:val="17"/>
                <w:color w:val="auto"/>
              </w:rPr>
              <w:t>Certain items</w:t>
            </w:r>
            <w:r>
              <w:rPr>
                <w:rFonts w:ascii="Times New Roman" w:cs="Times New Roman" w:eastAsia="Times New Roman" w:hAnsi="Times New Roman"/>
                <w:sz w:val="22"/>
                <w:szCs w:val="22"/>
                <w:color w:val="auto"/>
                <w:vertAlign w:val="superscript"/>
              </w:rPr>
              <w:t>(3)</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Net (loss) income attributable to</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0" w:type="dxa"/>
            <w:vAlign w:val="bottom"/>
          </w:tcPr>
          <w:p>
            <w:pPr>
              <w:spacing w:after="0"/>
              <w:rPr>
                <w:sz w:val="1"/>
                <w:szCs w:val="1"/>
                <w:color w:val="auto"/>
              </w:rPr>
            </w:pPr>
          </w:p>
        </w:tc>
      </w:tr>
      <w:tr>
        <w:trPr>
          <w:trHeight w:val="225"/>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stockholders</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300" w:right="340" w:hanging="298"/>
        <w:spacing w:after="0" w:line="235" w:lineRule="auto"/>
        <w:tabs>
          <w:tab w:leader="none" w:pos="288"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and Other consists of results that are not allocable to our segments, including company-wide general and administrative expenses, and transaction and integration costs. In addition, Corporate and Other includes revenues and expenses from Consolidated Property Owners’ Associations. Our CODM does not use this information for operating segment resource allocations.</w:t>
      </w:r>
    </w:p>
    <w:p>
      <w:pPr>
        <w:spacing w:after="0" w:line="3" w:lineRule="exact"/>
        <w:rPr>
          <w:rFonts w:ascii="Times New Roman" w:cs="Times New Roman" w:eastAsia="Times New Roman" w:hAnsi="Times New Roman"/>
          <w:sz w:val="22"/>
          <w:szCs w:val="22"/>
          <w:color w:val="auto"/>
          <w:vertAlign w:val="superscript"/>
        </w:rPr>
      </w:pPr>
    </w:p>
    <w:p>
      <w:pPr>
        <w:ind w:left="300" w:hanging="298"/>
        <w:spacing w:after="0"/>
        <w:tabs>
          <w:tab w:leader="none" w:pos="30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include cost reimbursements, share-based compensation, amortization of cloud computing software implementation costs, and other.</w:t>
      </w:r>
    </w:p>
    <w:p>
      <w:pPr>
        <w:spacing w:after="0" w:line="5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year amounts have been reclassified to conform with our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140"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3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540" w:type="dxa"/>
            <w:vAlign w:val="bottom"/>
            <w:gridSpan w:val="5"/>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depreciation and amortization</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146</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 (including inventory)</w:t>
            </w: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3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540" w:type="dxa"/>
            <w:vAlign w:val="bottom"/>
            <w:gridSpan w:val="5"/>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capital expenditures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250</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 Excluding Cost Reimbursements</w:t>
            </w: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w:t>
            </w:r>
          </w:p>
        </w:tc>
        <w:tc>
          <w:tcPr>
            <w:tcW w:w="540" w:type="dxa"/>
            <w:vAlign w:val="bottom"/>
            <w:gridSpan w:val="5"/>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2,797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w:t>
            </w: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countries</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481</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3,278</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3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At December 31, 2025</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countries</w:t>
            </w: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RESTRUCTURING AND IMPAIRMENT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Costs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Asia Pacific Strategy Change</w:t>
      </w:r>
    </w:p>
    <w:p>
      <w:pPr>
        <w:spacing w:after="0" w:line="116" w:lineRule="exact"/>
        <w:rPr>
          <w:sz w:val="20"/>
          <w:szCs w:val="20"/>
          <w:color w:val="auto"/>
        </w:rPr>
      </w:pPr>
    </w:p>
    <w:p>
      <w:pPr>
        <w:spacing w:after="0" w:line="209" w:lineRule="exact"/>
        <w:rPr>
          <w:sz w:val="20"/>
          <w:szCs w:val="20"/>
          <w:color w:val="auto"/>
        </w:rPr>
      </w:pPr>
      <w:r>
        <w:rPr>
          <w:rFonts w:ascii="Times New Roman" w:cs="Times New Roman" w:eastAsia="Times New Roman" w:hAnsi="Times New Roman"/>
          <w:sz w:val="17"/>
          <w:szCs w:val="17"/>
          <w:color w:val="auto"/>
        </w:rPr>
        <w:t>In the fourth quarter of 2025 we reassessed the strategy for our Asia Pacific vacation ownership business as part of our initiatives to drive strong profitability and improve cash flow. As a result, we scaled back growth expectations and right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sized our business in the region. This includes reducing tours for first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buyers in select countries in the region where our borrowers have higher default rates, reducing headcount in the region, deferring the purchase of inventory and canceling a purchase commitment for inventory. As a result, we incurred restructuring costs in 2025, all of which related to the Asia Pacific strategy change,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4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Cancellation of purchase commitment for inventory</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5"/>
        </w:trPr>
        <w:tc>
          <w:tcPr>
            <w:tcW w:w="6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and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during each of the years ended December 31, 2024 and December 31, 2023, we incurred $6 million of restructuring charges relating to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00"/>
          </w:cols>
          <w:pgMar w:left="320" w:top="1153"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Charges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incurred impairment charges during 2025, 2024, and 2023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equipment, and other assets</w:t>
            </w: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Future phases of existing resorts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Legacy-Welk inventory</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Khao Lak, Thailand inventory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management contract</w:t>
            </w: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Impairment charges</w:t>
            </w: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60"/>
        <w:spacing w:after="0" w:line="207" w:lineRule="exact"/>
        <w:rPr>
          <w:sz w:val="20"/>
          <w:szCs w:val="20"/>
          <w:color w:val="auto"/>
        </w:rPr>
      </w:pPr>
      <w:r>
        <w:rPr>
          <w:rFonts w:ascii="Times New Roman" w:cs="Times New Roman" w:eastAsia="Times New Roman" w:hAnsi="Times New Roman"/>
          <w:sz w:val="17"/>
          <w:szCs w:val="17"/>
          <w:color w:val="auto"/>
        </w:rPr>
        <w:t>During the fourth quarter of 2025, as part of our broader financial strategic review, we conducted a comprehensive review to assess the strategic alignment of inventory and property and equipment within our North America vacation ownership business. This review focused on assessing inventory needs in light of our current inventory holdings and identifying opportunities to monetize certain non-core assets. The conclusions drawn from the strategic review identified indicators of impairment for certain assets. As a result of our impairment analyses, we recorded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cash impairment related to assets associated with future phases of our existing resorts. The carrying values of the assets associated with these resorts exceeded their estimated fair values because the carrying values included historical allocations of common infrastructure costs incurred when we built the resorts. In addition, we recorded a non-cash impairment related to certain property and equipment identified for disposition including a hotel in Cancun, Mexico, which was classified as a component of Other assets as it was held for sale and ultimately disposed of in January 2026.</w:t>
      </w:r>
    </w:p>
    <w:p>
      <w:pPr>
        <w:spacing w:after="0" w:line="9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For assets where fair value was determined using the sales-comparison method of the market approach, Level 3 inputs were applied in the valuation process. The fair value measurement was based on analyses of sales and offerings of comparable properties and adjusted to reflect the differences between the asset being valued and the comparable assets, such as market conditions, location, size, physical characteristics, zoning, density and site conditions.</w:t>
      </w:r>
    </w:p>
    <w:p>
      <w:pPr>
        <w:spacing w:after="0" w:line="6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7"/>
          <w:szCs w:val="17"/>
          <w:color w:val="auto"/>
        </w:rPr>
        <w:t>For assets where fair value was determined utilizing the income approach, Level 3 inputs were applied in the valuation process. The fair value measurement was based on discounted cash flow analyses and consideration was given to potential alternative uses of the assets in accordance with the highest and best use requirements outlined in ASC 820. Level 3 inputs utilized in the valuation process included projections of revenue, expense and the estimated discount rates applied.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Equipment, and Other Assets Identified for Disposition</w:t>
      </w:r>
    </w:p>
    <w:p>
      <w:pPr>
        <w:spacing w:after="0" w:line="11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A $160 million non-cash impairment was recognized for certain non-core Property and equipment and Other assets identified for disposition. We estimated the fair value of the assets using the sales-comparison method of the market approach, which in certain instances also considered brokers’ opinion of value and our own transaction history, Level 3 inputs, or in the case of our hotel located in Cancun, Mexico, was based on a binding sales contract with a third party, which is a Level 3 input.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Phases of Existing Resorts</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During 2025, we recorded non-cash impairment charges of $131 million as a result of decisions to forgo build out of future phases of existing resorts which were classified as a component of Property and equipment, net. We estimated the fair value of these assets using the sales-comparison method of the market approach. We also considered other inputs, including a non-binding letter of intent, Level 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Legacy-Welk Inventory</w:t>
      </w:r>
    </w:p>
    <w:p>
      <w:pPr>
        <w:spacing w:after="0" w:line="118"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7"/>
          <w:szCs w:val="17"/>
          <w:color w:val="auto"/>
        </w:rPr>
        <w:t>During 2025 and 2024, we recorded non-cash impairment charges of $75 million and $28 million, respectively, related to Legacy-Welk inventory. The 2024 impairment reflected an elongated pace of sales at a higher marketing and selling cost than the estimates used in purchase accounting</w:t>
      </w:r>
      <w:r>
        <w:rPr>
          <w:rFonts w:ascii="Times New Roman" w:cs="Times New Roman" w:eastAsia="Times New Roman" w:hAnsi="Times New Roman"/>
          <w:sz w:val="17"/>
          <w:szCs w:val="17"/>
          <w:color w:val="EE2724"/>
        </w:rPr>
        <w:t>.</w:t>
      </w:r>
      <w:r>
        <w:rPr>
          <w:rFonts w:ascii="Times New Roman" w:cs="Times New Roman" w:eastAsia="Times New Roman" w:hAnsi="Times New Roman"/>
          <w:sz w:val="17"/>
          <w:szCs w:val="17"/>
          <w:color w:val="auto"/>
        </w:rPr>
        <w:t xml:space="preserve"> The 2025 impairment reflected a further elongated pace of sales at a higher marketing and selling cost as the Hyatt-branded vacation ownership business continues to underperform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color w:val="auto"/>
        </w:rPr>
        <w:t>expectations. We used the income approach to estimate the fair value of the assets less costs to sell in both 2025 and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Khao Lak, Thailand Inventory</w:t>
      </w:r>
    </w:p>
    <w:p>
      <w:pPr>
        <w:spacing w:after="0" w:line="11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We recorded a $27 million non-cash impairment for vacation ownership units classified in Inventory due to the strategy change in Asia Pacific which elongated the pace of sales and changed our marketing approach. We used the income approach to estimate the fair value less costs to sell of the inventory.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2025, we recorded a $2 million impairment related to an operating lease and related assets in our Exchange &amp; Third-Party Management segment.</w:t>
      </w:r>
    </w:p>
    <w:p>
      <w:pPr>
        <w:spacing w:after="0" w:line="11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Upon our relocation to our new corporate headquarters during the fourth quarter of 2023, we recorded a non-cash impairment charge of $16 million to the right-to-use asset related to the operating leases for our previous corporate headquarters as we did not expect proceeds from subleasing these spaces to exceed our future obligations under the operating leases.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Trade Names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Footnote 10 “Goodwill” and Footnote 11 “Intangible Assets” for information on the impairments of goodwill and trade names recorded during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MODERNIZATION</w:t>
      </w:r>
    </w:p>
    <w:p>
      <w:pPr>
        <w:spacing w:after="0" w:line="11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November 2024, we announced the creation of a Strategic Business Operations office focused on accelerating our growth and driving operating efficiencies in all areas of our business while increasing organizational agility. The Strategic Business Operations office was created to modernize and optimize our processes and systems, including through advanced technology and automation; increase sales efficiency and inventory optimization; and capture significant savings from initiatives related to procurement and corporate overhead.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Modernization expense for 2025 and 2024: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Advisory</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56"/>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Transition Costs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0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activity for this accrual on our Balance Sheet related to our Modernization efforts.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SBO Initiatives</w:t>
            </w:r>
          </w:p>
        </w:tc>
      </w:tr>
      <w:tr>
        <w:trPr>
          <w:trHeight w:val="23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6"/>
        </w:trPr>
        <w:tc>
          <w:tcPr>
            <w:tcW w:w="6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Modernization charges</w:t>
            </w: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5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payments</w:t>
            </w:r>
          </w:p>
        </w:tc>
        <w:tc>
          <w:tcPr>
            <w:tcW w:w="2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During the third quarter of 2025, we entered into outsourced service arrangements and completed the transition of a portion of certain corporate overhead functions to outsourced service providers. The arrangements are for terms of five to six years, and are cancellable for convenience subject to a termination penalty. As of December 31, 2025,our aggregate expected obligation under these arrangements is $142 million, of which $42 million, $27 million, $26 million, $26 million, $18 million, and $3 million is expected to be paid in 2026, 2027, 2028, 2029, 2030, and thereafter, respectively, and the total penalties for early termination were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146" w:right="379" w:bottom="1440" w:gutter="0" w:footer="0" w:header="0"/>
        </w:sectPr>
      </w:pPr>
    </w:p>
    <w:bookmarkStart w:id="125" w:name="page126"/>
    <w:bookmarkEnd w:id="125"/>
    <w:p>
      <w:pPr>
        <w:ind w:left="2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6"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Controls and Procedures</w:t>
      </w:r>
    </w:p>
    <w:p>
      <w:pPr>
        <w:spacing w:after="0" w:line="1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December 31, 2025,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Internal Control Over Financial Reporting</w:t>
      </w:r>
    </w:p>
    <w:p>
      <w:pPr>
        <w:spacing w:after="0" w:line="11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Exchange Act Rule 13a-15(f). We have set forth management’s annual report on internal control over financial reporting and the independent registered public accounting firm’s report on the effectiveness of our internal control over financial reporting in Part II, Item 8 of this Annual Report, and we incorporate those reports by reference.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16"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color w:val="auto"/>
        </w:rPr>
        <w:t>We made no changes in our internal control over financial reporting during the fourth quarter of 2025 that have materially affected, or are reasonably likely to materially affect, our internal control over financial reporting.</w:t>
      </w:r>
    </w:p>
    <w:p>
      <w:pPr>
        <w:spacing w:after="0" w:line="187"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Trading Plans</w:t>
      </w:r>
    </w:p>
    <w:p>
      <w:pPr>
        <w:spacing w:after="0" w:line="112"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color w:val="auto"/>
        </w:rPr>
        <w:t>During the quarter ended December 31, 2025, no director or Section 16 officer adopted or terminated any Rule 10b5-1 trading arrangements or non-Rule 10b5-1 trading arrangements (in each case, as defined in Item 408(a) of Regulation S-K).</w:t>
      </w:r>
    </w:p>
    <w:p>
      <w:pPr>
        <w:spacing w:after="0" w:line="187"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As described below, we incorporate by reference in this Annual Report certain information appearing in the Proxy Statement that we will furnish to our stockholders for our 2026 Annual Meeting of Stockholders (the “Proxy Statement”).</w:t>
      </w:r>
    </w:p>
    <w:p>
      <w:pPr>
        <w:spacing w:after="0" w:line="85"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Our Proxy Statement will be filed with the SEC in connection with our 2026 Annual Meeting of Stockholders. Information regarding executive officers is included in Part I of this Form 10-K as permitted by General Instruction G(3) to Form 10-K. Information required by Item 10 of Form 10-K relating to directors is incorporated by reference to the material captioned “Report on the Board of Directors and its Committees” and information relating to insider trading is incorporated by reference to the material captioned “Insider Trading, Pledging, Hedging, and Derivative Transactions”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26" w:name="page127"/>
    <w:bookmarkEnd w:id="126"/>
    <w:p>
      <w:pPr>
        <w:ind w:right="200"/>
        <w:spacing w:after="0" w:line="262" w:lineRule="auto"/>
        <w:rPr>
          <w:sz w:val="20"/>
          <w:szCs w:val="20"/>
          <w:color w:val="auto"/>
        </w:rPr>
      </w:pPr>
      <w:r>
        <w:rPr>
          <w:rFonts w:ascii="Times New Roman" w:cs="Times New Roman" w:eastAsia="Times New Roman" w:hAnsi="Times New Roman"/>
          <w:sz w:val="17"/>
          <w:szCs w:val="17"/>
          <w:color w:val="auto"/>
        </w:rPr>
        <w:t>our Proxy Statement. The section entitled, “Delinquent Section 16(a) Reports” in our Proxy Statement is incorporated by reference. The Company has adopted a securities trading policy (the “Insider Trading Policy”), which governs the purchase, sale and other dispositions of our securities by directors, officers and employees (including, as applicable, their family members and controlled entities, in each case, as defined in the Insider Trading Policy) and the Company. The Insider Trading Policy is filed as an exhibit to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116"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7"/>
          <w:szCs w:val="17"/>
          <w:color w:val="auto"/>
        </w:rPr>
        <w:t>Our Board of Directors has adopted a code of conduct, our Business Conduct Guide, that applies to all of our directors, officers, and associates, including our Principal Executive Officer, Principal Financial Officer, and Principal Accounting Officer. Our Business Conduct Guide is available in the Investor Relations section of our website (marriottvacationsworldwide.com)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in the Investor Relations section of our website within four business days following the date of the amendment or waiver or on a Current Report on Form 8-K.</w:t>
      </w:r>
    </w:p>
    <w:p>
      <w:pPr>
        <w:spacing w:after="0" w:line="109"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6"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We incorporate this information by reference to the “Executive and Director Compensation” and “Compensation Committee Interlocks and Insider Participation” sections of our Proxy Statement.</w:t>
      </w:r>
    </w:p>
    <w:p>
      <w:pPr>
        <w:spacing w:after="0" w:line="85"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We incorporate this information by reference to the “Securities Authorized for Issuance Under Equity Compensation Plans” and “Stock Ownership” sections of our Proxy Statement.</w:t>
      </w:r>
    </w:p>
    <w:p>
      <w:pPr>
        <w:spacing w:after="0" w:line="85"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incorporate this information by reference to the “Transactions with Related Persons” and “Director Independence” sections of our Proxy Statement.</w:t>
      </w:r>
    </w:p>
    <w:p>
      <w:pPr>
        <w:spacing w:after="0" w:line="146"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16"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color w:val="auto"/>
        </w:rPr>
        <w:t>We incorporate this information by reference to the “Independent Registered Public Accounting Firm Fee Disclosure” and “Pre-Approval of Independent Auditor Fees and Services Policy” sections of our Proxy Statement.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50"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filed as part of this Annual Report: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Financial Statements</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include this portion of Item 15 under Part II, Item 8 of this Annual Report.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60" w:lineRule="exact"/>
        <w:rPr>
          <w:sz w:val="20"/>
          <w:szCs w:val="20"/>
          <w:color w:val="auto"/>
        </w:rPr>
      </w:pPr>
    </w:p>
    <w:p>
      <w:pPr>
        <w:ind w:left="620" w:right="460"/>
        <w:spacing w:after="0" w:line="282" w:lineRule="auto"/>
        <w:rPr>
          <w:sz w:val="20"/>
          <w:szCs w:val="20"/>
          <w:color w:val="auto"/>
        </w:rPr>
      </w:pPr>
      <w:r>
        <w:rPr>
          <w:rFonts w:ascii="Times New Roman" w:cs="Times New Roman" w:eastAsia="Times New Roman" w:hAnsi="Times New Roman"/>
          <w:sz w:val="17"/>
          <w:szCs w:val="17"/>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Exhibits</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documents referenced below are being filed as a part of this Annual Report, unless otherwise noted.</w:t>
      </w:r>
    </w:p>
    <w:p>
      <w:pPr>
        <w:sectPr>
          <w:pgSz w:w="11900" w:h="16838" w:orient="portrait"/>
          <w:cols w:equalWidth="0" w:num="1">
            <w:col w:w="11160"/>
          </w:cols>
          <w:pgMar w:left="320" w:top="1146" w:right="419" w:bottom="1440" w:gutter="0" w:footer="0" w:header="0"/>
        </w:sectPr>
      </w:pP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0" w:lineRule="exact"/>
        <w:rPr>
          <w:sz w:val="20"/>
          <w:szCs w:val="20"/>
          <w:color w:val="auto"/>
        </w:rPr>
      </w:pPr>
    </w:p>
    <w:p>
      <w:pPr>
        <w:spacing w:after="0" w:line="3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95885</wp:posOffset>
            </wp:positionV>
            <wp:extent cx="5263515" cy="7150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263515" cy="715010"/>
                    </a:xfrm>
                    <a:prstGeom prst="rect">
                      <a:avLst/>
                    </a:prstGeom>
                    <a:noFill/>
                  </pic:spPr>
                </pic:pic>
              </a:graphicData>
            </a:graphic>
          </wp:anchor>
        </w:drawing>
      </w:r>
    </w:p>
    <w:p>
      <w:pPr>
        <w:spacing w:after="0" w:line="153" w:lineRule="exact"/>
        <w:rPr>
          <w:sz w:val="20"/>
          <w:szCs w:val="20"/>
          <w:color w:val="auto"/>
        </w:rPr>
      </w:pPr>
    </w:p>
    <w:p>
      <w:pPr>
        <w:spacing w:after="0" w:line="223" w:lineRule="auto"/>
        <w:rPr>
          <w:rFonts w:ascii="Times New Roman" w:cs="Times New Roman" w:eastAsia="Times New Roman" w:hAnsi="Times New Roman"/>
          <w:sz w:val="17"/>
          <w:szCs w:val="17"/>
          <w:u w:val="single" w:color="auto"/>
          <w:color w:val="0000FF"/>
        </w:rPr>
      </w:pPr>
      <w:hyperlink r:id="rId174">
        <w:r>
          <w:rPr>
            <w:rFonts w:ascii="Times New Roman" w:cs="Times New Roman" w:eastAsia="Times New Roman" w:hAnsi="Times New Roman"/>
            <w:sz w:val="17"/>
            <w:szCs w:val="17"/>
            <w:u w:val="single" w:color="auto"/>
            <w:color w:val="0000FF"/>
          </w:rPr>
          <w:t>Separation and Distribution Agreement, entered into</w:t>
        </w:r>
      </w:hyperlink>
      <w:r>
        <w:rPr>
          <w:rFonts w:ascii="Times New Roman" w:cs="Times New Roman" w:eastAsia="Times New Roman" w:hAnsi="Times New Roman"/>
          <w:sz w:val="17"/>
          <w:szCs w:val="17"/>
          <w:u w:val="single" w:color="auto"/>
          <w:color w:val="0000FF"/>
        </w:rPr>
        <w:t xml:space="preserve"> </w:t>
      </w:r>
      <w:hyperlink r:id="rId174">
        <w:r>
          <w:rPr>
            <w:rFonts w:ascii="Times New Roman" w:cs="Times New Roman" w:eastAsia="Times New Roman" w:hAnsi="Times New Roman"/>
            <w:sz w:val="17"/>
            <w:szCs w:val="17"/>
            <w:u w:val="single" w:color="auto"/>
            <w:color w:val="0000FF"/>
          </w:rPr>
          <w:t>on November 17, 2011, among Marriott International,</w:t>
        </w:r>
      </w:hyperlink>
    </w:p>
    <w:p>
      <w:pPr>
        <w:ind w:right="40"/>
        <w:spacing w:after="0" w:line="222" w:lineRule="auto"/>
        <w:rPr>
          <w:rFonts w:ascii="Times New Roman" w:cs="Times New Roman" w:eastAsia="Times New Roman" w:hAnsi="Times New Roman"/>
          <w:sz w:val="16"/>
          <w:szCs w:val="16"/>
          <w:u w:val="single" w:color="auto"/>
          <w:color w:val="0000FF"/>
        </w:rPr>
      </w:pPr>
      <w:hyperlink r:id="rId174">
        <w:r>
          <w:rPr>
            <w:rFonts w:ascii="Times New Roman" w:cs="Times New Roman" w:eastAsia="Times New Roman" w:hAnsi="Times New Roman"/>
            <w:sz w:val="16"/>
            <w:szCs w:val="16"/>
            <w:u w:val="single" w:color="auto"/>
            <w:color w:val="0000FF"/>
          </w:rPr>
          <w:t>Inc., Marriott Vacations Worldwide Corporation,</w:t>
        </w:r>
      </w:hyperlink>
      <w:r>
        <w:rPr>
          <w:rFonts w:ascii="Times New Roman" w:cs="Times New Roman" w:eastAsia="Times New Roman" w:hAnsi="Times New Roman"/>
          <w:sz w:val="16"/>
          <w:szCs w:val="16"/>
          <w:u w:val="single" w:color="auto"/>
          <w:color w:val="0000FF"/>
        </w:rPr>
        <w:t xml:space="preserve"> </w:t>
      </w:r>
      <w:hyperlink r:id="rId174">
        <w:r>
          <w:rPr>
            <w:rFonts w:ascii="Times New Roman" w:cs="Times New Roman" w:eastAsia="Times New Roman" w:hAnsi="Times New Roman"/>
            <w:sz w:val="16"/>
            <w:szCs w:val="16"/>
            <w:u w:val="single" w:color="auto"/>
            <w:color w:val="0000FF"/>
          </w:rPr>
          <w:t>Marriott Ownership Resorts, Inc., Marriott Resorts</w:t>
        </w:r>
      </w:hyperlink>
      <w:r>
        <w:rPr>
          <w:rFonts w:ascii="Times New Roman" w:cs="Times New Roman" w:eastAsia="Times New Roman" w:hAnsi="Times New Roman"/>
          <w:sz w:val="16"/>
          <w:szCs w:val="16"/>
          <w:u w:val="single" w:color="auto"/>
          <w:color w:val="0000FF"/>
        </w:rPr>
        <w:t xml:space="preserve"> </w:t>
      </w:r>
      <w:hyperlink r:id="rId174">
        <w:r>
          <w:rPr>
            <w:rFonts w:ascii="Times New Roman" w:cs="Times New Roman" w:eastAsia="Times New Roman" w:hAnsi="Times New Roman"/>
            <w:sz w:val="16"/>
            <w:szCs w:val="16"/>
            <w:u w:val="single" w:color="auto"/>
            <w:color w:val="0000FF"/>
          </w:rPr>
          <w:t>Hospitality Corporation, MVCI Asia Pacific Pte. Ltd.</w:t>
        </w:r>
      </w:hyperlink>
    </w:p>
    <w:p>
      <w:pPr>
        <w:spacing w:after="0" w:line="1"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7"/>
          <w:szCs w:val="17"/>
          <w:u w:val="single" w:color="auto"/>
          <w:color w:val="0000FF"/>
        </w:rPr>
      </w:pPr>
      <w:hyperlink r:id="rId174">
        <w:r>
          <w:rPr>
            <w:rFonts w:ascii="Times New Roman" w:cs="Times New Roman" w:eastAsia="Times New Roman" w:hAnsi="Times New Roman"/>
            <w:sz w:val="17"/>
            <w:szCs w:val="17"/>
            <w:u w:val="single" w:color="auto"/>
            <w:color w:val="0000FF"/>
          </w:rPr>
          <w:t>and MVCO Series LLC</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79" w:lineRule="exact"/>
        <w:rPr>
          <w:rFonts w:ascii="Times New Roman" w:cs="Times New Roman" w:eastAsia="Times New Roman" w:hAnsi="Times New Roman"/>
          <w:sz w:val="16"/>
          <w:szCs w:val="16"/>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8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Filed</w:t>
            </w: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tc>
        <w:tc>
          <w:tcPr>
            <w:tcW w:w="0" w:type="dxa"/>
            <w:vAlign w:val="bottom"/>
          </w:tcPr>
          <w:p>
            <w:pPr>
              <w:spacing w:after="0"/>
              <w:rPr>
                <w:sz w:val="1"/>
                <w:szCs w:val="1"/>
                <w:color w:val="auto"/>
              </w:rPr>
            </w:pPr>
          </w:p>
        </w:tc>
      </w:tr>
      <w:tr>
        <w:trPr>
          <w:trHeight w:val="26"/>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120" w:type="dxa"/>
            <w:vAlign w:val="bottom"/>
            <w:vMerge w:val="restart"/>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7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Pr>
          <w:p>
            <w:pPr>
              <w:spacing w:after="0"/>
              <w:rPr>
                <w:sz w:val="17"/>
                <w:szCs w:val="17"/>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40" w:type="dxa"/>
            <w:vAlign w:val="bottom"/>
          </w:tcPr>
          <w:p>
            <w:pPr>
              <w:spacing w:after="0"/>
              <w:rPr>
                <w:sz w:val="17"/>
                <w:szCs w:val="17"/>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Date Filed</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6"/>
          <w:szCs w:val="16"/>
          <w:u w:val="single" w:color="auto"/>
          <w:color w:val="0000FF"/>
        </w:rPr>
      </w:pPr>
    </w:p>
    <w:p>
      <w:pPr>
        <w:spacing w:after="0" w:line="244" w:lineRule="exact"/>
        <w:rPr>
          <w:rFonts w:ascii="Times New Roman" w:cs="Times New Roman" w:eastAsia="Times New Roman" w:hAnsi="Times New Roman"/>
          <w:sz w:val="16"/>
          <w:szCs w:val="16"/>
          <w:u w:val="single" w:color="auto"/>
          <w:color w:val="0000FF"/>
        </w:rPr>
      </w:pPr>
    </w:p>
    <w:p>
      <w:pPr>
        <w:ind w:left="1080"/>
        <w:spacing w:after="0"/>
        <w:tabs>
          <w:tab w:leader="none" w:pos="1900" w:val="left"/>
          <w:tab w:leader="none" w:pos="2600" w:val="left"/>
        </w:tabs>
        <w:rPr>
          <w:sz w:val="20"/>
          <w:szCs w:val="20"/>
          <w:color w:val="auto"/>
        </w:rPr>
      </w:pPr>
      <w:r>
        <w:rPr>
          <w:rFonts w:ascii="Times New Roman" w:cs="Times New Roman" w:eastAsia="Times New Roman" w:hAnsi="Times New Roman"/>
          <w:sz w:val="17"/>
          <w:szCs w:val="17"/>
          <w:color w:val="auto"/>
        </w:rPr>
        <w:t>8-K</w:t>
      </w:r>
      <w:r>
        <w:rPr>
          <w:sz w:val="20"/>
          <w:szCs w:val="20"/>
          <w:color w:val="auto"/>
        </w:rPr>
        <w:tab/>
      </w: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color w:val="auto"/>
        </w:rPr>
        <w:t>11/22/2011</w:t>
      </w:r>
    </w:p>
    <w:p>
      <w:pPr>
        <w:spacing w:after="0" w:line="640"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660" w:space="260"/>
            <w:col w:w="3680" w:space="200"/>
            <w:col w:w="6360"/>
          </w:cols>
          <w:pgMar w:left="320" w:top="1146" w:right="419" w:bottom="1440" w:gutter="0" w:footer="0" w:header="0"/>
          <w:type w:val="continuous"/>
        </w:sect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76" w:lineRule="exact"/>
        <w:rPr>
          <w:rFonts w:ascii="Times New Roman" w:cs="Times New Roman" w:eastAsia="Times New Roman" w:hAnsi="Times New Roman"/>
          <w:sz w:val="16"/>
          <w:szCs w:val="16"/>
          <w:u w:val="single" w:color="auto"/>
          <w:color w:val="0000FF"/>
        </w:rPr>
      </w:pPr>
    </w:p>
    <w:p>
      <w:pPr>
        <w:jc w:val="center"/>
        <w:ind w:right="-9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20" w:top="1146" w:right="419" w:bottom="1440" w:gutter="0" w:footer="0" w:header="0"/>
          <w:type w:val="continuous"/>
        </w:sectPr>
      </w:pPr>
    </w:p>
    <w:bookmarkStart w:id="127" w:name="page128"/>
    <w:bookmarkEnd w:id="127"/>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9525</wp:posOffset>
            </wp:positionV>
            <wp:extent cx="4794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9525</wp:posOffset>
            </wp:positionV>
            <wp:extent cx="4794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2.3</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3.1</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3.2</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4.1</w:t>
      </w: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4.2</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4.3</w:t>
      </w: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4.5</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4.6</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4.7</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4.8</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4.9</w:t>
      </w:r>
    </w:p>
    <w:p>
      <w:pPr>
        <w:spacing w:after="0" w:line="200" w:lineRule="exact"/>
        <w:rPr>
          <w:sz w:val="20"/>
          <w:szCs w:val="20"/>
          <w:color w:val="auto"/>
        </w:rPr>
      </w:pPr>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4.10</w:t>
      </w: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4.11</w:t>
      </w: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4.12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24041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178"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24041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127" w:lineRule="exact"/>
        <w:rPr>
          <w:sz w:val="20"/>
          <w:szCs w:val="20"/>
          <w:color w:val="auto"/>
        </w:rPr>
      </w:pPr>
    </w:p>
    <w:p>
      <w:pPr>
        <w:ind w:right="140"/>
        <w:spacing w:after="0" w:line="223" w:lineRule="auto"/>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Agreement and Plan of Merger, dated as of April 30,</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2018, by and among Marriott Vacations Worldwide</w:t>
        </w:r>
      </w:hyperlink>
    </w:p>
    <w:p>
      <w:pPr>
        <w:ind w:right="340"/>
        <w:spacing w:after="0" w:line="227" w:lineRule="auto"/>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Corporation, ILG, Inc., Ignite Holdco, Inc., Ignite</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Holdco Subsidiary, Inc., Volt Merger Sub LLC</w:t>
        </w:r>
        <w:r>
          <w:rPr>
            <w:rFonts w:ascii="Times New Roman" w:cs="Times New Roman" w:eastAsia="Times New Roman" w:hAnsi="Times New Roman"/>
            <w:sz w:val="17"/>
            <w:szCs w:val="17"/>
            <w:u w:val="single" w:color="auto"/>
            <w:color w:val="0000FF"/>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24130</wp:posOffset>
            </wp:positionV>
            <wp:extent cx="5263515" cy="6089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5263515" cy="608965"/>
                    </a:xfrm>
                    <a:prstGeom prst="rect">
                      <a:avLst/>
                    </a:prstGeom>
                    <a:noFill/>
                  </pic:spPr>
                </pic:pic>
              </a:graphicData>
            </a:graphic>
          </wp:anchor>
        </w:drawing>
      </w:r>
    </w:p>
    <w:p>
      <w:pPr>
        <w:spacing w:after="0" w:line="40" w:lineRule="exact"/>
        <w:rPr>
          <w:sz w:val="20"/>
          <w:szCs w:val="20"/>
          <w:color w:val="auto"/>
        </w:rPr>
      </w:pPr>
    </w:p>
    <w:p>
      <w:pPr>
        <w:spacing w:after="0" w:line="223"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Agreement and Plan of Merger by and among Marriott</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Vacations Worldwide Corporation, Sommelier</w:t>
        </w:r>
      </w:hyperlink>
    </w:p>
    <w:p>
      <w:pPr>
        <w:ind w:right="280"/>
        <w:spacing w:after="0" w:line="219"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Acquisition Corp., Champagne Resorts, Inc., Welk</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Hospitality Group, Inc. and the Shareholder</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Representative, dated as of January 26, 2021</w:t>
        </w:r>
      </w:hyperlink>
    </w:p>
    <w:p>
      <w:pPr>
        <w:spacing w:after="0" w:line="61" w:lineRule="exact"/>
        <w:rPr>
          <w:rFonts w:ascii="Times New Roman" w:cs="Times New Roman" w:eastAsia="Times New Roman" w:hAnsi="Times New Roman"/>
          <w:sz w:val="17"/>
          <w:szCs w:val="17"/>
          <w:u w:val="single" w:color="auto"/>
          <w:color w:val="0000FF"/>
        </w:rPr>
      </w:pPr>
    </w:p>
    <w:p>
      <w:pPr>
        <w:ind w:right="500"/>
        <w:spacing w:after="0" w:line="238" w:lineRule="auto"/>
        <w:rPr>
          <w:rFonts w:ascii="Times New Roman" w:cs="Times New Roman" w:eastAsia="Times New Roman" w:hAnsi="Times New Roman"/>
          <w:sz w:val="17"/>
          <w:szCs w:val="17"/>
          <w:u w:val="single" w:color="auto"/>
          <w:color w:val="0000FF"/>
        </w:rPr>
      </w:pPr>
      <w:hyperlink r:id="rId183">
        <w:r>
          <w:rPr>
            <w:rFonts w:ascii="Times New Roman" w:cs="Times New Roman" w:eastAsia="Times New Roman" w:hAnsi="Times New Roman"/>
            <w:sz w:val="17"/>
            <w:szCs w:val="17"/>
            <w:u w:val="single" w:color="auto"/>
            <w:color w:val="0000FF"/>
          </w:rPr>
          <w:t>Second Restated Certificate of Incorporation of</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Marriott Vacations Worldwide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24130</wp:posOffset>
            </wp:positionV>
            <wp:extent cx="5263515" cy="284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5263515" cy="284480"/>
                    </a:xfrm>
                    <a:prstGeom prst="rect">
                      <a:avLst/>
                    </a:prstGeom>
                    <a:noFill/>
                  </pic:spPr>
                </pic:pic>
              </a:graphicData>
            </a:graphic>
          </wp:anchor>
        </w:drawing>
      </w:r>
    </w:p>
    <w:p>
      <w:pPr>
        <w:spacing w:after="0" w:line="40" w:lineRule="exact"/>
        <w:rPr>
          <w:sz w:val="20"/>
          <w:szCs w:val="20"/>
          <w:color w:val="auto"/>
        </w:rPr>
      </w:pPr>
    </w:p>
    <w:p>
      <w:pPr>
        <w:ind w:right="300"/>
        <w:spacing w:after="0" w:line="238" w:lineRule="auto"/>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7"/>
            <w:szCs w:val="17"/>
            <w:u w:val="single" w:color="auto"/>
            <w:color w:val="0000FF"/>
          </w:rPr>
          <w:t>Restated Bylaws of Marriott Vacations Worldwide</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Corporation (effective May 12, 2023)</w:t>
        </w:r>
      </w:hyperlink>
    </w:p>
    <w:p>
      <w:pPr>
        <w:spacing w:after="0" w:line="60" w:lineRule="exact"/>
        <w:rPr>
          <w:sz w:val="20"/>
          <w:szCs w:val="20"/>
          <w:color w:val="auto"/>
        </w:rPr>
      </w:pPr>
    </w:p>
    <w:p>
      <w:pPr>
        <w:ind w:right="40"/>
        <w:spacing w:after="0" w:line="236" w:lineRule="auto"/>
        <w:rPr>
          <w:rFonts w:ascii="Times New Roman" w:cs="Times New Roman" w:eastAsia="Times New Roman" w:hAnsi="Times New Roman"/>
          <w:sz w:val="16"/>
          <w:szCs w:val="16"/>
          <w:u w:val="single" w:color="auto"/>
          <w:color w:val="0000FF"/>
        </w:rPr>
      </w:pPr>
      <w:hyperlink r:id="rId186">
        <w:r>
          <w:rPr>
            <w:rFonts w:ascii="Times New Roman" w:cs="Times New Roman" w:eastAsia="Times New Roman" w:hAnsi="Times New Roman"/>
            <w:sz w:val="16"/>
            <w:szCs w:val="16"/>
            <w:u w:val="single" w:color="auto"/>
            <w:color w:val="0000FF"/>
          </w:rPr>
          <w:t>Form of certificate representing shares of common</w:t>
        </w:r>
      </w:hyperlink>
      <w:r>
        <w:rPr>
          <w:rFonts w:ascii="Times New Roman" w:cs="Times New Roman" w:eastAsia="Times New Roman" w:hAnsi="Times New Roman"/>
          <w:sz w:val="16"/>
          <w:szCs w:val="16"/>
          <w:u w:val="single" w:color="auto"/>
          <w:color w:val="0000FF"/>
        </w:rPr>
        <w:t xml:space="preserve"> </w:t>
      </w:r>
      <w:hyperlink r:id="rId186">
        <w:r>
          <w:rPr>
            <w:rFonts w:ascii="Times New Roman" w:cs="Times New Roman" w:eastAsia="Times New Roman" w:hAnsi="Times New Roman"/>
            <w:sz w:val="16"/>
            <w:szCs w:val="16"/>
            <w:u w:val="single" w:color="auto"/>
            <w:color w:val="0000FF"/>
          </w:rPr>
          <w:t>stock, par value $0.01 per share, of Marriott Vacations</w:t>
        </w:r>
      </w:hyperlink>
    </w:p>
    <w:p>
      <w:pPr>
        <w:spacing w:after="0" w:line="2"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7"/>
            <w:szCs w:val="17"/>
            <w:u w:val="single" w:color="auto"/>
            <w:color w:val="0000FF"/>
          </w:rPr>
          <w:t>Worldwide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20955</wp:posOffset>
            </wp:positionV>
            <wp:extent cx="5263515" cy="6089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5263515" cy="608965"/>
                    </a:xfrm>
                    <a:prstGeom prst="rect">
                      <a:avLst/>
                    </a:prstGeom>
                    <a:noFill/>
                  </pic:spPr>
                </pic:pic>
              </a:graphicData>
            </a:graphic>
          </wp:anchor>
        </w:drawing>
      </w:r>
    </w:p>
    <w:p>
      <w:pPr>
        <w:spacing w:after="0" w:line="35" w:lineRule="exact"/>
        <w:rPr>
          <w:sz w:val="20"/>
          <w:szCs w:val="20"/>
          <w:color w:val="auto"/>
        </w:rPr>
      </w:pPr>
    </w:p>
    <w:p>
      <w:pPr>
        <w:ind w:right="60"/>
        <w:spacing w:after="0" w:line="223" w:lineRule="auto"/>
        <w:rPr>
          <w:rFonts w:ascii="Times New Roman" w:cs="Times New Roman" w:eastAsia="Times New Roman" w:hAnsi="Times New Roman"/>
          <w:sz w:val="17"/>
          <w:szCs w:val="17"/>
          <w:u w:val="single" w:color="auto"/>
          <w:color w:val="0000FF"/>
        </w:rPr>
      </w:pPr>
      <w:hyperlink r:id="rId188">
        <w:r>
          <w:rPr>
            <w:rFonts w:ascii="Times New Roman" w:cs="Times New Roman" w:eastAsia="Times New Roman" w:hAnsi="Times New Roman"/>
            <w:sz w:val="17"/>
            <w:szCs w:val="17"/>
            <w:u w:val="single" w:color="auto"/>
            <w:color w:val="0000FF"/>
          </w:rPr>
          <w:t>Indenture, dated as of October 1, 2019, by and among</w:t>
        </w:r>
      </w:hyperlink>
      <w:r>
        <w:rPr>
          <w:rFonts w:ascii="Times New Roman" w:cs="Times New Roman" w:eastAsia="Times New Roman" w:hAnsi="Times New Roman"/>
          <w:sz w:val="17"/>
          <w:szCs w:val="17"/>
          <w:u w:val="single" w:color="auto"/>
          <w:color w:val="0000FF"/>
        </w:rPr>
        <w:t xml:space="preserve"> </w:t>
      </w:r>
      <w:hyperlink r:id="rId188">
        <w:r>
          <w:rPr>
            <w:rFonts w:ascii="Times New Roman" w:cs="Times New Roman" w:eastAsia="Times New Roman" w:hAnsi="Times New Roman"/>
            <w:sz w:val="17"/>
            <w:szCs w:val="17"/>
            <w:u w:val="single" w:color="auto"/>
            <w:color w:val="0000FF"/>
          </w:rPr>
          <w:t>Marriott Ownership Resorts, Inc., Marriott Vacations</w:t>
        </w:r>
      </w:hyperlink>
    </w:p>
    <w:p>
      <w:pPr>
        <w:ind w:right="180"/>
        <w:spacing w:after="0" w:line="219" w:lineRule="auto"/>
        <w:rPr>
          <w:rFonts w:ascii="Times New Roman" w:cs="Times New Roman" w:eastAsia="Times New Roman" w:hAnsi="Times New Roman"/>
          <w:sz w:val="17"/>
          <w:szCs w:val="17"/>
          <w:u w:val="single" w:color="auto"/>
          <w:color w:val="0000FF"/>
        </w:rPr>
      </w:pPr>
      <w:hyperlink r:id="rId188">
        <w:r>
          <w:rPr>
            <w:rFonts w:ascii="Times New Roman" w:cs="Times New Roman" w:eastAsia="Times New Roman" w:hAnsi="Times New Roman"/>
            <w:sz w:val="17"/>
            <w:szCs w:val="17"/>
            <w:u w:val="single" w:color="auto"/>
            <w:color w:val="0000FF"/>
          </w:rPr>
          <w:t>Worldwide Corporation, as guarantor, the other</w:t>
        </w:r>
      </w:hyperlink>
      <w:r>
        <w:rPr>
          <w:rFonts w:ascii="Times New Roman" w:cs="Times New Roman" w:eastAsia="Times New Roman" w:hAnsi="Times New Roman"/>
          <w:sz w:val="17"/>
          <w:szCs w:val="17"/>
          <w:u w:val="single" w:color="auto"/>
          <w:color w:val="0000FF"/>
        </w:rPr>
        <w:t xml:space="preserve"> </w:t>
      </w:r>
      <w:hyperlink r:id="rId188">
        <w:r>
          <w:rPr>
            <w:rFonts w:ascii="Times New Roman" w:cs="Times New Roman" w:eastAsia="Times New Roman" w:hAnsi="Times New Roman"/>
            <w:sz w:val="17"/>
            <w:szCs w:val="17"/>
            <w:u w:val="single" w:color="auto"/>
            <w:color w:val="0000FF"/>
          </w:rPr>
          <w:t>guarantors party thereto and The Bank of New York</w:t>
        </w:r>
      </w:hyperlink>
      <w:r>
        <w:rPr>
          <w:rFonts w:ascii="Times New Roman" w:cs="Times New Roman" w:eastAsia="Times New Roman" w:hAnsi="Times New Roman"/>
          <w:sz w:val="17"/>
          <w:szCs w:val="17"/>
          <w:u w:val="single" w:color="auto"/>
          <w:color w:val="0000FF"/>
        </w:rPr>
        <w:t xml:space="preserve"> </w:t>
      </w:r>
      <w:hyperlink r:id="rId188">
        <w:r>
          <w:rPr>
            <w:rFonts w:ascii="Times New Roman" w:cs="Times New Roman" w:eastAsia="Times New Roman" w:hAnsi="Times New Roman"/>
            <w:sz w:val="17"/>
            <w:szCs w:val="17"/>
            <w:u w:val="single" w:color="auto"/>
            <w:color w:val="0000FF"/>
          </w:rPr>
          <w:t>Mellon Trust Company, N.A., as trustee</w:t>
        </w:r>
      </w:hyperlink>
    </w:p>
    <w:p>
      <w:pPr>
        <w:spacing w:after="0" w:line="61" w:lineRule="exact"/>
        <w:rPr>
          <w:rFonts w:ascii="Times New Roman" w:cs="Times New Roman" w:eastAsia="Times New Roman" w:hAnsi="Times New Roman"/>
          <w:sz w:val="17"/>
          <w:szCs w:val="17"/>
          <w:u w:val="single" w:color="auto"/>
          <w:color w:val="0000FF"/>
        </w:rPr>
      </w:pPr>
    </w:p>
    <w:p>
      <w:pPr>
        <w:ind w:right="140"/>
        <w:spacing w:after="0" w:line="238" w:lineRule="auto"/>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u w:val="single" w:color="auto"/>
            <w:color w:val="0000FF"/>
          </w:rPr>
          <w:t>Form of 4.750% Senior Notes due 2028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(included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Exhibit A to Exhibit 4.2 above)</w:t>
      </w:r>
    </w:p>
    <w:p>
      <w:pPr>
        <w:spacing w:after="0" w:line="34" w:lineRule="exact"/>
        <w:rPr>
          <w:rFonts w:ascii="Times New Roman" w:cs="Times New Roman" w:eastAsia="Times New Roman" w:hAnsi="Times New Roman"/>
          <w:sz w:val="17"/>
          <w:szCs w:val="17"/>
          <w:u w:val="single" w:color="auto"/>
          <w:color w:val="0000FF"/>
        </w:rPr>
      </w:pPr>
    </w:p>
    <w:p>
      <w:pPr>
        <w:jc w:val="both"/>
        <w:spacing w:after="0" w:line="223"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Registration Rights Agreement, dated as of October 1,</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2019, by and among Marriott Ownership Resorts,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-227965</wp:posOffset>
            </wp:positionV>
            <wp:extent cx="5263515" cy="576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5263515" cy="576580"/>
                    </a:xfrm>
                    <a:prstGeom prst="rect">
                      <a:avLst/>
                    </a:prstGeom>
                    <a:noFill/>
                  </pic:spPr>
                </pic:pic>
              </a:graphicData>
            </a:graphic>
          </wp:anchor>
        </w:drawing>
      </w:r>
    </w:p>
    <w:p>
      <w:pPr>
        <w:ind w:right="180"/>
        <w:spacing w:after="0" w:line="219"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Marriott Vacations Worldwide Corporation, as</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guarantor, the other guarantors party thereto and J.P.</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Morgan Securities LLC</w:t>
        </w:r>
      </w:hyperlink>
    </w:p>
    <w:p>
      <w:pPr>
        <w:spacing w:after="0" w:line="35" w:lineRule="exact"/>
        <w:rPr>
          <w:rFonts w:ascii="Times New Roman" w:cs="Times New Roman" w:eastAsia="Times New Roman" w:hAnsi="Times New Roman"/>
          <w:sz w:val="17"/>
          <w:szCs w:val="17"/>
          <w:u w:val="single" w:color="auto"/>
          <w:color w:val="0000FF"/>
        </w:rPr>
      </w:pPr>
    </w:p>
    <w:p>
      <w:pPr>
        <w:spacing w:after="0" w:line="223" w:lineRule="auto"/>
        <w:rPr>
          <w:rFonts w:ascii="Times New Roman" w:cs="Times New Roman" w:eastAsia="Times New Roman" w:hAnsi="Times New Roman"/>
          <w:sz w:val="17"/>
          <w:szCs w:val="17"/>
          <w:u w:val="single" w:color="auto"/>
          <w:color w:val="0000FF"/>
        </w:rPr>
      </w:pPr>
      <w:hyperlink r:id="rId191">
        <w:r>
          <w:rPr>
            <w:rFonts w:ascii="Times New Roman" w:cs="Times New Roman" w:eastAsia="Times New Roman" w:hAnsi="Times New Roman"/>
            <w:sz w:val="17"/>
            <w:szCs w:val="17"/>
            <w:u w:val="single" w:color="auto"/>
            <w:color w:val="0000FF"/>
          </w:rPr>
          <w:t>Indenture, dated as of February 2, 2021, by and among</w:t>
        </w:r>
      </w:hyperlink>
      <w:r>
        <w:rPr>
          <w:rFonts w:ascii="Times New Roman" w:cs="Times New Roman" w:eastAsia="Times New Roman" w:hAnsi="Times New Roman"/>
          <w:sz w:val="17"/>
          <w:szCs w:val="17"/>
          <w:u w:val="single" w:color="auto"/>
          <w:color w:val="0000FF"/>
        </w:rPr>
        <w:t xml:space="preserve"> </w:t>
      </w:r>
      <w:hyperlink r:id="rId191">
        <w:r>
          <w:rPr>
            <w:rFonts w:ascii="Times New Roman" w:cs="Times New Roman" w:eastAsia="Times New Roman" w:hAnsi="Times New Roman"/>
            <w:sz w:val="17"/>
            <w:szCs w:val="17"/>
            <w:u w:val="single" w:color="auto"/>
            <w:color w:val="0000FF"/>
          </w:rPr>
          <w:t>Marriott Vacations Worldwide Corporation, Marriott</w:t>
        </w:r>
      </w:hyperlink>
    </w:p>
    <w:p>
      <w:pPr>
        <w:spacing w:after="0" w:line="219" w:lineRule="auto"/>
        <w:rPr>
          <w:rFonts w:ascii="Times New Roman" w:cs="Times New Roman" w:eastAsia="Times New Roman" w:hAnsi="Times New Roman"/>
          <w:sz w:val="17"/>
          <w:szCs w:val="17"/>
          <w:u w:val="single" w:color="auto"/>
          <w:color w:val="0000FF"/>
        </w:rPr>
      </w:pPr>
      <w:hyperlink r:id="rId191">
        <w:r>
          <w:rPr>
            <w:rFonts w:ascii="Times New Roman" w:cs="Times New Roman" w:eastAsia="Times New Roman" w:hAnsi="Times New Roman"/>
            <w:sz w:val="17"/>
            <w:szCs w:val="17"/>
            <w:u w:val="single" w:color="auto"/>
            <w:color w:val="0000FF"/>
          </w:rPr>
          <w:t>Ownership Resorts, Inc. and the other guarantors party</w:t>
        </w:r>
      </w:hyperlink>
      <w:r>
        <w:rPr>
          <w:rFonts w:ascii="Times New Roman" w:cs="Times New Roman" w:eastAsia="Times New Roman" w:hAnsi="Times New Roman"/>
          <w:sz w:val="17"/>
          <w:szCs w:val="17"/>
          <w:u w:val="single" w:color="auto"/>
          <w:color w:val="0000FF"/>
        </w:rPr>
        <w:t xml:space="preserve"> </w:t>
      </w:r>
      <w:hyperlink r:id="rId191">
        <w:r>
          <w:rPr>
            <w:rFonts w:ascii="Times New Roman" w:cs="Times New Roman" w:eastAsia="Times New Roman" w:hAnsi="Times New Roman"/>
            <w:sz w:val="17"/>
            <w:szCs w:val="17"/>
            <w:u w:val="single" w:color="auto"/>
            <w:color w:val="0000FF"/>
          </w:rPr>
          <w:t>thereto and The Bank of New York Mellon Trust</w:t>
        </w:r>
      </w:hyperlink>
      <w:r>
        <w:rPr>
          <w:rFonts w:ascii="Times New Roman" w:cs="Times New Roman" w:eastAsia="Times New Roman" w:hAnsi="Times New Roman"/>
          <w:sz w:val="17"/>
          <w:szCs w:val="17"/>
          <w:u w:val="single" w:color="auto"/>
          <w:color w:val="0000FF"/>
        </w:rPr>
        <w:t xml:space="preserve"> </w:t>
      </w:r>
      <w:hyperlink r:id="rId191">
        <w:r>
          <w:rPr>
            <w:rFonts w:ascii="Times New Roman" w:cs="Times New Roman" w:eastAsia="Times New Roman" w:hAnsi="Times New Roman"/>
            <w:sz w:val="17"/>
            <w:szCs w:val="17"/>
            <w:u w:val="single" w:color="auto"/>
            <w:color w:val="0000FF"/>
          </w:rPr>
          <w:t>Company, N.A., as trustee</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-569595</wp:posOffset>
            </wp:positionH>
            <wp:positionV relativeFrom="paragraph">
              <wp:posOffset>24765</wp:posOffset>
            </wp:positionV>
            <wp:extent cx="5263515" cy="284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5263515" cy="284480"/>
                    </a:xfrm>
                    <a:prstGeom prst="rect">
                      <a:avLst/>
                    </a:prstGeom>
                    <a:noFill/>
                  </pic:spPr>
                </pic:pic>
              </a:graphicData>
            </a:graphic>
          </wp:anchor>
        </w:drawing>
      </w:r>
    </w:p>
    <w:p>
      <w:pPr>
        <w:spacing w:after="0" w:line="41" w:lineRule="exact"/>
        <w:rPr>
          <w:rFonts w:ascii="Times New Roman" w:cs="Times New Roman" w:eastAsia="Times New Roman" w:hAnsi="Times New Roman"/>
          <w:sz w:val="17"/>
          <w:szCs w:val="17"/>
          <w:u w:val="single" w:color="auto"/>
          <w:color w:val="0000FF"/>
        </w:rPr>
      </w:pPr>
    </w:p>
    <w:p>
      <w:pPr>
        <w:ind w:right="320"/>
        <w:spacing w:after="0" w:line="238" w:lineRule="auto"/>
        <w:rPr>
          <w:rFonts w:ascii="Times New Roman" w:cs="Times New Roman" w:eastAsia="Times New Roman" w:hAnsi="Times New Roman"/>
          <w:sz w:val="17"/>
          <w:szCs w:val="17"/>
          <w:u w:val="single" w:color="auto"/>
          <w:color w:val="0000FF"/>
        </w:rPr>
      </w:pPr>
      <w:hyperlink r:id="rId191">
        <w:r>
          <w:rPr>
            <w:rFonts w:ascii="Times New Roman" w:cs="Times New Roman" w:eastAsia="Times New Roman" w:hAnsi="Times New Roman"/>
            <w:sz w:val="17"/>
            <w:szCs w:val="17"/>
            <w:u w:val="single" w:color="auto"/>
            <w:color w:val="0000FF"/>
          </w:rPr>
          <w:t>Form of 0.00% Convertible Senior Note due 2026</w:t>
        </w:r>
      </w:hyperlink>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(included as Exhibit A to Exhibit 4.5 above)</w:t>
      </w:r>
    </w:p>
    <w:p>
      <w:pPr>
        <w:spacing w:after="0" w:line="60" w:lineRule="exact"/>
        <w:rPr>
          <w:rFonts w:ascii="Times New Roman" w:cs="Times New Roman" w:eastAsia="Times New Roman" w:hAnsi="Times New Roman"/>
          <w:sz w:val="17"/>
          <w:szCs w:val="17"/>
          <w:u w:val="single" w:color="auto"/>
          <w:color w:val="0000FF"/>
        </w:rPr>
      </w:pPr>
    </w:p>
    <w:p>
      <w:pPr>
        <w:ind w:right="120"/>
        <w:spacing w:after="0" w:line="236" w:lineRule="auto"/>
        <w:rPr>
          <w:rFonts w:ascii="Times New Roman" w:cs="Times New Roman" w:eastAsia="Times New Roman" w:hAnsi="Times New Roman"/>
          <w:sz w:val="16"/>
          <w:szCs w:val="16"/>
          <w:u w:val="single" w:color="auto"/>
          <w:color w:val="0000FF"/>
        </w:rPr>
      </w:pPr>
      <w:hyperlink r:id="rId193">
        <w:r>
          <w:rPr>
            <w:rFonts w:ascii="Times New Roman" w:cs="Times New Roman" w:eastAsia="Times New Roman" w:hAnsi="Times New Roman"/>
            <w:sz w:val="16"/>
            <w:szCs w:val="16"/>
            <w:u w:val="single" w:color="auto"/>
            <w:color w:val="0000FF"/>
          </w:rPr>
          <w:t>Indenture, dated as of June 21, 2021, by and among</w:t>
        </w:r>
      </w:hyperlink>
      <w:r>
        <w:rPr>
          <w:rFonts w:ascii="Times New Roman" w:cs="Times New Roman" w:eastAsia="Times New Roman" w:hAnsi="Times New Roman"/>
          <w:sz w:val="16"/>
          <w:szCs w:val="16"/>
          <w:u w:val="single" w:color="auto"/>
          <w:color w:val="0000FF"/>
        </w:rPr>
        <w:t xml:space="preserve"> </w:t>
      </w:r>
      <w:hyperlink r:id="rId193">
        <w:r>
          <w:rPr>
            <w:rFonts w:ascii="Times New Roman" w:cs="Times New Roman" w:eastAsia="Times New Roman" w:hAnsi="Times New Roman"/>
            <w:sz w:val="16"/>
            <w:szCs w:val="16"/>
            <w:u w:val="single" w:color="auto"/>
            <w:color w:val="0000FF"/>
          </w:rPr>
          <w:t>Marriott Ownership Resorts, Inc., Marriott Vacations</w:t>
        </w:r>
      </w:hyperlink>
    </w:p>
    <w:p>
      <w:pPr>
        <w:spacing w:after="0" w:line="2" w:lineRule="exact"/>
        <w:rPr>
          <w:sz w:val="20"/>
          <w:szCs w:val="20"/>
          <w:color w:val="auto"/>
        </w:rPr>
      </w:pPr>
    </w:p>
    <w:p>
      <w:pPr>
        <w:ind w:right="180"/>
        <w:spacing w:after="0" w:line="219" w:lineRule="auto"/>
        <w:rPr>
          <w:rFonts w:ascii="Times New Roman" w:cs="Times New Roman" w:eastAsia="Times New Roman" w:hAnsi="Times New Roman"/>
          <w:sz w:val="17"/>
          <w:szCs w:val="17"/>
          <w:u w:val="single" w:color="auto"/>
          <w:color w:val="0000FF"/>
        </w:rPr>
      </w:pPr>
      <w:hyperlink r:id="rId193">
        <w:r>
          <w:rPr>
            <w:rFonts w:ascii="Times New Roman" w:cs="Times New Roman" w:eastAsia="Times New Roman" w:hAnsi="Times New Roman"/>
            <w:sz w:val="17"/>
            <w:szCs w:val="17"/>
            <w:u w:val="single" w:color="auto"/>
            <w:color w:val="0000FF"/>
          </w:rPr>
          <w:t>Worldwide Corporation, as guarantor, the other</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guarantors party thereto and The Bank of New York</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Mellon Trust Company, N.A., as trustee</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-569595</wp:posOffset>
            </wp:positionH>
            <wp:positionV relativeFrom="paragraph">
              <wp:posOffset>24765</wp:posOffset>
            </wp:positionV>
            <wp:extent cx="5263515" cy="284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5263515" cy="284480"/>
                    </a:xfrm>
                    <a:prstGeom prst="rect">
                      <a:avLst/>
                    </a:prstGeom>
                    <a:noFill/>
                  </pic:spPr>
                </pic:pic>
              </a:graphicData>
            </a:graphic>
          </wp:anchor>
        </w:drawing>
      </w:r>
    </w:p>
    <w:p>
      <w:pPr>
        <w:spacing w:after="0" w:line="41" w:lineRule="exact"/>
        <w:rPr>
          <w:rFonts w:ascii="Times New Roman" w:cs="Times New Roman" w:eastAsia="Times New Roman" w:hAnsi="Times New Roman"/>
          <w:sz w:val="17"/>
          <w:szCs w:val="17"/>
          <w:u w:val="single" w:color="auto"/>
          <w:color w:val="0000FF"/>
        </w:rPr>
      </w:pPr>
    </w:p>
    <w:p>
      <w:pPr>
        <w:ind w:right="140"/>
        <w:spacing w:after="0" w:line="238" w:lineRule="auto"/>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u w:val="single" w:color="auto"/>
            <w:color w:val="0000FF"/>
          </w:rPr>
          <w:t>Form of 4.500% Senior Notes due 2029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(included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Exhibit A to Exhibit 4.7 above)</w:t>
      </w:r>
    </w:p>
    <w:p>
      <w:pPr>
        <w:spacing w:after="0" w:line="34" w:lineRule="exact"/>
        <w:rPr>
          <w:rFonts w:ascii="Times New Roman" w:cs="Times New Roman" w:eastAsia="Times New Roman" w:hAnsi="Times New Roman"/>
          <w:sz w:val="17"/>
          <w:szCs w:val="17"/>
          <w:u w:val="single" w:color="auto"/>
          <w:color w:val="0000FF"/>
        </w:rPr>
      </w:pPr>
    </w:p>
    <w:p>
      <w:pPr>
        <w:ind w:right="60"/>
        <w:spacing w:after="0" w:line="236" w:lineRule="auto"/>
        <w:rPr>
          <w:rFonts w:ascii="Times New Roman" w:cs="Times New Roman" w:eastAsia="Times New Roman" w:hAnsi="Times New Roman"/>
          <w:sz w:val="16"/>
          <w:szCs w:val="16"/>
          <w:u w:val="single" w:color="auto"/>
          <w:color w:val="0000FF"/>
        </w:rPr>
      </w:pPr>
      <w:hyperlink r:id="rId196">
        <w:r>
          <w:rPr>
            <w:rFonts w:ascii="Times New Roman" w:cs="Times New Roman" w:eastAsia="Times New Roman" w:hAnsi="Times New Roman"/>
            <w:sz w:val="16"/>
            <w:szCs w:val="16"/>
            <w:u w:val="single" w:color="auto"/>
            <w:color w:val="0000FF"/>
          </w:rPr>
          <w:t>Indenture, dated as of December 8, 2022, by and</w:t>
        </w:r>
      </w:hyperlink>
      <w:r>
        <w:rPr>
          <w:rFonts w:ascii="Times New Roman" w:cs="Times New Roman" w:eastAsia="Times New Roman" w:hAnsi="Times New Roman"/>
          <w:sz w:val="16"/>
          <w:szCs w:val="16"/>
          <w:u w:val="single" w:color="auto"/>
          <w:color w:val="0000FF"/>
        </w:rPr>
        <w:t xml:space="preserve"> </w:t>
      </w:r>
      <w:hyperlink r:id="rId196">
        <w:r>
          <w:rPr>
            <w:rFonts w:ascii="Times New Roman" w:cs="Times New Roman" w:eastAsia="Times New Roman" w:hAnsi="Times New Roman"/>
            <w:sz w:val="16"/>
            <w:szCs w:val="16"/>
            <w:u w:val="single" w:color="auto"/>
            <w:color w:val="0000FF"/>
          </w:rPr>
          <w:t>among Marriott Vacations Worldwide Corporation, as</w:t>
        </w:r>
      </w:hyperlink>
    </w:p>
    <w:p>
      <w:pPr>
        <w:spacing w:after="0" w:line="2" w:lineRule="exact"/>
        <w:rPr>
          <w:sz w:val="20"/>
          <w:szCs w:val="20"/>
          <w:color w:val="auto"/>
        </w:rPr>
      </w:pPr>
    </w:p>
    <w:p>
      <w:pPr>
        <w:ind w:right="80"/>
        <w:spacing w:after="0" w:line="222" w:lineRule="auto"/>
        <w:rPr>
          <w:rFonts w:ascii="Times New Roman" w:cs="Times New Roman" w:eastAsia="Times New Roman" w:hAnsi="Times New Roman"/>
          <w:sz w:val="16"/>
          <w:szCs w:val="16"/>
          <w:u w:val="single" w:color="auto"/>
          <w:color w:val="0000FF"/>
        </w:rPr>
      </w:pPr>
      <w:hyperlink r:id="rId196">
        <w:r>
          <w:rPr>
            <w:rFonts w:ascii="Times New Roman" w:cs="Times New Roman" w:eastAsia="Times New Roman" w:hAnsi="Times New Roman"/>
            <w:sz w:val="16"/>
            <w:szCs w:val="16"/>
            <w:u w:val="single" w:color="auto"/>
            <w:color w:val="0000FF"/>
          </w:rPr>
          <w:t>issuer, Marriott Ownership Resorts, Inc. and the other</w:t>
        </w:r>
      </w:hyperlink>
      <w:r>
        <w:rPr>
          <w:rFonts w:ascii="Times New Roman" w:cs="Times New Roman" w:eastAsia="Times New Roman" w:hAnsi="Times New Roman"/>
          <w:sz w:val="16"/>
          <w:szCs w:val="16"/>
          <w:u w:val="single" w:color="auto"/>
          <w:color w:val="0000FF"/>
        </w:rPr>
        <w:t xml:space="preserve"> </w:t>
      </w:r>
      <w:hyperlink r:id="rId196">
        <w:r>
          <w:rPr>
            <w:rFonts w:ascii="Times New Roman" w:cs="Times New Roman" w:eastAsia="Times New Roman" w:hAnsi="Times New Roman"/>
            <w:sz w:val="16"/>
            <w:szCs w:val="16"/>
            <w:u w:val="single" w:color="auto"/>
            <w:color w:val="0000FF"/>
          </w:rPr>
          <w:t>guarantors party thereto from time to time and The</w:t>
        </w:r>
      </w:hyperlink>
      <w:r>
        <w:rPr>
          <w:rFonts w:ascii="Times New Roman" w:cs="Times New Roman" w:eastAsia="Times New Roman" w:hAnsi="Times New Roman"/>
          <w:sz w:val="16"/>
          <w:szCs w:val="16"/>
          <w:u w:val="single" w:color="auto"/>
          <w:color w:val="0000FF"/>
        </w:rPr>
        <w:t xml:space="preserve"> </w:t>
      </w:r>
      <w:hyperlink r:id="rId196">
        <w:r>
          <w:rPr>
            <w:rFonts w:ascii="Times New Roman" w:cs="Times New Roman" w:eastAsia="Times New Roman" w:hAnsi="Times New Roman"/>
            <w:sz w:val="16"/>
            <w:szCs w:val="16"/>
            <w:u w:val="single" w:color="auto"/>
            <w:color w:val="0000FF"/>
          </w:rPr>
          <w:t>New York Bank of Mellon Trust Company, N.A., as</w:t>
        </w:r>
      </w:hyperlink>
    </w:p>
    <w:p>
      <w:pPr>
        <w:spacing w:after="0" w:line="1"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7"/>
          <w:szCs w:val="17"/>
          <w:u w:val="single" w:color="auto"/>
          <w:color w:val="0000FF"/>
        </w:rPr>
      </w:pPr>
      <w:hyperlink r:id="rId196">
        <w:r>
          <w:rPr>
            <w:rFonts w:ascii="Times New Roman" w:cs="Times New Roman" w:eastAsia="Times New Roman" w:hAnsi="Times New Roman"/>
            <w:sz w:val="17"/>
            <w:szCs w:val="17"/>
            <w:u w:val="single" w:color="auto"/>
            <w:color w:val="0000FF"/>
          </w:rPr>
          <w:t>trustee</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-569595</wp:posOffset>
            </wp:positionH>
            <wp:positionV relativeFrom="paragraph">
              <wp:posOffset>5080</wp:posOffset>
            </wp:positionV>
            <wp:extent cx="5263515" cy="284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5263515" cy="284480"/>
                    </a:xfrm>
                    <a:prstGeom prst="rect">
                      <a:avLst/>
                    </a:prstGeom>
                    <a:noFill/>
                  </pic:spPr>
                </pic:pic>
              </a:graphicData>
            </a:graphic>
          </wp:anchor>
        </w:drawing>
      </w:r>
    </w:p>
    <w:p>
      <w:pPr>
        <w:spacing w:after="0" w:line="10" w:lineRule="exact"/>
        <w:rPr>
          <w:rFonts w:ascii="Times New Roman" w:cs="Times New Roman" w:eastAsia="Times New Roman" w:hAnsi="Times New Roman"/>
          <w:sz w:val="16"/>
          <w:szCs w:val="16"/>
          <w:u w:val="single" w:color="auto"/>
          <w:color w:val="0000FF"/>
        </w:rPr>
      </w:pPr>
    </w:p>
    <w:p>
      <w:pPr>
        <w:ind w:right="260"/>
        <w:spacing w:after="0" w:line="238" w:lineRule="auto"/>
        <w:rPr>
          <w:rFonts w:ascii="Times New Roman" w:cs="Times New Roman" w:eastAsia="Times New Roman" w:hAnsi="Times New Roman"/>
          <w:sz w:val="17"/>
          <w:szCs w:val="17"/>
          <w:u w:val="single" w:color="auto"/>
          <w:color w:val="0000FF"/>
        </w:rPr>
      </w:pPr>
      <w:hyperlink r:id="rId198">
        <w:r>
          <w:rPr>
            <w:rFonts w:ascii="Times New Roman" w:cs="Times New Roman" w:eastAsia="Times New Roman" w:hAnsi="Times New Roman"/>
            <w:sz w:val="17"/>
            <w:szCs w:val="17"/>
            <w:u w:val="single" w:color="auto"/>
            <w:color w:val="0000FF"/>
          </w:rPr>
          <w:t>Form of 3.25% Convertible Senior Notes due 2027</w:t>
        </w:r>
      </w:hyperlink>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(included as Exhibit A to Exhibit 4.9 above)</w:t>
      </w:r>
    </w:p>
    <w:p>
      <w:pPr>
        <w:spacing w:after="0" w:line="73"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7"/>
          <w:szCs w:val="17"/>
          <w:u w:val="single" w:color="auto"/>
          <w:color w:val="0000FF"/>
        </w:rPr>
      </w:pPr>
      <w:hyperlink r:id="rId199">
        <w:r>
          <w:rPr>
            <w:rFonts w:ascii="Times New Roman" w:cs="Times New Roman" w:eastAsia="Times New Roman" w:hAnsi="Times New Roman"/>
            <w:sz w:val="17"/>
            <w:szCs w:val="17"/>
            <w:u w:val="single" w:color="auto"/>
            <w:color w:val="0000FF"/>
          </w:rPr>
          <w:t>Description of Registered Securities</w:t>
        </w:r>
      </w:hyperlink>
    </w:p>
    <w:p>
      <w:pPr>
        <w:spacing w:after="0" w:line="73" w:lineRule="exact"/>
        <w:rPr>
          <w:rFonts w:ascii="Times New Roman" w:cs="Times New Roman" w:eastAsia="Times New Roman" w:hAnsi="Times New Roman"/>
          <w:sz w:val="16"/>
          <w:szCs w:val="16"/>
          <w:u w:val="single" w:color="auto"/>
          <w:color w:val="0000FF"/>
        </w:rPr>
      </w:pPr>
    </w:p>
    <w:p>
      <w:pPr>
        <w:ind w:right="300"/>
        <w:spacing w:after="0" w:line="223" w:lineRule="auto"/>
        <w:rPr>
          <w:rFonts w:ascii="Times New Roman" w:cs="Times New Roman" w:eastAsia="Times New Roman" w:hAnsi="Times New Roman"/>
          <w:sz w:val="17"/>
          <w:szCs w:val="17"/>
          <w:u w:val="single" w:color="auto"/>
          <w:color w:val="0000FF"/>
        </w:rPr>
      </w:pPr>
      <w:hyperlink r:id="rId200">
        <w:r>
          <w:rPr>
            <w:rFonts w:ascii="Times New Roman" w:cs="Times New Roman" w:eastAsia="Times New Roman" w:hAnsi="Times New Roman"/>
            <w:sz w:val="17"/>
            <w:szCs w:val="17"/>
            <w:u w:val="single" w:color="auto"/>
            <w:color w:val="0000FF"/>
          </w:rPr>
          <w:t>Indenture, dated as of September 18, 2025, by and</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among Marriott Ownership Resorts, Inc., Marriott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-227965</wp:posOffset>
            </wp:positionV>
            <wp:extent cx="5263515" cy="576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5263515" cy="576580"/>
                    </a:xfrm>
                    <a:prstGeom prst="rect">
                      <a:avLst/>
                    </a:prstGeom>
                    <a:noFill/>
                  </pic:spPr>
                </pic:pic>
              </a:graphicData>
            </a:graphic>
          </wp:anchor>
        </w:drawing>
      </w:r>
    </w:p>
    <w:p>
      <w:pPr>
        <w:jc w:val="both"/>
        <w:ind w:right="160"/>
        <w:spacing w:after="0" w:line="219" w:lineRule="auto"/>
        <w:rPr>
          <w:rFonts w:ascii="Times New Roman" w:cs="Times New Roman" w:eastAsia="Times New Roman" w:hAnsi="Times New Roman"/>
          <w:sz w:val="17"/>
          <w:szCs w:val="17"/>
          <w:u w:val="single" w:color="auto"/>
          <w:color w:val="0000FF"/>
        </w:rPr>
      </w:pPr>
      <w:hyperlink r:id="rId200">
        <w:r>
          <w:rPr>
            <w:rFonts w:ascii="Times New Roman" w:cs="Times New Roman" w:eastAsia="Times New Roman" w:hAnsi="Times New Roman"/>
            <w:sz w:val="17"/>
            <w:szCs w:val="17"/>
            <w:u w:val="single" w:color="auto"/>
            <w:color w:val="0000FF"/>
          </w:rPr>
          <w:t>Vacations Worldwide Corporation, as guarantor, the</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other guarantors party thereto and The Bank of New</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York Mellon Trust Company, N.A., as trustee</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7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Filed</w:t>
            </w:r>
          </w:p>
        </w:tc>
        <w:tc>
          <w:tcPr>
            <w:tcW w:w="26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tc>
        <w:tc>
          <w:tcPr>
            <w:tcW w:w="0" w:type="dxa"/>
            <w:vAlign w:val="bottom"/>
          </w:tcPr>
          <w:p>
            <w:pPr>
              <w:spacing w:after="0"/>
              <w:rPr>
                <w:sz w:val="1"/>
                <w:szCs w:val="1"/>
                <w:color w:val="auto"/>
              </w:rPr>
            </w:pPr>
          </w:p>
        </w:tc>
      </w:tr>
      <w:tr>
        <w:trPr>
          <w:trHeight w:val="204"/>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26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7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5"/>
                <w:szCs w:val="15"/>
                <w:b w:val="1"/>
                <w:bCs w:val="1"/>
                <w:color w:val="auto"/>
              </w:rPr>
              <w:t>Filed</w:t>
            </w:r>
          </w:p>
        </w:tc>
        <w:tc>
          <w:tcPr>
            <w:tcW w:w="120" w:type="dxa"/>
            <w:vAlign w:val="bottom"/>
          </w:tcPr>
          <w:p>
            <w:pPr>
              <w:spacing w:after="0"/>
              <w:rPr>
                <w:sz w:val="12"/>
                <w:szCs w:val="12"/>
                <w:color w:val="auto"/>
              </w:rPr>
            </w:pPr>
          </w:p>
        </w:tc>
        <w:tc>
          <w:tcPr>
            <w:tcW w:w="6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Borders>
              <w:top w:val="single" w:sz="8" w:color="auto"/>
            </w:tcBorders>
            <w:vMerge w:val="restart"/>
          </w:tcPr>
          <w:p>
            <w:pPr>
              <w:spacing w:after="0"/>
              <w:rPr>
                <w:sz w:val="12"/>
                <w:szCs w:val="12"/>
                <w:color w:val="auto"/>
              </w:rPr>
            </w:pPr>
          </w:p>
        </w:tc>
        <w:tc>
          <w:tcPr>
            <w:tcW w:w="7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40" w:type="dxa"/>
            <w:vAlign w:val="bottom"/>
            <w:tcBorders>
              <w:top w:val="single" w:sz="8" w:color="auto"/>
            </w:tcBorders>
            <w:vMerge w:val="restart"/>
          </w:tcPr>
          <w:p>
            <w:pPr>
              <w:spacing w:after="0"/>
              <w:rPr>
                <w:sz w:val="12"/>
                <w:szCs w:val="12"/>
                <w:color w:val="auto"/>
              </w:rPr>
            </w:pPr>
          </w:p>
        </w:tc>
        <w:tc>
          <w:tcPr>
            <w:tcW w:w="9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Date Filed</w:t>
            </w:r>
          </w:p>
        </w:tc>
        <w:tc>
          <w:tcPr>
            <w:tcW w:w="0" w:type="dxa"/>
            <w:vAlign w:val="bottom"/>
          </w:tcPr>
          <w:p>
            <w:pPr>
              <w:spacing w:after="0"/>
              <w:rPr>
                <w:sz w:val="1"/>
                <w:szCs w:val="1"/>
                <w:color w:val="auto"/>
              </w:rPr>
            </w:pPr>
          </w:p>
        </w:tc>
      </w:tr>
      <w:tr>
        <w:trPr>
          <w:trHeight w:val="204"/>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120" w:type="dxa"/>
            <w:vAlign w:val="bottom"/>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5/1/2018</w:t>
            </w:r>
          </w:p>
        </w:tc>
        <w:tc>
          <w:tcPr>
            <w:tcW w:w="0" w:type="dxa"/>
            <w:vAlign w:val="bottom"/>
          </w:tcPr>
          <w:p>
            <w:pPr>
              <w:spacing w:after="0"/>
              <w:rPr>
                <w:sz w:val="1"/>
                <w:szCs w:val="1"/>
                <w:color w:val="auto"/>
              </w:rPr>
            </w:pPr>
          </w:p>
        </w:tc>
      </w:tr>
      <w:tr>
        <w:trPr>
          <w:trHeight w:val="883"/>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1/26/2021</w:t>
            </w:r>
          </w:p>
        </w:tc>
        <w:tc>
          <w:tcPr>
            <w:tcW w:w="0" w:type="dxa"/>
            <w:vAlign w:val="bottom"/>
          </w:tcPr>
          <w:p>
            <w:pPr>
              <w:spacing w:after="0"/>
              <w:rPr>
                <w:sz w:val="1"/>
                <w:szCs w:val="1"/>
                <w:color w:val="auto"/>
              </w:rPr>
            </w:pPr>
          </w:p>
        </w:tc>
      </w:tr>
      <w:tr>
        <w:trPr>
          <w:trHeight w:val="704"/>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5/15/2023</w:t>
            </w:r>
          </w:p>
        </w:tc>
        <w:tc>
          <w:tcPr>
            <w:tcW w:w="0" w:type="dxa"/>
            <w:vAlign w:val="bottom"/>
          </w:tcPr>
          <w:p>
            <w:pPr>
              <w:spacing w:after="0"/>
              <w:rPr>
                <w:sz w:val="1"/>
                <w:szCs w:val="1"/>
                <w:color w:val="auto"/>
              </w:rPr>
            </w:pPr>
          </w:p>
        </w:tc>
      </w:tr>
      <w:tr>
        <w:trPr>
          <w:trHeight w:val="448"/>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8/4/2023</w:t>
            </w:r>
          </w:p>
        </w:tc>
        <w:tc>
          <w:tcPr>
            <w:tcW w:w="0" w:type="dxa"/>
            <w:vAlign w:val="bottom"/>
          </w:tcPr>
          <w:p>
            <w:pPr>
              <w:spacing w:after="0"/>
              <w:rPr>
                <w:sz w:val="1"/>
                <w:szCs w:val="1"/>
                <w:color w:val="auto"/>
              </w:rPr>
            </w:pPr>
          </w:p>
        </w:tc>
      </w:tr>
      <w:tr>
        <w:trPr>
          <w:trHeight w:val="524"/>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10/14/2011</w:t>
            </w:r>
          </w:p>
        </w:tc>
        <w:tc>
          <w:tcPr>
            <w:tcW w:w="0" w:type="dxa"/>
            <w:vAlign w:val="bottom"/>
          </w:tcPr>
          <w:p>
            <w:pPr>
              <w:spacing w:after="0"/>
              <w:rPr>
                <w:sz w:val="1"/>
                <w:szCs w:val="1"/>
                <w:color w:val="auto"/>
              </w:rPr>
            </w:pPr>
          </w:p>
        </w:tc>
      </w:tr>
      <w:tr>
        <w:trPr>
          <w:trHeight w:val="793"/>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c>
          <w:tcPr>
            <w:tcW w:w="0" w:type="dxa"/>
            <w:vAlign w:val="bottom"/>
          </w:tcPr>
          <w:p>
            <w:pPr>
              <w:spacing w:after="0"/>
              <w:rPr>
                <w:sz w:val="1"/>
                <w:szCs w:val="1"/>
                <w:color w:val="auto"/>
              </w:rPr>
            </w:pPr>
          </w:p>
        </w:tc>
      </w:tr>
      <w:tr>
        <w:trPr>
          <w:trHeight w:val="704"/>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c>
          <w:tcPr>
            <w:tcW w:w="0" w:type="dxa"/>
            <w:vAlign w:val="bottom"/>
          </w:tcPr>
          <w:p>
            <w:pPr>
              <w:spacing w:after="0"/>
              <w:rPr>
                <w:sz w:val="1"/>
                <w:szCs w:val="1"/>
                <w:color w:val="auto"/>
              </w:rPr>
            </w:pPr>
          </w:p>
        </w:tc>
      </w:tr>
      <w:tr>
        <w:trPr>
          <w:trHeight w:val="678"/>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c>
          <w:tcPr>
            <w:tcW w:w="0" w:type="dxa"/>
            <w:vAlign w:val="bottom"/>
          </w:tcPr>
          <w:p>
            <w:pPr>
              <w:spacing w:after="0"/>
              <w:rPr>
                <w:sz w:val="1"/>
                <w:szCs w:val="1"/>
                <w:color w:val="auto"/>
              </w:rPr>
            </w:pPr>
          </w:p>
        </w:tc>
      </w:tr>
      <w:tr>
        <w:trPr>
          <w:trHeight w:val="934"/>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2/3/2021</w:t>
            </w:r>
          </w:p>
        </w:tc>
        <w:tc>
          <w:tcPr>
            <w:tcW w:w="0" w:type="dxa"/>
            <w:vAlign w:val="bottom"/>
          </w:tcPr>
          <w:p>
            <w:pPr>
              <w:spacing w:after="0"/>
              <w:rPr>
                <w:sz w:val="1"/>
                <w:szCs w:val="1"/>
                <w:color w:val="auto"/>
              </w:rPr>
            </w:pPr>
          </w:p>
        </w:tc>
      </w:tr>
      <w:tr>
        <w:trPr>
          <w:trHeight w:val="704"/>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2/3/2021</w:t>
            </w:r>
          </w:p>
        </w:tc>
        <w:tc>
          <w:tcPr>
            <w:tcW w:w="0" w:type="dxa"/>
            <w:vAlign w:val="bottom"/>
          </w:tcPr>
          <w:p>
            <w:pPr>
              <w:spacing w:after="0"/>
              <w:rPr>
                <w:sz w:val="1"/>
                <w:szCs w:val="1"/>
                <w:color w:val="auto"/>
              </w:rPr>
            </w:pPr>
          </w:p>
        </w:tc>
      </w:tr>
      <w:tr>
        <w:trPr>
          <w:trHeight w:val="704"/>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6/22/2021</w:t>
            </w:r>
          </w:p>
        </w:tc>
        <w:tc>
          <w:tcPr>
            <w:tcW w:w="0" w:type="dxa"/>
            <w:vAlign w:val="bottom"/>
          </w:tcPr>
          <w:p>
            <w:pPr>
              <w:spacing w:after="0"/>
              <w:rPr>
                <w:sz w:val="1"/>
                <w:szCs w:val="1"/>
                <w:color w:val="auto"/>
              </w:rPr>
            </w:pPr>
          </w:p>
        </w:tc>
      </w:tr>
      <w:tr>
        <w:trPr>
          <w:trHeight w:val="704"/>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6/22/2021</w:t>
            </w:r>
          </w:p>
        </w:tc>
        <w:tc>
          <w:tcPr>
            <w:tcW w:w="0" w:type="dxa"/>
            <w:vAlign w:val="bottom"/>
          </w:tcPr>
          <w:p>
            <w:pPr>
              <w:spacing w:after="0"/>
              <w:rPr>
                <w:sz w:val="1"/>
                <w:szCs w:val="1"/>
                <w:color w:val="auto"/>
              </w:rPr>
            </w:pPr>
          </w:p>
        </w:tc>
      </w:tr>
      <w:tr>
        <w:trPr>
          <w:trHeight w:val="755"/>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12/8/2022</w:t>
            </w:r>
          </w:p>
        </w:tc>
        <w:tc>
          <w:tcPr>
            <w:tcW w:w="0" w:type="dxa"/>
            <w:vAlign w:val="bottom"/>
          </w:tcPr>
          <w:p>
            <w:pPr>
              <w:spacing w:after="0"/>
              <w:rPr>
                <w:sz w:val="1"/>
                <w:szCs w:val="1"/>
                <w:color w:val="auto"/>
              </w:rPr>
            </w:pPr>
          </w:p>
        </w:tc>
      </w:tr>
      <w:tr>
        <w:trPr>
          <w:trHeight w:val="76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12/8/2022</w:t>
            </w:r>
          </w:p>
        </w:tc>
        <w:tc>
          <w:tcPr>
            <w:tcW w:w="0" w:type="dxa"/>
            <w:vAlign w:val="bottom"/>
          </w:tcPr>
          <w:p>
            <w:pPr>
              <w:spacing w:after="0"/>
              <w:rPr>
                <w:sz w:val="1"/>
                <w:szCs w:val="1"/>
                <w:color w:val="auto"/>
              </w:rPr>
            </w:pPr>
          </w:p>
        </w:tc>
      </w:tr>
      <w:tr>
        <w:trPr>
          <w:trHeight w:val="371"/>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3/2/2020</w:t>
            </w:r>
          </w:p>
        </w:tc>
        <w:tc>
          <w:tcPr>
            <w:tcW w:w="0" w:type="dxa"/>
            <w:vAlign w:val="bottom"/>
          </w:tcPr>
          <w:p>
            <w:pPr>
              <w:spacing w:after="0"/>
              <w:rPr>
                <w:sz w:val="1"/>
                <w:szCs w:val="1"/>
                <w:color w:val="auto"/>
              </w:rPr>
            </w:pPr>
          </w:p>
        </w:tc>
      </w:tr>
      <w:tr>
        <w:trPr>
          <w:trHeight w:val="614"/>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9/19/2025</w:t>
            </w:r>
          </w:p>
        </w:tc>
        <w:tc>
          <w:tcPr>
            <w:tcW w:w="0" w:type="dxa"/>
            <w:vAlign w:val="bottom"/>
          </w:tcPr>
          <w:p>
            <w:pPr>
              <w:spacing w:after="0"/>
              <w:rPr>
                <w:sz w:val="1"/>
                <w:szCs w:val="1"/>
                <w:color w:val="auto"/>
              </w:rPr>
            </w:pPr>
          </w:p>
        </w:tc>
      </w:tr>
    </w:tbl>
    <w:p>
      <w:pPr>
        <w:spacing w:after="0" w:line="531" w:lineRule="exact"/>
        <w:rPr>
          <w:rFonts w:ascii="Times New Roman" w:cs="Times New Roman" w:eastAsia="Times New Roman" w:hAnsi="Times New Roman"/>
          <w:sz w:val="17"/>
          <w:szCs w:val="17"/>
          <w:u w:val="single" w:color="auto"/>
          <w:color w:val="0000FF"/>
        </w:rPr>
      </w:pPr>
    </w:p>
    <w:p>
      <w:pPr>
        <w:sectPr>
          <w:pgSz w:w="11900" w:h="16838" w:orient="portrait"/>
          <w:cols w:equalWidth="0" w:num="3">
            <w:col w:w="560" w:space="240"/>
            <w:col w:w="3740" w:space="160"/>
            <w:col w:w="5339"/>
          </w:cols>
          <w:pgMar w:left="420" w:top="1118" w:right="1440" w:bottom="1440" w:gutter="0" w:footer="0" w:header="0"/>
        </w:sect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356" w:lineRule="exact"/>
        <w:rPr>
          <w:rFonts w:ascii="Times New Roman" w:cs="Times New Roman" w:eastAsia="Times New Roman" w:hAnsi="Times New Roman"/>
          <w:sz w:val="17"/>
          <w:szCs w:val="17"/>
          <w:u w:val="single" w:color="auto"/>
          <w:color w:val="0000FF"/>
        </w:rPr>
      </w:pPr>
    </w:p>
    <w:p>
      <w:pPr>
        <w:ind w:left="5400"/>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-74295</wp:posOffset>
            </wp:positionH>
            <wp:positionV relativeFrom="paragraph">
              <wp:posOffset>68580</wp:posOffset>
            </wp:positionV>
            <wp:extent cx="716470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039"/>
          </w:cols>
          <w:pgMar w:left="420" w:top="1118" w:right="1440" w:bottom="1440" w:gutter="0" w:footer="0" w:header="0"/>
          <w:type w:val="continuous"/>
        </w:sectPr>
      </w:pPr>
    </w:p>
    <w:bookmarkStart w:id="128" w:name="page129"/>
    <w:bookmarkEnd w:id="128"/>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9525</wp:posOffset>
            </wp:positionV>
            <wp:extent cx="4794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9525</wp:posOffset>
            </wp:positionV>
            <wp:extent cx="4794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4.13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10.4</w:t>
      </w:r>
    </w:p>
    <w:p>
      <w:pPr>
        <w:spacing w:after="0" w:line="200" w:lineRule="exact"/>
        <w:rPr>
          <w:sz w:val="20"/>
          <w:szCs w:val="20"/>
          <w:color w:val="auto"/>
        </w:rPr>
      </w:pPr>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10.5</w:t>
      </w:r>
    </w:p>
    <w:p>
      <w:pPr>
        <w:spacing w:after="0" w:line="200" w:lineRule="exact"/>
        <w:rPr>
          <w:sz w:val="20"/>
          <w:szCs w:val="20"/>
          <w:color w:val="auto"/>
        </w:rPr>
      </w:pPr>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10.7</w:t>
      </w:r>
    </w:p>
    <w:p>
      <w:pPr>
        <w:spacing w:after="0" w:line="200" w:lineRule="exact"/>
        <w:rPr>
          <w:sz w:val="20"/>
          <w:szCs w:val="20"/>
          <w:color w:val="auto"/>
        </w:rPr>
      </w:pPr>
    </w:p>
    <w:p>
      <w:pPr>
        <w:spacing w:after="0" w:line="3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10.8</w:t>
      </w:r>
    </w:p>
    <w:p>
      <w:pPr>
        <w:spacing w:after="0" w:line="3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10.9</w:t>
      </w: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10.10</w:t>
      </w: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10.11</w:t>
      </w:r>
    </w:p>
    <w:p>
      <w:pPr>
        <w:spacing w:after="0" w:line="3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10.12</w:t>
      </w:r>
    </w:p>
    <w:p>
      <w:pPr>
        <w:spacing w:after="0" w:line="3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10.13</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10.14</w:t>
      </w: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10.15</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left="-9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24041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178" w:lineRule="exact"/>
        <w:rPr>
          <w:sz w:val="20"/>
          <w:szCs w:val="20"/>
          <w:color w:val="auto"/>
        </w:rPr>
      </w:pPr>
    </w:p>
    <w:p>
      <w:pPr>
        <w:jc w:val="center"/>
        <w:ind w:left="-9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24041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114" w:lineRule="exact"/>
        <w:rPr>
          <w:sz w:val="20"/>
          <w:szCs w:val="20"/>
          <w:color w:val="auto"/>
        </w:rPr>
      </w:pPr>
    </w:p>
    <w:p>
      <w:pPr>
        <w:ind w:right="80"/>
        <w:spacing w:after="0" w:line="238" w:lineRule="auto"/>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u w:val="single" w:color="auto"/>
            <w:color w:val="0000FF"/>
          </w:rPr>
          <w:t>Form of 6.500% Senior Notes due 2033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(included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Exhibit A to Exhibit 4.12 above)</w:t>
      </w:r>
    </w:p>
    <w:p>
      <w:pPr>
        <w:spacing w:after="0" w:line="34" w:lineRule="exact"/>
        <w:rPr>
          <w:sz w:val="20"/>
          <w:szCs w:val="20"/>
          <w:color w:val="auto"/>
        </w:rPr>
      </w:pPr>
    </w:p>
    <w:p>
      <w:pPr>
        <w:ind w:right="560"/>
        <w:spacing w:after="0" w:line="223" w:lineRule="auto"/>
        <w:rPr>
          <w:rFonts w:ascii="Times New Roman" w:cs="Times New Roman" w:eastAsia="Times New Roman" w:hAnsi="Times New Roman"/>
          <w:sz w:val="17"/>
          <w:szCs w:val="17"/>
          <w:u w:val="single" w:color="auto"/>
          <w:color w:val="0000FF"/>
        </w:rPr>
      </w:pPr>
      <w:hyperlink r:id="rId208">
        <w:r>
          <w:rPr>
            <w:rFonts w:ascii="Times New Roman" w:cs="Times New Roman" w:eastAsia="Times New Roman" w:hAnsi="Times New Roman"/>
            <w:sz w:val="17"/>
            <w:szCs w:val="17"/>
            <w:u w:val="single" w:color="auto"/>
            <w:color w:val="0000FF"/>
          </w:rPr>
          <w:t>Amended and Restated License, Services and</w:t>
        </w:r>
      </w:hyperlink>
      <w:r>
        <w:rPr>
          <w:rFonts w:ascii="Times New Roman" w:cs="Times New Roman" w:eastAsia="Times New Roman" w:hAnsi="Times New Roman"/>
          <w:sz w:val="17"/>
          <w:szCs w:val="17"/>
          <w:u w:val="single" w:color="auto"/>
          <w:color w:val="0000FF"/>
        </w:rPr>
        <w:t xml:space="preserve"> </w:t>
      </w:r>
      <w:hyperlink r:id="rId208">
        <w:r>
          <w:rPr>
            <w:rFonts w:ascii="Times New Roman" w:cs="Times New Roman" w:eastAsia="Times New Roman" w:hAnsi="Times New Roman"/>
            <w:sz w:val="17"/>
            <w:szCs w:val="17"/>
            <w:u w:val="single" w:color="auto"/>
            <w:color w:val="0000FF"/>
          </w:rPr>
          <w:t>Development Agreement between Marriott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-227965</wp:posOffset>
            </wp:positionV>
            <wp:extent cx="5263515" cy="11125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5263515" cy="1112520"/>
                    </a:xfrm>
                    <a:prstGeom prst="rect">
                      <a:avLst/>
                    </a:prstGeom>
                    <a:noFill/>
                  </pic:spPr>
                </pic:pic>
              </a:graphicData>
            </a:graphic>
          </wp:anchor>
        </w:drawing>
      </w:r>
    </w:p>
    <w:p>
      <w:pPr>
        <w:ind w:right="280"/>
        <w:spacing w:after="0" w:line="222" w:lineRule="auto"/>
        <w:rPr>
          <w:rFonts w:ascii="Times New Roman" w:cs="Times New Roman" w:eastAsia="Times New Roman" w:hAnsi="Times New Roman"/>
          <w:sz w:val="16"/>
          <w:szCs w:val="16"/>
          <w:u w:val="single" w:color="auto"/>
          <w:color w:val="0000FF"/>
        </w:rPr>
      </w:pPr>
      <w:hyperlink r:id="rId208">
        <w:r>
          <w:rPr>
            <w:rFonts w:ascii="Times New Roman" w:cs="Times New Roman" w:eastAsia="Times New Roman" w:hAnsi="Times New Roman"/>
            <w:sz w:val="16"/>
            <w:szCs w:val="16"/>
            <w:u w:val="single" w:color="auto"/>
            <w:color w:val="0000FF"/>
          </w:rPr>
          <w:t>International, Inc. and Marriott Worldwide</w:t>
        </w:r>
      </w:hyperlink>
      <w:r>
        <w:rPr>
          <w:rFonts w:ascii="Times New Roman" w:cs="Times New Roman" w:eastAsia="Times New Roman" w:hAnsi="Times New Roman"/>
          <w:sz w:val="16"/>
          <w:szCs w:val="16"/>
          <w:u w:val="single" w:color="auto"/>
          <w:color w:val="0000FF"/>
        </w:rPr>
        <w:t xml:space="preserve"> </w:t>
      </w:r>
      <w:hyperlink r:id="rId208">
        <w:r>
          <w:rPr>
            <w:rFonts w:ascii="Times New Roman" w:cs="Times New Roman" w:eastAsia="Times New Roman" w:hAnsi="Times New Roman"/>
            <w:sz w:val="16"/>
            <w:szCs w:val="16"/>
            <w:u w:val="single" w:color="auto"/>
            <w:color w:val="0000FF"/>
          </w:rPr>
          <w:t>Corporation and Marriott Vacations Worldwide</w:t>
        </w:r>
      </w:hyperlink>
      <w:r>
        <w:rPr>
          <w:rFonts w:ascii="Times New Roman" w:cs="Times New Roman" w:eastAsia="Times New Roman" w:hAnsi="Times New Roman"/>
          <w:sz w:val="16"/>
          <w:szCs w:val="16"/>
          <w:u w:val="single" w:color="auto"/>
          <w:color w:val="0000FF"/>
        </w:rPr>
        <w:t xml:space="preserve"> </w:t>
      </w:r>
      <w:hyperlink r:id="rId208">
        <w:r>
          <w:rPr>
            <w:rFonts w:ascii="Times New Roman" w:cs="Times New Roman" w:eastAsia="Times New Roman" w:hAnsi="Times New Roman"/>
            <w:sz w:val="16"/>
            <w:szCs w:val="16"/>
            <w:u w:val="single" w:color="auto"/>
            <w:color w:val="0000FF"/>
          </w:rPr>
          <w:t>Corporation for Marriott Vacation Club, Sheraton</w:t>
        </w:r>
      </w:hyperlink>
    </w:p>
    <w:p>
      <w:pPr>
        <w:spacing w:after="0" w:line="1" w:lineRule="exact"/>
        <w:rPr>
          <w:rFonts w:ascii="Times New Roman" w:cs="Times New Roman" w:eastAsia="Times New Roman" w:hAnsi="Times New Roman"/>
          <w:sz w:val="16"/>
          <w:szCs w:val="16"/>
          <w:u w:val="single" w:color="auto"/>
          <w:color w:val="0000FF"/>
        </w:rPr>
      </w:pPr>
    </w:p>
    <w:p>
      <w:pPr>
        <w:ind w:right="300"/>
        <w:spacing w:after="0" w:line="209" w:lineRule="auto"/>
        <w:rPr>
          <w:rFonts w:ascii="Times New Roman" w:cs="Times New Roman" w:eastAsia="Times New Roman" w:hAnsi="Times New Roman"/>
          <w:sz w:val="17"/>
          <w:szCs w:val="17"/>
          <w:u w:val="single" w:color="auto"/>
          <w:color w:val="0000FF"/>
        </w:rPr>
      </w:pPr>
      <w:hyperlink r:id="rId208">
        <w:r>
          <w:rPr>
            <w:rFonts w:ascii="Times New Roman" w:cs="Times New Roman" w:eastAsia="Times New Roman" w:hAnsi="Times New Roman"/>
            <w:sz w:val="17"/>
            <w:szCs w:val="17"/>
            <w:u w:val="single" w:color="auto"/>
            <w:color w:val="0000FF"/>
          </w:rPr>
          <w:t>Vacation Club, Westin Vacation Club, Grand</w:t>
        </w:r>
      </w:hyperlink>
      <w:r>
        <w:rPr>
          <w:rFonts w:ascii="Times New Roman" w:cs="Times New Roman" w:eastAsia="Times New Roman" w:hAnsi="Times New Roman"/>
          <w:sz w:val="17"/>
          <w:szCs w:val="17"/>
          <w:u w:val="single" w:color="auto"/>
          <w:color w:val="0000FF"/>
        </w:rPr>
        <w:t xml:space="preserve"> </w:t>
      </w:r>
      <w:hyperlink r:id="rId208">
        <w:r>
          <w:rPr>
            <w:rFonts w:ascii="Times New Roman" w:cs="Times New Roman" w:eastAsia="Times New Roman" w:hAnsi="Times New Roman"/>
            <w:sz w:val="17"/>
            <w:szCs w:val="17"/>
            <w:u w:val="single" w:color="auto"/>
            <w:color w:val="0000FF"/>
          </w:rPr>
          <w:t>Residences by Marriott, The Specified Fractional</w:t>
        </w:r>
      </w:hyperlink>
      <w:r>
        <w:rPr>
          <w:rFonts w:ascii="Times New Roman" w:cs="Times New Roman" w:eastAsia="Times New Roman" w:hAnsi="Times New Roman"/>
          <w:sz w:val="17"/>
          <w:szCs w:val="17"/>
          <w:u w:val="single" w:color="auto"/>
          <w:color w:val="0000FF"/>
        </w:rPr>
        <w:t xml:space="preserve"> </w:t>
      </w:r>
      <w:hyperlink r:id="rId208">
        <w:r>
          <w:rPr>
            <w:rFonts w:ascii="Times New Roman" w:cs="Times New Roman" w:eastAsia="Times New Roman" w:hAnsi="Times New Roman"/>
            <w:sz w:val="17"/>
            <w:szCs w:val="17"/>
            <w:u w:val="single" w:color="auto"/>
            <w:color w:val="0000FF"/>
          </w:rPr>
          <w:t>Projects and the Licensed Unbranded Projects</w:t>
        </w:r>
      </w:hyperlink>
    </w:p>
    <w:p>
      <w:pPr>
        <w:spacing w:after="0" w:line="1" w:lineRule="exact"/>
        <w:rPr>
          <w:rFonts w:ascii="Times New Roman" w:cs="Times New Roman" w:eastAsia="Times New Roman" w:hAnsi="Times New Roman"/>
          <w:sz w:val="17"/>
          <w:szCs w:val="17"/>
          <w:u w:val="single" w:color="auto"/>
          <w:color w:val="0000FF"/>
        </w:rPr>
      </w:pPr>
    </w:p>
    <w:p>
      <w:pPr>
        <w:ind w:right="140"/>
        <w:spacing w:after="0" w:line="227" w:lineRule="auto"/>
        <w:rPr>
          <w:rFonts w:ascii="Times New Roman" w:cs="Times New Roman" w:eastAsia="Times New Roman" w:hAnsi="Times New Roman"/>
          <w:sz w:val="17"/>
          <w:szCs w:val="17"/>
          <w:u w:val="single" w:color="auto"/>
          <w:color w:val="0000FF"/>
        </w:rPr>
      </w:pPr>
      <w:hyperlink r:id="rId208">
        <w:r>
          <w:rPr>
            <w:rFonts w:ascii="Times New Roman" w:cs="Times New Roman" w:eastAsia="Times New Roman" w:hAnsi="Times New Roman"/>
            <w:sz w:val="17"/>
            <w:szCs w:val="17"/>
            <w:u w:val="single" w:color="auto"/>
            <w:color w:val="0000FF"/>
          </w:rPr>
          <w:t>executed on September 20, 2024 and effective as of</w:t>
        </w:r>
      </w:hyperlink>
      <w:r>
        <w:rPr>
          <w:rFonts w:ascii="Times New Roman" w:cs="Times New Roman" w:eastAsia="Times New Roman" w:hAnsi="Times New Roman"/>
          <w:sz w:val="17"/>
          <w:szCs w:val="17"/>
          <w:u w:val="single" w:color="auto"/>
          <w:color w:val="0000FF"/>
        </w:rPr>
        <w:t xml:space="preserve"> </w:t>
      </w:r>
      <w:hyperlink r:id="rId208">
        <w:r>
          <w:rPr>
            <w:rFonts w:ascii="Times New Roman" w:cs="Times New Roman" w:eastAsia="Times New Roman" w:hAnsi="Times New Roman"/>
            <w:sz w:val="17"/>
            <w:szCs w:val="17"/>
            <w:u w:val="single" w:color="auto"/>
            <w:color w:val="0000FF"/>
          </w:rPr>
          <w:t>January 1, 2024</w:t>
        </w:r>
      </w:hyperlink>
    </w:p>
    <w:p>
      <w:pPr>
        <w:spacing w:after="0" w:line="220" w:lineRule="auto"/>
        <w:rPr>
          <w:rFonts w:ascii="Times New Roman" w:cs="Times New Roman" w:eastAsia="Times New Roman" w:hAnsi="Times New Roman"/>
          <w:sz w:val="17"/>
          <w:szCs w:val="17"/>
          <w:u w:val="single" w:color="auto"/>
          <w:color w:val="0000FF"/>
        </w:rPr>
      </w:pPr>
      <w:hyperlink r:id="rId210">
        <w:r>
          <w:rPr>
            <w:rFonts w:ascii="Times New Roman" w:cs="Times New Roman" w:eastAsia="Times New Roman" w:hAnsi="Times New Roman"/>
            <w:sz w:val="17"/>
            <w:szCs w:val="17"/>
            <w:u w:val="single" w:color="auto"/>
            <w:color w:val="0000FF"/>
          </w:rPr>
          <w:t>License, Services, and Development Agreement,</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entered into on November 17, 2011, among The Ritz-</w:t>
        </w:r>
      </w:hyperlink>
    </w:p>
    <w:p>
      <w:pPr>
        <w:spacing w:after="0" w:line="1" w:lineRule="exact"/>
        <w:rPr>
          <w:sz w:val="20"/>
          <w:szCs w:val="20"/>
          <w:color w:val="auto"/>
        </w:rPr>
      </w:pPr>
    </w:p>
    <w:p>
      <w:pPr>
        <w:ind w:right="140"/>
        <w:spacing w:after="0" w:line="219" w:lineRule="auto"/>
        <w:rPr>
          <w:rFonts w:ascii="Times New Roman" w:cs="Times New Roman" w:eastAsia="Times New Roman" w:hAnsi="Times New Roman"/>
          <w:sz w:val="17"/>
          <w:szCs w:val="17"/>
          <w:u w:val="single" w:color="auto"/>
          <w:color w:val="0000FF"/>
        </w:rPr>
      </w:pPr>
      <w:hyperlink r:id="rId210">
        <w:r>
          <w:rPr>
            <w:rFonts w:ascii="Times New Roman" w:cs="Times New Roman" w:eastAsia="Times New Roman" w:hAnsi="Times New Roman"/>
            <w:sz w:val="17"/>
            <w:szCs w:val="17"/>
            <w:u w:val="single" w:color="auto"/>
            <w:color w:val="0000FF"/>
          </w:rPr>
          <w:t>Carlton Hotel Company, L.L.C., Marriott Vacations</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Worldwide Corporation and the other signatories</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thereto</w:t>
        </w:r>
      </w:hyperlink>
    </w:p>
    <w:p>
      <w:pPr>
        <w:spacing w:after="0" w:line="10" w:lineRule="exact"/>
        <w:rPr>
          <w:rFonts w:ascii="Times New Roman" w:cs="Times New Roman" w:eastAsia="Times New Roman" w:hAnsi="Times New Roman"/>
          <w:sz w:val="17"/>
          <w:szCs w:val="17"/>
          <w:u w:val="single" w:color="auto"/>
          <w:color w:val="0000FF"/>
        </w:rPr>
      </w:pPr>
    </w:p>
    <w:p>
      <w:pPr>
        <w:ind w:right="200"/>
        <w:spacing w:after="0" w:line="223" w:lineRule="auto"/>
        <w:rPr>
          <w:rFonts w:ascii="Times New Roman" w:cs="Times New Roman" w:eastAsia="Times New Roman" w:hAnsi="Times New Roman"/>
          <w:sz w:val="17"/>
          <w:szCs w:val="17"/>
          <w:u w:val="single" w:color="auto"/>
          <w:color w:val="0000FF"/>
        </w:rPr>
      </w:pPr>
      <w:hyperlink r:id="rId211">
        <w:r>
          <w:rPr>
            <w:rFonts w:ascii="Times New Roman" w:cs="Times New Roman" w:eastAsia="Times New Roman" w:hAnsi="Times New Roman"/>
            <w:sz w:val="17"/>
            <w:szCs w:val="17"/>
            <w:u w:val="single" w:color="auto"/>
            <w:color w:val="0000FF"/>
          </w:rPr>
          <w:t>First Amendment to License, Services, and</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Development Agreement, dated as of February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-227965</wp:posOffset>
            </wp:positionV>
            <wp:extent cx="5263515" cy="576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5263515" cy="576580"/>
                    </a:xfrm>
                    <a:prstGeom prst="rect">
                      <a:avLst/>
                    </a:prstGeom>
                    <a:noFill/>
                  </pic:spPr>
                </pic:pic>
              </a:graphicData>
            </a:graphic>
          </wp:anchor>
        </w:drawing>
      </w:r>
    </w:p>
    <w:p>
      <w:pPr>
        <w:ind w:right="180"/>
        <w:spacing w:after="0" w:line="219" w:lineRule="auto"/>
        <w:rPr>
          <w:rFonts w:ascii="Times New Roman" w:cs="Times New Roman" w:eastAsia="Times New Roman" w:hAnsi="Times New Roman"/>
          <w:sz w:val="17"/>
          <w:szCs w:val="17"/>
          <w:u w:val="single" w:color="auto"/>
          <w:color w:val="0000FF"/>
        </w:rPr>
      </w:pPr>
      <w:hyperlink r:id="rId211">
        <w:r>
          <w:rPr>
            <w:rFonts w:ascii="Times New Roman" w:cs="Times New Roman" w:eastAsia="Times New Roman" w:hAnsi="Times New Roman"/>
            <w:sz w:val="17"/>
            <w:szCs w:val="17"/>
            <w:u w:val="single" w:color="auto"/>
            <w:color w:val="0000FF"/>
          </w:rPr>
          <w:t>2018, among The Ritz-Carlton Hotel Company,</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L.L.C., Marriott Vacations Worldwide Corporation</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and the other signatures thereto</w:t>
        </w:r>
      </w:hyperlink>
    </w:p>
    <w:p>
      <w:pPr>
        <w:spacing w:after="0" w:line="48" w:lineRule="exact"/>
        <w:rPr>
          <w:rFonts w:ascii="Times New Roman" w:cs="Times New Roman" w:eastAsia="Times New Roman" w:hAnsi="Times New Roman"/>
          <w:sz w:val="17"/>
          <w:szCs w:val="17"/>
          <w:u w:val="single" w:color="auto"/>
          <w:color w:val="0000FF"/>
        </w:rPr>
      </w:pPr>
    </w:p>
    <w:p>
      <w:pPr>
        <w:ind w:right="20"/>
        <w:spacing w:after="0" w:line="223" w:lineRule="auto"/>
        <w:rPr>
          <w:rFonts w:ascii="Times New Roman" w:cs="Times New Roman" w:eastAsia="Times New Roman" w:hAnsi="Times New Roman"/>
          <w:sz w:val="17"/>
          <w:szCs w:val="17"/>
          <w:u w:val="single" w:color="auto"/>
          <w:color w:val="0000FF"/>
        </w:rPr>
      </w:pPr>
      <w:hyperlink r:id="rId213">
        <w:r>
          <w:rPr>
            <w:rFonts w:ascii="Times New Roman" w:cs="Times New Roman" w:eastAsia="Times New Roman" w:hAnsi="Times New Roman"/>
            <w:sz w:val="17"/>
            <w:szCs w:val="17"/>
            <w:u w:val="single" w:color="auto"/>
            <w:color w:val="0000FF"/>
          </w:rPr>
          <w:t>Employee Benefits and Other Employment Matters</w:t>
        </w:r>
      </w:hyperlink>
      <w:r>
        <w:rPr>
          <w:rFonts w:ascii="Times New Roman" w:cs="Times New Roman" w:eastAsia="Times New Roman" w:hAnsi="Times New Roman"/>
          <w:sz w:val="17"/>
          <w:szCs w:val="17"/>
          <w:u w:val="single" w:color="auto"/>
          <w:color w:val="0000FF"/>
        </w:rPr>
        <w:t xml:space="preserve"> </w:t>
      </w:r>
      <w:hyperlink r:id="rId213">
        <w:r>
          <w:rPr>
            <w:rFonts w:ascii="Times New Roman" w:cs="Times New Roman" w:eastAsia="Times New Roman" w:hAnsi="Times New Roman"/>
            <w:sz w:val="17"/>
            <w:szCs w:val="17"/>
            <w:u w:val="single" w:color="auto"/>
            <w:color w:val="0000FF"/>
          </w:rPr>
          <w:t>Allocation Agreement, entered into on November 17,</w:t>
        </w:r>
      </w:hyperlink>
    </w:p>
    <w:p>
      <w:pPr>
        <w:ind w:right="520"/>
        <w:spacing w:after="0" w:line="242" w:lineRule="auto"/>
        <w:rPr>
          <w:rFonts w:ascii="Times New Roman" w:cs="Times New Roman" w:eastAsia="Times New Roman" w:hAnsi="Times New Roman"/>
          <w:sz w:val="16"/>
          <w:szCs w:val="16"/>
          <w:u w:val="single" w:color="auto"/>
          <w:color w:val="0000FF"/>
        </w:rPr>
      </w:pPr>
      <w:hyperlink r:id="rId213">
        <w:r>
          <w:rPr>
            <w:rFonts w:ascii="Times New Roman" w:cs="Times New Roman" w:eastAsia="Times New Roman" w:hAnsi="Times New Roman"/>
            <w:sz w:val="16"/>
            <w:szCs w:val="16"/>
            <w:u w:val="single" w:color="auto"/>
            <w:color w:val="0000FF"/>
          </w:rPr>
          <w:t>2011, between Marriott International, Inc. and</w:t>
        </w:r>
      </w:hyperlink>
      <w:r>
        <w:rPr>
          <w:rFonts w:ascii="Times New Roman" w:cs="Times New Roman" w:eastAsia="Times New Roman" w:hAnsi="Times New Roman"/>
          <w:sz w:val="16"/>
          <w:szCs w:val="16"/>
          <w:u w:val="single" w:color="auto"/>
          <w:color w:val="0000FF"/>
        </w:rPr>
        <w:t xml:space="preserve"> </w:t>
      </w:r>
      <w:hyperlink r:id="rId213">
        <w:r>
          <w:rPr>
            <w:rFonts w:ascii="Times New Roman" w:cs="Times New Roman" w:eastAsia="Times New Roman" w:hAnsi="Times New Roman"/>
            <w:sz w:val="16"/>
            <w:szCs w:val="16"/>
            <w:u w:val="single" w:color="auto"/>
            <w:color w:val="0000FF"/>
          </w:rPr>
          <w:t>Marriott Vacations Worldwide Corporation</w:t>
        </w:r>
      </w:hyperlink>
    </w:p>
    <w:p>
      <w:pPr>
        <w:spacing w:after="0" w:line="33" w:lineRule="exact"/>
        <w:rPr>
          <w:sz w:val="20"/>
          <w:szCs w:val="20"/>
          <w:color w:val="auto"/>
        </w:rPr>
      </w:pPr>
    </w:p>
    <w:p>
      <w:pPr>
        <w:ind w:right="20"/>
        <w:spacing w:after="0" w:line="223" w:lineRule="auto"/>
        <w:rPr>
          <w:rFonts w:ascii="Times New Roman" w:cs="Times New Roman" w:eastAsia="Times New Roman" w:hAnsi="Times New Roman"/>
          <w:sz w:val="17"/>
          <w:szCs w:val="17"/>
          <w:u w:val="single" w:color="auto"/>
          <w:color w:val="0000FF"/>
        </w:rPr>
      </w:pPr>
      <w:hyperlink r:id="rId214">
        <w:r>
          <w:rPr>
            <w:rFonts w:ascii="Times New Roman" w:cs="Times New Roman" w:eastAsia="Times New Roman" w:hAnsi="Times New Roman"/>
            <w:sz w:val="17"/>
            <w:szCs w:val="17"/>
            <w:u w:val="single" w:color="auto"/>
            <w:color w:val="0000FF"/>
          </w:rPr>
          <w:t>Tax Sharing and Indemnification Agreement, entered</w:t>
        </w:r>
      </w:hyperlink>
      <w:r>
        <w:rPr>
          <w:rFonts w:ascii="Times New Roman" w:cs="Times New Roman" w:eastAsia="Times New Roman" w:hAnsi="Times New Roman"/>
          <w:sz w:val="17"/>
          <w:szCs w:val="17"/>
          <w:u w:val="single" w:color="auto"/>
          <w:color w:val="0000FF"/>
        </w:rPr>
        <w:t xml:space="preserve"> </w:t>
      </w:r>
      <w:hyperlink r:id="rId214">
        <w:r>
          <w:rPr>
            <w:rFonts w:ascii="Times New Roman" w:cs="Times New Roman" w:eastAsia="Times New Roman" w:hAnsi="Times New Roman"/>
            <w:sz w:val="17"/>
            <w:szCs w:val="17"/>
            <w:u w:val="single" w:color="auto"/>
            <w:color w:val="0000FF"/>
          </w:rPr>
          <w:t>into on November 17, 2011, between Marriott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-227965</wp:posOffset>
            </wp:positionV>
            <wp:extent cx="5263515" cy="4629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5263515" cy="462915"/>
                    </a:xfrm>
                    <a:prstGeom prst="rect">
                      <a:avLst/>
                    </a:prstGeom>
                    <a:noFill/>
                  </pic:spPr>
                </pic:pic>
              </a:graphicData>
            </a:graphic>
          </wp:anchor>
        </w:drawing>
      </w:r>
    </w:p>
    <w:p>
      <w:pPr>
        <w:ind w:right="40"/>
        <w:spacing w:after="0" w:line="227" w:lineRule="auto"/>
        <w:rPr>
          <w:rFonts w:ascii="Times New Roman" w:cs="Times New Roman" w:eastAsia="Times New Roman" w:hAnsi="Times New Roman"/>
          <w:sz w:val="17"/>
          <w:szCs w:val="17"/>
          <w:u w:val="single" w:color="auto"/>
          <w:color w:val="0000FF"/>
        </w:rPr>
      </w:pPr>
      <w:hyperlink r:id="rId214">
        <w:r>
          <w:rPr>
            <w:rFonts w:ascii="Times New Roman" w:cs="Times New Roman" w:eastAsia="Times New Roman" w:hAnsi="Times New Roman"/>
            <w:sz w:val="17"/>
            <w:szCs w:val="17"/>
            <w:u w:val="single" w:color="auto"/>
            <w:color w:val="0000FF"/>
          </w:rPr>
          <w:t>International, Inc. and Marriott Vacations Worldwide</w:t>
        </w:r>
      </w:hyperlink>
      <w:r>
        <w:rPr>
          <w:rFonts w:ascii="Times New Roman" w:cs="Times New Roman" w:eastAsia="Times New Roman" w:hAnsi="Times New Roman"/>
          <w:sz w:val="17"/>
          <w:szCs w:val="17"/>
          <w:u w:val="single" w:color="auto"/>
          <w:color w:val="0000FF"/>
        </w:rPr>
        <w:t xml:space="preserve"> </w:t>
      </w:r>
      <w:hyperlink r:id="rId214">
        <w:r>
          <w:rPr>
            <w:rFonts w:ascii="Times New Roman" w:cs="Times New Roman" w:eastAsia="Times New Roman" w:hAnsi="Times New Roman"/>
            <w:sz w:val="17"/>
            <w:szCs w:val="17"/>
            <w:u w:val="single" w:color="auto"/>
            <w:color w:val="0000FF"/>
          </w:rPr>
          <w:t>Corporation</w:t>
        </w:r>
      </w:hyperlink>
    </w:p>
    <w:p>
      <w:pPr>
        <w:spacing w:after="0" w:line="34" w:lineRule="exact"/>
        <w:rPr>
          <w:sz w:val="20"/>
          <w:szCs w:val="20"/>
          <w:color w:val="auto"/>
        </w:rPr>
      </w:pPr>
    </w:p>
    <w:p>
      <w:pPr>
        <w:spacing w:after="0" w:line="223" w:lineRule="auto"/>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Amendment, dated August 2, 2012, between Marriott</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International, Inc. and Marriott Vacations Worldwide</w:t>
        </w:r>
      </w:hyperlink>
    </w:p>
    <w:p>
      <w:pPr>
        <w:ind w:right="80"/>
        <w:spacing w:after="0" w:line="227" w:lineRule="auto"/>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Corporation, to the Tax Sharing and Indemnification</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Agreement</w:t>
        </w:r>
      </w:hyperlink>
    </w:p>
    <w:p>
      <w:pPr>
        <w:spacing w:after="0" w:line="34" w:lineRule="exact"/>
        <w:rPr>
          <w:sz w:val="20"/>
          <w:szCs w:val="20"/>
          <w:color w:val="auto"/>
        </w:rPr>
      </w:pPr>
    </w:p>
    <w:p>
      <w:pPr>
        <w:ind w:right="120"/>
        <w:spacing w:after="0" w:line="223" w:lineRule="auto"/>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Marriott Bonvoy Affiliation Agreement, dated as of</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November 10, 2021, by and among Marriott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-227965</wp:posOffset>
            </wp:positionV>
            <wp:extent cx="5263515" cy="576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5263515" cy="576580"/>
                    </a:xfrm>
                    <a:prstGeom prst="rect">
                      <a:avLst/>
                    </a:prstGeom>
                    <a:noFill/>
                  </pic:spPr>
                </pic:pic>
              </a:graphicData>
            </a:graphic>
          </wp:anchor>
        </w:drawing>
      </w:r>
    </w:p>
    <w:p>
      <w:pPr>
        <w:ind w:right="80"/>
        <w:spacing w:after="0" w:line="219" w:lineRule="auto"/>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International, Inc., Marriott Rewards, LLC, Marriott</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Vacations Worldwide Corporation and Marriott</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Ownership Resorts, Inc.</w:t>
        </w:r>
      </w:hyperlink>
    </w:p>
    <w:p>
      <w:pPr>
        <w:spacing w:after="0" w:line="61" w:lineRule="exact"/>
        <w:rPr>
          <w:rFonts w:ascii="Times New Roman" w:cs="Times New Roman" w:eastAsia="Times New Roman" w:hAnsi="Times New Roman"/>
          <w:sz w:val="17"/>
          <w:szCs w:val="17"/>
          <w:u w:val="single" w:color="auto"/>
          <w:color w:val="0000FF"/>
        </w:rPr>
      </w:pPr>
    </w:p>
    <w:p>
      <w:pPr>
        <w:ind w:right="20"/>
        <w:spacing w:after="0" w:line="266" w:lineRule="auto"/>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u w:val="single" w:color="auto"/>
            <w:color w:val="0000FF"/>
          </w:rPr>
          <w:t>Marriott Vacations Worldwide Corporation Amended</w:t>
        </w:r>
      </w:hyperlink>
      <w:r>
        <w:rPr>
          <w:rFonts w:ascii="Times New Roman" w:cs="Times New Roman" w:eastAsia="Times New Roman" w:hAnsi="Times New Roman"/>
          <w:sz w:val="16"/>
          <w:szCs w:val="16"/>
          <w:u w:val="single" w:color="auto"/>
          <w:color w:val="0000FF"/>
        </w:rPr>
        <w:t xml:space="preserve"> </w:t>
      </w:r>
      <w:hyperlink r:id="rId219">
        <w:r>
          <w:rPr>
            <w:rFonts w:ascii="Times New Roman" w:cs="Times New Roman" w:eastAsia="Times New Roman" w:hAnsi="Times New Roman"/>
            <w:sz w:val="16"/>
            <w:szCs w:val="16"/>
            <w:u w:val="single" w:color="auto"/>
            <w:color w:val="0000FF"/>
          </w:rPr>
          <w:t>and Restated Stock and Cash Incentive Plan</w:t>
        </w:r>
        <w:r>
          <w:rPr>
            <w:rFonts w:ascii="Times New Roman" w:cs="Times New Roman" w:eastAsia="Times New Roman" w:hAnsi="Times New Roman"/>
            <w:sz w:val="16"/>
            <w:szCs w:val="16"/>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27305</wp:posOffset>
            </wp:positionV>
            <wp:extent cx="5263515" cy="389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5263515" cy="389890"/>
                    </a:xfrm>
                    <a:prstGeom prst="rect">
                      <a:avLst/>
                    </a:prstGeom>
                    <a:noFill/>
                  </pic:spPr>
                </pic:pic>
              </a:graphicData>
            </a:graphic>
          </wp:anchor>
        </w:drawing>
      </w:r>
    </w:p>
    <w:p>
      <w:pPr>
        <w:spacing w:after="0" w:line="45" w:lineRule="exact"/>
        <w:rPr>
          <w:sz w:val="20"/>
          <w:szCs w:val="20"/>
          <w:color w:val="auto"/>
        </w:rPr>
      </w:pPr>
    </w:p>
    <w:p>
      <w:pPr>
        <w:ind w:right="60"/>
        <w:spacing w:after="0" w:line="223" w:lineRule="auto"/>
        <w:rPr>
          <w:rFonts w:ascii="Times New Roman" w:cs="Times New Roman" w:eastAsia="Times New Roman" w:hAnsi="Times New Roman"/>
          <w:sz w:val="17"/>
          <w:szCs w:val="17"/>
          <w:u w:val="single" w:color="auto"/>
          <w:color w:val="0000FF"/>
        </w:rPr>
      </w:pPr>
      <w:hyperlink r:id="rId221">
        <w:r>
          <w:rPr>
            <w:rFonts w:ascii="Times New Roman" w:cs="Times New Roman" w:eastAsia="Times New Roman" w:hAnsi="Times New Roman"/>
            <w:sz w:val="17"/>
            <w:szCs w:val="17"/>
            <w:u w:val="single" w:color="auto"/>
            <w:color w:val="0000FF"/>
          </w:rPr>
          <w:t>Form of Restricted Stock Unit Agreement – Marriott</w:t>
        </w:r>
      </w:hyperlink>
      <w:r>
        <w:rPr>
          <w:rFonts w:ascii="Times New Roman" w:cs="Times New Roman" w:eastAsia="Times New Roman" w:hAnsi="Times New Roman"/>
          <w:sz w:val="17"/>
          <w:szCs w:val="17"/>
          <w:u w:val="single" w:color="auto"/>
          <w:color w:val="0000FF"/>
        </w:rPr>
        <w:t xml:space="preserve"> </w:t>
      </w:r>
      <w:hyperlink r:id="rId221">
        <w:r>
          <w:rPr>
            <w:rFonts w:ascii="Times New Roman" w:cs="Times New Roman" w:eastAsia="Times New Roman" w:hAnsi="Times New Roman"/>
            <w:sz w:val="17"/>
            <w:szCs w:val="17"/>
            <w:u w:val="single" w:color="auto"/>
            <w:color w:val="0000FF"/>
          </w:rPr>
          <w:t>Vacations Worldwide Corporation Stock and Cash</w:t>
        </w:r>
      </w:hyperlink>
    </w:p>
    <w:p>
      <w:pPr>
        <w:spacing w:after="0"/>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u w:val="single" w:color="auto"/>
            <w:color w:val="0000FF"/>
          </w:rPr>
          <w:t>Incentive Plan</w:t>
        </w:r>
        <w:r>
          <w:rPr>
            <w:rFonts w:ascii="Times New Roman" w:cs="Times New Roman" w:eastAsia="Times New Roman" w:hAnsi="Times New Roman"/>
            <w:sz w:val="17"/>
            <w:szCs w:val="17"/>
            <w:color w:val="000000"/>
          </w:rPr>
          <w:t>*</w:t>
        </w:r>
      </w:hyperlink>
    </w:p>
    <w:p>
      <w:pPr>
        <w:spacing w:after="0" w:line="55" w:lineRule="exact"/>
        <w:rPr>
          <w:sz w:val="20"/>
          <w:szCs w:val="20"/>
          <w:color w:val="auto"/>
        </w:rPr>
      </w:pPr>
    </w:p>
    <w:p>
      <w:pPr>
        <w:spacing w:after="0" w:line="236" w:lineRule="auto"/>
        <w:rPr>
          <w:rFonts w:ascii="Times New Roman" w:cs="Times New Roman" w:eastAsia="Times New Roman" w:hAnsi="Times New Roman"/>
          <w:sz w:val="16"/>
          <w:szCs w:val="16"/>
          <w:u w:val="single" w:color="auto"/>
          <w:color w:val="0000FF"/>
        </w:rPr>
      </w:pPr>
      <w:hyperlink r:id="rId222">
        <w:r>
          <w:rPr>
            <w:rFonts w:ascii="Times New Roman" w:cs="Times New Roman" w:eastAsia="Times New Roman" w:hAnsi="Times New Roman"/>
            <w:sz w:val="16"/>
            <w:szCs w:val="16"/>
            <w:u w:val="single" w:color="auto"/>
            <w:color w:val="0000FF"/>
          </w:rPr>
          <w:t>Form of Stock Appreciation Right Agreement –</w:t>
        </w:r>
      </w:hyperlink>
      <w:r>
        <w:rPr>
          <w:rFonts w:ascii="Times New Roman" w:cs="Times New Roman" w:eastAsia="Times New Roman" w:hAnsi="Times New Roman"/>
          <w:sz w:val="16"/>
          <w:szCs w:val="16"/>
          <w:u w:val="single" w:color="auto"/>
          <w:color w:val="0000FF"/>
        </w:rPr>
        <w:t xml:space="preserve"> </w:t>
      </w:r>
      <w:hyperlink r:id="rId222">
        <w:r>
          <w:rPr>
            <w:rFonts w:ascii="Times New Roman" w:cs="Times New Roman" w:eastAsia="Times New Roman" w:hAnsi="Times New Roman"/>
            <w:sz w:val="16"/>
            <w:szCs w:val="16"/>
            <w:u w:val="single" w:color="auto"/>
            <w:color w:val="0000FF"/>
          </w:rPr>
          <w:t>Marriott Vacations Worldwide Corporation Stock and</w:t>
        </w:r>
      </w:hyperlink>
    </w:p>
    <w:p>
      <w:pPr>
        <w:spacing w:after="0" w:line="2" w:lineRule="exact"/>
        <w:rPr>
          <w:sz w:val="20"/>
          <w:szCs w:val="20"/>
          <w:color w:val="auto"/>
        </w:rPr>
      </w:pPr>
    </w:p>
    <w:p>
      <w:pPr>
        <w:spacing w:after="0"/>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u w:val="single" w:color="auto"/>
            <w:color w:val="0000FF"/>
          </w:rPr>
          <w:t>Cash Incentive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20955</wp:posOffset>
            </wp:positionV>
            <wp:extent cx="5263515" cy="389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5263515" cy="389890"/>
                    </a:xfrm>
                    <a:prstGeom prst="rect">
                      <a:avLst/>
                    </a:prstGeom>
                    <a:noFill/>
                  </pic:spPr>
                </pic:pic>
              </a:graphicData>
            </a:graphic>
          </wp:anchor>
        </w:drawing>
      </w:r>
    </w:p>
    <w:p>
      <w:pPr>
        <w:spacing w:after="0" w:line="35" w:lineRule="exact"/>
        <w:rPr>
          <w:sz w:val="20"/>
          <w:szCs w:val="20"/>
          <w:color w:val="auto"/>
        </w:rPr>
      </w:pPr>
    </w:p>
    <w:p>
      <w:pPr>
        <w:spacing w:after="0" w:line="236" w:lineRule="auto"/>
        <w:rPr>
          <w:rFonts w:ascii="Times New Roman" w:cs="Times New Roman" w:eastAsia="Times New Roman" w:hAnsi="Times New Roman"/>
          <w:sz w:val="16"/>
          <w:szCs w:val="16"/>
          <w:u w:val="single" w:color="auto"/>
          <w:color w:val="0000FF"/>
        </w:rPr>
      </w:pPr>
      <w:hyperlink r:id="rId224">
        <w:r>
          <w:rPr>
            <w:rFonts w:ascii="Times New Roman" w:cs="Times New Roman" w:eastAsia="Times New Roman" w:hAnsi="Times New Roman"/>
            <w:sz w:val="16"/>
            <w:szCs w:val="16"/>
            <w:u w:val="single" w:color="auto"/>
            <w:color w:val="0000FF"/>
          </w:rPr>
          <w:t>Form of Performance Unit Award Agreement –</w:t>
        </w:r>
      </w:hyperlink>
      <w:r>
        <w:rPr>
          <w:rFonts w:ascii="Times New Roman" w:cs="Times New Roman" w:eastAsia="Times New Roman" w:hAnsi="Times New Roman"/>
          <w:sz w:val="16"/>
          <w:szCs w:val="16"/>
          <w:u w:val="single" w:color="auto"/>
          <w:color w:val="0000FF"/>
        </w:rPr>
        <w:t xml:space="preserve"> </w:t>
      </w:r>
      <w:hyperlink r:id="rId224">
        <w:r>
          <w:rPr>
            <w:rFonts w:ascii="Times New Roman" w:cs="Times New Roman" w:eastAsia="Times New Roman" w:hAnsi="Times New Roman"/>
            <w:sz w:val="16"/>
            <w:szCs w:val="16"/>
            <w:u w:val="single" w:color="auto"/>
            <w:color w:val="0000FF"/>
          </w:rPr>
          <w:t>Marriott Vacations Worldwide Corporation Stock and</w:t>
        </w:r>
      </w:hyperlink>
    </w:p>
    <w:p>
      <w:pPr>
        <w:spacing w:after="0" w:line="2" w:lineRule="exact"/>
        <w:rPr>
          <w:sz w:val="20"/>
          <w:szCs w:val="20"/>
          <w:color w:val="auto"/>
        </w:rPr>
      </w:pPr>
    </w:p>
    <w:p>
      <w:pPr>
        <w:spacing w:after="0"/>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u w:val="single" w:color="auto"/>
            <w:color w:val="0000FF"/>
          </w:rPr>
          <w:t>Cash Incentive Plan</w:t>
        </w:r>
        <w:r>
          <w:rPr>
            <w:rFonts w:ascii="Times New Roman" w:cs="Times New Roman" w:eastAsia="Times New Roman" w:hAnsi="Times New Roman"/>
            <w:sz w:val="17"/>
            <w:szCs w:val="17"/>
            <w:color w:val="000000"/>
          </w:rPr>
          <w:t>*</w:t>
        </w:r>
      </w:hyperlink>
    </w:p>
    <w:p>
      <w:pPr>
        <w:spacing w:after="0" w:line="55" w:lineRule="exact"/>
        <w:rPr>
          <w:sz w:val="20"/>
          <w:szCs w:val="20"/>
          <w:color w:val="auto"/>
        </w:rPr>
      </w:pPr>
    </w:p>
    <w:p>
      <w:pPr>
        <w:ind w:right="480"/>
        <w:spacing w:after="0" w:line="283" w:lineRule="auto"/>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u w:val="single" w:color="auto"/>
            <w:color w:val="0000FF"/>
          </w:rPr>
          <w:t>Form of Non-Employee Director Share Award</w:t>
        </w:r>
      </w:hyperlink>
      <w:r>
        <w:rPr>
          <w:rFonts w:ascii="Times New Roman" w:cs="Times New Roman" w:eastAsia="Times New Roman" w:hAnsi="Times New Roman"/>
          <w:sz w:val="17"/>
          <w:szCs w:val="17"/>
          <w:u w:val="single" w:color="auto"/>
          <w:color w:val="0000FF"/>
        </w:rPr>
        <w:t xml:space="preserve"> </w:t>
      </w:r>
      <w:hyperlink r:id="rId225">
        <w:r>
          <w:rPr>
            <w:rFonts w:ascii="Times New Roman" w:cs="Times New Roman" w:eastAsia="Times New Roman" w:hAnsi="Times New Roman"/>
            <w:sz w:val="17"/>
            <w:szCs w:val="17"/>
            <w:u w:val="single" w:color="auto"/>
            <w:color w:val="0000FF"/>
          </w:rPr>
          <w:t>Confirmation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10160</wp:posOffset>
            </wp:positionV>
            <wp:extent cx="5263515" cy="316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5263515" cy="316865"/>
                    </a:xfrm>
                    <a:prstGeom prst="rect">
                      <a:avLst/>
                    </a:prstGeom>
                    <a:noFill/>
                  </pic:spPr>
                </pic:pic>
              </a:graphicData>
            </a:graphic>
          </wp:anchor>
        </w:drawing>
      </w:r>
    </w:p>
    <w:p>
      <w:pPr>
        <w:spacing w:after="0" w:line="18" w:lineRule="exact"/>
        <w:rPr>
          <w:sz w:val="20"/>
          <w:szCs w:val="20"/>
          <w:color w:val="auto"/>
        </w:rPr>
      </w:pPr>
    </w:p>
    <w:p>
      <w:pPr>
        <w:ind w:right="40"/>
        <w:spacing w:after="0" w:line="283" w:lineRule="auto"/>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u w:val="single" w:color="auto"/>
            <w:color w:val="0000FF"/>
          </w:rPr>
          <w:t>Form of Non-Employee Director Stock Appreciation</w:t>
        </w:r>
      </w:hyperlink>
      <w:r>
        <w:rPr>
          <w:rFonts w:ascii="Times New Roman" w:cs="Times New Roman" w:eastAsia="Times New Roman" w:hAnsi="Times New Roman"/>
          <w:sz w:val="17"/>
          <w:szCs w:val="17"/>
          <w:u w:val="single" w:color="auto"/>
          <w:color w:val="0000FF"/>
        </w:rPr>
        <w:t xml:space="preserve"> </w:t>
      </w:r>
      <w:hyperlink r:id="rId227">
        <w:r>
          <w:rPr>
            <w:rFonts w:ascii="Times New Roman" w:cs="Times New Roman" w:eastAsia="Times New Roman" w:hAnsi="Times New Roman"/>
            <w:sz w:val="17"/>
            <w:szCs w:val="17"/>
            <w:u w:val="single" w:color="auto"/>
            <w:color w:val="0000FF"/>
          </w:rPr>
          <w:t>Right Award Agreement</w:t>
        </w:r>
        <w:r>
          <w:rPr>
            <w:rFonts w:ascii="Times New Roman" w:cs="Times New Roman" w:eastAsia="Times New Roman" w:hAnsi="Times New Roman"/>
            <w:sz w:val="17"/>
            <w:szCs w:val="17"/>
            <w:color w:val="000000"/>
          </w:rPr>
          <w:t>*</w:t>
        </w:r>
      </w:hyperlink>
    </w:p>
    <w:p>
      <w:pPr>
        <w:spacing w:after="0" w:line="51" w:lineRule="exact"/>
        <w:rPr>
          <w:sz w:val="20"/>
          <w:szCs w:val="20"/>
          <w:color w:val="auto"/>
        </w:rPr>
      </w:pPr>
    </w:p>
    <w:p>
      <w:pPr>
        <w:spacing w:after="0"/>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u w:val="single" w:color="auto"/>
            <w:color w:val="0000FF"/>
          </w:rPr>
          <w:t>Form of Director Stock Unit Agreement</w:t>
        </w:r>
      </w:hyperlink>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48895</wp:posOffset>
            </wp:positionV>
            <wp:extent cx="5263515" cy="389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5263515" cy="389890"/>
                    </a:xfrm>
                    <a:prstGeom prst="rect">
                      <a:avLst/>
                    </a:prstGeom>
                    <a:noFill/>
                  </pic:spPr>
                </pic:pic>
              </a:graphicData>
            </a:graphic>
          </wp:anchor>
        </w:drawing>
      </w:r>
    </w:p>
    <w:p>
      <w:pPr>
        <w:spacing w:after="0" w:line="68"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30">
        <w:r>
          <w:rPr>
            <w:rFonts w:ascii="Times New Roman" w:cs="Times New Roman" w:eastAsia="Times New Roman" w:hAnsi="Times New Roman"/>
            <w:sz w:val="17"/>
            <w:szCs w:val="17"/>
            <w:u w:val="single" w:color="auto"/>
            <w:color w:val="0000FF"/>
          </w:rPr>
          <w:t>Form of Stock Appreciation Right Agreement -</w:t>
        </w:r>
      </w:hyperlink>
    </w:p>
    <w:p>
      <w:pPr>
        <w:ind w:right="340"/>
        <w:spacing w:after="0" w:line="235" w:lineRule="auto"/>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u w:val="single" w:color="auto"/>
            <w:color w:val="0000FF"/>
          </w:rPr>
          <w:t>Marriott Vacations Worldwide Corporation 2020</w:t>
        </w:r>
      </w:hyperlink>
      <w:r>
        <w:rPr>
          <w:rFonts w:ascii="Times New Roman" w:cs="Times New Roman" w:eastAsia="Times New Roman" w:hAnsi="Times New Roman"/>
          <w:sz w:val="17"/>
          <w:szCs w:val="17"/>
          <w:u w:val="single" w:color="auto"/>
          <w:color w:val="0000FF"/>
        </w:rPr>
        <w:t xml:space="preserve"> </w:t>
      </w:r>
      <w:hyperlink r:id="rId230">
        <w:r>
          <w:rPr>
            <w:rFonts w:ascii="Times New Roman" w:cs="Times New Roman" w:eastAsia="Times New Roman" w:hAnsi="Times New Roman"/>
            <w:sz w:val="17"/>
            <w:szCs w:val="17"/>
            <w:u w:val="single" w:color="auto"/>
            <w:color w:val="0000FF"/>
          </w:rPr>
          <w:t>Equity Incentive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Filed</w:t>
            </w:r>
          </w:p>
        </w:tc>
        <w:tc>
          <w:tcPr>
            <w:tcW w:w="26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tc>
        <w:tc>
          <w:tcPr>
            <w:tcW w:w="0" w:type="dxa"/>
            <w:vAlign w:val="bottom"/>
          </w:tcPr>
          <w:p>
            <w:pPr>
              <w:spacing w:after="0"/>
              <w:rPr>
                <w:sz w:val="1"/>
                <w:szCs w:val="1"/>
                <w:color w:val="auto"/>
              </w:rPr>
            </w:pPr>
          </w:p>
        </w:tc>
      </w:tr>
      <w:tr>
        <w:trPr>
          <w:trHeight w:val="204"/>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26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7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5"/>
                <w:szCs w:val="15"/>
                <w:b w:val="1"/>
                <w:bCs w:val="1"/>
                <w:color w:val="auto"/>
              </w:rPr>
              <w:t>Filed</w:t>
            </w:r>
          </w:p>
        </w:tc>
        <w:tc>
          <w:tcPr>
            <w:tcW w:w="120" w:type="dxa"/>
            <w:vAlign w:val="bottom"/>
          </w:tcPr>
          <w:p>
            <w:pPr>
              <w:spacing w:after="0"/>
              <w:rPr>
                <w:sz w:val="12"/>
                <w:szCs w:val="12"/>
                <w:color w:val="auto"/>
              </w:rPr>
            </w:pPr>
          </w:p>
        </w:tc>
        <w:tc>
          <w:tcPr>
            <w:tcW w:w="62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Borders>
              <w:top w:val="single" w:sz="8" w:color="auto"/>
            </w:tcBorders>
            <w:vMerge w:val="restart"/>
          </w:tcPr>
          <w:p>
            <w:pPr>
              <w:spacing w:after="0"/>
              <w:rPr>
                <w:sz w:val="12"/>
                <w:szCs w:val="12"/>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40" w:type="dxa"/>
            <w:vAlign w:val="bottom"/>
            <w:tcBorders>
              <w:top w:val="single" w:sz="8" w:color="auto"/>
            </w:tcBorders>
            <w:vMerge w:val="restart"/>
          </w:tcPr>
          <w:p>
            <w:pPr>
              <w:spacing w:after="0"/>
              <w:rPr>
                <w:sz w:val="12"/>
                <w:szCs w:val="12"/>
                <w:color w:val="auto"/>
              </w:rPr>
            </w:pPr>
          </w:p>
        </w:tc>
        <w:tc>
          <w:tcPr>
            <w:tcW w:w="9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Date Filed</w:t>
            </w:r>
          </w:p>
        </w:tc>
        <w:tc>
          <w:tcPr>
            <w:tcW w:w="0" w:type="dxa"/>
            <w:vAlign w:val="bottom"/>
          </w:tcPr>
          <w:p>
            <w:pPr>
              <w:spacing w:after="0"/>
              <w:rPr>
                <w:sz w:val="1"/>
                <w:szCs w:val="1"/>
                <w:color w:val="auto"/>
              </w:rPr>
            </w:pPr>
          </w:p>
        </w:tc>
      </w:tr>
      <w:tr>
        <w:trPr>
          <w:trHeight w:val="204"/>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120" w:type="dxa"/>
            <w:vAlign w:val="bottom"/>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8-K</w:t>
            </w: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9/19/2025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40"/>
        <w:spacing w:after="0"/>
        <w:tabs>
          <w:tab w:leader="none" w:pos="1860" w:val="left"/>
          <w:tab w:leader="none" w:pos="2640" w:val="left"/>
        </w:tabs>
        <w:rPr>
          <w:sz w:val="20"/>
          <w:szCs w:val="20"/>
          <w:color w:val="auto"/>
        </w:rPr>
      </w:pPr>
      <w:r>
        <w:rPr>
          <w:rFonts w:ascii="Times New Roman" w:cs="Times New Roman" w:eastAsia="Times New Roman" w:hAnsi="Times New Roman"/>
          <w:sz w:val="17"/>
          <w:szCs w:val="17"/>
          <w:color w:val="auto"/>
        </w:rPr>
        <w:t>10-Q</w:t>
      </w:r>
      <w:r>
        <w:rPr>
          <w:sz w:val="20"/>
          <w:szCs w:val="20"/>
          <w:color w:val="auto"/>
        </w:rPr>
        <w:tab/>
      </w:r>
      <w:r>
        <w:rPr>
          <w:rFonts w:ascii="Times New Roman" w:cs="Times New Roman" w:eastAsia="Times New Roman" w:hAnsi="Times New Roman"/>
          <w:sz w:val="17"/>
          <w:szCs w:val="17"/>
          <w:color w:val="auto"/>
        </w:rPr>
        <w:t>10.7</w:t>
      </w:r>
      <w:r>
        <w:rPr>
          <w:sz w:val="20"/>
          <w:szCs w:val="20"/>
          <w:color w:val="auto"/>
        </w:rPr>
        <w:tab/>
      </w:r>
      <w:r>
        <w:rPr>
          <w:rFonts w:ascii="Times New Roman" w:cs="Times New Roman" w:eastAsia="Times New Roman" w:hAnsi="Times New Roman"/>
          <w:sz w:val="17"/>
          <w:szCs w:val="17"/>
          <w:color w:val="auto"/>
        </w:rPr>
        <w:t>11/7/2024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040" w:type="dxa"/>
        <w:tblCellMar>
          <w:top w:w="0" w:type="dxa"/>
          <w:left w:w="0" w:type="dxa"/>
          <w:bottom w:w="0" w:type="dxa"/>
          <w:right w:w="0" w:type="dxa"/>
        </w:tblCellMar>
      </w:tblPr>
      <w:tr>
        <w:trPr>
          <w:trHeight w:val="222"/>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8"/>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11/22/2011</w:t>
            </w:r>
          </w:p>
        </w:tc>
      </w:tr>
      <w:tr>
        <w:trPr>
          <w:trHeight w:val="908"/>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7"/>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2/27/2018</w:t>
            </w:r>
          </w:p>
        </w:tc>
      </w:tr>
      <w:tr>
        <w:trPr>
          <w:trHeight w:val="857"/>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8"/>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11/22/2011</w:t>
            </w:r>
          </w:p>
        </w:tc>
      </w:tr>
      <w:tr>
        <w:trPr>
          <w:trHeight w:val="767"/>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8"/>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11/22/2011</w:t>
            </w:r>
          </w:p>
        </w:tc>
      </w:tr>
      <w:tr>
        <w:trPr>
          <w:trHeight w:val="767"/>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7"/>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10/18/2012</w:t>
            </w:r>
          </w:p>
        </w:tc>
      </w:tr>
      <w:tr>
        <w:trPr>
          <w:trHeight w:val="857"/>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7"/>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3/1/2022</w:t>
            </w:r>
          </w:p>
        </w:tc>
      </w:tr>
      <w:tr>
        <w:trPr>
          <w:trHeight w:val="704"/>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7"/>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2/23/2017</w:t>
            </w:r>
          </w:p>
        </w:tc>
      </w:tr>
      <w:tr>
        <w:trPr>
          <w:trHeight w:val="550"/>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8"/>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12/9/2011</w:t>
            </w:r>
          </w:p>
        </w:tc>
      </w:tr>
      <w:tr>
        <w:trPr>
          <w:trHeight w:val="614"/>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8"/>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12/9/2011</w:t>
            </w:r>
          </w:p>
        </w:tc>
      </w:tr>
      <w:tr>
        <w:trPr>
          <w:trHeight w:val="614"/>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8"/>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3/16/2012</w:t>
            </w:r>
          </w:p>
        </w:tc>
      </w:tr>
      <w:tr>
        <w:trPr>
          <w:trHeight w:val="563"/>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7"/>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8/4/2023</w:t>
            </w:r>
          </w:p>
        </w:tc>
      </w:tr>
      <w:tr>
        <w:trPr>
          <w:trHeight w:val="499"/>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7"/>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8/4/2023</w:t>
            </w:r>
          </w:p>
        </w:tc>
      </w:tr>
      <w:tr>
        <w:trPr>
          <w:trHeight w:val="397"/>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7"/>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8/4/2023</w:t>
            </w:r>
          </w:p>
        </w:tc>
      </w:tr>
      <w:tr>
        <w:trPr>
          <w:trHeight w:val="460"/>
        </w:trPr>
        <w:tc>
          <w:tcPr>
            <w:tcW w:w="5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7"/>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10.22</w:t>
            </w:r>
          </w:p>
        </w:tc>
        <w:tc>
          <w:tcPr>
            <w:tcW w:w="9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2/27/2023</w:t>
            </w:r>
          </w:p>
        </w:tc>
      </w:tr>
    </w:tbl>
    <w:p>
      <w:pPr>
        <w:spacing w:after="0" w:line="378" w:lineRule="exact"/>
        <w:rPr>
          <w:sz w:val="20"/>
          <w:szCs w:val="20"/>
          <w:color w:val="auto"/>
        </w:rPr>
      </w:pPr>
    </w:p>
    <w:p>
      <w:pPr>
        <w:sectPr>
          <w:pgSz w:w="11900" w:h="16838" w:orient="portrait"/>
          <w:cols w:equalWidth="0" w:num="3">
            <w:col w:w="560" w:space="240"/>
            <w:col w:w="3660" w:space="240"/>
            <w:col w:w="5339"/>
          </w:cols>
          <w:pgMar w:left="420" w:top="1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68580</wp:posOffset>
            </wp:positionV>
            <wp:extent cx="716470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039"/>
          </w:cols>
          <w:pgMar w:left="420" w:top="1118" w:right="1440" w:bottom="1440" w:gutter="0" w:footer="0" w:header="0"/>
          <w:type w:val="continuous"/>
        </w:sectPr>
      </w:pPr>
    </w:p>
    <w:bookmarkStart w:id="129" w:name="page130"/>
    <w:bookmarkEnd w:id="129"/>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9525</wp:posOffset>
            </wp:positionV>
            <wp:extent cx="4870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9525</wp:posOffset>
            </wp:positionV>
            <wp:extent cx="4870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10.16</w:t>
      </w:r>
    </w:p>
    <w:p>
      <w:pPr>
        <w:spacing w:after="0" w:line="3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10.17</w:t>
      </w:r>
    </w:p>
    <w:p>
      <w:pPr>
        <w:spacing w:after="0" w:line="3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10.18</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10.19</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10.20</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10.21</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10.22</w:t>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10.23</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10.25</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10.28</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10.29</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10.30</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10.31</w:t>
      </w:r>
    </w:p>
    <w:p>
      <w:pPr>
        <w:spacing w:after="0" w:line="3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71120</wp:posOffset>
            </wp:positionV>
            <wp:extent cx="23958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239585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71120</wp:posOffset>
            </wp:positionV>
            <wp:extent cx="23958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2395855" cy="8255"/>
                    </a:xfrm>
                    <a:prstGeom prst="rect">
                      <a:avLst/>
                    </a:prstGeom>
                    <a:noFill/>
                  </pic:spPr>
                </pic:pic>
              </a:graphicData>
            </a:graphic>
          </wp:anchor>
        </w:drawing>
      </w:r>
    </w:p>
    <w:p>
      <w:pPr>
        <w:spacing w:after="0" w:line="114" w:lineRule="exact"/>
        <w:rPr>
          <w:sz w:val="20"/>
          <w:szCs w:val="20"/>
          <w:color w:val="auto"/>
        </w:rPr>
      </w:pPr>
    </w:p>
    <w:p>
      <w:pPr>
        <w:ind w:right="160"/>
        <w:spacing w:after="0" w:line="236" w:lineRule="auto"/>
        <w:rPr>
          <w:rFonts w:ascii="Times New Roman" w:cs="Times New Roman" w:eastAsia="Times New Roman" w:hAnsi="Times New Roman"/>
          <w:sz w:val="16"/>
          <w:szCs w:val="16"/>
          <w:u w:val="single" w:color="auto"/>
          <w:color w:val="0000FF"/>
        </w:rPr>
      </w:pPr>
      <w:hyperlink r:id="rId236">
        <w:r>
          <w:rPr>
            <w:rFonts w:ascii="Times New Roman" w:cs="Times New Roman" w:eastAsia="Times New Roman" w:hAnsi="Times New Roman"/>
            <w:sz w:val="16"/>
            <w:szCs w:val="16"/>
            <w:u w:val="single" w:color="auto"/>
            <w:color w:val="0000FF"/>
          </w:rPr>
          <w:t>Form of Restricted Stock Unit Agreement - Marriott</w:t>
        </w:r>
      </w:hyperlink>
      <w:r>
        <w:rPr>
          <w:rFonts w:ascii="Times New Roman" w:cs="Times New Roman" w:eastAsia="Times New Roman" w:hAnsi="Times New Roman"/>
          <w:sz w:val="16"/>
          <w:szCs w:val="16"/>
          <w:u w:val="single" w:color="auto"/>
          <w:color w:val="0000FF"/>
        </w:rPr>
        <w:t xml:space="preserve"> </w:t>
      </w:r>
      <w:hyperlink r:id="rId236">
        <w:r>
          <w:rPr>
            <w:rFonts w:ascii="Times New Roman" w:cs="Times New Roman" w:eastAsia="Times New Roman" w:hAnsi="Times New Roman"/>
            <w:sz w:val="16"/>
            <w:szCs w:val="16"/>
            <w:u w:val="single" w:color="auto"/>
            <w:color w:val="0000FF"/>
          </w:rPr>
          <w:t>Vacations Worldwide Corporation 2020 Equity</w:t>
        </w:r>
      </w:hyperlink>
    </w:p>
    <w:p>
      <w:pPr>
        <w:spacing w:after="0" w:line="2" w:lineRule="exact"/>
        <w:rPr>
          <w:sz w:val="20"/>
          <w:szCs w:val="20"/>
          <w:color w:val="auto"/>
        </w:rPr>
      </w:pPr>
    </w:p>
    <w:p>
      <w:pPr>
        <w:spacing w:after="0"/>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u w:val="single" w:color="auto"/>
            <w:color w:val="0000FF"/>
          </w:rPr>
          <w:t>Incentive Plan</w:t>
        </w:r>
        <w:r>
          <w:rPr>
            <w:rFonts w:ascii="Times New Roman" w:cs="Times New Roman" w:eastAsia="Times New Roman" w:hAnsi="Times New Roman"/>
            <w:sz w:val="17"/>
            <w:szCs w:val="17"/>
            <w:color w:val="000000"/>
          </w:rPr>
          <w:t>*</w:t>
        </w:r>
      </w:hyperlink>
    </w:p>
    <w:p>
      <w:pPr>
        <w:spacing w:after="0" w:line="18"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37">
        <w:r>
          <w:rPr>
            <w:rFonts w:ascii="Times New Roman" w:cs="Times New Roman" w:eastAsia="Times New Roman" w:hAnsi="Times New Roman"/>
            <w:sz w:val="17"/>
            <w:szCs w:val="17"/>
            <w:u w:val="single" w:color="auto"/>
            <w:color w:val="0000FF"/>
          </w:rPr>
          <w:t>Form of Performance Unit Agreement - Marriott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-114300</wp:posOffset>
            </wp:positionV>
            <wp:extent cx="5263515" cy="3575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5263515" cy="357505"/>
                    </a:xfrm>
                    <a:prstGeom prst="rect">
                      <a:avLst/>
                    </a:prstGeom>
                    <a:noFill/>
                  </pic:spPr>
                </pic:pic>
              </a:graphicData>
            </a:graphic>
          </wp:anchor>
        </w:drawing>
      </w:r>
    </w:p>
    <w:p>
      <w:pPr>
        <w:ind w:right="520"/>
        <w:spacing w:after="0" w:line="235" w:lineRule="auto"/>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u w:val="single" w:color="auto"/>
            <w:color w:val="0000FF"/>
          </w:rPr>
          <w:t>Vacations Worldwide Corporation 2020 Equity</w:t>
        </w:r>
      </w:hyperlink>
      <w:r>
        <w:rPr>
          <w:rFonts w:ascii="Times New Roman" w:cs="Times New Roman" w:eastAsia="Times New Roman" w:hAnsi="Times New Roman"/>
          <w:sz w:val="17"/>
          <w:szCs w:val="17"/>
          <w:u w:val="single" w:color="auto"/>
          <w:color w:val="0000FF"/>
        </w:rPr>
        <w:t xml:space="preserve"> </w:t>
      </w:r>
      <w:hyperlink r:id="rId237">
        <w:r>
          <w:rPr>
            <w:rFonts w:ascii="Times New Roman" w:cs="Times New Roman" w:eastAsia="Times New Roman" w:hAnsi="Times New Roman"/>
            <w:sz w:val="17"/>
            <w:szCs w:val="17"/>
            <w:u w:val="single" w:color="auto"/>
            <w:color w:val="0000FF"/>
          </w:rPr>
          <w:t>Incentive Plan</w:t>
        </w:r>
        <w:r>
          <w:rPr>
            <w:rFonts w:ascii="Times New Roman" w:cs="Times New Roman" w:eastAsia="Times New Roman" w:hAnsi="Times New Roman"/>
            <w:sz w:val="17"/>
            <w:szCs w:val="17"/>
            <w:color w:val="000000"/>
          </w:rPr>
          <w:t>*</w:t>
        </w:r>
      </w:hyperlink>
    </w:p>
    <w:p>
      <w:pPr>
        <w:spacing w:after="0" w:line="21" w:lineRule="exact"/>
        <w:rPr>
          <w:sz w:val="20"/>
          <w:szCs w:val="20"/>
          <w:color w:val="auto"/>
        </w:rPr>
      </w:pPr>
    </w:p>
    <w:p>
      <w:pPr>
        <w:ind w:right="60"/>
        <w:spacing w:after="0" w:line="238" w:lineRule="auto"/>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u w:val="single" w:color="auto"/>
            <w:color w:val="0000FF"/>
          </w:rPr>
          <w:t>Marriott Vacations Worldwide Corporation Change in</w:t>
        </w:r>
      </w:hyperlink>
      <w:r>
        <w:rPr>
          <w:rFonts w:ascii="Times New Roman" w:cs="Times New Roman" w:eastAsia="Times New Roman" w:hAnsi="Times New Roman"/>
          <w:sz w:val="17"/>
          <w:szCs w:val="17"/>
          <w:u w:val="single" w:color="auto"/>
          <w:color w:val="0000FF"/>
        </w:rPr>
        <w:t xml:space="preserve"> </w:t>
      </w:r>
      <w:hyperlink r:id="rId239">
        <w:r>
          <w:rPr>
            <w:rFonts w:ascii="Times New Roman" w:cs="Times New Roman" w:eastAsia="Times New Roman" w:hAnsi="Times New Roman"/>
            <w:sz w:val="17"/>
            <w:szCs w:val="17"/>
            <w:u w:val="single" w:color="auto"/>
            <w:color w:val="0000FF"/>
          </w:rPr>
          <w:t>Control Severance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24130</wp:posOffset>
            </wp:positionV>
            <wp:extent cx="5263515" cy="284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5263515" cy="284480"/>
                    </a:xfrm>
                    <a:prstGeom prst="rect">
                      <a:avLst/>
                    </a:prstGeom>
                    <a:noFill/>
                  </pic:spPr>
                </pic:pic>
              </a:graphicData>
            </a:graphic>
          </wp:anchor>
        </w:drawing>
      </w:r>
    </w:p>
    <w:p>
      <w:pPr>
        <w:spacing w:after="0" w:line="40" w:lineRule="exact"/>
        <w:rPr>
          <w:sz w:val="20"/>
          <w:szCs w:val="20"/>
          <w:color w:val="auto"/>
        </w:rPr>
      </w:pPr>
    </w:p>
    <w:p>
      <w:pPr>
        <w:ind w:right="480"/>
        <w:spacing w:after="0" w:line="238" w:lineRule="auto"/>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u w:val="single" w:color="auto"/>
            <w:color w:val="0000FF"/>
          </w:rPr>
          <w:t>Form of Participation Agreement for Change in</w:t>
        </w:r>
      </w:hyperlink>
      <w:r>
        <w:rPr>
          <w:rFonts w:ascii="Times New Roman" w:cs="Times New Roman" w:eastAsia="Times New Roman" w:hAnsi="Times New Roman"/>
          <w:sz w:val="17"/>
          <w:szCs w:val="17"/>
          <w:u w:val="single" w:color="auto"/>
          <w:color w:val="0000FF"/>
        </w:rPr>
        <w:t xml:space="preserve"> </w:t>
      </w:r>
      <w:hyperlink r:id="rId241">
        <w:r>
          <w:rPr>
            <w:rFonts w:ascii="Times New Roman" w:cs="Times New Roman" w:eastAsia="Times New Roman" w:hAnsi="Times New Roman"/>
            <w:sz w:val="17"/>
            <w:szCs w:val="17"/>
            <w:u w:val="single" w:color="auto"/>
            <w:color w:val="0000FF"/>
          </w:rPr>
          <w:t>Control Severance Plan</w:t>
        </w:r>
        <w:r>
          <w:rPr>
            <w:rFonts w:ascii="Times New Roman" w:cs="Times New Roman" w:eastAsia="Times New Roman" w:hAnsi="Times New Roman"/>
            <w:sz w:val="17"/>
            <w:szCs w:val="17"/>
            <w:color w:val="000000"/>
          </w:rPr>
          <w:t>*</w:t>
        </w:r>
      </w:hyperlink>
    </w:p>
    <w:p>
      <w:pPr>
        <w:spacing w:after="0" w:line="60" w:lineRule="exact"/>
        <w:rPr>
          <w:sz w:val="20"/>
          <w:szCs w:val="20"/>
          <w:color w:val="auto"/>
        </w:rPr>
      </w:pPr>
    </w:p>
    <w:p>
      <w:pPr>
        <w:ind w:right="140"/>
        <w:spacing w:after="0" w:line="266" w:lineRule="auto"/>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u w:val="single" w:color="auto"/>
            <w:color w:val="0000FF"/>
          </w:rPr>
          <w:t>Marriott Vacations Worldwide Corporation Deferred</w:t>
        </w:r>
      </w:hyperlink>
      <w:r>
        <w:rPr>
          <w:rFonts w:ascii="Times New Roman" w:cs="Times New Roman" w:eastAsia="Times New Roman" w:hAnsi="Times New Roman"/>
          <w:sz w:val="16"/>
          <w:szCs w:val="16"/>
          <w:u w:val="single" w:color="auto"/>
          <w:color w:val="0000FF"/>
        </w:rPr>
        <w:t xml:space="preserve"> </w:t>
      </w:r>
      <w:hyperlink r:id="rId242">
        <w:r>
          <w:rPr>
            <w:rFonts w:ascii="Times New Roman" w:cs="Times New Roman" w:eastAsia="Times New Roman" w:hAnsi="Times New Roman"/>
            <w:sz w:val="16"/>
            <w:szCs w:val="16"/>
            <w:u w:val="single" w:color="auto"/>
            <w:color w:val="0000FF"/>
          </w:rPr>
          <w:t>Compensation Plan Revised July 29, 2022</w:t>
        </w:r>
        <w:r>
          <w:rPr>
            <w:rFonts w:ascii="Times New Roman" w:cs="Times New Roman" w:eastAsia="Times New Roman" w:hAnsi="Times New Roman"/>
            <w:sz w:val="16"/>
            <w:szCs w:val="16"/>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11430</wp:posOffset>
            </wp:positionV>
            <wp:extent cx="5263515" cy="284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5263515" cy="284480"/>
                    </a:xfrm>
                    <a:prstGeom prst="rect">
                      <a:avLst/>
                    </a:prstGeom>
                    <a:noFill/>
                  </pic:spPr>
                </pic:pic>
              </a:graphicData>
            </a:graphic>
          </wp:anchor>
        </w:drawing>
      </w:r>
    </w:p>
    <w:p>
      <w:pPr>
        <w:spacing w:after="0" w:line="20" w:lineRule="exact"/>
        <w:rPr>
          <w:sz w:val="20"/>
          <w:szCs w:val="20"/>
          <w:color w:val="auto"/>
        </w:rPr>
      </w:pPr>
    </w:p>
    <w:p>
      <w:pPr>
        <w:ind w:right="60"/>
        <w:spacing w:after="0" w:line="238" w:lineRule="auto"/>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u w:val="single" w:color="auto"/>
            <w:color w:val="0000FF"/>
          </w:rPr>
          <w:t>Marriott Vacations Worldwide Corporation Executive</w:t>
        </w:r>
      </w:hyperlink>
      <w:r>
        <w:rPr>
          <w:rFonts w:ascii="Times New Roman" w:cs="Times New Roman" w:eastAsia="Times New Roman" w:hAnsi="Times New Roman"/>
          <w:sz w:val="17"/>
          <w:szCs w:val="17"/>
          <w:u w:val="single" w:color="auto"/>
          <w:color w:val="0000FF"/>
        </w:rPr>
        <w:t xml:space="preserve"> </w:t>
      </w:r>
      <w:hyperlink r:id="rId244">
        <w:r>
          <w:rPr>
            <w:rFonts w:ascii="Times New Roman" w:cs="Times New Roman" w:eastAsia="Times New Roman" w:hAnsi="Times New Roman"/>
            <w:sz w:val="17"/>
            <w:szCs w:val="17"/>
            <w:u w:val="single" w:color="auto"/>
            <w:color w:val="0000FF"/>
          </w:rPr>
          <w:t>Long-Term Disability Plan</w:t>
        </w:r>
        <w:r>
          <w:rPr>
            <w:rFonts w:ascii="Times New Roman" w:cs="Times New Roman" w:eastAsia="Times New Roman" w:hAnsi="Times New Roman"/>
            <w:sz w:val="17"/>
            <w:szCs w:val="17"/>
            <w:color w:val="000000"/>
          </w:rPr>
          <w:t>*</w:t>
        </w:r>
      </w:hyperlink>
    </w:p>
    <w:p>
      <w:pPr>
        <w:spacing w:after="0" w:line="60" w:lineRule="exact"/>
        <w:rPr>
          <w:sz w:val="20"/>
          <w:szCs w:val="20"/>
          <w:color w:val="auto"/>
        </w:rPr>
      </w:pPr>
    </w:p>
    <w:p>
      <w:pPr>
        <w:ind w:right="60"/>
        <w:spacing w:after="0" w:line="238" w:lineRule="auto"/>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u w:val="single" w:color="auto"/>
            <w:color w:val="0000FF"/>
          </w:rPr>
          <w:t>Marriott Vacations Worldwide Corporation Employee</w:t>
        </w:r>
      </w:hyperlink>
      <w:r>
        <w:rPr>
          <w:rFonts w:ascii="Times New Roman" w:cs="Times New Roman" w:eastAsia="Times New Roman" w:hAnsi="Times New Roman"/>
          <w:sz w:val="17"/>
          <w:szCs w:val="17"/>
          <w:u w:val="single" w:color="auto"/>
          <w:color w:val="0000FF"/>
        </w:rPr>
        <w:t xml:space="preserve"> </w:t>
      </w:r>
      <w:hyperlink r:id="rId245">
        <w:r>
          <w:rPr>
            <w:rFonts w:ascii="Times New Roman" w:cs="Times New Roman" w:eastAsia="Times New Roman" w:hAnsi="Times New Roman"/>
            <w:sz w:val="17"/>
            <w:szCs w:val="17"/>
            <w:u w:val="single" w:color="auto"/>
            <w:color w:val="0000FF"/>
          </w:rPr>
          <w:t>Stock Purchase Plan</w:t>
        </w:r>
        <w:r>
          <w:rPr>
            <w:rFonts w:ascii="Times New Roman" w:cs="Times New Roman" w:eastAsia="Times New Roman" w:hAnsi="Times New Roman"/>
            <w:sz w:val="17"/>
            <w:szCs w:val="17"/>
            <w:color w:val="000000"/>
          </w:rPr>
          <w:t>*</w:t>
        </w:r>
      </w:hyperlink>
    </w:p>
    <w:p>
      <w:pPr>
        <w:spacing w:after="0" w:line="47" w:lineRule="exact"/>
        <w:rPr>
          <w:sz w:val="20"/>
          <w:szCs w:val="20"/>
          <w:color w:val="auto"/>
        </w:rPr>
      </w:pPr>
    </w:p>
    <w:p>
      <w:pPr>
        <w:ind w:right="240"/>
        <w:spacing w:after="0" w:line="236" w:lineRule="auto"/>
        <w:rPr>
          <w:rFonts w:ascii="Times New Roman" w:cs="Times New Roman" w:eastAsia="Times New Roman" w:hAnsi="Times New Roman"/>
          <w:sz w:val="16"/>
          <w:szCs w:val="16"/>
          <w:u w:val="single" w:color="auto"/>
          <w:color w:val="0000FF"/>
        </w:rPr>
      </w:pPr>
      <w:hyperlink r:id="rId246">
        <w:r>
          <w:rPr>
            <w:rFonts w:ascii="Times New Roman" w:cs="Times New Roman" w:eastAsia="Times New Roman" w:hAnsi="Times New Roman"/>
            <w:sz w:val="16"/>
            <w:szCs w:val="16"/>
            <w:u w:val="single" w:color="auto"/>
            <w:color w:val="0000FF"/>
          </w:rPr>
          <w:t>Credit Agreement, dated as of August 31, 2018,</w:t>
        </w:r>
      </w:hyperlink>
      <w:r>
        <w:rPr>
          <w:rFonts w:ascii="Times New Roman" w:cs="Times New Roman" w:eastAsia="Times New Roman" w:hAnsi="Times New Roman"/>
          <w:sz w:val="16"/>
          <w:szCs w:val="16"/>
          <w:u w:val="single" w:color="auto"/>
          <w:color w:val="0000FF"/>
        </w:rPr>
        <w:t xml:space="preserve"> </w:t>
      </w:r>
      <w:hyperlink r:id="rId246">
        <w:r>
          <w:rPr>
            <w:rFonts w:ascii="Times New Roman" w:cs="Times New Roman" w:eastAsia="Times New Roman" w:hAnsi="Times New Roman"/>
            <w:sz w:val="16"/>
            <w:szCs w:val="16"/>
            <w:u w:val="single" w:color="auto"/>
            <w:color w:val="0000FF"/>
          </w:rPr>
          <w:t>among Marriott Vacations Worldwide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-226695</wp:posOffset>
            </wp:positionV>
            <wp:extent cx="5263515" cy="5765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5263515" cy="576580"/>
                    </a:xfrm>
                    <a:prstGeom prst="rect">
                      <a:avLst/>
                    </a:prstGeom>
                    <a:noFill/>
                  </pic:spPr>
                </pic:pic>
              </a:graphicData>
            </a:graphic>
          </wp:anchor>
        </w:drawing>
      </w:r>
    </w:p>
    <w:p>
      <w:pPr>
        <w:ind w:right="240"/>
        <w:spacing w:after="0" w:line="219" w:lineRule="auto"/>
        <w:rPr>
          <w:rFonts w:ascii="Times New Roman" w:cs="Times New Roman" w:eastAsia="Times New Roman" w:hAnsi="Times New Roman"/>
          <w:sz w:val="17"/>
          <w:szCs w:val="17"/>
          <w:u w:val="single" w:color="auto"/>
          <w:color w:val="0000FF"/>
        </w:rPr>
      </w:pPr>
      <w:hyperlink r:id="rId246">
        <w:r>
          <w:rPr>
            <w:rFonts w:ascii="Times New Roman" w:cs="Times New Roman" w:eastAsia="Times New Roman" w:hAnsi="Times New Roman"/>
            <w:sz w:val="17"/>
            <w:szCs w:val="17"/>
            <w:u w:val="single" w:color="auto"/>
            <w:color w:val="0000FF"/>
          </w:rPr>
          <w:t>Marriott Ownership Resorts, Inc., the lenders party</w:t>
        </w:r>
      </w:hyperlink>
      <w:r>
        <w:rPr>
          <w:rFonts w:ascii="Times New Roman" w:cs="Times New Roman" w:eastAsia="Times New Roman" w:hAnsi="Times New Roman"/>
          <w:sz w:val="17"/>
          <w:szCs w:val="17"/>
          <w:u w:val="single" w:color="auto"/>
          <w:color w:val="0000FF"/>
        </w:rPr>
        <w:t xml:space="preserve"> </w:t>
      </w:r>
      <w:hyperlink r:id="rId246">
        <w:r>
          <w:rPr>
            <w:rFonts w:ascii="Times New Roman" w:cs="Times New Roman" w:eastAsia="Times New Roman" w:hAnsi="Times New Roman"/>
            <w:sz w:val="17"/>
            <w:szCs w:val="17"/>
            <w:u w:val="single" w:color="auto"/>
            <w:color w:val="0000FF"/>
          </w:rPr>
          <w:t>thereto and JPMorgan Chase Bank, N.A., as</w:t>
        </w:r>
      </w:hyperlink>
      <w:r>
        <w:rPr>
          <w:rFonts w:ascii="Times New Roman" w:cs="Times New Roman" w:eastAsia="Times New Roman" w:hAnsi="Times New Roman"/>
          <w:sz w:val="17"/>
          <w:szCs w:val="17"/>
          <w:u w:val="single" w:color="auto"/>
          <w:color w:val="0000FF"/>
        </w:rPr>
        <w:t xml:space="preserve"> </w:t>
      </w:r>
      <w:hyperlink r:id="rId246">
        <w:r>
          <w:rPr>
            <w:rFonts w:ascii="Times New Roman" w:cs="Times New Roman" w:eastAsia="Times New Roman" w:hAnsi="Times New Roman"/>
            <w:sz w:val="17"/>
            <w:szCs w:val="17"/>
            <w:u w:val="single" w:color="auto"/>
            <w:color w:val="0000FF"/>
          </w:rPr>
          <w:t>administrative agent</w:t>
        </w:r>
      </w:hyperlink>
    </w:p>
    <w:p>
      <w:pPr>
        <w:spacing w:after="0" w:line="10" w:lineRule="exact"/>
        <w:rPr>
          <w:rFonts w:ascii="Times New Roman" w:cs="Times New Roman" w:eastAsia="Times New Roman" w:hAnsi="Times New Roman"/>
          <w:sz w:val="17"/>
          <w:szCs w:val="17"/>
          <w:u w:val="single" w:color="auto"/>
          <w:color w:val="0000FF"/>
        </w:rPr>
      </w:pPr>
    </w:p>
    <w:p>
      <w:pPr>
        <w:ind w:right="200"/>
        <w:spacing w:after="0" w:line="223" w:lineRule="auto"/>
        <w:rPr>
          <w:rFonts w:ascii="Times New Roman" w:cs="Times New Roman" w:eastAsia="Times New Roman" w:hAnsi="Times New Roman"/>
          <w:sz w:val="17"/>
          <w:szCs w:val="17"/>
          <w:u w:val="single" w:color="auto"/>
          <w:color w:val="0000FF"/>
        </w:rPr>
      </w:pPr>
      <w:hyperlink r:id="rId248">
        <w:r>
          <w:rPr>
            <w:rFonts w:ascii="Times New Roman" w:cs="Times New Roman" w:eastAsia="Times New Roman" w:hAnsi="Times New Roman"/>
            <w:sz w:val="17"/>
            <w:szCs w:val="17"/>
            <w:u w:val="single" w:color="auto"/>
            <w:color w:val="0000FF"/>
          </w:rPr>
          <w:t>Amendment No. 1 to Credit Agreement, dated as of</w:t>
        </w:r>
      </w:hyperlink>
      <w:r>
        <w:rPr>
          <w:rFonts w:ascii="Times New Roman" w:cs="Times New Roman" w:eastAsia="Times New Roman" w:hAnsi="Times New Roman"/>
          <w:sz w:val="17"/>
          <w:szCs w:val="17"/>
          <w:u w:val="single" w:color="auto"/>
          <w:color w:val="0000FF"/>
        </w:rPr>
        <w:t xml:space="preserve"> </w:t>
      </w:r>
      <w:hyperlink r:id="rId248">
        <w:r>
          <w:rPr>
            <w:rFonts w:ascii="Times New Roman" w:cs="Times New Roman" w:eastAsia="Times New Roman" w:hAnsi="Times New Roman"/>
            <w:sz w:val="17"/>
            <w:szCs w:val="17"/>
            <w:u w:val="single" w:color="auto"/>
            <w:color w:val="0000FF"/>
          </w:rPr>
          <w:t>December 3, 2019, among Marriott Vacations</w:t>
        </w:r>
      </w:hyperlink>
    </w:p>
    <w:p>
      <w:pPr>
        <w:ind w:right="60"/>
        <w:spacing w:after="0" w:line="209" w:lineRule="auto"/>
        <w:rPr>
          <w:rFonts w:ascii="Times New Roman" w:cs="Times New Roman" w:eastAsia="Times New Roman" w:hAnsi="Times New Roman"/>
          <w:sz w:val="17"/>
          <w:szCs w:val="17"/>
          <w:u w:val="single" w:color="auto"/>
          <w:color w:val="0000FF"/>
        </w:rPr>
      </w:pPr>
      <w:hyperlink r:id="rId248">
        <w:r>
          <w:rPr>
            <w:rFonts w:ascii="Times New Roman" w:cs="Times New Roman" w:eastAsia="Times New Roman" w:hAnsi="Times New Roman"/>
            <w:sz w:val="17"/>
            <w:szCs w:val="17"/>
            <w:u w:val="single" w:color="auto"/>
            <w:color w:val="0000FF"/>
          </w:rPr>
          <w:t>Worldwide Corporation, Marriott Ownership Resorts,</w:t>
        </w:r>
      </w:hyperlink>
      <w:r>
        <w:rPr>
          <w:rFonts w:ascii="Times New Roman" w:cs="Times New Roman" w:eastAsia="Times New Roman" w:hAnsi="Times New Roman"/>
          <w:sz w:val="17"/>
          <w:szCs w:val="17"/>
          <w:u w:val="single" w:color="auto"/>
          <w:color w:val="0000FF"/>
        </w:rPr>
        <w:t xml:space="preserve"> </w:t>
      </w:r>
      <w:hyperlink r:id="rId248">
        <w:r>
          <w:rPr>
            <w:rFonts w:ascii="Times New Roman" w:cs="Times New Roman" w:eastAsia="Times New Roman" w:hAnsi="Times New Roman"/>
            <w:sz w:val="17"/>
            <w:szCs w:val="17"/>
            <w:u w:val="single" w:color="auto"/>
            <w:color w:val="0000FF"/>
          </w:rPr>
          <w:t>Inc., Interval Acquisition Corp., the lenders party</w:t>
        </w:r>
      </w:hyperlink>
      <w:r>
        <w:rPr>
          <w:rFonts w:ascii="Times New Roman" w:cs="Times New Roman" w:eastAsia="Times New Roman" w:hAnsi="Times New Roman"/>
          <w:sz w:val="17"/>
          <w:szCs w:val="17"/>
          <w:u w:val="single" w:color="auto"/>
          <w:color w:val="0000FF"/>
        </w:rPr>
        <w:t xml:space="preserve"> </w:t>
      </w:r>
      <w:hyperlink r:id="rId248">
        <w:r>
          <w:rPr>
            <w:rFonts w:ascii="Times New Roman" w:cs="Times New Roman" w:eastAsia="Times New Roman" w:hAnsi="Times New Roman"/>
            <w:sz w:val="17"/>
            <w:szCs w:val="17"/>
            <w:u w:val="single" w:color="auto"/>
            <w:color w:val="0000FF"/>
          </w:rPr>
          <w:t>thereto and JPMorgan Chase Bank, N.A., as</w:t>
        </w:r>
      </w:hyperlink>
    </w:p>
    <w:p>
      <w:pPr>
        <w:spacing w:after="0" w:line="1" w:lineRule="exact"/>
        <w:rPr>
          <w:rFonts w:ascii="Times New Roman" w:cs="Times New Roman" w:eastAsia="Times New Roman" w:hAnsi="Times New Roman"/>
          <w:sz w:val="17"/>
          <w:szCs w:val="17"/>
          <w:u w:val="single" w:color="auto"/>
          <w:color w:val="0000FF"/>
        </w:rPr>
      </w:pPr>
    </w:p>
    <w:p>
      <w:pPr>
        <w:spacing w:after="0"/>
        <w:rPr>
          <w:rFonts w:ascii="Times New Roman" w:cs="Times New Roman" w:eastAsia="Times New Roman" w:hAnsi="Times New Roman"/>
          <w:sz w:val="17"/>
          <w:szCs w:val="17"/>
          <w:u w:val="single" w:color="auto"/>
          <w:color w:val="0000FF"/>
        </w:rPr>
      </w:pPr>
      <w:hyperlink r:id="rId248">
        <w:r>
          <w:rPr>
            <w:rFonts w:ascii="Times New Roman" w:cs="Times New Roman" w:eastAsia="Times New Roman" w:hAnsi="Times New Roman"/>
            <w:sz w:val="17"/>
            <w:szCs w:val="17"/>
            <w:u w:val="single" w:color="auto"/>
            <w:color w:val="0000FF"/>
          </w:rPr>
          <w:t>administrative agent</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-582295</wp:posOffset>
            </wp:positionH>
            <wp:positionV relativeFrom="paragraph">
              <wp:posOffset>5080</wp:posOffset>
            </wp:positionV>
            <wp:extent cx="5263515" cy="576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5263515" cy="576580"/>
                    </a:xfrm>
                    <a:prstGeom prst="rect">
                      <a:avLst/>
                    </a:prstGeom>
                    <a:noFill/>
                  </pic:spPr>
                </pic:pic>
              </a:graphicData>
            </a:graphic>
          </wp:anchor>
        </w:drawing>
      </w:r>
    </w:p>
    <w:p>
      <w:pPr>
        <w:ind w:right="60"/>
        <w:spacing w:after="0" w:line="234" w:lineRule="auto"/>
        <w:rPr>
          <w:rFonts w:ascii="Times New Roman" w:cs="Times New Roman" w:eastAsia="Times New Roman" w:hAnsi="Times New Roman"/>
          <w:sz w:val="16"/>
          <w:szCs w:val="16"/>
          <w:u w:val="single" w:color="auto"/>
          <w:color w:val="0000FF"/>
        </w:rPr>
      </w:pPr>
      <w:hyperlink r:id="rId250">
        <w:r>
          <w:rPr>
            <w:rFonts w:ascii="Times New Roman" w:cs="Times New Roman" w:eastAsia="Times New Roman" w:hAnsi="Times New Roman"/>
            <w:sz w:val="16"/>
            <w:szCs w:val="16"/>
            <w:u w:val="single" w:color="auto"/>
            <w:color w:val="0000FF"/>
          </w:rPr>
          <w:t>Amendment No. 2 to Credit Agreement dated as of</w:t>
        </w:r>
      </w:hyperlink>
      <w:r>
        <w:rPr>
          <w:rFonts w:ascii="Times New Roman" w:cs="Times New Roman" w:eastAsia="Times New Roman" w:hAnsi="Times New Roman"/>
          <w:sz w:val="16"/>
          <w:szCs w:val="16"/>
          <w:u w:val="single" w:color="auto"/>
          <w:color w:val="0000FF"/>
        </w:rPr>
        <w:t xml:space="preserve"> </w:t>
      </w:r>
      <w:hyperlink r:id="rId250">
        <w:r>
          <w:rPr>
            <w:rFonts w:ascii="Times New Roman" w:cs="Times New Roman" w:eastAsia="Times New Roman" w:hAnsi="Times New Roman"/>
            <w:sz w:val="16"/>
            <w:szCs w:val="16"/>
            <w:u w:val="single" w:color="auto"/>
            <w:color w:val="0000FF"/>
          </w:rPr>
          <w:t>April 27, 2023, among Marriott Vacations Worldwide</w:t>
        </w:r>
      </w:hyperlink>
    </w:p>
    <w:p>
      <w:pPr>
        <w:ind w:right="100"/>
        <w:spacing w:after="0" w:line="219" w:lineRule="auto"/>
        <w:rPr>
          <w:rFonts w:ascii="Times New Roman" w:cs="Times New Roman" w:eastAsia="Times New Roman" w:hAnsi="Times New Roman"/>
          <w:sz w:val="17"/>
          <w:szCs w:val="17"/>
          <w:u w:val="single" w:color="auto"/>
          <w:color w:val="0000FF"/>
        </w:rPr>
      </w:pPr>
      <w:hyperlink r:id="rId250">
        <w:r>
          <w:rPr>
            <w:rFonts w:ascii="Times New Roman" w:cs="Times New Roman" w:eastAsia="Times New Roman" w:hAnsi="Times New Roman"/>
            <w:sz w:val="17"/>
            <w:szCs w:val="17"/>
            <w:u w:val="single" w:color="auto"/>
            <w:color w:val="0000FF"/>
          </w:rPr>
          <w:t>Corporation, Marriott Ownership Resorts, Inc., and</w:t>
        </w:r>
      </w:hyperlink>
      <w:r>
        <w:rPr>
          <w:rFonts w:ascii="Times New Roman" w:cs="Times New Roman" w:eastAsia="Times New Roman" w:hAnsi="Times New Roman"/>
          <w:sz w:val="17"/>
          <w:szCs w:val="17"/>
          <w:u w:val="single" w:color="auto"/>
          <w:color w:val="0000FF"/>
        </w:rPr>
        <w:t xml:space="preserve"> </w:t>
      </w:r>
      <w:hyperlink r:id="rId250">
        <w:r>
          <w:rPr>
            <w:rFonts w:ascii="Times New Roman" w:cs="Times New Roman" w:eastAsia="Times New Roman" w:hAnsi="Times New Roman"/>
            <w:sz w:val="17"/>
            <w:szCs w:val="17"/>
            <w:u w:val="single" w:color="auto"/>
            <w:color w:val="0000FF"/>
          </w:rPr>
          <w:t>JPMorgan Chase Bank, N.A., as administrative agent</w:t>
        </w:r>
      </w:hyperlink>
      <w:r>
        <w:rPr>
          <w:rFonts w:ascii="Times New Roman" w:cs="Times New Roman" w:eastAsia="Times New Roman" w:hAnsi="Times New Roman"/>
          <w:sz w:val="17"/>
          <w:szCs w:val="17"/>
          <w:u w:val="single" w:color="auto"/>
          <w:color w:val="0000FF"/>
        </w:rPr>
        <w:t xml:space="preserve"> </w:t>
      </w:r>
      <w:hyperlink r:id="rId250">
        <w:r>
          <w:rPr>
            <w:rFonts w:ascii="Times New Roman" w:cs="Times New Roman" w:eastAsia="Times New Roman" w:hAnsi="Times New Roman"/>
            <w:sz w:val="17"/>
            <w:szCs w:val="17"/>
            <w:u w:val="single" w:color="auto"/>
            <w:color w:val="0000FF"/>
          </w:rPr>
          <w:t>and collateral agent</w:t>
        </w:r>
      </w:hyperlink>
    </w:p>
    <w:p>
      <w:pPr>
        <w:spacing w:after="0" w:line="10" w:lineRule="exact"/>
        <w:rPr>
          <w:rFonts w:ascii="Times New Roman" w:cs="Times New Roman" w:eastAsia="Times New Roman" w:hAnsi="Times New Roman"/>
          <w:sz w:val="17"/>
          <w:szCs w:val="17"/>
          <w:u w:val="single" w:color="auto"/>
          <w:color w:val="0000FF"/>
        </w:rPr>
      </w:pPr>
    </w:p>
    <w:p>
      <w:pPr>
        <w:ind w:right="160"/>
        <w:spacing w:after="0" w:line="223" w:lineRule="auto"/>
        <w:rPr>
          <w:rFonts w:ascii="Times New Roman" w:cs="Times New Roman" w:eastAsia="Times New Roman" w:hAnsi="Times New Roman"/>
          <w:sz w:val="17"/>
          <w:szCs w:val="17"/>
          <w:u w:val="single" w:color="auto"/>
          <w:color w:val="0000FF"/>
        </w:rPr>
      </w:pPr>
      <w:hyperlink r:id="rId251">
        <w:r>
          <w:rPr>
            <w:rFonts w:ascii="Times New Roman" w:cs="Times New Roman" w:eastAsia="Times New Roman" w:hAnsi="Times New Roman"/>
            <w:sz w:val="17"/>
            <w:szCs w:val="17"/>
            <w:u w:val="single" w:color="auto"/>
            <w:color w:val="0000FF"/>
          </w:rPr>
          <w:t>Incremental Facility Amendment, dated as of March</w:t>
        </w:r>
      </w:hyperlink>
      <w:r>
        <w:rPr>
          <w:rFonts w:ascii="Times New Roman" w:cs="Times New Roman" w:eastAsia="Times New Roman" w:hAnsi="Times New Roman"/>
          <w:sz w:val="17"/>
          <w:szCs w:val="17"/>
          <w:u w:val="single" w:color="auto"/>
          <w:color w:val="0000FF"/>
        </w:rPr>
        <w:t xml:space="preserve"> </w:t>
      </w:r>
      <w:hyperlink r:id="rId251">
        <w:r>
          <w:rPr>
            <w:rFonts w:ascii="Times New Roman" w:cs="Times New Roman" w:eastAsia="Times New Roman" w:hAnsi="Times New Roman"/>
            <w:sz w:val="17"/>
            <w:szCs w:val="17"/>
            <w:u w:val="single" w:color="auto"/>
            <w:color w:val="0000FF"/>
          </w:rPr>
          <w:t>31, 2022, by and among Marriott Vacations</w:t>
        </w:r>
      </w:hyperlink>
    </w:p>
    <w:p>
      <w:pPr>
        <w:ind w:right="60"/>
        <w:spacing w:after="0" w:line="222" w:lineRule="auto"/>
        <w:rPr>
          <w:rFonts w:ascii="Times New Roman" w:cs="Times New Roman" w:eastAsia="Times New Roman" w:hAnsi="Times New Roman"/>
          <w:sz w:val="16"/>
          <w:szCs w:val="16"/>
          <w:u w:val="single" w:color="auto"/>
          <w:color w:val="0000FF"/>
        </w:rPr>
      </w:pPr>
      <w:hyperlink r:id="rId251">
        <w:r>
          <w:rPr>
            <w:rFonts w:ascii="Times New Roman" w:cs="Times New Roman" w:eastAsia="Times New Roman" w:hAnsi="Times New Roman"/>
            <w:sz w:val="16"/>
            <w:szCs w:val="16"/>
            <w:u w:val="single" w:color="auto"/>
            <w:color w:val="0000FF"/>
          </w:rPr>
          <w:t>Worldwide Corporation, Marriott Ownership Resorts,</w:t>
        </w:r>
      </w:hyperlink>
      <w:r>
        <w:rPr>
          <w:rFonts w:ascii="Times New Roman" w:cs="Times New Roman" w:eastAsia="Times New Roman" w:hAnsi="Times New Roman"/>
          <w:sz w:val="16"/>
          <w:szCs w:val="16"/>
          <w:u w:val="single" w:color="auto"/>
          <w:color w:val="0000FF"/>
        </w:rPr>
        <w:t xml:space="preserve"> </w:t>
      </w:r>
      <w:hyperlink r:id="rId251">
        <w:r>
          <w:rPr>
            <w:rFonts w:ascii="Times New Roman" w:cs="Times New Roman" w:eastAsia="Times New Roman" w:hAnsi="Times New Roman"/>
            <w:sz w:val="16"/>
            <w:szCs w:val="16"/>
            <w:u w:val="single" w:color="auto"/>
            <w:color w:val="0000FF"/>
          </w:rPr>
          <w:t>Inc., as borrower, JPMorgan Chase Bank, N.A., as</w:t>
        </w:r>
      </w:hyperlink>
      <w:r>
        <w:rPr>
          <w:rFonts w:ascii="Times New Roman" w:cs="Times New Roman" w:eastAsia="Times New Roman" w:hAnsi="Times New Roman"/>
          <w:sz w:val="16"/>
          <w:szCs w:val="16"/>
          <w:u w:val="single" w:color="auto"/>
          <w:color w:val="0000FF"/>
        </w:rPr>
        <w:t xml:space="preserve"> </w:t>
      </w:r>
      <w:hyperlink r:id="rId251">
        <w:r>
          <w:rPr>
            <w:rFonts w:ascii="Times New Roman" w:cs="Times New Roman" w:eastAsia="Times New Roman" w:hAnsi="Times New Roman"/>
            <w:sz w:val="16"/>
            <w:szCs w:val="16"/>
            <w:u w:val="single" w:color="auto"/>
            <w:color w:val="0000FF"/>
          </w:rPr>
          <w:t>administrative agent and collateral agent, and the</w:t>
        </w:r>
      </w:hyperlink>
    </w:p>
    <w:p>
      <w:pPr>
        <w:spacing w:after="0" w:line="1"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7"/>
          <w:szCs w:val="17"/>
          <w:u w:val="single" w:color="auto"/>
          <w:color w:val="0000FF"/>
        </w:rPr>
      </w:pPr>
      <w:hyperlink r:id="rId251">
        <w:r>
          <w:rPr>
            <w:rFonts w:ascii="Times New Roman" w:cs="Times New Roman" w:eastAsia="Times New Roman" w:hAnsi="Times New Roman"/>
            <w:sz w:val="17"/>
            <w:szCs w:val="17"/>
            <w:u w:val="single" w:color="auto"/>
            <w:color w:val="0000FF"/>
          </w:rPr>
          <w:t>incremental lenders party thereto</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-582295</wp:posOffset>
            </wp:positionH>
            <wp:positionV relativeFrom="paragraph">
              <wp:posOffset>5080</wp:posOffset>
            </wp:positionV>
            <wp:extent cx="5263515" cy="788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5263515" cy="788035"/>
                    </a:xfrm>
                    <a:prstGeom prst="rect">
                      <a:avLst/>
                    </a:prstGeom>
                    <a:noFill/>
                  </pic:spPr>
                </pic:pic>
              </a:graphicData>
            </a:graphic>
          </wp:anchor>
        </w:drawing>
      </w:r>
    </w:p>
    <w:p>
      <w:pPr>
        <w:spacing w:after="0" w:line="234" w:lineRule="auto"/>
        <w:rPr>
          <w:rFonts w:ascii="Times New Roman" w:cs="Times New Roman" w:eastAsia="Times New Roman" w:hAnsi="Times New Roman"/>
          <w:sz w:val="16"/>
          <w:szCs w:val="16"/>
          <w:u w:val="single" w:color="auto"/>
          <w:color w:val="0000FF"/>
        </w:rPr>
      </w:pPr>
      <w:hyperlink r:id="rId253">
        <w:r>
          <w:rPr>
            <w:rFonts w:ascii="Times New Roman" w:cs="Times New Roman" w:eastAsia="Times New Roman" w:hAnsi="Times New Roman"/>
            <w:sz w:val="16"/>
            <w:szCs w:val="16"/>
            <w:u w:val="single" w:color="auto"/>
            <w:color w:val="0000FF"/>
          </w:rPr>
          <w:t>Incremental Facility Amendment and Amendment No.</w:t>
        </w:r>
      </w:hyperlink>
      <w:r>
        <w:rPr>
          <w:rFonts w:ascii="Times New Roman" w:cs="Times New Roman" w:eastAsia="Times New Roman" w:hAnsi="Times New Roman"/>
          <w:sz w:val="16"/>
          <w:szCs w:val="16"/>
          <w:u w:val="single" w:color="auto"/>
          <w:color w:val="0000FF"/>
        </w:rPr>
        <w:t xml:space="preserve"> </w:t>
      </w:r>
      <w:hyperlink r:id="rId253">
        <w:r>
          <w:rPr>
            <w:rFonts w:ascii="Times New Roman" w:cs="Times New Roman" w:eastAsia="Times New Roman" w:hAnsi="Times New Roman"/>
            <w:sz w:val="16"/>
            <w:szCs w:val="16"/>
            <w:u w:val="single" w:color="auto"/>
            <w:color w:val="0000FF"/>
          </w:rPr>
          <w:t>3, dated as of April 1, 2024, by and among Marriott</w:t>
        </w:r>
      </w:hyperlink>
    </w:p>
    <w:p>
      <w:pPr>
        <w:spacing w:after="0" w:line="222" w:lineRule="auto"/>
        <w:rPr>
          <w:rFonts w:ascii="Times New Roman" w:cs="Times New Roman" w:eastAsia="Times New Roman" w:hAnsi="Times New Roman"/>
          <w:sz w:val="16"/>
          <w:szCs w:val="16"/>
          <w:u w:val="single" w:color="auto"/>
          <w:color w:val="0000FF"/>
        </w:rPr>
      </w:pPr>
      <w:hyperlink r:id="rId253">
        <w:r>
          <w:rPr>
            <w:rFonts w:ascii="Times New Roman" w:cs="Times New Roman" w:eastAsia="Times New Roman" w:hAnsi="Times New Roman"/>
            <w:sz w:val="16"/>
            <w:szCs w:val="16"/>
            <w:u w:val="single" w:color="auto"/>
            <w:color w:val="0000FF"/>
          </w:rPr>
          <w:t>Vacations Worldwide Corporation, Marriott</w:t>
        </w:r>
      </w:hyperlink>
      <w:r>
        <w:rPr>
          <w:rFonts w:ascii="Times New Roman" w:cs="Times New Roman" w:eastAsia="Times New Roman" w:hAnsi="Times New Roman"/>
          <w:sz w:val="16"/>
          <w:szCs w:val="16"/>
          <w:u w:val="single" w:color="auto"/>
          <w:color w:val="0000FF"/>
        </w:rPr>
        <w:t xml:space="preserve"> </w:t>
      </w:r>
      <w:hyperlink r:id="rId253">
        <w:r>
          <w:rPr>
            <w:rFonts w:ascii="Times New Roman" w:cs="Times New Roman" w:eastAsia="Times New Roman" w:hAnsi="Times New Roman"/>
            <w:sz w:val="16"/>
            <w:szCs w:val="16"/>
            <w:u w:val="single" w:color="auto"/>
            <w:color w:val="0000FF"/>
          </w:rPr>
          <w:t>Ownership Resorts, Inc., as borrower, the subsidiary</w:t>
        </w:r>
      </w:hyperlink>
      <w:r>
        <w:rPr>
          <w:rFonts w:ascii="Times New Roman" w:cs="Times New Roman" w:eastAsia="Times New Roman" w:hAnsi="Times New Roman"/>
          <w:sz w:val="16"/>
          <w:szCs w:val="16"/>
          <w:u w:val="single" w:color="auto"/>
          <w:color w:val="0000FF"/>
        </w:rPr>
        <w:t xml:space="preserve"> </w:t>
      </w:r>
      <w:hyperlink r:id="rId253">
        <w:r>
          <w:rPr>
            <w:rFonts w:ascii="Times New Roman" w:cs="Times New Roman" w:eastAsia="Times New Roman" w:hAnsi="Times New Roman"/>
            <w:sz w:val="16"/>
            <w:szCs w:val="16"/>
            <w:u w:val="single" w:color="auto"/>
            <w:color w:val="0000FF"/>
          </w:rPr>
          <w:t>guarantors party thereto, JPMorgan Chase Bank, N.A.,</w:t>
        </w:r>
      </w:hyperlink>
    </w:p>
    <w:p>
      <w:pPr>
        <w:spacing w:after="0" w:line="1" w:lineRule="exact"/>
        <w:rPr>
          <w:rFonts w:ascii="Times New Roman" w:cs="Times New Roman" w:eastAsia="Times New Roman" w:hAnsi="Times New Roman"/>
          <w:sz w:val="16"/>
          <w:szCs w:val="16"/>
          <w:u w:val="single" w:color="auto"/>
          <w:color w:val="0000FF"/>
        </w:rPr>
      </w:pPr>
    </w:p>
    <w:p>
      <w:pPr>
        <w:ind w:right="200"/>
        <w:spacing w:after="0" w:line="227" w:lineRule="auto"/>
        <w:rPr>
          <w:rFonts w:ascii="Times New Roman" w:cs="Times New Roman" w:eastAsia="Times New Roman" w:hAnsi="Times New Roman"/>
          <w:sz w:val="17"/>
          <w:szCs w:val="17"/>
          <w:u w:val="single" w:color="auto"/>
          <w:color w:val="0000FF"/>
        </w:rPr>
      </w:pPr>
      <w:hyperlink r:id="rId253">
        <w:r>
          <w:rPr>
            <w:rFonts w:ascii="Times New Roman" w:cs="Times New Roman" w:eastAsia="Times New Roman" w:hAnsi="Times New Roman"/>
            <w:sz w:val="17"/>
            <w:szCs w:val="17"/>
            <w:u w:val="single" w:color="auto"/>
            <w:color w:val="0000FF"/>
          </w:rPr>
          <w:t>as administrative agent and collateral agent, and the</w:t>
        </w:r>
      </w:hyperlink>
      <w:r>
        <w:rPr>
          <w:rFonts w:ascii="Times New Roman" w:cs="Times New Roman" w:eastAsia="Times New Roman" w:hAnsi="Times New Roman"/>
          <w:sz w:val="17"/>
          <w:szCs w:val="17"/>
          <w:u w:val="single" w:color="auto"/>
          <w:color w:val="0000FF"/>
        </w:rPr>
        <w:t xml:space="preserve"> </w:t>
      </w:r>
      <w:hyperlink r:id="rId253">
        <w:r>
          <w:rPr>
            <w:rFonts w:ascii="Times New Roman" w:cs="Times New Roman" w:eastAsia="Times New Roman" w:hAnsi="Times New Roman"/>
            <w:sz w:val="17"/>
            <w:szCs w:val="17"/>
            <w:u w:val="single" w:color="auto"/>
            <w:color w:val="0000FF"/>
          </w:rPr>
          <w:t>lenders party thereto</w:t>
        </w:r>
      </w:hyperlink>
    </w:p>
    <w:p>
      <w:pPr>
        <w:spacing w:after="0" w:line="234" w:lineRule="auto"/>
        <w:rPr>
          <w:rFonts w:ascii="Times New Roman" w:cs="Times New Roman" w:eastAsia="Times New Roman" w:hAnsi="Times New Roman"/>
          <w:sz w:val="16"/>
          <w:szCs w:val="16"/>
          <w:u w:val="single" w:color="auto"/>
          <w:color w:val="0000FF"/>
        </w:rPr>
      </w:pPr>
      <w:hyperlink r:id="rId254">
        <w:r>
          <w:rPr>
            <w:rFonts w:ascii="Times New Roman" w:cs="Times New Roman" w:eastAsia="Times New Roman" w:hAnsi="Times New Roman"/>
            <w:sz w:val="16"/>
            <w:szCs w:val="16"/>
            <w:u w:val="single" w:color="auto"/>
            <w:color w:val="0000FF"/>
          </w:rPr>
          <w:t>Incremental Facility Amendment and Amendment No.</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4, dated as of March 24, 2025, by and among Marriott</w:t>
        </w:r>
      </w:hyperlink>
    </w:p>
    <w:p>
      <w:pPr>
        <w:spacing w:after="0" w:line="222" w:lineRule="auto"/>
        <w:rPr>
          <w:rFonts w:ascii="Times New Roman" w:cs="Times New Roman" w:eastAsia="Times New Roman" w:hAnsi="Times New Roman"/>
          <w:sz w:val="16"/>
          <w:szCs w:val="16"/>
          <w:u w:val="single" w:color="auto"/>
          <w:color w:val="0000FF"/>
        </w:rPr>
      </w:pPr>
      <w:hyperlink r:id="rId254">
        <w:r>
          <w:rPr>
            <w:rFonts w:ascii="Times New Roman" w:cs="Times New Roman" w:eastAsia="Times New Roman" w:hAnsi="Times New Roman"/>
            <w:sz w:val="16"/>
            <w:szCs w:val="16"/>
            <w:u w:val="single" w:color="auto"/>
            <w:color w:val="0000FF"/>
          </w:rPr>
          <w:t>Vacations Worldwide Corporation, Marriott</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Ownership Resorts, Inc., as borrower, the subsidiary</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guarantors party thereto, JPMorgan Chase Bank, N.A.,</w:t>
        </w:r>
      </w:hyperlink>
    </w:p>
    <w:p>
      <w:pPr>
        <w:spacing w:after="0" w:line="1" w:lineRule="exact"/>
        <w:rPr>
          <w:rFonts w:ascii="Times New Roman" w:cs="Times New Roman" w:eastAsia="Times New Roman" w:hAnsi="Times New Roman"/>
          <w:sz w:val="16"/>
          <w:szCs w:val="16"/>
          <w:u w:val="single" w:color="auto"/>
          <w:color w:val="0000FF"/>
        </w:rPr>
      </w:pPr>
    </w:p>
    <w:p>
      <w:pPr>
        <w:ind w:right="200"/>
        <w:spacing w:after="0" w:line="227" w:lineRule="auto"/>
        <w:rPr>
          <w:rFonts w:ascii="Times New Roman" w:cs="Times New Roman" w:eastAsia="Times New Roman" w:hAnsi="Times New Roman"/>
          <w:sz w:val="17"/>
          <w:szCs w:val="17"/>
          <w:u w:val="single" w:color="auto"/>
          <w:color w:val="0000FF"/>
        </w:rPr>
      </w:pPr>
      <w:hyperlink r:id="rId254">
        <w:r>
          <w:rPr>
            <w:rFonts w:ascii="Times New Roman" w:cs="Times New Roman" w:eastAsia="Times New Roman" w:hAnsi="Times New Roman"/>
            <w:sz w:val="17"/>
            <w:szCs w:val="17"/>
            <w:u w:val="single" w:color="auto"/>
            <w:color w:val="0000FF"/>
          </w:rPr>
          <w:t>as administrative agent and collateral agent, and the</w:t>
        </w:r>
      </w:hyperlink>
      <w:r>
        <w:rPr>
          <w:rFonts w:ascii="Times New Roman" w:cs="Times New Roman" w:eastAsia="Times New Roman" w:hAnsi="Times New Roman"/>
          <w:sz w:val="17"/>
          <w:szCs w:val="17"/>
          <w:u w:val="single" w:color="auto"/>
          <w:color w:val="0000FF"/>
        </w:rPr>
        <w:t xml:space="preserve"> </w:t>
      </w:r>
      <w:hyperlink r:id="rId254">
        <w:r>
          <w:rPr>
            <w:rFonts w:ascii="Times New Roman" w:cs="Times New Roman" w:eastAsia="Times New Roman" w:hAnsi="Times New Roman"/>
            <w:sz w:val="17"/>
            <w:szCs w:val="17"/>
            <w:u w:val="single" w:color="auto"/>
            <w:color w:val="0000FF"/>
          </w:rPr>
          <w:t>lenders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0</wp:posOffset>
            </wp:positionV>
            <wp:extent cx="5263515" cy="3575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5263515" cy="357505"/>
                    </a:xfrm>
                    <a:prstGeom prst="rect">
                      <a:avLst/>
                    </a:prstGeom>
                    <a:noFill/>
                  </pic:spPr>
                </pic:pic>
              </a:graphicData>
            </a:graphic>
          </wp:anchor>
        </w:drawing>
      </w:r>
    </w:p>
    <w:p>
      <w:pPr>
        <w:ind w:right="240"/>
        <w:spacing w:after="0" w:line="234" w:lineRule="auto"/>
        <w:rPr>
          <w:rFonts w:ascii="Times New Roman" w:cs="Times New Roman" w:eastAsia="Times New Roman" w:hAnsi="Times New Roman"/>
          <w:sz w:val="16"/>
          <w:szCs w:val="16"/>
          <w:u w:val="single" w:color="auto"/>
          <w:color w:val="0000FF"/>
        </w:rPr>
      </w:pPr>
      <w:hyperlink r:id="rId256">
        <w:r>
          <w:rPr>
            <w:rFonts w:ascii="Times New Roman" w:cs="Times New Roman" w:eastAsia="Times New Roman" w:hAnsi="Times New Roman"/>
            <w:sz w:val="16"/>
            <w:szCs w:val="16"/>
            <w:u w:val="single" w:color="auto"/>
            <w:color w:val="0000FF"/>
          </w:rPr>
          <w:t>Joinder Agreement, dated as of September 1, 2018,</w:t>
        </w:r>
      </w:hyperlink>
      <w:r>
        <w:rPr>
          <w:rFonts w:ascii="Times New Roman" w:cs="Times New Roman" w:eastAsia="Times New Roman" w:hAnsi="Times New Roman"/>
          <w:sz w:val="16"/>
          <w:szCs w:val="16"/>
          <w:u w:val="single" w:color="auto"/>
          <w:color w:val="0000FF"/>
        </w:rPr>
        <w:t xml:space="preserve"> </w:t>
      </w:r>
      <w:hyperlink r:id="rId256">
        <w:r>
          <w:rPr>
            <w:rFonts w:ascii="Times New Roman" w:cs="Times New Roman" w:eastAsia="Times New Roman" w:hAnsi="Times New Roman"/>
            <w:sz w:val="16"/>
            <w:szCs w:val="16"/>
            <w:u w:val="single" w:color="auto"/>
            <w:color w:val="0000FF"/>
          </w:rPr>
          <w:t>among Interval Acquisition Corp. and JPMorgan</w:t>
        </w:r>
      </w:hyperlink>
    </w:p>
    <w:p>
      <w:pPr>
        <w:spacing w:after="0"/>
        <w:rPr>
          <w:rFonts w:ascii="Times New Roman" w:cs="Times New Roman" w:eastAsia="Times New Roman" w:hAnsi="Times New Roman"/>
          <w:sz w:val="17"/>
          <w:szCs w:val="17"/>
          <w:u w:val="single" w:color="auto"/>
          <w:color w:val="0000FF"/>
        </w:rPr>
      </w:pPr>
      <w:hyperlink r:id="rId256">
        <w:r>
          <w:rPr>
            <w:rFonts w:ascii="Times New Roman" w:cs="Times New Roman" w:eastAsia="Times New Roman" w:hAnsi="Times New Roman"/>
            <w:sz w:val="17"/>
            <w:szCs w:val="17"/>
            <w:u w:val="single" w:color="auto"/>
            <w:color w:val="0000FF"/>
          </w:rPr>
          <w:t>Chase Bank, N.A.</w:t>
        </w:r>
      </w:hyperlink>
    </w:p>
    <w:p>
      <w:pPr>
        <w:spacing w:after="0" w:line="8" w:lineRule="exact"/>
        <w:rPr>
          <w:sz w:val="20"/>
          <w:szCs w:val="20"/>
          <w:color w:val="auto"/>
        </w:rPr>
      </w:pPr>
    </w:p>
    <w:p>
      <w:pPr>
        <w:ind w:right="420"/>
        <w:spacing w:after="0" w:line="235" w:lineRule="auto"/>
        <w:rPr>
          <w:rFonts w:ascii="Times New Roman" w:cs="Times New Roman" w:eastAsia="Times New Roman" w:hAnsi="Times New Roman"/>
          <w:sz w:val="17"/>
          <w:szCs w:val="17"/>
          <w:color w:val="0000FF"/>
        </w:rPr>
      </w:pPr>
      <w:hyperlink r:id="rId257">
        <w:r>
          <w:rPr>
            <w:rFonts w:ascii="Times New Roman" w:cs="Times New Roman" w:eastAsia="Times New Roman" w:hAnsi="Times New Roman"/>
            <w:sz w:val="17"/>
            <w:szCs w:val="17"/>
            <w:u w:val="single" w:color="auto"/>
            <w:color w:val="0000FF"/>
          </w:rPr>
          <w:t>Deferred Compensation Plan for Non-Employee</w:t>
        </w:r>
      </w:hyperlink>
      <w:r>
        <w:rPr>
          <w:rFonts w:ascii="Times New Roman" w:cs="Times New Roman" w:eastAsia="Times New Roman" w:hAnsi="Times New Roman"/>
          <w:sz w:val="17"/>
          <w:szCs w:val="17"/>
          <w:u w:val="single" w:color="auto"/>
          <w:color w:val="0000FF"/>
        </w:rPr>
        <w:t xml:space="preserve"> </w:t>
      </w:r>
      <w:hyperlink r:id="rId257">
        <w:r>
          <w:rPr>
            <w:rFonts w:ascii="Times New Roman" w:cs="Times New Roman" w:eastAsia="Times New Roman" w:hAnsi="Times New Roman"/>
            <w:sz w:val="17"/>
            <w:szCs w:val="17"/>
            <w:u w:val="single" w:color="auto"/>
            <w:color w:val="0000FF"/>
          </w:rPr>
          <w:t>Directors</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8255</wp:posOffset>
            </wp:positionV>
            <wp:extent cx="5263515" cy="284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5263515" cy="284480"/>
                    </a:xfrm>
                    <a:prstGeom prst="rect">
                      <a:avLst/>
                    </a:prstGeom>
                    <a:noFill/>
                  </pic:spPr>
                </pic:pic>
              </a:graphicData>
            </a:graphic>
          </wp:anchor>
        </w:drawing>
      </w:r>
    </w:p>
    <w:p>
      <w:pPr>
        <w:spacing w:after="0" w:line="15" w:lineRule="exact"/>
        <w:rPr>
          <w:sz w:val="20"/>
          <w:szCs w:val="20"/>
          <w:color w:val="auto"/>
        </w:rPr>
      </w:pPr>
    </w:p>
    <w:p>
      <w:pPr>
        <w:ind w:right="40"/>
        <w:spacing w:after="0" w:line="238" w:lineRule="auto"/>
        <w:rPr>
          <w:rFonts w:ascii="Times New Roman" w:cs="Times New Roman" w:eastAsia="Times New Roman" w:hAnsi="Times New Roman"/>
          <w:sz w:val="17"/>
          <w:szCs w:val="17"/>
          <w:color w:val="0000FF"/>
        </w:rPr>
      </w:pPr>
      <w:hyperlink r:id="rId259">
        <w:r>
          <w:rPr>
            <w:rFonts w:ascii="Times New Roman" w:cs="Times New Roman" w:eastAsia="Times New Roman" w:hAnsi="Times New Roman"/>
            <w:sz w:val="17"/>
            <w:szCs w:val="17"/>
            <w:u w:val="single" w:color="auto"/>
            <w:color w:val="0000FF"/>
          </w:rPr>
          <w:t>Interval Leisure Group, Inc. 2013 Stock and Incentive</w:t>
        </w:r>
      </w:hyperlink>
      <w:r>
        <w:rPr>
          <w:rFonts w:ascii="Times New Roman" w:cs="Times New Roman" w:eastAsia="Times New Roman" w:hAnsi="Times New Roman"/>
          <w:sz w:val="17"/>
          <w:szCs w:val="17"/>
          <w:u w:val="single" w:color="auto"/>
          <w:color w:val="0000FF"/>
        </w:rPr>
        <w:t xml:space="preserve"> </w:t>
      </w:r>
      <w:hyperlink r:id="rId259">
        <w:r>
          <w:rPr>
            <w:rFonts w:ascii="Times New Roman" w:cs="Times New Roman" w:eastAsia="Times New Roman" w:hAnsi="Times New Roman"/>
            <w:sz w:val="17"/>
            <w:szCs w:val="17"/>
            <w:u w:val="single" w:color="auto"/>
            <w:color w:val="0000FF"/>
          </w:rPr>
          <w:t>Compensation Plan, as amended</w:t>
        </w:r>
        <w:r>
          <w:rPr>
            <w:rFonts w:ascii="Times New Roman" w:cs="Times New Roman" w:eastAsia="Times New Roman" w:hAnsi="Times New Roman"/>
            <w:sz w:val="17"/>
            <w:szCs w:val="17"/>
            <w:color w:val="000000"/>
          </w:rPr>
          <w:t>*</w:t>
        </w:r>
      </w:hyperlink>
    </w:p>
    <w:p>
      <w:pPr>
        <w:spacing w:after="0" w:line="60" w:lineRule="exact"/>
        <w:rPr>
          <w:sz w:val="20"/>
          <w:szCs w:val="20"/>
          <w:color w:val="auto"/>
        </w:rPr>
      </w:pPr>
    </w:p>
    <w:p>
      <w:pPr>
        <w:ind w:right="200"/>
        <w:spacing w:after="0" w:line="236" w:lineRule="auto"/>
        <w:rPr>
          <w:rFonts w:ascii="Times New Roman" w:cs="Times New Roman" w:eastAsia="Times New Roman" w:hAnsi="Times New Roman"/>
          <w:sz w:val="16"/>
          <w:szCs w:val="16"/>
          <w:u w:val="single" w:color="auto"/>
          <w:color w:val="0000FF"/>
        </w:rPr>
      </w:pPr>
      <w:hyperlink r:id="rId260">
        <w:r>
          <w:rPr>
            <w:rFonts w:ascii="Times New Roman" w:cs="Times New Roman" w:eastAsia="Times New Roman" w:hAnsi="Times New Roman"/>
            <w:sz w:val="16"/>
            <w:szCs w:val="16"/>
            <w:u w:val="single" w:color="auto"/>
            <w:color w:val="0000FF"/>
          </w:rPr>
          <w:t>Form of Terms and Conditions for Annual RSU</w:t>
        </w:r>
      </w:hyperlink>
      <w:r>
        <w:rPr>
          <w:rFonts w:ascii="Times New Roman" w:cs="Times New Roman" w:eastAsia="Times New Roman" w:hAnsi="Times New Roman"/>
          <w:sz w:val="16"/>
          <w:szCs w:val="16"/>
          <w:u w:val="single" w:color="auto"/>
          <w:color w:val="0000FF"/>
        </w:rPr>
        <w:t xml:space="preserve"> </w:t>
      </w:r>
      <w:hyperlink r:id="rId260">
        <w:r>
          <w:rPr>
            <w:rFonts w:ascii="Times New Roman" w:cs="Times New Roman" w:eastAsia="Times New Roman" w:hAnsi="Times New Roman"/>
            <w:sz w:val="16"/>
            <w:szCs w:val="16"/>
            <w:u w:val="single" w:color="auto"/>
            <w:color w:val="0000FF"/>
          </w:rPr>
          <w:t>Awards under the Interval Leisure Group, Inc. 2013</w:t>
        </w:r>
      </w:hyperlink>
    </w:p>
    <w:p>
      <w:pPr>
        <w:spacing w:after="0" w:line="2" w:lineRule="exact"/>
        <w:rPr>
          <w:sz w:val="20"/>
          <w:szCs w:val="20"/>
          <w:color w:val="auto"/>
        </w:rPr>
      </w:pPr>
    </w:p>
    <w:p>
      <w:pPr>
        <w:spacing w:after="0"/>
        <w:rPr>
          <w:rFonts w:ascii="Times New Roman" w:cs="Times New Roman" w:eastAsia="Times New Roman" w:hAnsi="Times New Roman"/>
          <w:sz w:val="17"/>
          <w:szCs w:val="17"/>
          <w:color w:val="0000FF"/>
        </w:rPr>
      </w:pPr>
      <w:hyperlink r:id="rId260">
        <w:r>
          <w:rPr>
            <w:rFonts w:ascii="Times New Roman" w:cs="Times New Roman" w:eastAsia="Times New Roman" w:hAnsi="Times New Roman"/>
            <w:sz w:val="17"/>
            <w:szCs w:val="17"/>
            <w:u w:val="single" w:color="auto"/>
            <w:color w:val="0000FF"/>
          </w:rPr>
          <w:t>Stock and Incentive Compensation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Filed</w:t>
            </w:r>
          </w:p>
        </w:tc>
        <w:tc>
          <w:tcPr>
            <w:tcW w:w="26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tc>
        <w:tc>
          <w:tcPr>
            <w:tcW w:w="0" w:type="dxa"/>
            <w:vAlign w:val="bottom"/>
          </w:tcPr>
          <w:p>
            <w:pPr>
              <w:spacing w:after="0"/>
              <w:rPr>
                <w:sz w:val="1"/>
                <w:szCs w:val="1"/>
                <w:color w:val="auto"/>
              </w:rPr>
            </w:pPr>
          </w:p>
        </w:tc>
      </w:tr>
      <w:tr>
        <w:trPr>
          <w:trHeight w:val="204"/>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26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7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5"/>
                <w:szCs w:val="15"/>
                <w:b w:val="1"/>
                <w:bCs w:val="1"/>
                <w:color w:val="auto"/>
              </w:rPr>
              <w:t>Filed</w:t>
            </w:r>
          </w:p>
        </w:tc>
        <w:tc>
          <w:tcPr>
            <w:tcW w:w="120" w:type="dxa"/>
            <w:vAlign w:val="bottom"/>
          </w:tcPr>
          <w:p>
            <w:pPr>
              <w:spacing w:after="0"/>
              <w:rPr>
                <w:sz w:val="12"/>
                <w:szCs w:val="12"/>
                <w:color w:val="auto"/>
              </w:rPr>
            </w:pPr>
          </w:p>
        </w:tc>
        <w:tc>
          <w:tcPr>
            <w:tcW w:w="6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Borders>
              <w:top w:val="single" w:sz="8" w:color="auto"/>
            </w:tcBorders>
            <w:vMerge w:val="restart"/>
          </w:tcPr>
          <w:p>
            <w:pPr>
              <w:spacing w:after="0"/>
              <w:rPr>
                <w:sz w:val="12"/>
                <w:szCs w:val="12"/>
                <w:color w:val="auto"/>
              </w:rPr>
            </w:pPr>
          </w:p>
        </w:tc>
        <w:tc>
          <w:tcPr>
            <w:tcW w:w="7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Borders>
              <w:top w:val="single" w:sz="8" w:color="auto"/>
            </w:tcBorders>
            <w:vMerge w:val="restart"/>
          </w:tcPr>
          <w:p>
            <w:pPr>
              <w:spacing w:after="0"/>
              <w:rPr>
                <w:sz w:val="12"/>
                <w:szCs w:val="12"/>
                <w:color w:val="auto"/>
              </w:rPr>
            </w:pPr>
          </w:p>
        </w:tc>
        <w:tc>
          <w:tcPr>
            <w:tcW w:w="9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Date Filed</w:t>
            </w:r>
          </w:p>
        </w:tc>
        <w:tc>
          <w:tcPr>
            <w:tcW w:w="0" w:type="dxa"/>
            <w:vAlign w:val="bottom"/>
          </w:tcPr>
          <w:p>
            <w:pPr>
              <w:spacing w:after="0"/>
              <w:rPr>
                <w:sz w:val="1"/>
                <w:szCs w:val="1"/>
                <w:color w:val="auto"/>
              </w:rPr>
            </w:pPr>
          </w:p>
        </w:tc>
      </w:tr>
      <w:tr>
        <w:trPr>
          <w:trHeight w:val="204"/>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120" w:type="dxa"/>
            <w:vAlign w:val="bottom"/>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10.23</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2/27/2023</w:t>
            </w:r>
          </w:p>
        </w:tc>
        <w:tc>
          <w:tcPr>
            <w:tcW w:w="0" w:type="dxa"/>
            <w:vAlign w:val="bottom"/>
          </w:tcPr>
          <w:p>
            <w:pPr>
              <w:spacing w:after="0"/>
              <w:rPr>
                <w:sz w:val="1"/>
                <w:szCs w:val="1"/>
                <w:color w:val="auto"/>
              </w:rPr>
            </w:pPr>
          </w:p>
        </w:tc>
      </w:tr>
      <w:tr>
        <w:trPr>
          <w:trHeight w:val="576"/>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10.24</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2/27/2023</w:t>
            </w:r>
          </w:p>
        </w:tc>
        <w:tc>
          <w:tcPr>
            <w:tcW w:w="0" w:type="dxa"/>
            <w:vAlign w:val="bottom"/>
          </w:tcPr>
          <w:p>
            <w:pPr>
              <w:spacing w:after="0"/>
              <w:rPr>
                <w:sz w:val="1"/>
                <w:szCs w:val="1"/>
                <w:color w:val="auto"/>
              </w:rPr>
            </w:pPr>
          </w:p>
        </w:tc>
      </w:tr>
      <w:tr>
        <w:trPr>
          <w:trHeight w:val="512"/>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10.18</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2/28/2025</w:t>
            </w:r>
          </w:p>
        </w:tc>
        <w:tc>
          <w:tcPr>
            <w:tcW w:w="0" w:type="dxa"/>
            <w:vAlign w:val="bottom"/>
          </w:tcPr>
          <w:p>
            <w:pPr>
              <w:spacing w:after="0"/>
              <w:rPr>
                <w:sz w:val="1"/>
                <w:szCs w:val="1"/>
                <w:color w:val="auto"/>
              </w:rPr>
            </w:pPr>
          </w:p>
        </w:tc>
      </w:tr>
      <w:tr>
        <w:trPr>
          <w:trHeight w:val="448"/>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10.26</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2/27/2023</w:t>
            </w:r>
          </w:p>
        </w:tc>
        <w:tc>
          <w:tcPr>
            <w:tcW w:w="0" w:type="dxa"/>
            <w:vAlign w:val="bottom"/>
          </w:tcPr>
          <w:p>
            <w:pPr>
              <w:spacing w:after="0"/>
              <w:rPr>
                <w:sz w:val="1"/>
                <w:szCs w:val="1"/>
                <w:color w:val="auto"/>
              </w:rPr>
            </w:pPr>
          </w:p>
        </w:tc>
      </w:tr>
      <w:tr>
        <w:trPr>
          <w:trHeight w:val="448"/>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8/9/2022</w:t>
            </w:r>
          </w:p>
        </w:tc>
        <w:tc>
          <w:tcPr>
            <w:tcW w:w="0" w:type="dxa"/>
            <w:vAlign w:val="bottom"/>
          </w:tcPr>
          <w:p>
            <w:pPr>
              <w:spacing w:after="0"/>
              <w:rPr>
                <w:sz w:val="1"/>
                <w:szCs w:val="1"/>
                <w:color w:val="auto"/>
              </w:rPr>
            </w:pPr>
          </w:p>
        </w:tc>
      </w:tr>
      <w:tr>
        <w:trPr>
          <w:trHeight w:val="448"/>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2/26/2015</w:t>
            </w:r>
          </w:p>
        </w:tc>
        <w:tc>
          <w:tcPr>
            <w:tcW w:w="0" w:type="dxa"/>
            <w:vAlign w:val="bottom"/>
          </w:tcPr>
          <w:p>
            <w:pPr>
              <w:spacing w:after="0"/>
              <w:rPr>
                <w:sz w:val="1"/>
                <w:szCs w:val="1"/>
                <w:color w:val="auto"/>
              </w:rPr>
            </w:pPr>
          </w:p>
        </w:tc>
      </w:tr>
      <w:tr>
        <w:trPr>
          <w:trHeight w:val="448"/>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6/11/2015</w:t>
            </w:r>
          </w:p>
        </w:tc>
        <w:tc>
          <w:tcPr>
            <w:tcW w:w="0" w:type="dxa"/>
            <w:vAlign w:val="bottom"/>
          </w:tcPr>
          <w:p>
            <w:pPr>
              <w:spacing w:after="0"/>
              <w:rPr>
                <w:sz w:val="1"/>
                <w:szCs w:val="1"/>
                <w:color w:val="auto"/>
              </w:rPr>
            </w:pPr>
          </w:p>
        </w:tc>
      </w:tr>
      <w:tr>
        <w:trPr>
          <w:trHeight w:val="691"/>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9/5/2018</w:t>
            </w:r>
          </w:p>
        </w:tc>
        <w:tc>
          <w:tcPr>
            <w:tcW w:w="0" w:type="dxa"/>
            <w:vAlign w:val="bottom"/>
          </w:tcPr>
          <w:p>
            <w:pPr>
              <w:spacing w:after="0"/>
              <w:rPr>
                <w:sz w:val="1"/>
                <w:szCs w:val="1"/>
                <w:color w:val="auto"/>
              </w:rPr>
            </w:pPr>
          </w:p>
        </w:tc>
      </w:tr>
      <w:tr>
        <w:trPr>
          <w:trHeight w:val="985"/>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10.38</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3/2/2020</w:t>
            </w:r>
          </w:p>
        </w:tc>
        <w:tc>
          <w:tcPr>
            <w:tcW w:w="0" w:type="dxa"/>
            <w:vAlign w:val="bottom"/>
          </w:tcPr>
          <w:p>
            <w:pPr>
              <w:spacing w:after="0"/>
              <w:rPr>
                <w:sz w:val="1"/>
                <w:szCs w:val="1"/>
                <w:color w:val="auto"/>
              </w:rPr>
            </w:pPr>
          </w:p>
        </w:tc>
      </w:tr>
      <w:tr>
        <w:trPr>
          <w:trHeight w:val="998"/>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8/4/2023</w:t>
            </w:r>
          </w:p>
        </w:tc>
        <w:tc>
          <w:tcPr>
            <w:tcW w:w="0" w:type="dxa"/>
            <w:vAlign w:val="bottom"/>
          </w:tcPr>
          <w:p>
            <w:pPr>
              <w:spacing w:after="0"/>
              <w:rPr>
                <w:sz w:val="1"/>
                <w:szCs w:val="1"/>
                <w:color w:val="auto"/>
              </w:rPr>
            </w:pPr>
          </w:p>
        </w:tc>
      </w:tr>
      <w:tr>
        <w:trPr>
          <w:trHeight w:val="985"/>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4/6/2022</w:t>
            </w:r>
          </w:p>
        </w:tc>
        <w:tc>
          <w:tcPr>
            <w:tcW w:w="0" w:type="dxa"/>
            <w:vAlign w:val="bottom"/>
          </w:tcPr>
          <w:p>
            <w:pPr>
              <w:spacing w:after="0"/>
              <w:rPr>
                <w:sz w:val="1"/>
                <w:szCs w:val="1"/>
                <w:color w:val="auto"/>
              </w:rPr>
            </w:pPr>
          </w:p>
        </w:tc>
      </w:tr>
      <w:tr>
        <w:trPr>
          <w:trHeight w:val="1164"/>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4/2/2024</w:t>
            </w:r>
          </w:p>
        </w:tc>
        <w:tc>
          <w:tcPr>
            <w:tcW w:w="0" w:type="dxa"/>
            <w:vAlign w:val="bottom"/>
          </w:tcPr>
          <w:p>
            <w:pPr>
              <w:spacing w:after="0"/>
              <w:rPr>
                <w:sz w:val="1"/>
                <w:szCs w:val="1"/>
                <w:color w:val="auto"/>
              </w:rPr>
            </w:pPr>
          </w:p>
        </w:tc>
      </w:tr>
      <w:tr>
        <w:trPr>
          <w:trHeight w:val="1241"/>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3/27/2025</w:t>
            </w:r>
          </w:p>
        </w:tc>
        <w:tc>
          <w:tcPr>
            <w:tcW w:w="0" w:type="dxa"/>
            <w:vAlign w:val="bottom"/>
          </w:tcPr>
          <w:p>
            <w:pPr>
              <w:spacing w:after="0"/>
              <w:rPr>
                <w:sz w:val="1"/>
                <w:szCs w:val="1"/>
                <w:color w:val="auto"/>
              </w:rPr>
            </w:pPr>
          </w:p>
        </w:tc>
      </w:tr>
      <w:tr>
        <w:trPr>
          <w:trHeight w:val="895"/>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9/5/2018</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w:t>
            </w:r>
            <w:r>
              <w:rPr>
                <w:rFonts w:ascii="Times New Roman" w:cs="Times New Roman" w:eastAsia="Times New Roman" w:hAnsi="Times New Roman"/>
                <w:sz w:val="9"/>
                <w:szCs w:val="9"/>
                <w:color w:val="auto"/>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10.12</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8/1/2018</w:t>
            </w:r>
          </w:p>
        </w:tc>
        <w:tc>
          <w:tcPr>
            <w:tcW w:w="0" w:type="dxa"/>
            <w:vAlign w:val="bottom"/>
          </w:tcPr>
          <w:p>
            <w:pPr>
              <w:spacing w:after="0"/>
              <w:rPr>
                <w:sz w:val="1"/>
                <w:szCs w:val="1"/>
                <w:color w:val="auto"/>
              </w:rPr>
            </w:pPr>
          </w:p>
        </w:tc>
      </w:tr>
      <w:tr>
        <w:trPr>
          <w:trHeight w:val="422"/>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S-8</w:t>
            </w:r>
            <w:r>
              <w:rPr>
                <w:rFonts w:ascii="Times New Roman" w:cs="Times New Roman" w:eastAsia="Times New Roman" w:hAnsi="Times New Roman"/>
                <w:sz w:val="9"/>
                <w:szCs w:val="9"/>
                <w:color w:val="auto"/>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8/5/2016</w:t>
            </w:r>
          </w:p>
        </w:tc>
        <w:tc>
          <w:tcPr>
            <w:tcW w:w="0" w:type="dxa"/>
            <w:vAlign w:val="bottom"/>
          </w:tcPr>
          <w:p>
            <w:pPr>
              <w:spacing w:after="0"/>
              <w:rPr>
                <w:sz w:val="1"/>
                <w:szCs w:val="1"/>
                <w:color w:val="auto"/>
              </w:rPr>
            </w:pPr>
          </w:p>
        </w:tc>
      </w:tr>
      <w:tr>
        <w:trPr>
          <w:trHeight w:val="585"/>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10-Q</w:t>
            </w:r>
            <w:r>
              <w:rPr>
                <w:rFonts w:ascii="Times New Roman" w:cs="Times New Roman" w:eastAsia="Times New Roman" w:hAnsi="Times New Roman"/>
                <w:sz w:val="19"/>
                <w:szCs w:val="19"/>
                <w:color w:val="auto"/>
                <w:w w:val="96"/>
                <w:vertAlign w:val="superscript"/>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5/8/2014</w:t>
            </w:r>
          </w:p>
        </w:tc>
        <w:tc>
          <w:tcPr>
            <w:tcW w:w="0" w:type="dxa"/>
            <w:vAlign w:val="bottom"/>
          </w:tcPr>
          <w:p>
            <w:pPr>
              <w:spacing w:after="0"/>
              <w:rPr>
                <w:sz w:val="1"/>
                <w:szCs w:val="1"/>
                <w:color w:val="auto"/>
              </w:rPr>
            </w:pPr>
          </w:p>
        </w:tc>
      </w:tr>
    </w:tbl>
    <w:p>
      <w:pPr>
        <w:spacing w:after="0" w:line="310" w:lineRule="exact"/>
        <w:rPr>
          <w:sz w:val="20"/>
          <w:szCs w:val="20"/>
          <w:color w:val="auto"/>
        </w:rPr>
      </w:pPr>
    </w:p>
    <w:p>
      <w:pPr>
        <w:sectPr>
          <w:pgSz w:w="11900" w:h="16838" w:orient="portrait"/>
          <w:cols w:equalWidth="0" w:num="3">
            <w:col w:w="540" w:space="260"/>
            <w:col w:w="3720" w:space="160"/>
            <w:col w:w="5339"/>
          </w:cols>
          <w:pgMar w:left="440" w:top="1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68580</wp:posOffset>
            </wp:positionV>
            <wp:extent cx="716470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019"/>
          </w:cols>
          <w:pgMar w:left="440" w:top="1118" w:right="1440"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172"/>
        </w:trPr>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20" w:type="dxa"/>
            <w:vAlign w:val="bottom"/>
          </w:tcPr>
          <w:p>
            <w:pPr>
              <w:spacing w:after="0"/>
              <w:rPr>
                <w:sz w:val="15"/>
                <w:szCs w:val="15"/>
                <w:color w:val="auto"/>
              </w:rPr>
            </w:pPr>
          </w:p>
        </w:tc>
        <w:tc>
          <w:tcPr>
            <w:tcW w:w="3880" w:type="dxa"/>
            <w:vAlign w:val="bottom"/>
            <w:gridSpan w:val="4"/>
            <w:vMerge w:val="restart"/>
          </w:tcPr>
          <w:p>
            <w:pPr>
              <w:ind w:left="148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Filed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4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3880" w:type="dxa"/>
            <w:vAlign w:val="bottom"/>
            <w:gridSpan w:val="4"/>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120" w:type="dxa"/>
            <w:vAlign w:val="bottom"/>
            <w:vMerge w:val="restart"/>
          </w:tcPr>
          <w:p>
            <w:pPr>
              <w:spacing w:after="0"/>
              <w:rPr>
                <w:sz w:val="10"/>
                <w:szCs w:val="10"/>
                <w:color w:val="auto"/>
              </w:rPr>
            </w:pPr>
          </w:p>
        </w:tc>
        <w:tc>
          <w:tcPr>
            <w:tcW w:w="26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tc>
        <w:tc>
          <w:tcPr>
            <w:tcW w:w="0" w:type="dxa"/>
            <w:vAlign w:val="bottom"/>
          </w:tcPr>
          <w:p>
            <w:pPr>
              <w:spacing w:after="0"/>
              <w:rPr>
                <w:sz w:val="1"/>
                <w:szCs w:val="1"/>
                <w:color w:val="auto"/>
              </w:rPr>
            </w:pPr>
          </w:p>
        </w:tc>
      </w:tr>
      <w:tr>
        <w:trPr>
          <w:trHeight w:val="81"/>
        </w:trPr>
        <w:tc>
          <w:tcPr>
            <w:tcW w:w="76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600" w:type="dxa"/>
            <w:vAlign w:val="bottom"/>
            <w:tcBorders>
              <w:bottom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b w:val="1"/>
                <w:bCs w:val="1"/>
                <w:color w:val="auto"/>
              </w:rPr>
              <w:t>Exhibit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gridSpan w:val="4"/>
            <w:vMerge w:val="restart"/>
          </w:tcPr>
          <w:p>
            <w:pPr>
              <w:ind w:left="148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78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b w:val="1"/>
                <w:bCs w:val="1"/>
                <w:color w:val="auto"/>
              </w:rPr>
              <w:t>Filed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4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3880" w:type="dxa"/>
            <w:vAlign w:val="bottom"/>
            <w:gridSpan w:val="4"/>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120" w:type="dxa"/>
            <w:vAlign w:val="bottom"/>
            <w:vMerge w:val="restart"/>
          </w:tcPr>
          <w:p>
            <w:pPr>
              <w:spacing w:after="0"/>
              <w:rPr>
                <w:sz w:val="10"/>
                <w:szCs w:val="10"/>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vMerge w:val="restart"/>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40" w:type="dxa"/>
            <w:vAlign w:val="bottom"/>
            <w:vMerge w:val="restart"/>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Date Filed</w:t>
            </w:r>
          </w:p>
        </w:tc>
        <w:tc>
          <w:tcPr>
            <w:tcW w:w="0" w:type="dxa"/>
            <w:vAlign w:val="bottom"/>
          </w:tcPr>
          <w:p>
            <w:pPr>
              <w:spacing w:after="0"/>
              <w:rPr>
                <w:sz w:val="1"/>
                <w:szCs w:val="1"/>
                <w:color w:val="auto"/>
              </w:rPr>
            </w:pPr>
          </w:p>
        </w:tc>
      </w:tr>
      <w:tr>
        <w:trPr>
          <w:trHeight w:val="81"/>
        </w:trPr>
        <w:tc>
          <w:tcPr>
            <w:tcW w:w="76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gridSpan w:val="4"/>
          </w:tcPr>
          <w:p>
            <w:pPr>
              <w:spacing w:after="0"/>
              <w:rPr>
                <w:rFonts w:ascii="Times New Roman" w:cs="Times New Roman" w:eastAsia="Times New Roman" w:hAnsi="Times New Roman"/>
                <w:sz w:val="17"/>
                <w:szCs w:val="17"/>
                <w:color w:val="0000FF"/>
              </w:rPr>
            </w:pPr>
            <w:hyperlink r:id="rId262">
              <w:r>
                <w:rPr>
                  <w:rFonts w:ascii="Times New Roman" w:cs="Times New Roman" w:eastAsia="Times New Roman" w:hAnsi="Times New Roman"/>
                  <w:sz w:val="17"/>
                  <w:szCs w:val="17"/>
                  <w:color w:val="0000FF"/>
                </w:rPr>
                <w:t>Employee Matters Agreement, dated as of October 27,</w:t>
              </w:r>
            </w:hyperlink>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10.33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Borders>
              <w:top w:val="single" w:sz="8" w:color="0000FF"/>
              <w:bottom w:val="single" w:sz="8" w:color="0000FF"/>
            </w:tcBorders>
          </w:tcPr>
          <w:p>
            <w:pPr>
              <w:spacing w:after="0" w:line="133" w:lineRule="exact"/>
              <w:rPr>
                <w:rFonts w:ascii="Times New Roman" w:cs="Times New Roman" w:eastAsia="Times New Roman" w:hAnsi="Times New Roman"/>
                <w:sz w:val="15"/>
                <w:szCs w:val="15"/>
                <w:color w:val="0000FF"/>
              </w:rPr>
            </w:pPr>
            <w:hyperlink r:id="rId262">
              <w:r>
                <w:rPr>
                  <w:rFonts w:ascii="Times New Roman" w:cs="Times New Roman" w:eastAsia="Times New Roman" w:hAnsi="Times New Roman"/>
                  <w:sz w:val="15"/>
                  <w:szCs w:val="15"/>
                  <w:color w:val="0000FF"/>
                </w:rPr>
                <w:t>2015 among Interval Leisure Group, Inc., Starwood</w:t>
              </w:r>
            </w:hyperlink>
          </w:p>
        </w:tc>
        <w:tc>
          <w:tcPr>
            <w:tcW w:w="180" w:type="dxa"/>
            <w:vAlign w:val="bottom"/>
            <w:tcBorders>
              <w:top w:val="single" w:sz="8" w:color="0000FF"/>
              <w:bottom w:val="single" w:sz="8" w:color="0000FF"/>
            </w:tcBorders>
          </w:tcPr>
          <w:p>
            <w:pPr>
              <w:spacing w:after="0"/>
              <w:rPr>
                <w:sz w:val="12"/>
                <w:szCs w:val="12"/>
                <w:color w:val="auto"/>
              </w:rPr>
            </w:pPr>
          </w:p>
        </w:tc>
        <w:tc>
          <w:tcPr>
            <w:tcW w:w="16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ind w:left="120"/>
              <w:spacing w:after="0" w:line="320" w:lineRule="exact"/>
              <w:rPr>
                <w:sz w:val="20"/>
                <w:szCs w:val="20"/>
                <w:color w:val="auto"/>
              </w:rPr>
            </w:pPr>
            <w:r>
              <w:rPr>
                <w:rFonts w:ascii="Times New Roman" w:cs="Times New Roman" w:eastAsia="Times New Roman" w:hAnsi="Times New Roman"/>
                <w:sz w:val="34"/>
                <w:szCs w:val="34"/>
                <w:color w:val="auto"/>
                <w:vertAlign w:val="subscript"/>
              </w:rPr>
              <w:t>8-K</w:t>
            </w:r>
            <w:r>
              <w:rPr>
                <w:rFonts w:ascii="Times New Roman" w:cs="Times New Roman" w:eastAsia="Times New Roman" w:hAnsi="Times New Roman"/>
                <w:sz w:val="10"/>
                <w:szCs w:val="10"/>
                <w:color w:val="auto"/>
              </w:rPr>
              <w:t>(2)</w:t>
            </w: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Pr>
          <w:p>
            <w:pPr>
              <w:spacing w:after="0"/>
              <w:rPr>
                <w:sz w:val="12"/>
                <w:szCs w:val="12"/>
                <w:color w:val="auto"/>
              </w:rPr>
            </w:pP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5/12/2016</w:t>
            </w:r>
          </w:p>
        </w:tc>
        <w:tc>
          <w:tcPr>
            <w:tcW w:w="0" w:type="dxa"/>
            <w:vAlign w:val="bottom"/>
          </w:tcPr>
          <w:p>
            <w:pPr>
              <w:spacing w:after="0"/>
              <w:rPr>
                <w:sz w:val="1"/>
                <w:szCs w:val="1"/>
                <w:color w:val="auto"/>
              </w:rPr>
            </w:pPr>
          </w:p>
        </w:tc>
      </w:tr>
      <w:tr>
        <w:trPr>
          <w:trHeight w:val="161"/>
        </w:trPr>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gridSpan w:val="4"/>
          </w:tcPr>
          <w:p>
            <w:pPr>
              <w:spacing w:after="0" w:line="161" w:lineRule="exact"/>
              <w:rPr>
                <w:rFonts w:ascii="Times New Roman" w:cs="Times New Roman" w:eastAsia="Times New Roman" w:hAnsi="Times New Roman"/>
                <w:sz w:val="17"/>
                <w:szCs w:val="17"/>
                <w:u w:val="single" w:color="auto"/>
                <w:color w:val="0000FF"/>
              </w:rPr>
            </w:pPr>
            <w:hyperlink r:id="rId262">
              <w:r>
                <w:rPr>
                  <w:rFonts w:ascii="Times New Roman" w:cs="Times New Roman" w:eastAsia="Times New Roman" w:hAnsi="Times New Roman"/>
                  <w:sz w:val="17"/>
                  <w:szCs w:val="17"/>
                  <w:u w:val="single" w:color="auto"/>
                  <w:color w:val="0000FF"/>
                </w:rPr>
                <w:t>Hotels &amp; Resorts Worldwide, Inc. and Vistana</w:t>
              </w:r>
            </w:hyperlink>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5263515" cy="5118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3">
                      <a:extLst>
                        <a:ext uri="{28A0092B-C50C-407E-A947-70E740481C1C}"/>
                      </a:extLst>
                    </a:blip>
                    <a:srcRect/>
                    <a:stretch>
                      <a:fillRect/>
                    </a:stretch>
                  </pic:blipFill>
                  <pic:spPr bwMode="auto">
                    <a:xfrm>
                      <a:off x="0" y="0"/>
                      <a:ext cx="5263515" cy="511810"/>
                    </a:xfrm>
                    <a:prstGeom prst="rect">
                      <a:avLst/>
                    </a:prstGeom>
                    <a:noFill/>
                  </pic:spPr>
                </pic:pic>
              </a:graphicData>
            </a:graphic>
          </wp:anchor>
        </w:drawing>
      </w:r>
    </w:p>
    <w:p>
      <w:pPr>
        <w:ind w:left="920"/>
        <w:spacing w:after="0"/>
        <w:rPr>
          <w:rFonts w:ascii="Times New Roman" w:cs="Times New Roman" w:eastAsia="Times New Roman" w:hAnsi="Times New Roman"/>
          <w:sz w:val="17"/>
          <w:szCs w:val="17"/>
          <w:u w:val="single" w:color="auto"/>
          <w:color w:val="0000FF"/>
        </w:rPr>
      </w:pPr>
      <w:hyperlink r:id="rId262">
        <w:r>
          <w:rPr>
            <w:rFonts w:ascii="Times New Roman" w:cs="Times New Roman" w:eastAsia="Times New Roman" w:hAnsi="Times New Roman"/>
            <w:sz w:val="17"/>
            <w:szCs w:val="17"/>
            <w:u w:val="single" w:color="auto"/>
            <w:color w:val="0000FF"/>
          </w:rPr>
          <w:t>Signature Experiences, Inc., as amended</w:t>
        </w:r>
      </w:hyperlink>
    </w:p>
    <w:p>
      <w:pPr>
        <w:sectPr>
          <w:pgSz w:w="11900" w:h="16838" w:orient="portrait"/>
          <w:cols w:equalWidth="0" w:num="1">
            <w:col w:w="10139"/>
          </w:cols>
          <w:pgMar w:left="320" w:top="1118" w:right="1440" w:bottom="1440" w:gutter="0" w:footer="0" w:header="0"/>
        </w:sectPr>
      </w:pP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10.34</w:t>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10.35</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10.36</w:t>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10.37</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5" w:right="500"/>
        <w:spacing w:after="0" w:line="223" w:lineRule="auto"/>
        <w:rPr>
          <w:rFonts w:ascii="Times New Roman" w:cs="Times New Roman" w:eastAsia="Times New Roman" w:hAnsi="Times New Roman"/>
          <w:sz w:val="17"/>
          <w:szCs w:val="17"/>
          <w:u w:val="single" w:color="auto"/>
          <w:color w:val="0000FF"/>
        </w:rPr>
      </w:pPr>
      <w:hyperlink r:id="rId264">
        <w:r>
          <w:rPr>
            <w:rFonts w:ascii="Times New Roman" w:cs="Times New Roman" w:eastAsia="Times New Roman" w:hAnsi="Times New Roman"/>
            <w:sz w:val="17"/>
            <w:szCs w:val="17"/>
            <w:u w:val="single" w:color="auto"/>
            <w:color w:val="0000FF"/>
          </w:rPr>
          <w:t>Tax Matters Agreement, dated as of May 11, 2016,</w:t>
        </w:r>
      </w:hyperlink>
      <w:r>
        <w:rPr>
          <w:rFonts w:ascii="Times New Roman" w:cs="Times New Roman" w:eastAsia="Times New Roman" w:hAnsi="Times New Roman"/>
          <w:sz w:val="17"/>
          <w:szCs w:val="17"/>
          <w:u w:val="single" w:color="auto"/>
          <w:color w:val="0000FF"/>
        </w:rPr>
        <w:t xml:space="preserve"> </w:t>
      </w:r>
      <w:hyperlink r:id="rId264">
        <w:r>
          <w:rPr>
            <w:rFonts w:ascii="Times New Roman" w:cs="Times New Roman" w:eastAsia="Times New Roman" w:hAnsi="Times New Roman"/>
            <w:sz w:val="17"/>
            <w:szCs w:val="17"/>
            <w:u w:val="single" w:color="auto"/>
            <w:color w:val="0000FF"/>
          </w:rPr>
          <w:t>among Interval Leisure Group, Inc., Starwood Hotels</w:t>
        </w:r>
      </w:hyperlink>
    </w:p>
    <w:p>
      <w:pPr>
        <w:ind w:left="5" w:right="780" w:hanging="5"/>
        <w:spacing w:after="0" w:line="227" w:lineRule="auto"/>
        <w:tabs>
          <w:tab w:leader="none" w:pos="181" w:val="left"/>
        </w:tabs>
        <w:numPr>
          <w:ilvl w:val="0"/>
          <w:numId w:val="59"/>
        </w:numPr>
        <w:rPr>
          <w:rFonts w:ascii="Times New Roman" w:cs="Times New Roman" w:eastAsia="Times New Roman" w:hAnsi="Times New Roman"/>
          <w:sz w:val="17"/>
          <w:szCs w:val="17"/>
          <w:u w:val="single" w:color="auto"/>
          <w:color w:val="0000FF"/>
        </w:rPr>
      </w:pPr>
      <w:hyperlink r:id="rId264">
        <w:r>
          <w:rPr>
            <w:rFonts w:ascii="Times New Roman" w:cs="Times New Roman" w:eastAsia="Times New Roman" w:hAnsi="Times New Roman"/>
            <w:sz w:val="17"/>
            <w:szCs w:val="17"/>
            <w:u w:val="single" w:color="auto"/>
            <w:color w:val="0000FF"/>
          </w:rPr>
          <w:t>Resorts Worldwide, Inc. and Vistana Signature</w:t>
        </w:r>
      </w:hyperlink>
      <w:r>
        <w:rPr>
          <w:rFonts w:ascii="Times New Roman" w:cs="Times New Roman" w:eastAsia="Times New Roman" w:hAnsi="Times New Roman"/>
          <w:sz w:val="17"/>
          <w:szCs w:val="17"/>
          <w:u w:val="single" w:color="auto"/>
          <w:color w:val="0000FF"/>
        </w:rPr>
        <w:t xml:space="preserve"> </w:t>
      </w:r>
      <w:hyperlink r:id="rId264">
        <w:r>
          <w:rPr>
            <w:rFonts w:ascii="Times New Roman" w:cs="Times New Roman" w:eastAsia="Times New Roman" w:hAnsi="Times New Roman"/>
            <w:sz w:val="17"/>
            <w:szCs w:val="17"/>
            <w:u w:val="single" w:color="auto"/>
            <w:color w:val="0000FF"/>
          </w:rPr>
          <w:t>Experiences, Inc.</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-578485</wp:posOffset>
            </wp:positionH>
            <wp:positionV relativeFrom="paragraph">
              <wp:posOffset>0</wp:posOffset>
            </wp:positionV>
            <wp:extent cx="5263515" cy="389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5">
                      <a:extLst>
                        <a:ext uri="{28A0092B-C50C-407E-A947-70E740481C1C}"/>
                      </a:extLst>
                    </a:blip>
                    <a:srcRect/>
                    <a:stretch>
                      <a:fillRect/>
                    </a:stretch>
                  </pic:blipFill>
                  <pic:spPr bwMode="auto">
                    <a:xfrm>
                      <a:off x="0" y="0"/>
                      <a:ext cx="5263515" cy="389890"/>
                    </a:xfrm>
                    <a:prstGeom prst="rect">
                      <a:avLst/>
                    </a:prstGeom>
                    <a:noFill/>
                  </pic:spPr>
                </pic:pic>
              </a:graphicData>
            </a:graphic>
          </wp:anchor>
        </w:drawing>
      </w:r>
    </w:p>
    <w:p>
      <w:pPr>
        <w:ind w:left="5"/>
        <w:spacing w:after="0"/>
        <w:rPr>
          <w:rFonts w:ascii="Times New Roman" w:cs="Times New Roman" w:eastAsia="Times New Roman" w:hAnsi="Times New Roman"/>
          <w:sz w:val="17"/>
          <w:szCs w:val="17"/>
          <w:u w:val="single" w:color="auto"/>
          <w:color w:val="0000FF"/>
        </w:rPr>
      </w:pPr>
      <w:hyperlink r:id="rId266">
        <w:r>
          <w:rPr>
            <w:rFonts w:ascii="Times New Roman" w:cs="Times New Roman" w:eastAsia="Times New Roman" w:hAnsi="Times New Roman"/>
            <w:sz w:val="17"/>
            <w:szCs w:val="17"/>
            <w:u w:val="single" w:color="auto"/>
            <w:color w:val="0000FF"/>
          </w:rPr>
          <w:t>Amendment No. 2 to the Interval Leisure Group, Inc.</w:t>
        </w:r>
      </w:hyperlink>
    </w:p>
    <w:p>
      <w:pPr>
        <w:ind w:left="5"/>
        <w:spacing w:after="0" w:line="219" w:lineRule="auto"/>
        <w:rPr>
          <w:rFonts w:ascii="Times New Roman" w:cs="Times New Roman" w:eastAsia="Times New Roman" w:hAnsi="Times New Roman"/>
          <w:sz w:val="17"/>
          <w:szCs w:val="17"/>
          <w:u w:val="single" w:color="auto"/>
          <w:color w:val="0000FF"/>
        </w:rPr>
      </w:pPr>
      <w:hyperlink r:id="rId266">
        <w:r>
          <w:rPr>
            <w:rFonts w:ascii="Times New Roman" w:cs="Times New Roman" w:eastAsia="Times New Roman" w:hAnsi="Times New Roman"/>
            <w:sz w:val="17"/>
            <w:szCs w:val="17"/>
            <w:u w:val="single" w:color="auto"/>
            <w:color w:val="0000FF"/>
          </w:rPr>
          <w:t>2013 Stock and Incentive Compensation Plan, dated</w:t>
        </w:r>
      </w:hyperlink>
    </w:p>
    <w:p>
      <w:pPr>
        <w:spacing w:after="0" w:line="1" w:lineRule="exact"/>
        <w:rPr>
          <w:rFonts w:ascii="Times New Roman" w:cs="Times New Roman" w:eastAsia="Times New Roman" w:hAnsi="Times New Roman"/>
          <w:sz w:val="17"/>
          <w:szCs w:val="17"/>
          <w:u w:val="single" w:color="auto"/>
          <w:color w:val="0000FF"/>
        </w:rPr>
      </w:pPr>
    </w:p>
    <w:p>
      <w:pPr>
        <w:ind w:left="5"/>
        <w:spacing w:after="0"/>
        <w:rPr>
          <w:rFonts w:ascii="Times New Roman" w:cs="Times New Roman" w:eastAsia="Times New Roman" w:hAnsi="Times New Roman"/>
          <w:sz w:val="17"/>
          <w:szCs w:val="17"/>
          <w:color w:val="0000FF"/>
        </w:rPr>
      </w:pPr>
      <w:hyperlink r:id="rId266">
        <w:r>
          <w:rPr>
            <w:rFonts w:ascii="Times New Roman" w:cs="Times New Roman" w:eastAsia="Times New Roman" w:hAnsi="Times New Roman"/>
            <w:sz w:val="17"/>
            <w:szCs w:val="17"/>
            <w:u w:val="single" w:color="auto"/>
            <w:color w:val="0000FF"/>
          </w:rPr>
          <w:t>February 25, 2018</w:t>
        </w:r>
        <w:r>
          <w:rPr>
            <w:rFonts w:ascii="Times New Roman" w:cs="Times New Roman" w:eastAsia="Times New Roman" w:hAnsi="Times New Roman"/>
            <w:sz w:val="17"/>
            <w:szCs w:val="17"/>
            <w:color w:val="000000"/>
          </w:rPr>
          <w:t>*</w:t>
        </w:r>
      </w:hyperlink>
    </w:p>
    <w:p>
      <w:pPr>
        <w:spacing w:after="0" w:line="55" w:lineRule="exact"/>
        <w:rPr>
          <w:rFonts w:ascii="Times New Roman" w:cs="Times New Roman" w:eastAsia="Times New Roman" w:hAnsi="Times New Roman"/>
          <w:sz w:val="17"/>
          <w:szCs w:val="17"/>
          <w:u w:val="single" w:color="auto"/>
          <w:color w:val="0000FF"/>
        </w:rPr>
      </w:pPr>
    </w:p>
    <w:p>
      <w:pPr>
        <w:ind w:left="5" w:right="460"/>
        <w:spacing w:after="0" w:line="223" w:lineRule="auto"/>
        <w:rPr>
          <w:rFonts w:ascii="Times New Roman" w:cs="Times New Roman" w:eastAsia="Times New Roman" w:hAnsi="Times New Roman"/>
          <w:sz w:val="17"/>
          <w:szCs w:val="17"/>
          <w:u w:val="single" w:color="auto"/>
          <w:color w:val="0000FF"/>
        </w:rPr>
      </w:pPr>
      <w:hyperlink r:id="rId267">
        <w:r>
          <w:rPr>
            <w:rFonts w:ascii="Times New Roman" w:cs="Times New Roman" w:eastAsia="Times New Roman" w:hAnsi="Times New Roman"/>
            <w:sz w:val="17"/>
            <w:szCs w:val="17"/>
            <w:u w:val="single" w:color="auto"/>
            <w:color w:val="0000FF"/>
          </w:rPr>
          <w:t>2020 Amended and Restated Employment Agreement</w:t>
        </w:r>
      </w:hyperlink>
      <w:r>
        <w:rPr>
          <w:rFonts w:ascii="Times New Roman" w:cs="Times New Roman" w:eastAsia="Times New Roman" w:hAnsi="Times New Roman"/>
          <w:sz w:val="17"/>
          <w:szCs w:val="17"/>
          <w:u w:val="single" w:color="auto"/>
          <w:color w:val="0000FF"/>
        </w:rPr>
        <w:t xml:space="preserve"> </w:t>
      </w:r>
      <w:hyperlink r:id="rId267">
        <w:r>
          <w:rPr>
            <w:rFonts w:ascii="Times New Roman" w:cs="Times New Roman" w:eastAsia="Times New Roman" w:hAnsi="Times New Roman"/>
            <w:sz w:val="17"/>
            <w:szCs w:val="17"/>
            <w:u w:val="single" w:color="auto"/>
            <w:color w:val="0000FF"/>
          </w:rPr>
          <w:t>between Marriott Vacations Worldwide Corporation</w:t>
        </w:r>
      </w:hyperlink>
    </w:p>
    <w:p>
      <w:pPr>
        <w:ind w:left="5"/>
        <w:spacing w:after="0"/>
        <w:rPr>
          <w:rFonts w:ascii="Times New Roman" w:cs="Times New Roman" w:eastAsia="Times New Roman" w:hAnsi="Times New Roman"/>
          <w:sz w:val="17"/>
          <w:szCs w:val="17"/>
          <w:color w:val="0000FF"/>
        </w:rPr>
      </w:pPr>
      <w:hyperlink r:id="rId267">
        <w:r>
          <w:rPr>
            <w:rFonts w:ascii="Times New Roman" w:cs="Times New Roman" w:eastAsia="Times New Roman" w:hAnsi="Times New Roman"/>
            <w:sz w:val="17"/>
            <w:szCs w:val="17"/>
            <w:u w:val="single" w:color="auto"/>
            <w:color w:val="0000FF"/>
          </w:rPr>
          <w:t>and Jeanette E. Marbert</w:t>
        </w:r>
        <w:r>
          <w:rPr>
            <w:rFonts w:ascii="Times New Roman" w:cs="Times New Roman" w:eastAsia="Times New Roman" w:hAnsi="Times New Roman"/>
            <w:sz w:val="17"/>
            <w:szCs w:val="17"/>
            <w:color w:val="000000"/>
          </w:rPr>
          <w:t>*</w:t>
        </w:r>
      </w:hyperlink>
    </w:p>
    <w:p>
      <w:pPr>
        <w:spacing w:after="0" w:line="30" w:lineRule="exact"/>
        <w:rPr>
          <w:sz w:val="20"/>
          <w:szCs w:val="20"/>
          <w:color w:val="auto"/>
        </w:rPr>
      </w:pPr>
    </w:p>
    <w:p>
      <w:pPr>
        <w:ind w:left="5" w:right="560"/>
        <w:spacing w:after="0" w:line="223" w:lineRule="auto"/>
        <w:rPr>
          <w:rFonts w:ascii="Times New Roman" w:cs="Times New Roman" w:eastAsia="Times New Roman" w:hAnsi="Times New Roman"/>
          <w:sz w:val="17"/>
          <w:szCs w:val="17"/>
          <w:u w:val="single" w:color="auto"/>
          <w:color w:val="0000FF"/>
        </w:rPr>
      </w:pPr>
      <w:hyperlink r:id="rId268">
        <w:r>
          <w:rPr>
            <w:rFonts w:ascii="Times New Roman" w:cs="Times New Roman" w:eastAsia="Times New Roman" w:hAnsi="Times New Roman"/>
            <w:sz w:val="17"/>
            <w:szCs w:val="17"/>
            <w:u w:val="single" w:color="auto"/>
            <w:color w:val="0000FF"/>
          </w:rPr>
          <w:t>2020 Salary Reduction Agreement between Marriott</w:t>
        </w:r>
      </w:hyperlink>
      <w:r>
        <w:rPr>
          <w:rFonts w:ascii="Times New Roman" w:cs="Times New Roman" w:eastAsia="Times New Roman" w:hAnsi="Times New Roman"/>
          <w:sz w:val="17"/>
          <w:szCs w:val="17"/>
          <w:u w:val="single" w:color="auto"/>
          <w:color w:val="0000FF"/>
        </w:rPr>
        <w:t xml:space="preserve"> </w:t>
      </w:r>
      <w:hyperlink r:id="rId268">
        <w:r>
          <w:rPr>
            <w:rFonts w:ascii="Times New Roman" w:cs="Times New Roman" w:eastAsia="Times New Roman" w:hAnsi="Times New Roman"/>
            <w:sz w:val="17"/>
            <w:szCs w:val="17"/>
            <w:u w:val="single" w:color="auto"/>
            <w:color w:val="0000FF"/>
          </w:rPr>
          <w:t>Vacations Worldwide Corporation and Jeanette 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-227965</wp:posOffset>
            </wp:positionV>
            <wp:extent cx="5263515" cy="3575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9">
                      <a:extLst>
                        <a:ext uri="{28A0092B-C50C-407E-A947-70E740481C1C}"/>
                      </a:extLst>
                    </a:blip>
                    <a:srcRect/>
                    <a:stretch>
                      <a:fillRect/>
                    </a:stretch>
                  </pic:blipFill>
                  <pic:spPr bwMode="auto">
                    <a:xfrm>
                      <a:off x="0" y="0"/>
                      <a:ext cx="5263515" cy="357505"/>
                    </a:xfrm>
                    <a:prstGeom prst="rect">
                      <a:avLst/>
                    </a:prstGeom>
                    <a:noFill/>
                  </pic:spPr>
                </pic:pic>
              </a:graphicData>
            </a:graphic>
          </wp:anchor>
        </w:drawing>
      </w:r>
    </w:p>
    <w:p>
      <w:pPr>
        <w:ind w:left="5"/>
        <w:spacing w:after="0"/>
        <w:rPr>
          <w:rFonts w:ascii="Times New Roman" w:cs="Times New Roman" w:eastAsia="Times New Roman" w:hAnsi="Times New Roman"/>
          <w:sz w:val="17"/>
          <w:szCs w:val="17"/>
          <w:color w:val="0000FF"/>
        </w:rPr>
      </w:pPr>
      <w:hyperlink r:id="rId268">
        <w:r>
          <w:rPr>
            <w:rFonts w:ascii="Times New Roman" w:cs="Times New Roman" w:eastAsia="Times New Roman" w:hAnsi="Times New Roman"/>
            <w:sz w:val="17"/>
            <w:szCs w:val="17"/>
            <w:u w:val="single" w:color="auto"/>
            <w:color w:val="0000FF"/>
          </w:rPr>
          <w:t>Marbert</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40"/>
        <w:spacing w:after="0"/>
        <w:tabs>
          <w:tab w:leader="none" w:pos="880" w:val="left"/>
          <w:tab w:leader="none" w:pos="1660" w:val="left"/>
        </w:tabs>
        <w:rPr>
          <w:sz w:val="20"/>
          <w:szCs w:val="20"/>
          <w:color w:val="auto"/>
        </w:rPr>
      </w:pPr>
      <w:r>
        <w:rPr>
          <w:rFonts w:ascii="Times New Roman" w:cs="Times New Roman" w:eastAsia="Times New Roman" w:hAnsi="Times New Roman"/>
          <w:sz w:val="17"/>
          <w:szCs w:val="17"/>
          <w:color w:val="auto"/>
        </w:rPr>
        <w:t>8-K</w:t>
      </w:r>
      <w:r>
        <w:rPr>
          <w:rFonts w:ascii="Times New Roman" w:cs="Times New Roman" w:eastAsia="Times New Roman" w:hAnsi="Times New Roman"/>
          <w:sz w:val="9"/>
          <w:szCs w:val="9"/>
          <w:color w:val="auto"/>
        </w:rPr>
        <w:t>(2)</w:t>
      </w:r>
      <w:r>
        <w:rPr>
          <w:sz w:val="20"/>
          <w:szCs w:val="20"/>
          <w:color w:val="auto"/>
        </w:rPr>
        <w:tab/>
      </w: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7"/>
          <w:szCs w:val="17"/>
          <w:color w:val="auto"/>
        </w:rPr>
        <w:t>5/12/2016</w:t>
      </w:r>
    </w:p>
    <w:p>
      <w:pPr>
        <w:spacing w:after="0" w:line="200" w:lineRule="exact"/>
        <w:rPr>
          <w:sz w:val="20"/>
          <w:szCs w:val="20"/>
          <w:color w:val="auto"/>
        </w:rPr>
      </w:pPr>
    </w:p>
    <w:p>
      <w:pPr>
        <w:spacing w:after="0" w:line="270" w:lineRule="exact"/>
        <w:rPr>
          <w:sz w:val="20"/>
          <w:szCs w:val="20"/>
          <w:color w:val="auto"/>
        </w:rPr>
      </w:pPr>
    </w:p>
    <w:p>
      <w:pPr>
        <w:spacing w:after="0"/>
        <w:tabs>
          <w:tab w:leader="none" w:pos="880" w:val="left"/>
          <w:tab w:leader="none" w:pos="1700" w:val="left"/>
        </w:tabs>
        <w:rPr>
          <w:sz w:val="20"/>
          <w:szCs w:val="20"/>
          <w:color w:val="auto"/>
        </w:rPr>
      </w:pPr>
      <w:r>
        <w:rPr>
          <w:rFonts w:ascii="Times New Roman" w:cs="Times New Roman" w:eastAsia="Times New Roman" w:hAnsi="Times New Roman"/>
          <w:sz w:val="17"/>
          <w:szCs w:val="17"/>
          <w:color w:val="auto"/>
        </w:rPr>
        <w:t>10-Q</w:t>
      </w:r>
      <w:r>
        <w:rPr>
          <w:rFonts w:ascii="Times New Roman" w:cs="Times New Roman" w:eastAsia="Times New Roman" w:hAnsi="Times New Roman"/>
          <w:sz w:val="9"/>
          <w:szCs w:val="9"/>
          <w:color w:val="auto"/>
        </w:rPr>
        <w:t>(2)</w:t>
      </w:r>
      <w:r>
        <w:rPr>
          <w:sz w:val="20"/>
          <w:szCs w:val="20"/>
          <w:color w:val="auto"/>
        </w:rPr>
        <w:tab/>
      </w: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7"/>
          <w:szCs w:val="17"/>
          <w:color w:val="auto"/>
        </w:rPr>
        <w:t>5/4/2018</w:t>
      </w:r>
    </w:p>
    <w:p>
      <w:pPr>
        <w:spacing w:after="0" w:line="200" w:lineRule="exact"/>
        <w:rPr>
          <w:sz w:val="20"/>
          <w:szCs w:val="20"/>
          <w:color w:val="auto"/>
        </w:rPr>
      </w:pPr>
    </w:p>
    <w:p>
      <w:pPr>
        <w:spacing w:after="0" w:line="218" w:lineRule="exact"/>
        <w:rPr>
          <w:sz w:val="20"/>
          <w:szCs w:val="20"/>
          <w:color w:val="auto"/>
        </w:rPr>
      </w:pPr>
    </w:p>
    <w:p>
      <w:pPr>
        <w:ind w:left="60"/>
        <w:spacing w:after="0"/>
        <w:tabs>
          <w:tab w:leader="none" w:pos="840" w:val="left"/>
          <w:tab w:leader="none" w:pos="1660" w:val="left"/>
        </w:tabs>
        <w:rPr>
          <w:sz w:val="20"/>
          <w:szCs w:val="20"/>
          <w:color w:val="auto"/>
        </w:rPr>
      </w:pPr>
      <w:r>
        <w:rPr>
          <w:rFonts w:ascii="Times New Roman" w:cs="Times New Roman" w:eastAsia="Times New Roman" w:hAnsi="Times New Roman"/>
          <w:sz w:val="17"/>
          <w:szCs w:val="17"/>
          <w:color w:val="auto"/>
        </w:rPr>
        <w:t>10-K</w:t>
      </w:r>
      <w:r>
        <w:rPr>
          <w:sz w:val="20"/>
          <w:szCs w:val="20"/>
          <w:color w:val="auto"/>
        </w:rPr>
        <w:tab/>
      </w:r>
      <w:r>
        <w:rPr>
          <w:rFonts w:ascii="Times New Roman" w:cs="Times New Roman" w:eastAsia="Times New Roman" w:hAnsi="Times New Roman"/>
          <w:sz w:val="17"/>
          <w:szCs w:val="17"/>
          <w:color w:val="auto"/>
        </w:rPr>
        <w:t>10.44</w:t>
      </w:r>
      <w:r>
        <w:rPr>
          <w:sz w:val="20"/>
          <w:szCs w:val="20"/>
          <w:color w:val="auto"/>
        </w:rPr>
        <w:tab/>
      </w:r>
      <w:r>
        <w:rPr>
          <w:rFonts w:ascii="Times New Roman" w:cs="Times New Roman" w:eastAsia="Times New Roman" w:hAnsi="Times New Roman"/>
          <w:sz w:val="17"/>
          <w:szCs w:val="17"/>
          <w:color w:val="auto"/>
        </w:rPr>
        <w:t>2/27/2024</w:t>
      </w:r>
    </w:p>
    <w:p>
      <w:pPr>
        <w:spacing w:after="0" w:line="393" w:lineRule="exact"/>
        <w:rPr>
          <w:sz w:val="20"/>
          <w:szCs w:val="20"/>
          <w:color w:val="auto"/>
        </w:rPr>
      </w:pPr>
    </w:p>
    <w:p>
      <w:pPr>
        <w:ind w:left="60"/>
        <w:spacing w:after="0"/>
        <w:tabs>
          <w:tab w:leader="none" w:pos="840" w:val="left"/>
          <w:tab w:leader="none" w:pos="1660" w:val="left"/>
        </w:tabs>
        <w:rPr>
          <w:sz w:val="20"/>
          <w:szCs w:val="20"/>
          <w:color w:val="auto"/>
        </w:rPr>
      </w:pPr>
      <w:r>
        <w:rPr>
          <w:rFonts w:ascii="Times New Roman" w:cs="Times New Roman" w:eastAsia="Times New Roman" w:hAnsi="Times New Roman"/>
          <w:sz w:val="17"/>
          <w:szCs w:val="17"/>
          <w:color w:val="auto"/>
        </w:rPr>
        <w:t>10-K</w:t>
      </w:r>
      <w:r>
        <w:rPr>
          <w:sz w:val="20"/>
          <w:szCs w:val="20"/>
          <w:color w:val="auto"/>
        </w:rPr>
        <w:tab/>
      </w:r>
      <w:r>
        <w:rPr>
          <w:rFonts w:ascii="Times New Roman" w:cs="Times New Roman" w:eastAsia="Times New Roman" w:hAnsi="Times New Roman"/>
          <w:sz w:val="17"/>
          <w:szCs w:val="17"/>
          <w:color w:val="auto"/>
        </w:rPr>
        <w:t>10.45</w:t>
      </w:r>
      <w:r>
        <w:rPr>
          <w:sz w:val="20"/>
          <w:szCs w:val="20"/>
          <w:color w:val="auto"/>
        </w:rPr>
        <w:tab/>
      </w:r>
      <w:r>
        <w:rPr>
          <w:rFonts w:ascii="Times New Roman" w:cs="Times New Roman" w:eastAsia="Times New Roman" w:hAnsi="Times New Roman"/>
          <w:sz w:val="17"/>
          <w:szCs w:val="17"/>
          <w:color w:val="auto"/>
        </w:rPr>
        <w:t>2/27/2024</w:t>
      </w:r>
    </w:p>
    <w:p>
      <w:pPr>
        <w:spacing w:after="0" w:line="214" w:lineRule="exact"/>
        <w:rPr>
          <w:sz w:val="20"/>
          <w:szCs w:val="20"/>
          <w:color w:val="auto"/>
        </w:rPr>
      </w:pPr>
    </w:p>
    <w:p>
      <w:pPr>
        <w:sectPr>
          <w:pgSz w:w="11900" w:h="16838" w:orient="portrait"/>
          <w:cols w:equalWidth="0" w:num="3">
            <w:col w:w="580" w:space="335"/>
            <w:col w:w="4145" w:space="720"/>
            <w:col w:w="4359"/>
          </w:cols>
          <w:pgMar w:left="320" w:top="1118" w:right="1440"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92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10.38</w:t>
            </w:r>
          </w:p>
        </w:tc>
        <w:tc>
          <w:tcPr>
            <w:tcW w:w="4300" w:type="dxa"/>
            <w:vAlign w:val="bottom"/>
            <w:gridSpan w:val="15"/>
          </w:tcPr>
          <w:p>
            <w:pPr>
              <w:spacing w:after="0"/>
              <w:rPr>
                <w:rFonts w:ascii="Times New Roman" w:cs="Times New Roman" w:eastAsia="Times New Roman" w:hAnsi="Times New Roman"/>
                <w:sz w:val="17"/>
                <w:szCs w:val="17"/>
                <w:color w:val="0000FF"/>
              </w:rPr>
            </w:pPr>
            <w:hyperlink r:id="rId270">
              <w:r>
                <w:rPr>
                  <w:rFonts w:ascii="Times New Roman" w:cs="Times New Roman" w:eastAsia="Times New Roman" w:hAnsi="Times New Roman"/>
                  <w:sz w:val="17"/>
                  <w:szCs w:val="17"/>
                  <w:color w:val="0000FF"/>
                </w:rPr>
                <w:t>Amended and Restated Marriott Vacations Worldwide</w:t>
              </w:r>
            </w:hyperlink>
          </w:p>
        </w:tc>
        <w:tc>
          <w:tcPr>
            <w:tcW w:w="1200" w:type="dxa"/>
            <w:vAlign w:val="bottom"/>
            <w:vMerge w:val="restart"/>
          </w:tcPr>
          <w:p>
            <w:pPr>
              <w:jc w:val="center"/>
              <w:ind w:left="295"/>
              <w:spacing w:after="0"/>
              <w:rPr>
                <w:sz w:val="20"/>
                <w:szCs w:val="20"/>
                <w:color w:val="auto"/>
              </w:rPr>
            </w:pPr>
            <w:r>
              <w:rPr>
                <w:rFonts w:ascii="Times New Roman" w:cs="Times New Roman" w:eastAsia="Times New Roman" w:hAnsi="Times New Roman"/>
                <w:sz w:val="17"/>
                <w:szCs w:val="17"/>
                <w:color w:val="auto"/>
                <w:w w:val="97"/>
              </w:rPr>
              <w:t>10-Q</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8/2/2024</w:t>
            </w:r>
          </w:p>
        </w:tc>
        <w:tc>
          <w:tcPr>
            <w:tcW w:w="0" w:type="dxa"/>
            <w:vAlign w:val="bottom"/>
          </w:tcPr>
          <w:p>
            <w:pPr>
              <w:spacing w:after="0"/>
              <w:rPr>
                <w:sz w:val="1"/>
                <w:szCs w:val="1"/>
                <w:color w:val="auto"/>
              </w:rPr>
            </w:pPr>
          </w:p>
        </w:tc>
      </w:tr>
      <w:tr>
        <w:trPr>
          <w:trHeight w:val="109"/>
        </w:trPr>
        <w:tc>
          <w:tcPr>
            <w:tcW w:w="920" w:type="dxa"/>
            <w:vAlign w:val="bottom"/>
            <w:vMerge w:val="continue"/>
          </w:tcPr>
          <w:p>
            <w:pPr>
              <w:spacing w:after="0"/>
              <w:rPr>
                <w:sz w:val="9"/>
                <w:szCs w:val="9"/>
                <w:color w:val="auto"/>
              </w:rPr>
            </w:pPr>
          </w:p>
        </w:tc>
        <w:tc>
          <w:tcPr>
            <w:tcW w:w="3680" w:type="dxa"/>
            <w:vAlign w:val="bottom"/>
            <w:tcBorders>
              <w:top w:val="single" w:sz="8" w:color="0000FF"/>
            </w:tcBorders>
            <w:gridSpan w:val="14"/>
            <w:vMerge w:val="restart"/>
          </w:tcPr>
          <w:p>
            <w:pPr>
              <w:spacing w:after="0" w:line="146" w:lineRule="exact"/>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Corporation 2020 Equity Incentive Plan</w:t>
              </w:r>
              <w:r>
                <w:rPr>
                  <w:rFonts w:ascii="Times New Roman" w:cs="Times New Roman" w:eastAsia="Times New Roman" w:hAnsi="Times New Roman"/>
                  <w:sz w:val="16"/>
                  <w:szCs w:val="16"/>
                  <w:color w:val="000000"/>
                </w:rPr>
                <w:t>*</w:t>
              </w:r>
            </w:hyperlink>
          </w:p>
        </w:tc>
        <w:tc>
          <w:tcPr>
            <w:tcW w:w="620" w:type="dxa"/>
            <w:vAlign w:val="bottom"/>
            <w:vMerge w:val="restart"/>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20" w:type="dxa"/>
            <w:vAlign w:val="bottom"/>
          </w:tcPr>
          <w:p>
            <w:pPr>
              <w:spacing w:after="0"/>
              <w:rPr>
                <w:sz w:val="3"/>
                <w:szCs w:val="3"/>
                <w:color w:val="auto"/>
              </w:rPr>
            </w:pPr>
          </w:p>
        </w:tc>
        <w:tc>
          <w:tcPr>
            <w:tcW w:w="3680" w:type="dxa"/>
            <w:vAlign w:val="bottom"/>
            <w:gridSpan w:val="14"/>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
        </w:trPr>
        <w:tc>
          <w:tcPr>
            <w:tcW w:w="920" w:type="dxa"/>
            <w:vAlign w:val="bottom"/>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92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10.39</w:t>
            </w:r>
          </w:p>
        </w:tc>
        <w:tc>
          <w:tcPr>
            <w:tcW w:w="3200" w:type="dxa"/>
            <w:vAlign w:val="bottom"/>
            <w:tcBorders>
              <w:bottom w:val="single" w:sz="8" w:color="0000FF"/>
            </w:tcBorders>
            <w:gridSpan w:val="8"/>
            <w:shd w:val="clear" w:color="auto" w:fill="CCEEFF"/>
          </w:tcPr>
          <w:p>
            <w:pPr>
              <w:spacing w:after="0"/>
              <w:rPr>
                <w:rFonts w:ascii="Times New Roman" w:cs="Times New Roman" w:eastAsia="Times New Roman" w:hAnsi="Times New Roman"/>
                <w:sz w:val="17"/>
                <w:szCs w:val="17"/>
                <w:color w:val="0000FF"/>
                <w:w w:val="99"/>
              </w:rPr>
            </w:pPr>
            <w:hyperlink r:id="rId271">
              <w:r>
                <w:rPr>
                  <w:rFonts w:ascii="Times New Roman" w:cs="Times New Roman" w:eastAsia="Times New Roman" w:hAnsi="Times New Roman"/>
                  <w:sz w:val="17"/>
                  <w:szCs w:val="17"/>
                  <w:color w:val="0000FF"/>
                  <w:w w:val="99"/>
                </w:rPr>
                <w:t>Form of Call Option Transaction Confirmation</w:t>
              </w:r>
            </w:hyperlink>
          </w:p>
        </w:tc>
        <w:tc>
          <w:tcPr>
            <w:tcW w:w="1100" w:type="dxa"/>
            <w:vAlign w:val="bottom"/>
            <w:tcBorders>
              <w:bottom w:val="single" w:sz="8" w:color="CCEEFF"/>
            </w:tcBorders>
            <w:gridSpan w:val="7"/>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295"/>
              <w:spacing w:after="0"/>
              <w:rPr>
                <w:sz w:val="20"/>
                <w:szCs w:val="20"/>
                <w:color w:val="auto"/>
              </w:rPr>
            </w:pPr>
            <w:r>
              <w:rPr>
                <w:rFonts w:ascii="Times New Roman" w:cs="Times New Roman" w:eastAsia="Times New Roman" w:hAnsi="Times New Roman"/>
                <w:sz w:val="17"/>
                <w:szCs w:val="17"/>
                <w:color w:val="auto"/>
                <w:w w:val="98"/>
              </w:rPr>
              <w:t>8-K</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2/3/2021</w:t>
            </w:r>
          </w:p>
        </w:tc>
        <w:tc>
          <w:tcPr>
            <w:tcW w:w="0" w:type="dxa"/>
            <w:vAlign w:val="bottom"/>
          </w:tcPr>
          <w:p>
            <w:pPr>
              <w:spacing w:after="0"/>
              <w:rPr>
                <w:sz w:val="1"/>
                <w:szCs w:val="1"/>
                <w:color w:val="auto"/>
              </w:rPr>
            </w:pPr>
          </w:p>
        </w:tc>
      </w:tr>
      <w:tr>
        <w:trPr>
          <w:trHeight w:val="217"/>
        </w:trPr>
        <w:tc>
          <w:tcPr>
            <w:tcW w:w="9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10.40</w:t>
            </w:r>
          </w:p>
        </w:tc>
        <w:tc>
          <w:tcPr>
            <w:tcW w:w="4300" w:type="dxa"/>
            <w:vAlign w:val="bottom"/>
            <w:gridSpan w:val="15"/>
          </w:tcPr>
          <w:p>
            <w:pPr>
              <w:spacing w:after="0"/>
              <w:rPr>
                <w:rFonts w:ascii="Times New Roman" w:cs="Times New Roman" w:eastAsia="Times New Roman" w:hAnsi="Times New Roman"/>
                <w:sz w:val="17"/>
                <w:szCs w:val="17"/>
                <w:color w:val="0000FF"/>
              </w:rPr>
            </w:pPr>
            <w:hyperlink r:id="rId272">
              <w:r>
                <w:rPr>
                  <w:rFonts w:ascii="Times New Roman" w:cs="Times New Roman" w:eastAsia="Times New Roman" w:hAnsi="Times New Roman"/>
                  <w:sz w:val="17"/>
                  <w:szCs w:val="17"/>
                  <w:color w:val="0000FF"/>
                </w:rPr>
                <w:t>Form of Warrant Confirmation</w:t>
              </w:r>
            </w:hyperlink>
          </w:p>
        </w:tc>
        <w:tc>
          <w:tcPr>
            <w:tcW w:w="120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8"/>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2/3/2021</w:t>
            </w:r>
          </w:p>
        </w:tc>
        <w:tc>
          <w:tcPr>
            <w:tcW w:w="0" w:type="dxa"/>
            <w:vAlign w:val="bottom"/>
          </w:tcPr>
          <w:p>
            <w:pPr>
              <w:spacing w:after="0"/>
              <w:rPr>
                <w:sz w:val="1"/>
                <w:szCs w:val="1"/>
                <w:color w:val="auto"/>
              </w:rPr>
            </w:pPr>
          </w:p>
        </w:tc>
      </w:tr>
      <w:tr>
        <w:trPr>
          <w:trHeight w:val="57"/>
        </w:trPr>
        <w:tc>
          <w:tcPr>
            <w:tcW w:w="920" w:type="dxa"/>
            <w:vAlign w:val="bottom"/>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9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10.41</w:t>
            </w:r>
          </w:p>
        </w:tc>
        <w:tc>
          <w:tcPr>
            <w:tcW w:w="4300" w:type="dxa"/>
            <w:vAlign w:val="bottom"/>
            <w:gridSpan w:val="15"/>
            <w:shd w:val="clear" w:color="auto" w:fill="CCEEFF"/>
          </w:tcPr>
          <w:p>
            <w:pPr>
              <w:spacing w:after="0"/>
              <w:rPr>
                <w:rFonts w:ascii="Times New Roman" w:cs="Times New Roman" w:eastAsia="Times New Roman" w:hAnsi="Times New Roman"/>
                <w:sz w:val="17"/>
                <w:szCs w:val="17"/>
                <w:color w:val="0000FF"/>
              </w:rPr>
            </w:pPr>
            <w:hyperlink r:id="rId273">
              <w:r>
                <w:rPr>
                  <w:rFonts w:ascii="Times New Roman" w:cs="Times New Roman" w:eastAsia="Times New Roman" w:hAnsi="Times New Roman"/>
                  <w:sz w:val="17"/>
                  <w:szCs w:val="17"/>
                  <w:color w:val="0000FF"/>
                </w:rPr>
                <w:t>Form of Base Call Option Transaction Confirmation</w:t>
              </w:r>
            </w:hyperlink>
          </w:p>
        </w:tc>
        <w:tc>
          <w:tcPr>
            <w:tcW w:w="120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7"/>
                <w:szCs w:val="17"/>
                <w:color w:val="auto"/>
                <w:w w:val="98"/>
              </w:rPr>
              <w:t>8-K</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12/8/2022</w:t>
            </w:r>
          </w:p>
        </w:tc>
        <w:tc>
          <w:tcPr>
            <w:tcW w:w="0" w:type="dxa"/>
            <w:vAlign w:val="bottom"/>
          </w:tcPr>
          <w:p>
            <w:pPr>
              <w:spacing w:after="0"/>
              <w:rPr>
                <w:sz w:val="1"/>
                <w:szCs w:val="1"/>
                <w:color w:val="auto"/>
              </w:rPr>
            </w:pPr>
          </w:p>
        </w:tc>
      </w:tr>
      <w:tr>
        <w:trPr>
          <w:trHeight w:val="217"/>
        </w:trPr>
        <w:tc>
          <w:tcPr>
            <w:tcW w:w="920" w:type="dxa"/>
            <w:vAlign w:val="bottom"/>
            <w:tcBorders>
              <w:top w:val="single" w:sz="8" w:color="CCEEFF"/>
            </w:tcBorders>
          </w:tcPr>
          <w:p>
            <w:pPr>
              <w:jc w:val="right"/>
              <w:ind w:right="255"/>
              <w:spacing w:after="0"/>
              <w:rPr>
                <w:sz w:val="20"/>
                <w:szCs w:val="20"/>
                <w:color w:val="auto"/>
              </w:rPr>
            </w:pPr>
            <w:r>
              <w:rPr>
                <w:rFonts w:ascii="Times New Roman" w:cs="Times New Roman" w:eastAsia="Times New Roman" w:hAnsi="Times New Roman"/>
                <w:sz w:val="17"/>
                <w:szCs w:val="17"/>
                <w:color w:val="auto"/>
              </w:rPr>
              <w:t>10.42</w:t>
            </w:r>
          </w:p>
        </w:tc>
        <w:tc>
          <w:tcPr>
            <w:tcW w:w="3560" w:type="dxa"/>
            <w:vAlign w:val="bottom"/>
            <w:tcBorders>
              <w:top w:val="single" w:sz="8" w:color="0000FF"/>
            </w:tcBorders>
            <w:gridSpan w:val="13"/>
          </w:tcPr>
          <w:p>
            <w:pPr>
              <w:spacing w:after="0"/>
              <w:rPr>
                <w:rFonts w:ascii="Times New Roman" w:cs="Times New Roman" w:eastAsia="Times New Roman" w:hAnsi="Times New Roman"/>
                <w:sz w:val="17"/>
                <w:szCs w:val="17"/>
                <w:color w:val="0000FF"/>
              </w:rPr>
            </w:pPr>
            <w:hyperlink r:id="rId274">
              <w:r>
                <w:rPr>
                  <w:rFonts w:ascii="Times New Roman" w:cs="Times New Roman" w:eastAsia="Times New Roman" w:hAnsi="Times New Roman"/>
                  <w:sz w:val="17"/>
                  <w:szCs w:val="17"/>
                  <w:color w:val="0000FF"/>
                </w:rPr>
                <w:t>Form of Base Warrant Confirmation</w:t>
              </w:r>
            </w:hyperlink>
          </w:p>
        </w:tc>
        <w:tc>
          <w:tcPr>
            <w:tcW w:w="740" w:type="dxa"/>
            <w:vAlign w:val="bottom"/>
            <w:tcBorders>
              <w:top w:val="single" w:sz="8" w:color="CCEEFF"/>
            </w:tcBorders>
            <w:gridSpan w:val="2"/>
          </w:tcPr>
          <w:p>
            <w:pPr>
              <w:spacing w:after="0"/>
              <w:rPr>
                <w:sz w:val="18"/>
                <w:szCs w:val="18"/>
                <w:color w:val="auto"/>
              </w:rPr>
            </w:pPr>
          </w:p>
        </w:tc>
        <w:tc>
          <w:tcPr>
            <w:tcW w:w="1200" w:type="dxa"/>
            <w:vAlign w:val="bottom"/>
            <w:tcBorders>
              <w:top w:val="single" w:sz="8" w:color="CCEEFF"/>
            </w:tcBorders>
          </w:tcPr>
          <w:p>
            <w:pPr>
              <w:jc w:val="center"/>
              <w:ind w:left="295"/>
              <w:spacing w:after="0"/>
              <w:rPr>
                <w:sz w:val="20"/>
                <w:szCs w:val="20"/>
                <w:color w:val="auto"/>
              </w:rPr>
            </w:pPr>
            <w:r>
              <w:rPr>
                <w:rFonts w:ascii="Times New Roman" w:cs="Times New Roman" w:eastAsia="Times New Roman" w:hAnsi="Times New Roman"/>
                <w:sz w:val="17"/>
                <w:szCs w:val="17"/>
                <w:color w:val="auto"/>
                <w:w w:val="98"/>
              </w:rPr>
              <w:t>8-K</w:t>
            </w:r>
          </w:p>
        </w:tc>
        <w:tc>
          <w:tcPr>
            <w:tcW w:w="8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12/8/2022</w:t>
            </w:r>
          </w:p>
        </w:tc>
        <w:tc>
          <w:tcPr>
            <w:tcW w:w="0" w:type="dxa"/>
            <w:vAlign w:val="bottom"/>
          </w:tcPr>
          <w:p>
            <w:pPr>
              <w:spacing w:after="0"/>
              <w:rPr>
                <w:sz w:val="1"/>
                <w:szCs w:val="1"/>
                <w:color w:val="auto"/>
              </w:rPr>
            </w:pPr>
          </w:p>
        </w:tc>
      </w:tr>
      <w:tr>
        <w:trPr>
          <w:trHeight w:val="57"/>
        </w:trPr>
        <w:tc>
          <w:tcPr>
            <w:tcW w:w="920" w:type="dxa"/>
            <w:vAlign w:val="bottom"/>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920" w:type="dxa"/>
            <w:vAlign w:val="bottom"/>
            <w:vMerge w:val="restart"/>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10.43</w:t>
            </w:r>
          </w:p>
        </w:tc>
        <w:tc>
          <w:tcPr>
            <w:tcW w:w="4300" w:type="dxa"/>
            <w:vAlign w:val="bottom"/>
            <w:gridSpan w:val="15"/>
            <w:shd w:val="clear" w:color="auto" w:fill="CCEEFF"/>
          </w:tcPr>
          <w:p>
            <w:pPr>
              <w:spacing w:after="0"/>
              <w:rPr>
                <w:rFonts w:ascii="Times New Roman" w:cs="Times New Roman" w:eastAsia="Times New Roman" w:hAnsi="Times New Roman"/>
                <w:sz w:val="17"/>
                <w:szCs w:val="17"/>
                <w:color w:val="0000FF"/>
              </w:rPr>
            </w:pPr>
            <w:hyperlink r:id="rId275">
              <w:r>
                <w:rPr>
                  <w:rFonts w:ascii="Times New Roman" w:cs="Times New Roman" w:eastAsia="Times New Roman" w:hAnsi="Times New Roman"/>
                  <w:sz w:val="17"/>
                  <w:szCs w:val="17"/>
                  <w:color w:val="0000FF"/>
                </w:rPr>
                <w:t>Form of Stock Appreciation Right Agreement -</w:t>
              </w:r>
            </w:hyperlink>
          </w:p>
        </w:tc>
        <w:tc>
          <w:tcPr>
            <w:tcW w:w="1200" w:type="dxa"/>
            <w:vAlign w:val="bottom"/>
            <w:vMerge w:val="restart"/>
            <w:shd w:val="clear" w:color="auto" w:fill="CCEEFF"/>
          </w:tcPr>
          <w:p>
            <w:pPr>
              <w:jc w:val="center"/>
              <w:ind w:left="295"/>
              <w:spacing w:after="0"/>
              <w:rPr>
                <w:sz w:val="20"/>
                <w:szCs w:val="20"/>
                <w:color w:val="auto"/>
              </w:rPr>
            </w:pPr>
            <w:r>
              <w:rPr>
                <w:rFonts w:ascii="Times New Roman" w:cs="Times New Roman" w:eastAsia="Times New Roman" w:hAnsi="Times New Roman"/>
                <w:sz w:val="17"/>
                <w:szCs w:val="17"/>
                <w:color w:val="auto"/>
                <w:w w:val="97"/>
              </w:rPr>
              <w:t>10-K</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10.52</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2/27/2024</w:t>
            </w:r>
          </w:p>
        </w:tc>
        <w:tc>
          <w:tcPr>
            <w:tcW w:w="0" w:type="dxa"/>
            <w:vAlign w:val="bottom"/>
          </w:tcPr>
          <w:p>
            <w:pPr>
              <w:spacing w:after="0"/>
              <w:rPr>
                <w:sz w:val="1"/>
                <w:szCs w:val="1"/>
                <w:color w:val="auto"/>
              </w:rPr>
            </w:pPr>
          </w:p>
        </w:tc>
      </w:tr>
      <w:tr>
        <w:trPr>
          <w:trHeight w:val="146"/>
        </w:trPr>
        <w:tc>
          <w:tcPr>
            <w:tcW w:w="9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3240" w:type="dxa"/>
            <w:vAlign w:val="bottom"/>
            <w:tcBorders>
              <w:top w:val="single" w:sz="8" w:color="0000FF"/>
              <w:bottom w:val="single" w:sz="8" w:color="0000FF"/>
            </w:tcBorders>
            <w:gridSpan w:val="9"/>
            <w:shd w:val="clear" w:color="auto" w:fill="CCEEFF"/>
          </w:tcPr>
          <w:p>
            <w:pPr>
              <w:spacing w:after="0" w:line="146" w:lineRule="exact"/>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Marriott Vacations Worldwide Corporation 2020</w:t>
              </w:r>
            </w:hyperlink>
          </w:p>
        </w:tc>
        <w:tc>
          <w:tcPr>
            <w:tcW w:w="8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0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shd w:val="clear" w:color="auto" w:fill="CCEEFF"/>
          </w:tcPr>
          <w:p>
            <w:pPr>
              <w:spacing w:after="0"/>
              <w:rPr>
                <w:sz w:val="13"/>
                <w:szCs w:val="13"/>
                <w:color w:val="auto"/>
              </w:rPr>
            </w:pPr>
          </w:p>
        </w:tc>
        <w:tc>
          <w:tcPr>
            <w:tcW w:w="3320" w:type="dxa"/>
            <w:vAlign w:val="bottom"/>
            <w:gridSpan w:val="10"/>
            <w:shd w:val="clear" w:color="auto" w:fill="CCEEFF"/>
          </w:tcPr>
          <w:p>
            <w:pPr>
              <w:spacing w:after="0" w:line="159" w:lineRule="exact"/>
              <w:rPr>
                <w:rFonts w:ascii="Times New Roman" w:cs="Times New Roman" w:eastAsia="Times New Roman" w:hAnsi="Times New Roman"/>
                <w:sz w:val="17"/>
                <w:szCs w:val="17"/>
                <w:color w:val="0000FF"/>
              </w:rPr>
            </w:pPr>
            <w:hyperlink r:id="rId275">
              <w:r>
                <w:rPr>
                  <w:rFonts w:ascii="Times New Roman" w:cs="Times New Roman" w:eastAsia="Times New Roman" w:hAnsi="Times New Roman"/>
                  <w:sz w:val="17"/>
                  <w:szCs w:val="17"/>
                  <w:color w:val="0000FF"/>
                </w:rPr>
                <w:t>Equity Incentive Plan</w:t>
              </w:r>
              <w:r>
                <w:rPr>
                  <w:rFonts w:ascii="Times New Roman" w:cs="Times New Roman" w:eastAsia="Times New Roman" w:hAnsi="Times New Roman"/>
                  <w:sz w:val="17"/>
                  <w:szCs w:val="17"/>
                  <w:color w:val="000000"/>
                </w:rPr>
                <w:t>*</w:t>
              </w:r>
            </w:hyperlink>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9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92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10.44</w:t>
            </w:r>
          </w:p>
        </w:tc>
        <w:tc>
          <w:tcPr>
            <w:tcW w:w="4300" w:type="dxa"/>
            <w:vAlign w:val="bottom"/>
            <w:gridSpan w:val="15"/>
          </w:tcPr>
          <w:p>
            <w:pPr>
              <w:spacing w:after="0"/>
              <w:rPr>
                <w:rFonts w:ascii="Times New Roman" w:cs="Times New Roman" w:eastAsia="Times New Roman" w:hAnsi="Times New Roman"/>
                <w:sz w:val="17"/>
                <w:szCs w:val="17"/>
                <w:color w:val="0000FF"/>
              </w:rPr>
            </w:pPr>
            <w:hyperlink r:id="rId276">
              <w:r>
                <w:rPr>
                  <w:rFonts w:ascii="Times New Roman" w:cs="Times New Roman" w:eastAsia="Times New Roman" w:hAnsi="Times New Roman"/>
                  <w:sz w:val="17"/>
                  <w:szCs w:val="17"/>
                  <w:color w:val="0000FF"/>
                </w:rPr>
                <w:t>Form of Restricted Stock Unit Agreement - Marriott</w:t>
              </w:r>
            </w:hyperlink>
          </w:p>
        </w:tc>
        <w:tc>
          <w:tcPr>
            <w:tcW w:w="1200" w:type="dxa"/>
            <w:vAlign w:val="bottom"/>
            <w:vMerge w:val="restart"/>
          </w:tcPr>
          <w:p>
            <w:pPr>
              <w:jc w:val="center"/>
              <w:ind w:left="295"/>
              <w:spacing w:after="0"/>
              <w:rPr>
                <w:sz w:val="20"/>
                <w:szCs w:val="20"/>
                <w:color w:val="auto"/>
              </w:rPr>
            </w:pPr>
            <w:r>
              <w:rPr>
                <w:rFonts w:ascii="Times New Roman" w:cs="Times New Roman" w:eastAsia="Times New Roman" w:hAnsi="Times New Roman"/>
                <w:sz w:val="17"/>
                <w:szCs w:val="17"/>
                <w:color w:val="auto"/>
                <w:w w:val="97"/>
              </w:rPr>
              <w:t>10-K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10.53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2/27/2024</w:t>
            </w:r>
          </w:p>
        </w:tc>
        <w:tc>
          <w:tcPr>
            <w:tcW w:w="0" w:type="dxa"/>
            <w:vAlign w:val="bottom"/>
          </w:tcPr>
          <w:p>
            <w:pPr>
              <w:spacing w:after="0"/>
              <w:rPr>
                <w:sz w:val="1"/>
                <w:szCs w:val="1"/>
                <w:color w:val="auto"/>
              </w:rPr>
            </w:pPr>
          </w:p>
        </w:tc>
      </w:tr>
      <w:tr>
        <w:trPr>
          <w:trHeight w:val="146"/>
        </w:trPr>
        <w:tc>
          <w:tcPr>
            <w:tcW w:w="920" w:type="dxa"/>
            <w:vAlign w:val="bottom"/>
            <w:vMerge w:val="continue"/>
          </w:tcPr>
          <w:p>
            <w:pPr>
              <w:spacing w:after="0"/>
              <w:rPr>
                <w:sz w:val="12"/>
                <w:szCs w:val="12"/>
                <w:color w:val="auto"/>
              </w:rPr>
            </w:pPr>
          </w:p>
        </w:tc>
        <w:tc>
          <w:tcPr>
            <w:tcW w:w="3560" w:type="dxa"/>
            <w:vAlign w:val="bottom"/>
            <w:tcBorders>
              <w:top w:val="single" w:sz="8" w:color="0000FF"/>
            </w:tcBorders>
            <w:gridSpan w:val="13"/>
          </w:tcPr>
          <w:p>
            <w:pPr>
              <w:spacing w:after="0" w:line="146" w:lineRule="exact"/>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color w:val="0000FF"/>
                </w:rPr>
                <w:t>Vacations Worldwide Corporation 2020 Equity</w:t>
              </w:r>
            </w:hyperlink>
          </w:p>
        </w:tc>
        <w:tc>
          <w:tcPr>
            <w:tcW w:w="740" w:type="dxa"/>
            <w:vAlign w:val="bottom"/>
            <w:gridSpan w:val="2"/>
          </w:tcPr>
          <w:p>
            <w:pPr>
              <w:spacing w:after="0"/>
              <w:rPr>
                <w:sz w:val="12"/>
                <w:szCs w:val="12"/>
                <w:color w:val="auto"/>
              </w:rPr>
            </w:pPr>
          </w:p>
        </w:tc>
        <w:tc>
          <w:tcPr>
            <w:tcW w:w="12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3200" w:type="dxa"/>
            <w:vAlign w:val="bottom"/>
            <w:tcBorders>
              <w:top w:val="single" w:sz="8" w:color="0000FF"/>
            </w:tcBorders>
            <w:gridSpan w:val="8"/>
          </w:tcPr>
          <w:p>
            <w:pPr>
              <w:spacing w:after="0" w:line="159" w:lineRule="exact"/>
              <w:rPr>
                <w:rFonts w:ascii="Times New Roman" w:cs="Times New Roman" w:eastAsia="Times New Roman" w:hAnsi="Times New Roman"/>
                <w:sz w:val="17"/>
                <w:szCs w:val="17"/>
                <w:color w:val="0000FF"/>
              </w:rPr>
            </w:pPr>
            <w:hyperlink r:id="rId276">
              <w:r>
                <w:rPr>
                  <w:rFonts w:ascii="Times New Roman" w:cs="Times New Roman" w:eastAsia="Times New Roman" w:hAnsi="Times New Roman"/>
                  <w:sz w:val="17"/>
                  <w:szCs w:val="17"/>
                  <w:color w:val="0000FF"/>
                </w:rPr>
                <w:t>Incentive Plan</w:t>
              </w:r>
              <w:r>
                <w:rPr>
                  <w:rFonts w:ascii="Times New Roman" w:cs="Times New Roman" w:eastAsia="Times New Roman" w:hAnsi="Times New Roman"/>
                  <w:sz w:val="17"/>
                  <w:szCs w:val="17"/>
                  <w:color w:val="000000"/>
                </w:rPr>
                <w:t>*</w:t>
              </w:r>
            </w:hyperlink>
          </w:p>
        </w:tc>
        <w:tc>
          <w:tcPr>
            <w:tcW w:w="1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920" w:type="dxa"/>
            <w:vAlign w:val="bottom"/>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920" w:type="dxa"/>
            <w:vAlign w:val="bottom"/>
            <w:vMerge w:val="restart"/>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10.45</w:t>
            </w:r>
          </w:p>
        </w:tc>
        <w:tc>
          <w:tcPr>
            <w:tcW w:w="4300" w:type="dxa"/>
            <w:vAlign w:val="bottom"/>
            <w:gridSpan w:val="15"/>
            <w:shd w:val="clear" w:color="auto" w:fill="CCEEFF"/>
          </w:tcPr>
          <w:p>
            <w:pPr>
              <w:spacing w:after="0" w:line="179" w:lineRule="exact"/>
              <w:rPr>
                <w:rFonts w:ascii="Times New Roman" w:cs="Times New Roman" w:eastAsia="Times New Roman" w:hAnsi="Times New Roman"/>
                <w:sz w:val="17"/>
                <w:szCs w:val="17"/>
                <w:color w:val="0000FF"/>
              </w:rPr>
            </w:pPr>
            <w:hyperlink r:id="rId277">
              <w:r>
                <w:rPr>
                  <w:rFonts w:ascii="Times New Roman" w:cs="Times New Roman" w:eastAsia="Times New Roman" w:hAnsi="Times New Roman"/>
                  <w:sz w:val="17"/>
                  <w:szCs w:val="17"/>
                  <w:color w:val="0000FF"/>
                </w:rPr>
                <w:t>Form of Performance Unit Agreement - Marriott</w:t>
              </w:r>
            </w:hyperlink>
          </w:p>
        </w:tc>
        <w:tc>
          <w:tcPr>
            <w:tcW w:w="1200" w:type="dxa"/>
            <w:vAlign w:val="bottom"/>
            <w:vMerge w:val="restart"/>
            <w:shd w:val="clear" w:color="auto" w:fill="CCEEFF"/>
          </w:tcPr>
          <w:p>
            <w:pPr>
              <w:jc w:val="center"/>
              <w:ind w:left="295"/>
              <w:spacing w:after="0"/>
              <w:rPr>
                <w:sz w:val="20"/>
                <w:szCs w:val="20"/>
                <w:color w:val="auto"/>
              </w:rPr>
            </w:pPr>
            <w:r>
              <w:rPr>
                <w:rFonts w:ascii="Times New Roman" w:cs="Times New Roman" w:eastAsia="Times New Roman" w:hAnsi="Times New Roman"/>
                <w:sz w:val="17"/>
                <w:szCs w:val="17"/>
                <w:color w:val="auto"/>
                <w:w w:val="97"/>
              </w:rPr>
              <w:t>10-K</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10.54</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2/27/2024</w:t>
            </w:r>
          </w:p>
        </w:tc>
        <w:tc>
          <w:tcPr>
            <w:tcW w:w="0" w:type="dxa"/>
            <w:vAlign w:val="bottom"/>
          </w:tcPr>
          <w:p>
            <w:pPr>
              <w:spacing w:after="0"/>
              <w:rPr>
                <w:sz w:val="1"/>
                <w:szCs w:val="1"/>
                <w:color w:val="auto"/>
              </w:rPr>
            </w:pPr>
          </w:p>
        </w:tc>
      </w:tr>
      <w:tr>
        <w:trPr>
          <w:trHeight w:val="146"/>
        </w:trPr>
        <w:tc>
          <w:tcPr>
            <w:tcW w:w="920" w:type="dxa"/>
            <w:vAlign w:val="bottom"/>
            <w:tcBorders>
              <w:top w:val="single" w:sz="8" w:color="CCEEFF"/>
            </w:tcBorders>
            <w:vMerge w:val="continue"/>
            <w:shd w:val="clear" w:color="auto" w:fill="CCEEFF"/>
          </w:tcPr>
          <w:p>
            <w:pPr>
              <w:spacing w:after="0"/>
              <w:rPr>
                <w:sz w:val="12"/>
                <w:szCs w:val="12"/>
                <w:color w:val="auto"/>
              </w:rPr>
            </w:pPr>
          </w:p>
        </w:tc>
        <w:tc>
          <w:tcPr>
            <w:tcW w:w="3340" w:type="dxa"/>
            <w:vAlign w:val="bottom"/>
            <w:tcBorders>
              <w:top w:val="single" w:sz="8" w:color="0000FF"/>
            </w:tcBorders>
            <w:gridSpan w:val="11"/>
            <w:shd w:val="clear" w:color="auto" w:fill="CCEEFF"/>
          </w:tcPr>
          <w:p>
            <w:pPr>
              <w:spacing w:after="0" w:line="146" w:lineRule="exact"/>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Vacations Worldwide Corporation 2020 Equity</w:t>
              </w:r>
            </w:hyperlink>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gridSpan w:val="3"/>
            <w:shd w:val="clear" w:color="auto" w:fill="CCEEFF"/>
          </w:tcPr>
          <w:p>
            <w:pPr>
              <w:spacing w:after="0"/>
              <w:rPr>
                <w:sz w:val="12"/>
                <w:szCs w:val="12"/>
                <w:color w:val="auto"/>
              </w:rPr>
            </w:pPr>
          </w:p>
        </w:tc>
        <w:tc>
          <w:tcPr>
            <w:tcW w:w="1200" w:type="dxa"/>
            <w:vAlign w:val="bottom"/>
            <w:tcBorders>
              <w:top w:val="single" w:sz="8" w:color="CCEEFF"/>
            </w:tcBorders>
            <w:vMerge w:val="continue"/>
            <w:shd w:val="clear" w:color="auto" w:fill="CCEEFF"/>
          </w:tcPr>
          <w:p>
            <w:pPr>
              <w:spacing w:after="0"/>
              <w:rPr>
                <w:sz w:val="12"/>
                <w:szCs w:val="12"/>
                <w:color w:val="auto"/>
              </w:rPr>
            </w:pPr>
          </w:p>
        </w:tc>
        <w:tc>
          <w:tcPr>
            <w:tcW w:w="820" w:type="dxa"/>
            <w:vAlign w:val="bottom"/>
            <w:tcBorders>
              <w:top w:val="single" w:sz="8" w:color="CCEEFF"/>
            </w:tcBorders>
            <w:vMerge w:val="continue"/>
            <w:shd w:val="clear" w:color="auto" w:fill="CCEEFF"/>
          </w:tcPr>
          <w:p>
            <w:pPr>
              <w:spacing w:after="0"/>
              <w:rPr>
                <w:sz w:val="12"/>
                <w:szCs w:val="12"/>
                <w:color w:val="auto"/>
              </w:rPr>
            </w:pPr>
          </w:p>
        </w:tc>
        <w:tc>
          <w:tcPr>
            <w:tcW w:w="1060" w:type="dxa"/>
            <w:vAlign w:val="bottom"/>
            <w:tcBorders>
              <w:top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tcBorders>
              <w:top w:val="single" w:sz="8" w:color="CCEEFF"/>
            </w:tcBorders>
            <w:shd w:val="clear" w:color="auto" w:fill="CCEEFF"/>
          </w:tcPr>
          <w:p>
            <w:pPr>
              <w:spacing w:after="0"/>
              <w:rPr>
                <w:sz w:val="13"/>
                <w:szCs w:val="13"/>
                <w:color w:val="auto"/>
              </w:rPr>
            </w:pPr>
          </w:p>
        </w:tc>
        <w:tc>
          <w:tcPr>
            <w:tcW w:w="3200" w:type="dxa"/>
            <w:vAlign w:val="bottom"/>
            <w:tcBorders>
              <w:top w:val="single" w:sz="8" w:color="0000FF"/>
            </w:tcBorders>
            <w:gridSpan w:val="8"/>
            <w:shd w:val="clear" w:color="auto" w:fill="CCEEFF"/>
          </w:tcPr>
          <w:p>
            <w:pPr>
              <w:spacing w:after="0" w:line="159" w:lineRule="exact"/>
              <w:rPr>
                <w:rFonts w:ascii="Times New Roman" w:cs="Times New Roman" w:eastAsia="Times New Roman" w:hAnsi="Times New Roman"/>
                <w:sz w:val="17"/>
                <w:szCs w:val="17"/>
                <w:color w:val="0000FF"/>
              </w:rPr>
            </w:pPr>
            <w:hyperlink r:id="rId277">
              <w:r>
                <w:rPr>
                  <w:rFonts w:ascii="Times New Roman" w:cs="Times New Roman" w:eastAsia="Times New Roman" w:hAnsi="Times New Roman"/>
                  <w:sz w:val="17"/>
                  <w:szCs w:val="17"/>
                  <w:color w:val="0000FF"/>
                </w:rPr>
                <w:t>Incentive Plan</w:t>
              </w:r>
              <w:r>
                <w:rPr>
                  <w:rFonts w:ascii="Times New Roman" w:cs="Times New Roman" w:eastAsia="Times New Roman" w:hAnsi="Times New Roman"/>
                  <w:sz w:val="17"/>
                  <w:szCs w:val="17"/>
                  <w:color w:val="000000"/>
                </w:rPr>
                <w:t>*</w:t>
              </w:r>
            </w:hyperlink>
          </w:p>
        </w:tc>
        <w:tc>
          <w:tcPr>
            <w:tcW w:w="240" w:type="dxa"/>
            <w:vAlign w:val="bottom"/>
            <w:tcBorders>
              <w:top w:val="single" w:sz="8" w:color="CCEEFF"/>
            </w:tcBorders>
            <w:gridSpan w:val="4"/>
            <w:shd w:val="clear" w:color="auto" w:fill="CCEEFF"/>
          </w:tcPr>
          <w:p>
            <w:pPr>
              <w:spacing w:after="0"/>
              <w:rPr>
                <w:sz w:val="13"/>
                <w:szCs w:val="13"/>
                <w:color w:val="auto"/>
              </w:rPr>
            </w:pPr>
          </w:p>
        </w:tc>
        <w:tc>
          <w:tcPr>
            <w:tcW w:w="860" w:type="dxa"/>
            <w:vAlign w:val="bottom"/>
            <w:tcBorders>
              <w:top w:val="single" w:sz="8" w:color="CCEEFF"/>
            </w:tcBorders>
            <w:gridSpan w:val="3"/>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920" w:type="dxa"/>
            <w:vAlign w:val="bottom"/>
            <w:shd w:val="clear" w:color="auto" w:fill="CCEE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10.46</w:t>
            </w:r>
          </w:p>
        </w:tc>
        <w:tc>
          <w:tcPr>
            <w:tcW w:w="4300" w:type="dxa"/>
            <w:vAlign w:val="bottom"/>
            <w:gridSpan w:val="15"/>
          </w:tcPr>
          <w:p>
            <w:pPr>
              <w:spacing w:after="0"/>
              <w:rPr>
                <w:rFonts w:ascii="Times New Roman" w:cs="Times New Roman" w:eastAsia="Times New Roman" w:hAnsi="Times New Roman"/>
                <w:sz w:val="17"/>
                <w:szCs w:val="17"/>
                <w:color w:val="0000FF"/>
              </w:rPr>
            </w:pPr>
            <w:hyperlink r:id="rId278">
              <w:r>
                <w:rPr>
                  <w:rFonts w:ascii="Times New Roman" w:cs="Times New Roman" w:eastAsia="Times New Roman" w:hAnsi="Times New Roman"/>
                  <w:sz w:val="17"/>
                  <w:szCs w:val="17"/>
                  <w:color w:val="0000FF"/>
                </w:rPr>
                <w:t>Form of Stock Appreciation Right Agreement -</w:t>
              </w:r>
            </w:hyperlink>
          </w:p>
        </w:tc>
        <w:tc>
          <w:tcPr>
            <w:tcW w:w="1200" w:type="dxa"/>
            <w:vAlign w:val="bottom"/>
            <w:vMerge w:val="restart"/>
          </w:tcPr>
          <w:p>
            <w:pPr>
              <w:jc w:val="center"/>
              <w:ind w:left="295"/>
              <w:spacing w:after="0"/>
              <w:rPr>
                <w:sz w:val="20"/>
                <w:szCs w:val="20"/>
                <w:color w:val="auto"/>
              </w:rPr>
            </w:pPr>
            <w:r>
              <w:rPr>
                <w:rFonts w:ascii="Times New Roman" w:cs="Times New Roman" w:eastAsia="Times New Roman" w:hAnsi="Times New Roman"/>
                <w:sz w:val="17"/>
                <w:szCs w:val="17"/>
                <w:color w:val="auto"/>
                <w:w w:val="97"/>
              </w:rPr>
              <w:t>10-Q</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5/7/2024</w:t>
            </w:r>
          </w:p>
        </w:tc>
        <w:tc>
          <w:tcPr>
            <w:tcW w:w="0" w:type="dxa"/>
            <w:vAlign w:val="bottom"/>
          </w:tcPr>
          <w:p>
            <w:pPr>
              <w:spacing w:after="0"/>
              <w:rPr>
                <w:sz w:val="1"/>
                <w:szCs w:val="1"/>
                <w:color w:val="auto"/>
              </w:rPr>
            </w:pPr>
          </w:p>
        </w:tc>
      </w:tr>
      <w:tr>
        <w:trPr>
          <w:trHeight w:val="146"/>
        </w:trPr>
        <w:tc>
          <w:tcPr>
            <w:tcW w:w="920" w:type="dxa"/>
            <w:vAlign w:val="bottom"/>
            <w:vMerge w:val="continue"/>
          </w:tcPr>
          <w:p>
            <w:pPr>
              <w:spacing w:after="0"/>
              <w:rPr>
                <w:sz w:val="12"/>
                <w:szCs w:val="12"/>
                <w:color w:val="auto"/>
              </w:rPr>
            </w:pPr>
          </w:p>
        </w:tc>
        <w:tc>
          <w:tcPr>
            <w:tcW w:w="3240" w:type="dxa"/>
            <w:vAlign w:val="bottom"/>
            <w:tcBorders>
              <w:top w:val="single" w:sz="8" w:color="0000FF"/>
            </w:tcBorders>
            <w:gridSpan w:val="9"/>
          </w:tcPr>
          <w:p>
            <w:pPr>
              <w:spacing w:after="0" w:line="146" w:lineRule="exact"/>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Marriott Vacations Worldwide Corporation 2020</w:t>
              </w:r>
            </w:hyperlink>
          </w:p>
        </w:tc>
        <w:tc>
          <w:tcPr>
            <w:tcW w:w="200" w:type="dxa"/>
            <w:vAlign w:val="bottom"/>
            <w:gridSpan w:val="3"/>
          </w:tcPr>
          <w:p>
            <w:pPr>
              <w:spacing w:after="0"/>
              <w:rPr>
                <w:sz w:val="12"/>
                <w:szCs w:val="12"/>
                <w:color w:val="auto"/>
              </w:rPr>
            </w:pPr>
          </w:p>
        </w:tc>
        <w:tc>
          <w:tcPr>
            <w:tcW w:w="860" w:type="dxa"/>
            <w:vAlign w:val="bottom"/>
            <w:gridSpan w:val="3"/>
          </w:tcPr>
          <w:p>
            <w:pPr>
              <w:spacing w:after="0"/>
              <w:rPr>
                <w:sz w:val="12"/>
                <w:szCs w:val="12"/>
                <w:color w:val="auto"/>
              </w:rPr>
            </w:pPr>
          </w:p>
        </w:tc>
        <w:tc>
          <w:tcPr>
            <w:tcW w:w="12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3320" w:type="dxa"/>
            <w:vAlign w:val="bottom"/>
            <w:tcBorders>
              <w:top w:val="single" w:sz="8" w:color="0000FF"/>
            </w:tcBorders>
            <w:gridSpan w:val="10"/>
          </w:tcPr>
          <w:p>
            <w:pPr>
              <w:spacing w:after="0" w:line="159" w:lineRule="exact"/>
              <w:rPr>
                <w:rFonts w:ascii="Times New Roman" w:cs="Times New Roman" w:eastAsia="Times New Roman" w:hAnsi="Times New Roman"/>
                <w:sz w:val="17"/>
                <w:szCs w:val="17"/>
                <w:color w:val="0000FF"/>
              </w:rPr>
            </w:pPr>
            <w:hyperlink r:id="rId278">
              <w:r>
                <w:rPr>
                  <w:rFonts w:ascii="Times New Roman" w:cs="Times New Roman" w:eastAsia="Times New Roman" w:hAnsi="Times New Roman"/>
                  <w:sz w:val="17"/>
                  <w:szCs w:val="17"/>
                  <w:color w:val="0000FF"/>
                </w:rPr>
                <w:t>Equity Incentive Plan</w:t>
              </w:r>
              <w:r>
                <w:rPr>
                  <w:rFonts w:ascii="Times New Roman" w:cs="Times New Roman" w:eastAsia="Times New Roman" w:hAnsi="Times New Roman"/>
                  <w:sz w:val="17"/>
                  <w:szCs w:val="17"/>
                  <w:color w:val="000000"/>
                </w:rPr>
                <w:t>*</w:t>
              </w:r>
            </w:hyperlink>
          </w:p>
        </w:tc>
        <w:tc>
          <w:tcPr>
            <w:tcW w:w="120" w:type="dxa"/>
            <w:vAlign w:val="bottom"/>
            <w:gridSpan w:val="2"/>
          </w:tcPr>
          <w:p>
            <w:pPr>
              <w:spacing w:after="0"/>
              <w:rPr>
                <w:sz w:val="13"/>
                <w:szCs w:val="13"/>
                <w:color w:val="auto"/>
              </w:rPr>
            </w:pPr>
          </w:p>
        </w:tc>
        <w:tc>
          <w:tcPr>
            <w:tcW w:w="86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920" w:type="dxa"/>
            <w:vAlign w:val="bottom"/>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920" w:type="dxa"/>
            <w:vAlign w:val="bottom"/>
            <w:vMerge w:val="restart"/>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10.47</w:t>
            </w:r>
          </w:p>
        </w:tc>
        <w:tc>
          <w:tcPr>
            <w:tcW w:w="4300" w:type="dxa"/>
            <w:vAlign w:val="bottom"/>
            <w:gridSpan w:val="15"/>
            <w:shd w:val="clear" w:color="auto" w:fill="CCEEFF"/>
          </w:tcPr>
          <w:p>
            <w:pPr>
              <w:spacing w:after="0"/>
              <w:rPr>
                <w:rFonts w:ascii="Times New Roman" w:cs="Times New Roman" w:eastAsia="Times New Roman" w:hAnsi="Times New Roman"/>
                <w:sz w:val="17"/>
                <w:szCs w:val="17"/>
                <w:color w:val="0000FF"/>
              </w:rPr>
            </w:pPr>
            <w:hyperlink r:id="rId279">
              <w:r>
                <w:rPr>
                  <w:rFonts w:ascii="Times New Roman" w:cs="Times New Roman" w:eastAsia="Times New Roman" w:hAnsi="Times New Roman"/>
                  <w:sz w:val="17"/>
                  <w:szCs w:val="17"/>
                  <w:color w:val="0000FF"/>
                </w:rPr>
                <w:t>Form of Restricted Stock Unit Agreement - Marriott</w:t>
              </w:r>
            </w:hyperlink>
          </w:p>
        </w:tc>
        <w:tc>
          <w:tcPr>
            <w:tcW w:w="1200" w:type="dxa"/>
            <w:vAlign w:val="bottom"/>
            <w:vMerge w:val="restart"/>
            <w:shd w:val="clear" w:color="auto" w:fill="CCEEFF"/>
          </w:tcPr>
          <w:p>
            <w:pPr>
              <w:jc w:val="center"/>
              <w:ind w:left="295"/>
              <w:spacing w:after="0"/>
              <w:rPr>
                <w:sz w:val="20"/>
                <w:szCs w:val="20"/>
                <w:color w:val="auto"/>
              </w:rPr>
            </w:pPr>
            <w:r>
              <w:rPr>
                <w:rFonts w:ascii="Times New Roman" w:cs="Times New Roman" w:eastAsia="Times New Roman" w:hAnsi="Times New Roman"/>
                <w:sz w:val="17"/>
                <w:szCs w:val="17"/>
                <w:color w:val="auto"/>
                <w:w w:val="97"/>
              </w:rPr>
              <w:t>10-Q</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5/7/2024</w:t>
            </w:r>
          </w:p>
        </w:tc>
        <w:tc>
          <w:tcPr>
            <w:tcW w:w="0" w:type="dxa"/>
            <w:vAlign w:val="bottom"/>
          </w:tcPr>
          <w:p>
            <w:pPr>
              <w:spacing w:after="0"/>
              <w:rPr>
                <w:sz w:val="1"/>
                <w:szCs w:val="1"/>
                <w:color w:val="auto"/>
              </w:rPr>
            </w:pPr>
          </w:p>
        </w:tc>
      </w:tr>
      <w:tr>
        <w:trPr>
          <w:trHeight w:val="146"/>
        </w:trPr>
        <w:tc>
          <w:tcPr>
            <w:tcW w:w="920" w:type="dxa"/>
            <w:vAlign w:val="bottom"/>
            <w:tcBorders>
              <w:top w:val="single" w:sz="8" w:color="CCEEFF"/>
            </w:tcBorders>
            <w:vMerge w:val="continue"/>
            <w:shd w:val="clear" w:color="auto" w:fill="CCEEFF"/>
          </w:tcPr>
          <w:p>
            <w:pPr>
              <w:spacing w:after="0"/>
              <w:rPr>
                <w:sz w:val="12"/>
                <w:szCs w:val="12"/>
                <w:color w:val="auto"/>
              </w:rPr>
            </w:pPr>
          </w:p>
        </w:tc>
        <w:tc>
          <w:tcPr>
            <w:tcW w:w="3560" w:type="dxa"/>
            <w:vAlign w:val="bottom"/>
            <w:tcBorders>
              <w:top w:val="single" w:sz="8" w:color="0000FF"/>
            </w:tcBorders>
            <w:gridSpan w:val="13"/>
            <w:shd w:val="clear" w:color="auto" w:fill="CCEEFF"/>
          </w:tcPr>
          <w:p>
            <w:pPr>
              <w:spacing w:after="0" w:line="146" w:lineRule="exact"/>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Vacations Worldwide Corporation 2020 Equity</w:t>
              </w:r>
            </w:hyperlink>
          </w:p>
        </w:tc>
        <w:tc>
          <w:tcPr>
            <w:tcW w:w="740" w:type="dxa"/>
            <w:vAlign w:val="bottom"/>
            <w:tcBorders>
              <w:top w:val="single" w:sz="8" w:color="CCEEFF"/>
            </w:tcBorders>
            <w:gridSpan w:val="2"/>
            <w:shd w:val="clear" w:color="auto" w:fill="CCEEFF"/>
          </w:tcPr>
          <w:p>
            <w:pPr>
              <w:spacing w:after="0"/>
              <w:rPr>
                <w:sz w:val="12"/>
                <w:szCs w:val="12"/>
                <w:color w:val="auto"/>
              </w:rPr>
            </w:pPr>
          </w:p>
        </w:tc>
        <w:tc>
          <w:tcPr>
            <w:tcW w:w="1200" w:type="dxa"/>
            <w:vAlign w:val="bottom"/>
            <w:tcBorders>
              <w:top w:val="single" w:sz="8" w:color="CCEEFF"/>
            </w:tcBorders>
            <w:vMerge w:val="continue"/>
            <w:shd w:val="clear" w:color="auto" w:fill="CCEEFF"/>
          </w:tcPr>
          <w:p>
            <w:pPr>
              <w:spacing w:after="0"/>
              <w:rPr>
                <w:sz w:val="12"/>
                <w:szCs w:val="12"/>
                <w:color w:val="auto"/>
              </w:rPr>
            </w:pPr>
          </w:p>
        </w:tc>
        <w:tc>
          <w:tcPr>
            <w:tcW w:w="820" w:type="dxa"/>
            <w:vAlign w:val="bottom"/>
            <w:tcBorders>
              <w:top w:val="single" w:sz="8" w:color="CCEEFF"/>
            </w:tcBorders>
            <w:vMerge w:val="continue"/>
            <w:shd w:val="clear" w:color="auto" w:fill="CCEEFF"/>
          </w:tcPr>
          <w:p>
            <w:pPr>
              <w:spacing w:after="0"/>
              <w:rPr>
                <w:sz w:val="12"/>
                <w:szCs w:val="12"/>
                <w:color w:val="auto"/>
              </w:rPr>
            </w:pPr>
          </w:p>
        </w:tc>
        <w:tc>
          <w:tcPr>
            <w:tcW w:w="1060" w:type="dxa"/>
            <w:vAlign w:val="bottom"/>
            <w:tcBorders>
              <w:top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tcBorders>
              <w:top w:val="single" w:sz="8" w:color="CCEEFF"/>
            </w:tcBorders>
            <w:shd w:val="clear" w:color="auto" w:fill="CCEEFF"/>
          </w:tcPr>
          <w:p>
            <w:pPr>
              <w:spacing w:after="0"/>
              <w:rPr>
                <w:sz w:val="13"/>
                <w:szCs w:val="13"/>
                <w:color w:val="auto"/>
              </w:rPr>
            </w:pPr>
          </w:p>
        </w:tc>
        <w:tc>
          <w:tcPr>
            <w:tcW w:w="3200" w:type="dxa"/>
            <w:vAlign w:val="bottom"/>
            <w:tcBorders>
              <w:top w:val="single" w:sz="8" w:color="0000FF"/>
            </w:tcBorders>
            <w:gridSpan w:val="8"/>
            <w:shd w:val="clear" w:color="auto" w:fill="CCEEFF"/>
          </w:tcPr>
          <w:p>
            <w:pPr>
              <w:spacing w:after="0" w:line="159" w:lineRule="exact"/>
              <w:rPr>
                <w:rFonts w:ascii="Times New Roman" w:cs="Times New Roman" w:eastAsia="Times New Roman" w:hAnsi="Times New Roman"/>
                <w:sz w:val="17"/>
                <w:szCs w:val="17"/>
                <w:color w:val="0000FF"/>
              </w:rPr>
            </w:pPr>
            <w:hyperlink r:id="rId279">
              <w:r>
                <w:rPr>
                  <w:rFonts w:ascii="Times New Roman" w:cs="Times New Roman" w:eastAsia="Times New Roman" w:hAnsi="Times New Roman"/>
                  <w:sz w:val="17"/>
                  <w:szCs w:val="17"/>
                  <w:color w:val="0000FF"/>
                </w:rPr>
                <w:t>Incentive Plan</w:t>
              </w:r>
              <w:r>
                <w:rPr>
                  <w:rFonts w:ascii="Times New Roman" w:cs="Times New Roman" w:eastAsia="Times New Roman" w:hAnsi="Times New Roman"/>
                  <w:sz w:val="17"/>
                  <w:szCs w:val="17"/>
                  <w:color w:val="000000"/>
                </w:rPr>
                <w:t>*</w:t>
              </w:r>
            </w:hyperlink>
          </w:p>
        </w:tc>
        <w:tc>
          <w:tcPr>
            <w:tcW w:w="240" w:type="dxa"/>
            <w:vAlign w:val="bottom"/>
            <w:tcBorders>
              <w:top w:val="single" w:sz="8" w:color="CCEEFF"/>
            </w:tcBorders>
            <w:gridSpan w:val="4"/>
            <w:shd w:val="clear" w:color="auto" w:fill="CCEEFF"/>
          </w:tcPr>
          <w:p>
            <w:pPr>
              <w:spacing w:after="0"/>
              <w:rPr>
                <w:sz w:val="13"/>
                <w:szCs w:val="13"/>
                <w:color w:val="auto"/>
              </w:rPr>
            </w:pPr>
          </w:p>
        </w:tc>
        <w:tc>
          <w:tcPr>
            <w:tcW w:w="860" w:type="dxa"/>
            <w:vAlign w:val="bottom"/>
            <w:tcBorders>
              <w:top w:val="single" w:sz="8" w:color="CCEEFF"/>
            </w:tcBorders>
            <w:gridSpan w:val="3"/>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9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92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10.48</w:t>
            </w:r>
          </w:p>
        </w:tc>
        <w:tc>
          <w:tcPr>
            <w:tcW w:w="4300" w:type="dxa"/>
            <w:vAlign w:val="bottom"/>
            <w:gridSpan w:val="15"/>
          </w:tcPr>
          <w:p>
            <w:pPr>
              <w:spacing w:after="0" w:line="179" w:lineRule="exact"/>
              <w:rPr>
                <w:rFonts w:ascii="Times New Roman" w:cs="Times New Roman" w:eastAsia="Times New Roman" w:hAnsi="Times New Roman"/>
                <w:sz w:val="17"/>
                <w:szCs w:val="17"/>
                <w:color w:val="0000FF"/>
              </w:rPr>
            </w:pPr>
            <w:hyperlink r:id="rId280">
              <w:r>
                <w:rPr>
                  <w:rFonts w:ascii="Times New Roman" w:cs="Times New Roman" w:eastAsia="Times New Roman" w:hAnsi="Times New Roman"/>
                  <w:sz w:val="17"/>
                  <w:szCs w:val="17"/>
                  <w:color w:val="0000FF"/>
                </w:rPr>
                <w:t>Form of Performance Unit Agreement - Marriott</w:t>
              </w:r>
            </w:hyperlink>
          </w:p>
        </w:tc>
        <w:tc>
          <w:tcPr>
            <w:tcW w:w="1200" w:type="dxa"/>
            <w:vAlign w:val="bottom"/>
            <w:vMerge w:val="restart"/>
          </w:tcPr>
          <w:p>
            <w:pPr>
              <w:jc w:val="center"/>
              <w:ind w:left="295"/>
              <w:spacing w:after="0"/>
              <w:rPr>
                <w:sz w:val="20"/>
                <w:szCs w:val="20"/>
                <w:color w:val="auto"/>
              </w:rPr>
            </w:pPr>
            <w:r>
              <w:rPr>
                <w:rFonts w:ascii="Times New Roman" w:cs="Times New Roman" w:eastAsia="Times New Roman" w:hAnsi="Times New Roman"/>
                <w:sz w:val="17"/>
                <w:szCs w:val="17"/>
                <w:color w:val="auto"/>
                <w:w w:val="97"/>
              </w:rPr>
              <w:t>10-Q</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5/7/2024</w:t>
            </w:r>
          </w:p>
        </w:tc>
        <w:tc>
          <w:tcPr>
            <w:tcW w:w="0" w:type="dxa"/>
            <w:vAlign w:val="bottom"/>
          </w:tcPr>
          <w:p>
            <w:pPr>
              <w:spacing w:after="0"/>
              <w:rPr>
                <w:sz w:val="1"/>
                <w:szCs w:val="1"/>
                <w:color w:val="auto"/>
              </w:rPr>
            </w:pPr>
          </w:p>
        </w:tc>
      </w:tr>
      <w:tr>
        <w:trPr>
          <w:trHeight w:val="146"/>
        </w:trPr>
        <w:tc>
          <w:tcPr>
            <w:tcW w:w="920" w:type="dxa"/>
            <w:vAlign w:val="bottom"/>
            <w:vMerge w:val="continue"/>
          </w:tcPr>
          <w:p>
            <w:pPr>
              <w:spacing w:after="0"/>
              <w:rPr>
                <w:sz w:val="12"/>
                <w:szCs w:val="12"/>
                <w:color w:val="auto"/>
              </w:rPr>
            </w:pPr>
          </w:p>
        </w:tc>
        <w:tc>
          <w:tcPr>
            <w:tcW w:w="3340" w:type="dxa"/>
            <w:vAlign w:val="bottom"/>
            <w:tcBorders>
              <w:top w:val="single" w:sz="8" w:color="0000FF"/>
            </w:tcBorders>
            <w:gridSpan w:val="11"/>
          </w:tcPr>
          <w:p>
            <w:pPr>
              <w:spacing w:after="0" w:line="146" w:lineRule="exact"/>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Vacations Worldwide Corporation 2020 Equity</w:t>
              </w:r>
            </w:hyperlink>
          </w:p>
        </w:tc>
        <w:tc>
          <w:tcPr>
            <w:tcW w:w="100" w:type="dxa"/>
            <w:vAlign w:val="bottom"/>
          </w:tcPr>
          <w:p>
            <w:pPr>
              <w:spacing w:after="0"/>
              <w:rPr>
                <w:sz w:val="12"/>
                <w:szCs w:val="12"/>
                <w:color w:val="auto"/>
              </w:rPr>
            </w:pPr>
          </w:p>
        </w:tc>
        <w:tc>
          <w:tcPr>
            <w:tcW w:w="860" w:type="dxa"/>
            <w:vAlign w:val="bottom"/>
            <w:gridSpan w:val="3"/>
          </w:tcPr>
          <w:p>
            <w:pPr>
              <w:spacing w:after="0"/>
              <w:rPr>
                <w:sz w:val="12"/>
                <w:szCs w:val="12"/>
                <w:color w:val="auto"/>
              </w:rPr>
            </w:pPr>
          </w:p>
        </w:tc>
        <w:tc>
          <w:tcPr>
            <w:tcW w:w="12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3200" w:type="dxa"/>
            <w:vAlign w:val="bottom"/>
            <w:tcBorders>
              <w:top w:val="single" w:sz="8" w:color="0000FF"/>
            </w:tcBorders>
            <w:gridSpan w:val="8"/>
          </w:tcPr>
          <w:p>
            <w:pPr>
              <w:spacing w:after="0" w:line="159" w:lineRule="exact"/>
              <w:rPr>
                <w:rFonts w:ascii="Times New Roman" w:cs="Times New Roman" w:eastAsia="Times New Roman" w:hAnsi="Times New Roman"/>
                <w:sz w:val="17"/>
                <w:szCs w:val="17"/>
                <w:color w:val="0000FF"/>
              </w:rPr>
            </w:pPr>
            <w:hyperlink r:id="rId280">
              <w:r>
                <w:rPr>
                  <w:rFonts w:ascii="Times New Roman" w:cs="Times New Roman" w:eastAsia="Times New Roman" w:hAnsi="Times New Roman"/>
                  <w:sz w:val="17"/>
                  <w:szCs w:val="17"/>
                  <w:color w:val="0000FF"/>
                </w:rPr>
                <w:t>Incentive Plan</w:t>
              </w:r>
              <w:r>
                <w:rPr>
                  <w:rFonts w:ascii="Times New Roman" w:cs="Times New Roman" w:eastAsia="Times New Roman" w:hAnsi="Times New Roman"/>
                  <w:sz w:val="17"/>
                  <w:szCs w:val="17"/>
                  <w:color w:val="000000"/>
                </w:rPr>
                <w:t>*</w:t>
              </w:r>
            </w:hyperlink>
          </w:p>
        </w:tc>
        <w:tc>
          <w:tcPr>
            <w:tcW w:w="240" w:type="dxa"/>
            <w:vAlign w:val="bottom"/>
            <w:gridSpan w:val="4"/>
          </w:tcPr>
          <w:p>
            <w:pPr>
              <w:spacing w:after="0"/>
              <w:rPr>
                <w:sz w:val="13"/>
                <w:szCs w:val="13"/>
                <w:color w:val="auto"/>
              </w:rPr>
            </w:pPr>
          </w:p>
        </w:tc>
        <w:tc>
          <w:tcPr>
            <w:tcW w:w="86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920" w:type="dxa"/>
            <w:vAlign w:val="bottom"/>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920" w:type="dxa"/>
            <w:vAlign w:val="bottom"/>
            <w:tcBorders>
              <w:bottom w:val="single" w:sz="8" w:color="CCEEFF"/>
            </w:tcBorders>
            <w:shd w:val="clear" w:color="auto" w:fill="CCEEFF"/>
          </w:tcPr>
          <w:p>
            <w:pPr>
              <w:spacing w:after="0"/>
              <w:rPr>
                <w:sz w:val="17"/>
                <w:szCs w:val="17"/>
                <w:color w:val="auto"/>
              </w:rPr>
            </w:pPr>
          </w:p>
        </w:tc>
        <w:tc>
          <w:tcPr>
            <w:tcW w:w="3440" w:type="dxa"/>
            <w:vAlign w:val="bottom"/>
            <w:tcBorders>
              <w:bottom w:val="single" w:sz="8" w:color="0000FF"/>
            </w:tcBorders>
            <w:gridSpan w:val="12"/>
            <w:shd w:val="clear" w:color="auto" w:fill="CCEEFF"/>
          </w:tcPr>
          <w:p>
            <w:pPr>
              <w:spacing w:after="0"/>
              <w:rPr>
                <w:rFonts w:ascii="Times New Roman" w:cs="Times New Roman" w:eastAsia="Times New Roman" w:hAnsi="Times New Roman"/>
                <w:sz w:val="17"/>
                <w:szCs w:val="17"/>
                <w:color w:val="0000FF"/>
                <w:w w:val="99"/>
              </w:rPr>
            </w:pPr>
            <w:hyperlink r:id="rId281">
              <w:r>
                <w:rPr>
                  <w:rFonts w:ascii="Times New Roman" w:cs="Times New Roman" w:eastAsia="Times New Roman" w:hAnsi="Times New Roman"/>
                  <w:sz w:val="17"/>
                  <w:szCs w:val="17"/>
                  <w:color w:val="0000FF"/>
                  <w:w w:val="99"/>
                </w:rPr>
                <w:t>Support Agreement, dated May 27, 2025, between</w:t>
              </w:r>
            </w:hyperlink>
          </w:p>
        </w:tc>
        <w:tc>
          <w:tcPr>
            <w:tcW w:w="860" w:type="dxa"/>
            <w:vAlign w:val="bottom"/>
            <w:tcBorders>
              <w:bottom w:val="single" w:sz="8" w:color="CCEEFF"/>
            </w:tcBorders>
            <w:gridSpan w:val="3"/>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920" w:type="dxa"/>
            <w:vAlign w:val="bottom"/>
            <w:tcBorders>
              <w:bottom w:val="single" w:sz="8" w:color="CCEEFF"/>
            </w:tcBorders>
            <w:shd w:val="clear" w:color="auto" w:fill="CCEEFF"/>
          </w:tcPr>
          <w:p>
            <w:pPr>
              <w:jc w:val="right"/>
              <w:ind w:right="255"/>
              <w:spacing w:after="0" w:line="185" w:lineRule="exact"/>
              <w:rPr>
                <w:sz w:val="20"/>
                <w:szCs w:val="20"/>
                <w:color w:val="auto"/>
              </w:rPr>
            </w:pPr>
            <w:r>
              <w:rPr>
                <w:rFonts w:ascii="Times New Roman" w:cs="Times New Roman" w:eastAsia="Times New Roman" w:hAnsi="Times New Roman"/>
                <w:sz w:val="17"/>
                <w:szCs w:val="17"/>
                <w:color w:val="auto"/>
              </w:rPr>
              <w:t>10.49</w:t>
            </w:r>
          </w:p>
        </w:tc>
        <w:tc>
          <w:tcPr>
            <w:tcW w:w="3060" w:type="dxa"/>
            <w:vAlign w:val="bottom"/>
            <w:tcBorders>
              <w:bottom w:val="single" w:sz="8" w:color="0000FF"/>
            </w:tcBorders>
            <w:gridSpan w:val="7"/>
            <w:shd w:val="clear" w:color="auto" w:fill="CCEEFF"/>
          </w:tcPr>
          <w:p>
            <w:pPr>
              <w:spacing w:after="0" w:line="185" w:lineRule="exact"/>
              <w:rPr>
                <w:rFonts w:ascii="Times New Roman" w:cs="Times New Roman" w:eastAsia="Times New Roman" w:hAnsi="Times New Roman"/>
                <w:sz w:val="17"/>
                <w:szCs w:val="17"/>
                <w:color w:val="0000FF"/>
                <w:w w:val="98"/>
              </w:rPr>
            </w:pPr>
            <w:hyperlink r:id="rId281">
              <w:r>
                <w:rPr>
                  <w:rFonts w:ascii="Times New Roman" w:cs="Times New Roman" w:eastAsia="Times New Roman" w:hAnsi="Times New Roman"/>
                  <w:sz w:val="17"/>
                  <w:szCs w:val="17"/>
                  <w:color w:val="0000FF"/>
                  <w:w w:val="98"/>
                </w:rPr>
                <w:t>Impactive Capital LP and Marriott Vacations</w:t>
              </w:r>
            </w:hyperlink>
          </w:p>
        </w:tc>
        <w:tc>
          <w:tcPr>
            <w:tcW w:w="1240" w:type="dxa"/>
            <w:vAlign w:val="bottom"/>
            <w:tcBorders>
              <w:bottom w:val="single" w:sz="8" w:color="CCEEFF"/>
            </w:tcBorders>
            <w:gridSpan w:val="8"/>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center"/>
              <w:ind w:left="295"/>
              <w:spacing w:after="0" w:line="185" w:lineRule="exact"/>
              <w:rPr>
                <w:sz w:val="20"/>
                <w:szCs w:val="20"/>
                <w:color w:val="auto"/>
              </w:rPr>
            </w:pPr>
            <w:r>
              <w:rPr>
                <w:rFonts w:ascii="Times New Roman" w:cs="Times New Roman" w:eastAsia="Times New Roman" w:hAnsi="Times New Roman"/>
                <w:sz w:val="17"/>
                <w:szCs w:val="17"/>
                <w:color w:val="auto"/>
                <w:w w:val="98"/>
              </w:rPr>
              <w:t>8-K</w:t>
            </w:r>
          </w:p>
        </w:tc>
        <w:tc>
          <w:tcPr>
            <w:tcW w:w="820" w:type="dxa"/>
            <w:vAlign w:val="bottom"/>
            <w:tcBorders>
              <w:bottom w:val="single" w:sz="8" w:color="CCEEFF"/>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10.1</w:t>
            </w:r>
          </w:p>
        </w:tc>
        <w:tc>
          <w:tcPr>
            <w:tcW w:w="1060" w:type="dxa"/>
            <w:vAlign w:val="bottom"/>
            <w:tcBorders>
              <w:bottom w:val="single" w:sz="8" w:color="CCEEFF"/>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5/27/2025</w:t>
            </w:r>
          </w:p>
        </w:tc>
        <w:tc>
          <w:tcPr>
            <w:tcW w:w="0" w:type="dxa"/>
            <w:vAlign w:val="bottom"/>
          </w:tcPr>
          <w:p>
            <w:pPr>
              <w:spacing w:after="0"/>
              <w:rPr>
                <w:sz w:val="1"/>
                <w:szCs w:val="1"/>
                <w:color w:val="auto"/>
              </w:rPr>
            </w:pPr>
          </w:p>
        </w:tc>
      </w:tr>
      <w:tr>
        <w:trPr>
          <w:trHeight w:val="185"/>
        </w:trPr>
        <w:tc>
          <w:tcPr>
            <w:tcW w:w="920" w:type="dxa"/>
            <w:vAlign w:val="bottom"/>
            <w:shd w:val="clear" w:color="auto" w:fill="CCEEFF"/>
          </w:tcPr>
          <w:p>
            <w:pPr>
              <w:spacing w:after="0"/>
              <w:rPr>
                <w:sz w:val="16"/>
                <w:szCs w:val="16"/>
                <w:color w:val="auto"/>
              </w:rPr>
            </w:pPr>
          </w:p>
        </w:tc>
        <w:tc>
          <w:tcPr>
            <w:tcW w:w="4300" w:type="dxa"/>
            <w:vAlign w:val="bottom"/>
            <w:gridSpan w:val="15"/>
            <w:shd w:val="clear" w:color="auto" w:fill="CCEEFF"/>
          </w:tcPr>
          <w:p>
            <w:pPr>
              <w:spacing w:after="0" w:line="185" w:lineRule="exact"/>
              <w:rPr>
                <w:rFonts w:ascii="Times New Roman" w:cs="Times New Roman" w:eastAsia="Times New Roman" w:hAnsi="Times New Roman"/>
                <w:sz w:val="17"/>
                <w:szCs w:val="17"/>
                <w:color w:val="0000FF"/>
              </w:rPr>
            </w:pPr>
            <w:hyperlink r:id="rId281">
              <w:r>
                <w:rPr>
                  <w:rFonts w:ascii="Times New Roman" w:cs="Times New Roman" w:eastAsia="Times New Roman" w:hAnsi="Times New Roman"/>
                  <w:sz w:val="17"/>
                  <w:szCs w:val="17"/>
                  <w:color w:val="0000FF"/>
                </w:rPr>
                <w:t>Worldwide Corporation</w:t>
              </w:r>
            </w:hyperlink>
          </w:p>
        </w:tc>
        <w:tc>
          <w:tcPr>
            <w:tcW w:w="1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9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39"/>
          </w:cols>
          <w:pgMar w:left="320" w:top="1118" w:right="1440"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10.50</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10.51</w:t>
      </w:r>
    </w:p>
    <w:p>
      <w:pPr>
        <w:spacing w:after="0" w:line="3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10.52</w:t>
      </w:r>
    </w:p>
    <w:p>
      <w:pPr>
        <w:spacing w:after="0" w:line="3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10.53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3660" w:type="dxa"/>
            <w:vAlign w:val="bottom"/>
            <w:tcBorders>
              <w:bottom w:val="single" w:sz="8" w:color="0000FF"/>
            </w:tcBorders>
            <w:gridSpan w:val="9"/>
          </w:tcPr>
          <w:p>
            <w:pPr>
              <w:spacing w:after="0" w:line="179" w:lineRule="exact"/>
              <w:rPr>
                <w:rFonts w:ascii="Times New Roman" w:cs="Times New Roman" w:eastAsia="Times New Roman" w:hAnsi="Times New Roman"/>
                <w:sz w:val="17"/>
                <w:szCs w:val="17"/>
                <w:color w:val="0000FF"/>
                <w:w w:val="99"/>
              </w:rPr>
            </w:pPr>
            <w:hyperlink r:id="rId282">
              <w:r>
                <w:rPr>
                  <w:rFonts w:ascii="Times New Roman" w:cs="Times New Roman" w:eastAsia="Times New Roman" w:hAnsi="Times New Roman"/>
                  <w:sz w:val="17"/>
                  <w:szCs w:val="17"/>
                  <w:color w:val="0000FF"/>
                  <w:w w:val="99"/>
                </w:rPr>
                <w:t>John E. Geller, Jr. Separation Agreement and General</w:t>
              </w:r>
            </w:hyperlink>
          </w:p>
        </w:tc>
        <w:tc>
          <w:tcPr>
            <w:tcW w:w="260" w:type="dxa"/>
            <w:vAlign w:val="bottom"/>
          </w:tcPr>
          <w:p>
            <w:pPr>
              <w:spacing w:after="0"/>
              <w:rPr>
                <w:sz w:val="15"/>
                <w:szCs w:val="15"/>
                <w:color w:val="auto"/>
              </w:rPr>
            </w:pPr>
          </w:p>
        </w:tc>
        <w:tc>
          <w:tcPr>
            <w:tcW w:w="1580" w:type="dxa"/>
            <w:vAlign w:val="bottom"/>
            <w:vMerge w:val="restart"/>
          </w:tcPr>
          <w:p>
            <w:pPr>
              <w:ind w:left="1040"/>
              <w:spacing w:after="0"/>
              <w:rPr>
                <w:sz w:val="20"/>
                <w:szCs w:val="20"/>
                <w:color w:val="auto"/>
              </w:rPr>
            </w:pPr>
            <w:r>
              <w:rPr>
                <w:rFonts w:ascii="Times New Roman" w:cs="Times New Roman" w:eastAsia="Times New Roman" w:hAnsi="Times New Roman"/>
                <w:sz w:val="17"/>
                <w:szCs w:val="17"/>
                <w:color w:val="auto"/>
              </w:rPr>
              <w:t>8-K</w:t>
            </w:r>
          </w:p>
        </w:tc>
        <w:tc>
          <w:tcPr>
            <w:tcW w:w="78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rPr>
              <w:t>10.1</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11/10/2025</w:t>
            </w:r>
          </w:p>
        </w:tc>
        <w:tc>
          <w:tcPr>
            <w:tcW w:w="0" w:type="dxa"/>
            <w:vAlign w:val="bottom"/>
          </w:tcPr>
          <w:p>
            <w:pPr>
              <w:spacing w:after="0"/>
              <w:rPr>
                <w:sz w:val="1"/>
                <w:szCs w:val="1"/>
                <w:color w:val="auto"/>
              </w:rPr>
            </w:pPr>
          </w:p>
        </w:tc>
      </w:tr>
      <w:tr>
        <w:trPr>
          <w:trHeight w:val="109"/>
        </w:trPr>
        <w:tc>
          <w:tcPr>
            <w:tcW w:w="1240" w:type="dxa"/>
            <w:vAlign w:val="bottom"/>
            <w:vMerge w:val="restart"/>
          </w:tcPr>
          <w:p>
            <w:pPr>
              <w:spacing w:after="0" w:line="146" w:lineRule="exact"/>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Release of Claims</w:t>
              </w:r>
            </w:hyperlink>
          </w:p>
        </w:tc>
        <w:tc>
          <w:tcPr>
            <w:tcW w:w="2680" w:type="dxa"/>
            <w:vAlign w:val="bottom"/>
            <w:gridSpan w:val="9"/>
            <w:vMerge w:val="restart"/>
          </w:tcPr>
          <w:p>
            <w:pPr>
              <w:spacing w:after="0"/>
              <w:rPr>
                <w:sz w:val="9"/>
                <w:szCs w:val="9"/>
                <w:color w:val="auto"/>
              </w:rPr>
            </w:pPr>
          </w:p>
        </w:tc>
        <w:tc>
          <w:tcPr>
            <w:tcW w:w="15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240" w:type="dxa"/>
            <w:vAlign w:val="bottom"/>
            <w:tcBorders>
              <w:bottom w:val="single" w:sz="8" w:color="0000FF"/>
            </w:tcBorders>
            <w:vMerge w:val="continue"/>
          </w:tcPr>
          <w:p>
            <w:pPr>
              <w:spacing w:after="0"/>
              <w:rPr>
                <w:sz w:val="3"/>
                <w:szCs w:val="3"/>
                <w:color w:val="auto"/>
              </w:rPr>
            </w:pPr>
          </w:p>
        </w:tc>
        <w:tc>
          <w:tcPr>
            <w:tcW w:w="2680" w:type="dxa"/>
            <w:vAlign w:val="bottom"/>
            <w:gridSpan w:val="9"/>
            <w:vMerge w:val="continue"/>
          </w:tcPr>
          <w:p>
            <w:pPr>
              <w:spacing w:after="0"/>
              <w:rPr>
                <w:sz w:val="3"/>
                <w:szCs w:val="3"/>
                <w:color w:val="auto"/>
              </w:rPr>
            </w:pPr>
          </w:p>
        </w:tc>
        <w:tc>
          <w:tcPr>
            <w:tcW w:w="1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9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Offer Letter Employment Agreement between</w:t>
            </w: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140" w:type="dxa"/>
            <w:vAlign w:val="bottom"/>
            <w:tcBorders>
              <w:top w:val="single" w:sz="8" w:color="0000FF"/>
            </w:tcBorders>
            <w:gridSpan w:val="3"/>
          </w:tcPr>
          <w:p>
            <w:pPr>
              <w:spacing w:after="0" w:line="146" w:lineRule="exact"/>
              <w:rPr>
                <w:sz w:val="20"/>
                <w:szCs w:val="20"/>
                <w:color w:val="auto"/>
              </w:rPr>
            </w:pPr>
            <w:r>
              <w:rPr>
                <w:rFonts w:ascii="Times New Roman" w:cs="Times New Roman" w:eastAsia="Times New Roman" w:hAnsi="Times New Roman"/>
                <w:sz w:val="16"/>
                <w:szCs w:val="16"/>
                <w:color w:val="0000FF"/>
              </w:rPr>
              <w:t>Marriott Ownership Resorts, Inc. and Matthew</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5"/>
          </w:tcPr>
          <w:p>
            <w:pPr>
              <w:ind w:left="20"/>
              <w:spacing w:after="0" w:line="146" w:lineRule="exact"/>
              <w:rPr>
                <w:sz w:val="20"/>
                <w:szCs w:val="20"/>
                <w:color w:val="auto"/>
              </w:rPr>
            </w:pPr>
            <w:r>
              <w:rPr>
                <w:rFonts w:ascii="Times New Roman" w:cs="Times New Roman" w:eastAsia="Times New Roman" w:hAnsi="Times New Roman"/>
                <w:sz w:val="16"/>
                <w:szCs w:val="16"/>
                <w:color w:val="0000FF"/>
              </w:rPr>
              <w:t>E.</w:t>
            </w:r>
          </w:p>
        </w:tc>
        <w:tc>
          <w:tcPr>
            <w:tcW w:w="1580" w:type="dxa"/>
            <w:vAlign w:val="bottom"/>
          </w:tcPr>
          <w:p>
            <w:pPr>
              <w:ind w:left="280"/>
              <w:spacing w:after="0" w:line="146" w:lineRule="exact"/>
              <w:rPr>
                <w:sz w:val="20"/>
                <w:szCs w:val="20"/>
                <w:color w:val="auto"/>
              </w:rPr>
            </w:pPr>
            <w:r>
              <w:rPr>
                <w:rFonts w:ascii="Times New Roman" w:cs="Times New Roman" w:eastAsia="Times New Roman" w:hAnsi="Times New Roman"/>
                <w:sz w:val="16"/>
                <w:szCs w:val="16"/>
                <w:color w:val="auto"/>
              </w:rPr>
              <w:t>X</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40" w:type="dxa"/>
            <w:vAlign w:val="bottom"/>
            <w:tcBorders>
              <w:top w:val="single" w:sz="8" w:color="0000FF"/>
            </w:tcBorders>
            <w:gridSpan w:val="6"/>
          </w:tcPr>
          <w:p>
            <w:pPr>
              <w:spacing w:after="0" w:line="159" w:lineRule="exact"/>
              <w:rPr>
                <w:sz w:val="20"/>
                <w:szCs w:val="20"/>
                <w:color w:val="auto"/>
              </w:rPr>
            </w:pPr>
            <w:r>
              <w:rPr>
                <w:rFonts w:ascii="Times New Roman" w:cs="Times New Roman" w:eastAsia="Times New Roman" w:hAnsi="Times New Roman"/>
                <w:sz w:val="17"/>
                <w:szCs w:val="17"/>
                <w:color w:val="0000FF"/>
              </w:rPr>
              <w:t>Avril, dated as of November 9, 2025*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6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Stock Appreciation Right Agreement between</w:t>
            </w:r>
          </w:p>
        </w:tc>
        <w:tc>
          <w:tcPr>
            <w:tcW w:w="760" w:type="dxa"/>
            <w:vAlign w:val="bottom"/>
            <w:gridSpan w:val="6"/>
          </w:tcPr>
          <w:p>
            <w:pPr>
              <w:spacing w:after="0"/>
              <w:rPr>
                <w:sz w:val="17"/>
                <w:szCs w:val="17"/>
                <w:color w:val="auto"/>
              </w:rPr>
            </w:pPr>
          </w:p>
        </w:tc>
        <w:tc>
          <w:tcPr>
            <w:tcW w:w="15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X</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220" w:type="dxa"/>
            <w:vAlign w:val="bottom"/>
            <w:tcBorders>
              <w:bottom w:val="single" w:sz="8" w:color="0000FF"/>
            </w:tcBorders>
            <w:gridSpan w:val="5"/>
          </w:tcPr>
          <w:p>
            <w:pPr>
              <w:spacing w:after="0" w:line="146" w:lineRule="exact"/>
              <w:rPr>
                <w:sz w:val="20"/>
                <w:szCs w:val="20"/>
                <w:color w:val="auto"/>
              </w:rPr>
            </w:pPr>
            <w:r>
              <w:rPr>
                <w:rFonts w:ascii="Times New Roman" w:cs="Times New Roman" w:eastAsia="Times New Roman" w:hAnsi="Times New Roman"/>
                <w:sz w:val="16"/>
                <w:szCs w:val="16"/>
                <w:color w:val="0000FF"/>
              </w:rPr>
              <w:t>Marriott Vacations Worldwide Corporation and</w:t>
            </w:r>
          </w:p>
        </w:tc>
        <w:tc>
          <w:tcPr>
            <w:tcW w:w="700" w:type="dxa"/>
            <w:vAlign w:val="bottom"/>
            <w:gridSpan w:val="5"/>
          </w:tcPr>
          <w:p>
            <w:pPr>
              <w:spacing w:after="0"/>
              <w:rPr>
                <w:sz w:val="12"/>
                <w:szCs w:val="12"/>
                <w:color w:val="auto"/>
              </w:rPr>
            </w:pPr>
          </w:p>
        </w:tc>
        <w:tc>
          <w:tcPr>
            <w:tcW w:w="15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00" w:type="dxa"/>
            <w:vAlign w:val="bottom"/>
            <w:tcBorders>
              <w:bottom w:val="single" w:sz="8" w:color="0000FF"/>
            </w:tcBorders>
            <w:gridSpan w:val="8"/>
          </w:tcPr>
          <w:p>
            <w:pPr>
              <w:spacing w:after="0" w:line="159" w:lineRule="exact"/>
              <w:rPr>
                <w:sz w:val="20"/>
                <w:szCs w:val="20"/>
                <w:color w:val="auto"/>
              </w:rPr>
            </w:pPr>
            <w:r>
              <w:rPr>
                <w:rFonts w:ascii="Times New Roman" w:cs="Times New Roman" w:eastAsia="Times New Roman" w:hAnsi="Times New Roman"/>
                <w:sz w:val="17"/>
                <w:szCs w:val="17"/>
                <w:color w:val="0000FF"/>
                <w:w w:val="99"/>
              </w:rPr>
              <w:t>Matthew E. Avril, dated as of November 13, 2025*</w:t>
            </w:r>
          </w:p>
        </w:tc>
        <w:tc>
          <w:tcPr>
            <w:tcW w:w="420" w:type="dxa"/>
            <w:vAlign w:val="bottom"/>
            <w:gridSpan w:val="2"/>
          </w:tcPr>
          <w:p>
            <w:pPr>
              <w:spacing w:after="0"/>
              <w:rPr>
                <w:sz w:val="13"/>
                <w:szCs w:val="13"/>
                <w:color w:val="auto"/>
              </w:rPr>
            </w:pPr>
          </w:p>
        </w:tc>
        <w:tc>
          <w:tcPr>
            <w:tcW w:w="1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9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Restricted Stock Unit Agreement between Marriott</w:t>
            </w:r>
          </w:p>
        </w:tc>
        <w:tc>
          <w:tcPr>
            <w:tcW w:w="15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X</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480" w:type="dxa"/>
            <w:vAlign w:val="bottom"/>
            <w:tcBorders>
              <w:top w:val="single" w:sz="8" w:color="0000FF"/>
            </w:tcBorders>
            <w:gridSpan w:val="7"/>
          </w:tcPr>
          <w:p>
            <w:pPr>
              <w:spacing w:after="0" w:line="146" w:lineRule="exact"/>
              <w:rPr>
                <w:sz w:val="20"/>
                <w:szCs w:val="20"/>
                <w:color w:val="auto"/>
              </w:rPr>
            </w:pPr>
            <w:r>
              <w:rPr>
                <w:rFonts w:ascii="Times New Roman" w:cs="Times New Roman" w:eastAsia="Times New Roman" w:hAnsi="Times New Roman"/>
                <w:sz w:val="16"/>
                <w:szCs w:val="16"/>
                <w:color w:val="0000FF"/>
              </w:rPr>
              <w:t>Vacations Worldwide Corporation and Matthew E.</w:t>
            </w:r>
          </w:p>
        </w:tc>
        <w:tc>
          <w:tcPr>
            <w:tcW w:w="440" w:type="dxa"/>
            <w:vAlign w:val="bottom"/>
            <w:gridSpan w:val="3"/>
          </w:tcPr>
          <w:p>
            <w:pPr>
              <w:spacing w:after="0"/>
              <w:rPr>
                <w:sz w:val="12"/>
                <w:szCs w:val="12"/>
                <w:color w:val="auto"/>
              </w:rPr>
            </w:pPr>
          </w:p>
        </w:tc>
        <w:tc>
          <w:tcPr>
            <w:tcW w:w="15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-941705</wp:posOffset>
            </wp:positionV>
            <wp:extent cx="5263515" cy="3575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3">
                      <a:extLst>
                        <a:ext uri="{28A0092B-C50C-407E-A947-70E740481C1C}"/>
                      </a:extLst>
                    </a:blip>
                    <a:srcRect/>
                    <a:stretch>
                      <a:fillRect/>
                    </a:stretch>
                  </pic:blipFill>
                  <pic:spPr bwMode="auto">
                    <a:xfrm>
                      <a:off x="0" y="0"/>
                      <a:ext cx="5263515" cy="357505"/>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-226695</wp:posOffset>
            </wp:positionV>
            <wp:extent cx="5263515" cy="3575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4">
                      <a:extLst>
                        <a:ext uri="{28A0092B-C50C-407E-A947-70E740481C1C}"/>
                      </a:extLst>
                    </a:blip>
                    <a:srcRect/>
                    <a:stretch>
                      <a:fillRect/>
                    </a:stretch>
                  </pic:blipFill>
                  <pic:spPr bwMode="auto">
                    <a:xfrm>
                      <a:off x="0" y="0"/>
                      <a:ext cx="5263515" cy="3575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u w:val="single" w:color="auto"/>
          <w:color w:val="0000FF"/>
        </w:rPr>
        <w:t>Avril, dated as of November 13, 2025*</w:t>
      </w:r>
    </w:p>
    <w:p>
      <w:pPr>
        <w:spacing w:after="0" w:line="200" w:lineRule="exact"/>
        <w:rPr>
          <w:sz w:val="20"/>
          <w:szCs w:val="20"/>
          <w:color w:val="auto"/>
        </w:rPr>
      </w:pPr>
    </w:p>
    <w:p>
      <w:pPr>
        <w:sectPr>
          <w:pgSz w:w="11900" w:h="16838" w:orient="portrait"/>
          <w:cols w:equalWidth="0" w:num="2">
            <w:col w:w="580" w:space="340"/>
            <w:col w:w="9219"/>
          </w:cols>
          <w:pgMar w:left="320" w:top="11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172"/>
        </w:trPr>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17"/>
            <w:vMerge w:val="restart"/>
          </w:tcPr>
          <w:p>
            <w:pPr>
              <w:ind w:left="6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23"/>
        </w:trPr>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1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76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5"/>
                <w:szCs w:val="15"/>
                <w:b w:val="1"/>
                <w:bCs w:val="1"/>
                <w:color w:val="auto"/>
              </w:rPr>
              <w:t>Exhibit</w:t>
            </w: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17"/>
            <w:vMerge w:val="restart"/>
          </w:tcPr>
          <w:p>
            <w:pPr>
              <w:ind w:left="6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23"/>
        </w:trPr>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1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10.54</w:t>
            </w: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gridSpan w:val="20"/>
          </w:tcPr>
          <w:p>
            <w:pPr>
              <w:spacing w:after="0" w:line="173" w:lineRule="exact"/>
              <w:rPr>
                <w:rFonts w:ascii="Times New Roman" w:cs="Times New Roman" w:eastAsia="Times New Roman" w:hAnsi="Times New Roman"/>
                <w:sz w:val="17"/>
                <w:szCs w:val="17"/>
                <w:color w:val="0000FF"/>
              </w:rPr>
            </w:pPr>
            <w:hyperlink r:id="rId286">
              <w:r>
                <w:rPr>
                  <w:rFonts w:ascii="Times New Roman" w:cs="Times New Roman" w:eastAsia="Times New Roman" w:hAnsi="Times New Roman"/>
                  <w:sz w:val="17"/>
                  <w:szCs w:val="17"/>
                  <w:color w:val="0000FF"/>
                </w:rPr>
                <w:t>CEO Employment Agreement, dated February 16,</w:t>
              </w:r>
            </w:hyperlink>
          </w:p>
        </w:tc>
        <w:tc>
          <w:tcPr>
            <w:tcW w:w="0" w:type="dxa"/>
            <w:vAlign w:val="bottom"/>
          </w:tcPr>
          <w:p>
            <w:pPr>
              <w:spacing w:after="0"/>
              <w:rPr>
                <w:sz w:val="1"/>
                <w:szCs w:val="1"/>
                <w:color w:val="auto"/>
              </w:rPr>
            </w:pPr>
          </w:p>
        </w:tc>
      </w:tr>
      <w:tr>
        <w:trPr>
          <w:trHeight w:val="109"/>
        </w:trPr>
        <w:tc>
          <w:tcPr>
            <w:tcW w:w="760" w:type="dxa"/>
            <w:vAlign w:val="bottom"/>
            <w:tcBorders>
              <w:top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320" w:type="dxa"/>
            <w:vAlign w:val="bottom"/>
            <w:tcBorders>
              <w:top w:val="single" w:sz="8" w:color="0000FF"/>
            </w:tcBorders>
            <w:gridSpan w:val="11"/>
            <w:vMerge w:val="restart"/>
          </w:tcPr>
          <w:p>
            <w:pPr>
              <w:spacing w:after="0" w:line="146" w:lineRule="exact"/>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2026 between the Company and Matthew Avril*</w:t>
              </w:r>
            </w:hyperlink>
          </w:p>
        </w:tc>
        <w:tc>
          <w:tcPr>
            <w:tcW w:w="100" w:type="dxa"/>
            <w:vAlign w:val="bottom"/>
            <w:tcBorders>
              <w:top w:val="single" w:sz="8" w:color="0000FF"/>
            </w:tcBorders>
            <w:gridSpan w:val="2"/>
            <w:vMerge w:val="restart"/>
          </w:tcPr>
          <w:p>
            <w:pPr>
              <w:spacing w:after="0"/>
              <w:rPr>
                <w:sz w:val="9"/>
                <w:szCs w:val="9"/>
                <w:color w:val="auto"/>
              </w:rPr>
            </w:pPr>
          </w:p>
        </w:tc>
        <w:tc>
          <w:tcPr>
            <w:tcW w:w="340" w:type="dxa"/>
            <w:vAlign w:val="bottom"/>
            <w:gridSpan w:val="7"/>
            <w:vMerge w:val="restart"/>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320" w:type="dxa"/>
            <w:vAlign w:val="bottom"/>
            <w:tcBorders>
              <w:bottom w:val="single" w:sz="8" w:color="0000FF"/>
            </w:tcBorders>
            <w:gridSpan w:val="11"/>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34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w w:val="99"/>
              </w:rPr>
            </w:pPr>
            <w:hyperlink r:id="rId287">
              <w:r>
                <w:rPr>
                  <w:rFonts w:ascii="Times New Roman" w:cs="Times New Roman" w:eastAsia="Times New Roman" w:hAnsi="Times New Roman"/>
                  <w:sz w:val="17"/>
                  <w:szCs w:val="17"/>
                  <w:color w:val="0000FF"/>
                  <w:w w:val="99"/>
                </w:rPr>
                <w:t>President and COO Employment Agreement, dated</w:t>
              </w:r>
            </w:hyperlink>
          </w:p>
        </w:tc>
        <w:tc>
          <w:tcPr>
            <w:tcW w:w="2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gridSpan w:val="20"/>
          </w:tcPr>
          <w:p>
            <w:pPr>
              <w:spacing w:after="0" w:line="146" w:lineRule="exact"/>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February 16, 2026 between the Company and Michael</w:t>
              </w:r>
            </w:hyperlink>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9" w:lineRule="exact"/>
              <w:rPr>
                <w:rFonts w:ascii="Times New Roman" w:cs="Times New Roman" w:eastAsia="Times New Roman" w:hAnsi="Times New Roman"/>
                <w:sz w:val="17"/>
                <w:szCs w:val="17"/>
                <w:color w:val="0000FF"/>
                <w:w w:val="97"/>
              </w:rPr>
            </w:pPr>
            <w:hyperlink r:id="rId287">
              <w:r>
                <w:rPr>
                  <w:rFonts w:ascii="Times New Roman" w:cs="Times New Roman" w:eastAsia="Times New Roman" w:hAnsi="Times New Roman"/>
                  <w:sz w:val="17"/>
                  <w:szCs w:val="17"/>
                  <w:color w:val="0000FF"/>
                  <w:w w:val="97"/>
                </w:rPr>
                <w:t>Flaskey*</w:t>
              </w:r>
            </w:hyperlink>
          </w:p>
        </w:tc>
        <w:tc>
          <w:tcPr>
            <w:tcW w:w="30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Insider trading policies and procedures</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21.1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Subsidiaries of Marriott Vacations Worldwide</w:t>
            </w:r>
          </w:p>
        </w:tc>
        <w:tc>
          <w:tcPr>
            <w:tcW w:w="0" w:type="dxa"/>
            <w:vAlign w:val="bottom"/>
          </w:tcPr>
          <w:p>
            <w:pPr>
              <w:spacing w:after="0"/>
              <w:rPr>
                <w:sz w:val="1"/>
                <w:szCs w:val="1"/>
                <w:color w:val="auto"/>
              </w:rPr>
            </w:pPr>
          </w:p>
        </w:tc>
      </w:tr>
      <w:tr>
        <w:trPr>
          <w:trHeight w:val="109"/>
        </w:trPr>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top w:val="single" w:sz="8" w:color="0000FF"/>
            </w:tcBorders>
            <w:gridSpan w:val="3"/>
            <w:vMerge w:val="restart"/>
          </w:tcPr>
          <w:p>
            <w:pPr>
              <w:spacing w:after="0" w:line="146" w:lineRule="exact"/>
              <w:rPr>
                <w:sz w:val="20"/>
                <w:szCs w:val="20"/>
                <w:color w:val="auto"/>
              </w:rPr>
            </w:pPr>
            <w:r>
              <w:rPr>
                <w:rFonts w:ascii="Times New Roman" w:cs="Times New Roman" w:eastAsia="Times New Roman" w:hAnsi="Times New Roman"/>
                <w:sz w:val="16"/>
                <w:szCs w:val="16"/>
                <w:color w:val="0000FF"/>
              </w:rPr>
              <w:t>Corporation</w:t>
            </w:r>
          </w:p>
        </w:tc>
        <w:tc>
          <w:tcPr>
            <w:tcW w:w="2300" w:type="dxa"/>
            <w:vAlign w:val="bottom"/>
            <w:tcBorders>
              <w:top w:val="single" w:sz="8" w:color="0000FF"/>
            </w:tcBorders>
            <w:gridSpan w:val="4"/>
            <w:vMerge w:val="restart"/>
          </w:tcPr>
          <w:p>
            <w:pPr>
              <w:spacing w:after="0"/>
              <w:rPr>
                <w:sz w:val="9"/>
                <w:szCs w:val="9"/>
                <w:color w:val="auto"/>
              </w:rPr>
            </w:pPr>
          </w:p>
        </w:tc>
        <w:tc>
          <w:tcPr>
            <w:tcW w:w="640" w:type="dxa"/>
            <w:vAlign w:val="bottom"/>
            <w:gridSpan w:val="13"/>
            <w:vMerge w:val="restart"/>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0000FF"/>
            </w:tcBorders>
            <w:gridSpan w:val="3"/>
            <w:vMerge w:val="continue"/>
          </w:tcPr>
          <w:p>
            <w:pPr>
              <w:spacing w:after="0"/>
              <w:rPr>
                <w:sz w:val="3"/>
                <w:szCs w:val="3"/>
                <w:color w:val="auto"/>
              </w:rPr>
            </w:pPr>
          </w:p>
        </w:tc>
        <w:tc>
          <w:tcPr>
            <w:tcW w:w="2300" w:type="dxa"/>
            <w:vAlign w:val="bottom"/>
            <w:gridSpan w:val="4"/>
            <w:vMerge w:val="continue"/>
          </w:tcPr>
          <w:p>
            <w:pPr>
              <w:spacing w:after="0"/>
              <w:rPr>
                <w:sz w:val="3"/>
                <w:szCs w:val="3"/>
                <w:color w:val="auto"/>
              </w:rPr>
            </w:pPr>
          </w:p>
        </w:tc>
        <w:tc>
          <w:tcPr>
            <w:tcW w:w="64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w w:val="99"/>
              </w:rPr>
              <w:t>List of the Issuer and its Guarantor Subsidiaries</w:t>
            </w:r>
          </w:p>
        </w:tc>
        <w:tc>
          <w:tcPr>
            <w:tcW w:w="5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Consent of Ernst &amp; Young LLP</w:t>
            </w:r>
          </w:p>
        </w:tc>
        <w:tc>
          <w:tcPr>
            <w:tcW w:w="1600" w:type="dxa"/>
            <w:vAlign w:val="bottom"/>
            <w:gridSpan w:val="16"/>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24.1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6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Powers of Attorney (included on the signature pages</w:t>
            </w:r>
          </w:p>
        </w:tc>
        <w:tc>
          <w:tcPr>
            <w:tcW w:w="0" w:type="dxa"/>
            <w:vAlign w:val="bottom"/>
          </w:tcPr>
          <w:p>
            <w:pPr>
              <w:spacing w:after="0"/>
              <w:rPr>
                <w:sz w:val="1"/>
                <w:szCs w:val="1"/>
                <w:color w:val="auto"/>
              </w:rPr>
            </w:pPr>
          </w:p>
        </w:tc>
      </w:tr>
      <w:tr>
        <w:trPr>
          <w:trHeight w:val="142"/>
        </w:trPr>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gridSpan w:val="20"/>
            <w:vMerge w:val="restart"/>
          </w:tcPr>
          <w:p>
            <w:pPr>
              <w:spacing w:after="0"/>
              <w:rPr>
                <w:sz w:val="20"/>
                <w:szCs w:val="20"/>
                <w:color w:val="auto"/>
              </w:rPr>
            </w:pPr>
            <w:r>
              <w:rPr>
                <w:rFonts w:ascii="Times New Roman" w:cs="Times New Roman" w:eastAsia="Times New Roman" w:hAnsi="Times New Roman"/>
                <w:sz w:val="17"/>
                <w:szCs w:val="17"/>
                <w:color w:val="auto"/>
              </w:rPr>
              <w:t>hereto)</w:t>
            </w: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760" w:type="dxa"/>
            <w:vAlign w:val="bottom"/>
            <w:gridSpan w:val="2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60" w:type="dxa"/>
            <w:vAlign w:val="bottom"/>
            <w:gridSpan w:val="20"/>
          </w:tcPr>
          <w:p>
            <w:pPr>
              <w:spacing w:after="0" w:line="188" w:lineRule="exact"/>
              <w:rPr>
                <w:sz w:val="20"/>
                <w:szCs w:val="20"/>
                <w:color w:val="auto"/>
              </w:rPr>
            </w:pPr>
            <w:r>
              <w:rPr>
                <w:rFonts w:ascii="Times New Roman" w:cs="Times New Roman" w:eastAsia="Times New Roman" w:hAnsi="Times New Roman"/>
                <w:sz w:val="17"/>
                <w:szCs w:val="17"/>
                <w:color w:val="0000FF"/>
              </w:rPr>
              <w:t>Certification of Chief Executive Officer pursuant to</w:t>
            </w: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tcBorders>
              <w:top w:val="single" w:sz="8" w:color="0000FF"/>
            </w:tcBorders>
            <w:gridSpan w:val="16"/>
          </w:tcPr>
          <w:p>
            <w:pPr>
              <w:spacing w:after="0" w:line="146" w:lineRule="exact"/>
              <w:rPr>
                <w:sz w:val="20"/>
                <w:szCs w:val="20"/>
                <w:color w:val="auto"/>
              </w:rPr>
            </w:pPr>
            <w:r>
              <w:rPr>
                <w:rFonts w:ascii="Times New Roman" w:cs="Times New Roman" w:eastAsia="Times New Roman" w:hAnsi="Times New Roman"/>
                <w:sz w:val="16"/>
                <w:szCs w:val="16"/>
                <w:color w:val="0000FF"/>
              </w:rPr>
              <w:t>Rule 13a-14(a) of the Securities Exchange Act of</w:t>
            </w: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9" w:lineRule="exact"/>
              <w:rPr>
                <w:sz w:val="20"/>
                <w:szCs w:val="20"/>
                <w:color w:val="auto"/>
              </w:rPr>
            </w:pPr>
            <w:r>
              <w:rPr>
                <w:rFonts w:ascii="Times New Roman" w:cs="Times New Roman" w:eastAsia="Times New Roman" w:hAnsi="Times New Roman"/>
                <w:sz w:val="17"/>
                <w:szCs w:val="17"/>
                <w:color w:val="0000FF"/>
                <w:w w:val="93"/>
              </w:rPr>
              <w:t>1934</w:t>
            </w: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w:t>
            </w: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tcBorders>
              <w:top w:val="single" w:sz="8" w:color="0000FF"/>
            </w:tcBorders>
            <w:gridSpan w:val="14"/>
          </w:tcPr>
          <w:p>
            <w:pPr>
              <w:spacing w:after="0" w:line="146" w:lineRule="exact"/>
              <w:rPr>
                <w:sz w:val="20"/>
                <w:szCs w:val="20"/>
                <w:color w:val="auto"/>
              </w:rPr>
            </w:pPr>
            <w:r>
              <w:rPr>
                <w:rFonts w:ascii="Times New Roman" w:cs="Times New Roman" w:eastAsia="Times New Roman" w:hAnsi="Times New Roman"/>
                <w:sz w:val="16"/>
                <w:szCs w:val="16"/>
                <w:color w:val="0000FF"/>
              </w:rPr>
              <w:t>Rule 13a-14(a) of the Securities Exchange Act of</w:t>
            </w:r>
          </w:p>
        </w:tc>
        <w:tc>
          <w:tcPr>
            <w:tcW w:w="80" w:type="dxa"/>
            <w:vAlign w:val="bottom"/>
            <w:gridSpan w:val="3"/>
          </w:tcPr>
          <w:p>
            <w:pPr>
              <w:spacing w:after="0"/>
              <w:rPr>
                <w:sz w:val="12"/>
                <w:szCs w:val="12"/>
                <w:color w:val="auto"/>
              </w:rPr>
            </w:pP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9" w:lineRule="exact"/>
              <w:rPr>
                <w:sz w:val="20"/>
                <w:szCs w:val="20"/>
                <w:color w:val="auto"/>
              </w:rPr>
            </w:pPr>
            <w:r>
              <w:rPr>
                <w:rFonts w:ascii="Times New Roman" w:cs="Times New Roman" w:eastAsia="Times New Roman" w:hAnsi="Times New Roman"/>
                <w:sz w:val="17"/>
                <w:szCs w:val="17"/>
                <w:color w:val="0000FF"/>
                <w:w w:val="93"/>
              </w:rPr>
              <w:t>1934</w:t>
            </w: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Certification by Chief Executive Officer Pursuant to</w:t>
            </w: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Borders>
              <w:top w:val="single" w:sz="8" w:color="0000FF"/>
            </w:tcBorders>
            <w:gridSpan w:val="17"/>
          </w:tcPr>
          <w:p>
            <w:pPr>
              <w:spacing w:after="0" w:line="146" w:lineRule="exact"/>
              <w:rPr>
                <w:sz w:val="20"/>
                <w:szCs w:val="20"/>
                <w:color w:val="auto"/>
              </w:rPr>
            </w:pPr>
            <w:r>
              <w:rPr>
                <w:rFonts w:ascii="Times New Roman" w:cs="Times New Roman" w:eastAsia="Times New Roman" w:hAnsi="Times New Roman"/>
                <w:sz w:val="16"/>
                <w:szCs w:val="16"/>
                <w:color w:val="0000FF"/>
              </w:rPr>
              <w:t>18 U.S.C. Section 1350, as adopted pursuant to</w:t>
            </w: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8"/>
          </w:tcPr>
          <w:p>
            <w:pPr>
              <w:spacing w:after="0" w:line="159" w:lineRule="exact"/>
              <w:rPr>
                <w:sz w:val="20"/>
                <w:szCs w:val="20"/>
                <w:color w:val="auto"/>
              </w:rPr>
            </w:pPr>
            <w:r>
              <w:rPr>
                <w:rFonts w:ascii="Times New Roman" w:cs="Times New Roman" w:eastAsia="Times New Roman" w:hAnsi="Times New Roman"/>
                <w:sz w:val="17"/>
                <w:szCs w:val="17"/>
                <w:color w:val="0000FF"/>
                <w:w w:val="99"/>
              </w:rPr>
              <w:t>Section 906 of the Sarbanes-Oxley Act of 2002</w:t>
            </w:r>
          </w:p>
        </w:tc>
        <w:tc>
          <w:tcPr>
            <w:tcW w:w="20" w:type="dxa"/>
            <w:vAlign w:val="bottom"/>
            <w:tcBorders>
              <w:bottom w:val="single" w:sz="8" w:color="0000FF"/>
            </w:tcBorders>
          </w:tcPr>
          <w:p>
            <w:pPr>
              <w:spacing w:after="0"/>
              <w:rPr>
                <w:sz w:val="13"/>
                <w:szCs w:val="13"/>
                <w:color w:val="auto"/>
              </w:rPr>
            </w:pPr>
          </w:p>
        </w:tc>
        <w:tc>
          <w:tcPr>
            <w:tcW w:w="48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Certification by Chief Financial Officer Pursuant to 18</w:t>
            </w: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Borders>
              <w:top w:val="single" w:sz="8" w:color="0000FF"/>
            </w:tcBorders>
            <w:gridSpan w:val="19"/>
          </w:tcPr>
          <w:p>
            <w:pPr>
              <w:spacing w:after="0" w:line="146" w:lineRule="exact"/>
              <w:rPr>
                <w:sz w:val="20"/>
                <w:szCs w:val="20"/>
                <w:color w:val="auto"/>
              </w:rPr>
            </w:pPr>
            <w:r>
              <w:rPr>
                <w:rFonts w:ascii="Times New Roman" w:cs="Times New Roman" w:eastAsia="Times New Roman" w:hAnsi="Times New Roman"/>
                <w:sz w:val="16"/>
                <w:szCs w:val="16"/>
                <w:color w:val="0000FF"/>
              </w:rPr>
              <w:t>U.S.C. Section 1350, as adopted pursuant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-2769235</wp:posOffset>
            </wp:positionV>
            <wp:extent cx="5263515" cy="3575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8">
                      <a:extLst>
                        <a:ext uri="{28A0092B-C50C-407E-A947-70E740481C1C}"/>
                      </a:extLst>
                    </a:blip>
                    <a:srcRect/>
                    <a:stretch>
                      <a:fillRect/>
                    </a:stretch>
                  </pic:blipFill>
                  <pic:spPr bwMode="auto">
                    <a:xfrm>
                      <a:off x="0" y="0"/>
                      <a:ext cx="5263515" cy="357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-2225040</wp:posOffset>
            </wp:positionV>
            <wp:extent cx="5263515" cy="2520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9">
                      <a:extLst>
                        <a:ext uri="{28A0092B-C50C-407E-A947-70E740481C1C}"/>
                      </a:extLst>
                    </a:blip>
                    <a:srcRect/>
                    <a:stretch>
                      <a:fillRect/>
                    </a:stretch>
                  </pic:blipFill>
                  <pic:spPr bwMode="auto">
                    <a:xfrm>
                      <a:off x="0" y="0"/>
                      <a:ext cx="5263515" cy="2520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-1786255</wp:posOffset>
            </wp:positionV>
            <wp:extent cx="5263515" cy="186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0">
                      <a:extLst>
                        <a:ext uri="{28A0092B-C50C-407E-A947-70E740481C1C}"/>
                      </a:extLst>
                    </a:blip>
                    <a:srcRect/>
                    <a:stretch>
                      <a:fillRect/>
                    </a:stretch>
                  </pic:blipFill>
                  <pic:spPr bwMode="auto">
                    <a:xfrm>
                      <a:off x="0" y="0"/>
                      <a:ext cx="5263515" cy="1866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-1347470</wp:posOffset>
            </wp:positionV>
            <wp:extent cx="5263515" cy="3575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1">
                      <a:extLst>
                        <a:ext uri="{28A0092B-C50C-407E-A947-70E740481C1C}"/>
                      </a:extLst>
                    </a:blip>
                    <a:srcRect/>
                    <a:stretch>
                      <a:fillRect/>
                    </a:stretch>
                  </pic:blipFill>
                  <pic:spPr bwMode="auto">
                    <a:xfrm>
                      <a:off x="0" y="0"/>
                      <a:ext cx="5263515" cy="357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-633095</wp:posOffset>
            </wp:positionV>
            <wp:extent cx="5263515" cy="389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2">
                      <a:extLst>
                        <a:ext uri="{28A0092B-C50C-407E-A947-70E740481C1C}"/>
                      </a:extLst>
                    </a:blip>
                    <a:srcRect/>
                    <a:stretch>
                      <a:fillRect/>
                    </a:stretch>
                  </pic:blipFill>
                  <pic:spPr bwMode="auto">
                    <a:xfrm>
                      <a:off x="0" y="0"/>
                      <a:ext cx="5263515" cy="38989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66"/>
        </w:trPr>
        <w:tc>
          <w:tcPr>
            <w:tcW w:w="680" w:type="dxa"/>
            <w:vAlign w:val="bottom"/>
          </w:tcPr>
          <w:p>
            <w:pPr>
              <w:spacing w:after="0"/>
              <w:rPr>
                <w:sz w:val="14"/>
                <w:szCs w:val="14"/>
                <w:color w:val="auto"/>
              </w:rPr>
            </w:pPr>
          </w:p>
        </w:tc>
        <w:tc>
          <w:tcPr>
            <w:tcW w:w="3640" w:type="dxa"/>
            <w:vAlign w:val="bottom"/>
            <w:gridSpan w:val="3"/>
          </w:tcPr>
          <w:p>
            <w:pPr>
              <w:spacing w:after="0" w:line="167"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0" w:type="dxa"/>
            <w:vAlign w:val="bottom"/>
            <w:vMerge w:val="restart"/>
          </w:tcPr>
          <w:p>
            <w:pPr>
              <w:jc w:val="right"/>
              <w:ind w:right="295"/>
              <w:spacing w:after="0"/>
              <w:rPr>
                <w:sz w:val="20"/>
                <w:szCs w:val="20"/>
                <w:color w:val="auto"/>
              </w:rPr>
            </w:pPr>
            <w:r>
              <w:rPr>
                <w:rFonts w:ascii="Times New Roman" w:cs="Times New Roman" w:eastAsia="Times New Roman" w:hAnsi="Times New Roman"/>
                <w:sz w:val="17"/>
                <w:szCs w:val="17"/>
                <w:color w:val="auto"/>
                <w:w w:val="93"/>
              </w:rPr>
              <w:t>97.1</w:t>
            </w:r>
          </w:p>
        </w:tc>
        <w:tc>
          <w:tcPr>
            <w:tcW w:w="3640" w:type="dxa"/>
            <w:vAlign w:val="bottom"/>
            <w:tcBorders>
              <w:bottom w:val="single" w:sz="8" w:color="0000FF"/>
            </w:tcBorders>
            <w:gridSpan w:val="3"/>
          </w:tcPr>
          <w:p>
            <w:pPr>
              <w:spacing w:after="0"/>
              <w:rPr>
                <w:rFonts w:ascii="Times New Roman" w:cs="Times New Roman" w:eastAsia="Times New Roman" w:hAnsi="Times New Roman"/>
                <w:sz w:val="17"/>
                <w:szCs w:val="17"/>
                <w:color w:val="0000FF"/>
                <w:w w:val="99"/>
              </w:rPr>
            </w:pPr>
            <w:hyperlink r:id="rId293">
              <w:r>
                <w:rPr>
                  <w:rFonts w:ascii="Times New Roman" w:cs="Times New Roman" w:eastAsia="Times New Roman" w:hAnsi="Times New Roman"/>
                  <w:sz w:val="17"/>
                  <w:szCs w:val="17"/>
                  <w:color w:val="0000FF"/>
                  <w:w w:val="99"/>
                </w:rPr>
                <w:t>Policy Relating to Recovery of Erroneously Awarded</w:t>
              </w:r>
            </w:hyperlink>
          </w:p>
        </w:tc>
        <w:tc>
          <w:tcPr>
            <w:tcW w:w="0" w:type="dxa"/>
            <w:vAlign w:val="bottom"/>
          </w:tcPr>
          <w:p>
            <w:pPr>
              <w:spacing w:after="0"/>
              <w:rPr>
                <w:sz w:val="1"/>
                <w:szCs w:val="1"/>
                <w:color w:val="auto"/>
              </w:rPr>
            </w:pPr>
          </w:p>
        </w:tc>
      </w:tr>
      <w:tr>
        <w:trPr>
          <w:trHeight w:val="109"/>
        </w:trPr>
        <w:tc>
          <w:tcPr>
            <w:tcW w:w="680" w:type="dxa"/>
            <w:vAlign w:val="bottom"/>
            <w:vMerge w:val="continue"/>
          </w:tcPr>
          <w:p>
            <w:pPr>
              <w:spacing w:after="0"/>
              <w:rPr>
                <w:sz w:val="9"/>
                <w:szCs w:val="9"/>
                <w:color w:val="auto"/>
              </w:rPr>
            </w:pPr>
          </w:p>
        </w:tc>
        <w:tc>
          <w:tcPr>
            <w:tcW w:w="980" w:type="dxa"/>
            <w:vAlign w:val="bottom"/>
            <w:vMerge w:val="restart"/>
          </w:tcPr>
          <w:p>
            <w:pPr>
              <w:spacing w:after="0" w:line="146" w:lineRule="exact"/>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Compensation</w:t>
              </w:r>
            </w:hyperlink>
          </w:p>
        </w:tc>
        <w:tc>
          <w:tcPr>
            <w:tcW w:w="26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680" w:type="dxa"/>
            <w:vAlign w:val="bottom"/>
          </w:tcPr>
          <w:p>
            <w:pPr>
              <w:spacing w:after="0"/>
              <w:rPr>
                <w:sz w:val="3"/>
                <w:szCs w:val="3"/>
                <w:color w:val="auto"/>
              </w:rPr>
            </w:pPr>
          </w:p>
        </w:tc>
        <w:tc>
          <w:tcPr>
            <w:tcW w:w="980" w:type="dxa"/>
            <w:vAlign w:val="bottom"/>
            <w:tcBorders>
              <w:bottom w:val="single" w:sz="8" w:color="0000FF"/>
            </w:tcBorders>
            <w:vMerge w:val="continue"/>
          </w:tcPr>
          <w:p>
            <w:pPr>
              <w:spacing w:after="0"/>
              <w:rPr>
                <w:sz w:val="3"/>
                <w:szCs w:val="3"/>
                <w:color w:val="auto"/>
              </w:rPr>
            </w:pPr>
          </w:p>
        </w:tc>
        <w:tc>
          <w:tcPr>
            <w:tcW w:w="26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-243205</wp:posOffset>
            </wp:positionV>
            <wp:extent cx="5263515" cy="2844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4">
                      <a:extLst>
                        <a:ext uri="{28A0092B-C50C-407E-A947-70E740481C1C}"/>
                      </a:extLst>
                    </a:blip>
                    <a:srcRect/>
                    <a:stretch>
                      <a:fillRect/>
                    </a:stretch>
                  </pic:blipFill>
                  <pic:spPr bwMode="auto">
                    <a:xfrm>
                      <a:off x="0" y="0"/>
                      <a:ext cx="5263515" cy="284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Filed</w:t>
            </w:r>
          </w:p>
        </w:tc>
        <w:tc>
          <w:tcPr>
            <w:tcW w:w="26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tc>
        <w:tc>
          <w:tcPr>
            <w:tcW w:w="0" w:type="dxa"/>
            <w:vAlign w:val="bottom"/>
          </w:tcPr>
          <w:p>
            <w:pPr>
              <w:spacing w:after="0"/>
              <w:rPr>
                <w:sz w:val="1"/>
                <w:szCs w:val="1"/>
                <w:color w:val="auto"/>
              </w:rPr>
            </w:pPr>
          </w:p>
        </w:tc>
      </w:tr>
      <w:tr>
        <w:trPr>
          <w:trHeight w:val="204"/>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26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7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5"/>
                <w:szCs w:val="15"/>
                <w:b w:val="1"/>
                <w:bCs w:val="1"/>
                <w:color w:val="auto"/>
              </w:rPr>
              <w:t>Filed</w:t>
            </w:r>
          </w:p>
        </w:tc>
        <w:tc>
          <w:tcPr>
            <w:tcW w:w="120" w:type="dxa"/>
            <w:vAlign w:val="bottom"/>
          </w:tcPr>
          <w:p>
            <w:pPr>
              <w:spacing w:after="0"/>
              <w:rPr>
                <w:sz w:val="12"/>
                <w:szCs w:val="12"/>
                <w:color w:val="auto"/>
              </w:rPr>
            </w:pPr>
          </w:p>
        </w:tc>
        <w:tc>
          <w:tcPr>
            <w:tcW w:w="62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Borders>
              <w:top w:val="single" w:sz="8" w:color="auto"/>
            </w:tcBorders>
            <w:vMerge w:val="restart"/>
          </w:tcPr>
          <w:p>
            <w:pPr>
              <w:spacing w:after="0"/>
              <w:rPr>
                <w:sz w:val="12"/>
                <w:szCs w:val="12"/>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Borders>
              <w:top w:val="single" w:sz="8" w:color="auto"/>
            </w:tcBorders>
            <w:vMerge w:val="restart"/>
          </w:tcPr>
          <w:p>
            <w:pPr>
              <w:spacing w:after="0"/>
              <w:rPr>
                <w:sz w:val="12"/>
                <w:szCs w:val="12"/>
                <w:color w:val="auto"/>
              </w:rPr>
            </w:pPr>
          </w:p>
        </w:tc>
        <w:tc>
          <w:tcPr>
            <w:tcW w:w="9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Date Filed</w:t>
            </w:r>
          </w:p>
        </w:tc>
        <w:tc>
          <w:tcPr>
            <w:tcW w:w="0" w:type="dxa"/>
            <w:vAlign w:val="bottom"/>
          </w:tcPr>
          <w:p>
            <w:pPr>
              <w:spacing w:after="0"/>
              <w:rPr>
                <w:sz w:val="1"/>
                <w:szCs w:val="1"/>
                <w:color w:val="auto"/>
              </w:rPr>
            </w:pPr>
          </w:p>
        </w:tc>
      </w:tr>
      <w:tr>
        <w:trPr>
          <w:trHeight w:val="204"/>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120" w:type="dxa"/>
            <w:vAlign w:val="bottom"/>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2/17/2026</w:t>
            </w:r>
          </w:p>
        </w:tc>
        <w:tc>
          <w:tcPr>
            <w:tcW w:w="0" w:type="dxa"/>
            <w:vAlign w:val="bottom"/>
          </w:tcPr>
          <w:p>
            <w:pPr>
              <w:spacing w:after="0"/>
              <w:rPr>
                <w:sz w:val="1"/>
                <w:szCs w:val="1"/>
                <w:color w:val="auto"/>
              </w:rPr>
            </w:pPr>
          </w:p>
        </w:tc>
      </w:tr>
      <w:tr>
        <w:trPr>
          <w:trHeight w:val="473"/>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2/17/2026</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X</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X</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X</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X</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X</w:t>
      </w:r>
    </w:p>
    <w:p>
      <w:pPr>
        <w:spacing w:after="0" w:line="2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X</w:t>
      </w:r>
    </w:p>
    <w:p>
      <w:pPr>
        <w:spacing w:after="0" w:line="3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X</w:t>
      </w:r>
    </w:p>
    <w:p>
      <w:pPr>
        <w:spacing w:after="0" w:line="39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Furnished</w:t>
      </w:r>
    </w:p>
    <w:p>
      <w:pPr>
        <w:spacing w:after="0" w:line="200" w:lineRule="exact"/>
        <w:rPr>
          <w:sz w:val="20"/>
          <w:szCs w:val="20"/>
          <w:color w:val="auto"/>
        </w:rPr>
      </w:pPr>
    </w:p>
    <w:p>
      <w:pPr>
        <w:spacing w:after="0" w:line="2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Furnished</w:t>
      </w:r>
    </w:p>
    <w:p>
      <w:pPr>
        <w:spacing w:after="0" w:line="342" w:lineRule="exact"/>
        <w:rPr>
          <w:sz w:val="20"/>
          <w:szCs w:val="20"/>
          <w:color w:val="auto"/>
        </w:rPr>
      </w:pPr>
    </w:p>
    <w:p>
      <w:pPr>
        <w:jc w:val="right"/>
        <w:ind w:right="2920"/>
        <w:spacing w:after="0"/>
        <w:tabs>
          <w:tab w:leader="none" w:pos="1600" w:val="left"/>
          <w:tab w:leader="none" w:pos="800" w:val="left"/>
        </w:tabs>
        <w:rPr>
          <w:sz w:val="20"/>
          <w:szCs w:val="20"/>
          <w:color w:val="auto"/>
        </w:rPr>
      </w:pPr>
      <w:r>
        <w:rPr>
          <w:rFonts w:ascii="Times New Roman" w:cs="Times New Roman" w:eastAsia="Times New Roman" w:hAnsi="Times New Roman"/>
          <w:sz w:val="17"/>
          <w:szCs w:val="17"/>
          <w:color w:val="auto"/>
        </w:rPr>
        <w:t>10-K</w:t>
      </w:r>
      <w:r>
        <w:rPr>
          <w:sz w:val="20"/>
          <w:szCs w:val="20"/>
          <w:color w:val="auto"/>
        </w:rPr>
        <w:tab/>
      </w:r>
      <w:r>
        <w:rPr>
          <w:rFonts w:ascii="Times New Roman" w:cs="Times New Roman" w:eastAsia="Times New Roman" w:hAnsi="Times New Roman"/>
          <w:sz w:val="17"/>
          <w:szCs w:val="17"/>
          <w:color w:val="auto"/>
        </w:rPr>
        <w:t>97.1</w:t>
      </w:r>
      <w:r>
        <w:rPr>
          <w:sz w:val="20"/>
          <w:szCs w:val="20"/>
          <w:color w:val="auto"/>
        </w:rPr>
        <w:tab/>
      </w:r>
      <w:r>
        <w:rPr>
          <w:rFonts w:ascii="Times New Roman" w:cs="Times New Roman" w:eastAsia="Times New Roman" w:hAnsi="Times New Roman"/>
          <w:sz w:val="16"/>
          <w:szCs w:val="16"/>
          <w:color w:val="auto"/>
        </w:rPr>
        <w:t>2/28/2025</w:t>
      </w:r>
    </w:p>
    <w:p>
      <w:pPr>
        <w:spacing w:after="0" w:line="162" w:lineRule="exact"/>
        <w:rPr>
          <w:sz w:val="20"/>
          <w:szCs w:val="20"/>
          <w:color w:val="auto"/>
        </w:rPr>
      </w:pPr>
    </w:p>
    <w:p>
      <w:pPr>
        <w:sectPr>
          <w:pgSz w:w="11900" w:h="16838" w:orient="portrait"/>
          <w:cols w:equalWidth="0" w:num="2">
            <w:col w:w="4680" w:space="120"/>
            <w:col w:w="6280"/>
          </w:cols>
          <w:pgMar w:left="320" w:top="1118" w:right="499" w:bottom="1440" w:gutter="0" w:footer="0" w:header="0"/>
        </w:sectPr>
      </w:pPr>
    </w:p>
    <w:p>
      <w:pPr>
        <w:ind w:left="920" w:right="2840"/>
        <w:spacing w:after="0" w:line="223" w:lineRule="auto"/>
        <w:rPr>
          <w:sz w:val="20"/>
          <w:szCs w:val="20"/>
          <w:color w:val="auto"/>
        </w:rPr>
      </w:pPr>
      <w:r>
        <w:rPr>
          <w:rFonts w:ascii="Times New Roman" w:cs="Times New Roman" w:eastAsia="Times New Roman" w:hAnsi="Times New Roman"/>
          <w:sz w:val="17"/>
          <w:szCs w:val="17"/>
          <w:color w:val="auto"/>
        </w:rPr>
        <w:t>The following financial information from the Company’s Annual Report on Form 10-K for the year ended December 31, 2025, formatted in Inline Extensible Business Reporting Language (iXBRL) includes: (i) the</w:t>
      </w:r>
    </w:p>
    <w:p>
      <w:pPr>
        <w:ind w:left="920" w:right="3020" w:hanging="662"/>
        <w:spacing w:after="0" w:line="219" w:lineRule="auto"/>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Income, (ii) the Consolidated Statements of Comprehensive Income, (iii) the Consolidated Balance Sheets, (iv) the Consolidated Statements of Cash Flows, (v) the Consolidated Statements of Stockholders’ Equity,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5263515" cy="186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5">
                      <a:extLst>
                        <a:ext uri="{28A0092B-C50C-407E-A947-70E740481C1C}"/>
                      </a:extLst>
                    </a:blip>
                    <a:srcRect/>
                    <a:stretch>
                      <a:fillRect/>
                    </a:stretch>
                  </pic:blipFill>
                  <pic:spPr bwMode="auto">
                    <a:xfrm>
                      <a:off x="0" y="0"/>
                      <a:ext cx="5263515" cy="186690"/>
                    </a:xfrm>
                    <a:prstGeom prst="rect">
                      <a:avLst/>
                    </a:prstGeom>
                    <a:noFill/>
                  </pic:spPr>
                </pic:pic>
              </a:graphicData>
            </a:graphic>
          </wp:anchor>
        </w:drawing>
      </w:r>
    </w:p>
    <w:p>
      <w:pPr>
        <w:spacing w:after="0" w:line="54" w:lineRule="exact"/>
        <w:rPr>
          <w:sz w:val="20"/>
          <w:szCs w:val="20"/>
          <w:color w:val="auto"/>
        </w:rPr>
      </w:pPr>
    </w:p>
    <w:p>
      <w:pPr>
        <w:ind w:left="180" w:right="4700" w:firstLine="78"/>
        <w:spacing w:after="0" w:line="452" w:lineRule="auto"/>
        <w:tabs>
          <w:tab w:leader="none" w:pos="91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 Management contract or compensatory plan or arrangement.</w:t>
      </w:r>
    </w:p>
    <w:p>
      <w:pPr>
        <w:spacing w:after="0" w:line="6" w:lineRule="exact"/>
        <w:rPr>
          <w:sz w:val="20"/>
          <w:szCs w:val="20"/>
          <w:color w:val="auto"/>
        </w:rPr>
      </w:pPr>
    </w:p>
    <w:p>
      <w:pPr>
        <w:ind w:left="460" w:hanging="313"/>
        <w:spacing w:after="0" w:line="184" w:lineRule="auto"/>
        <w:tabs>
          <w:tab w:leader="none" w:pos="460"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Schedules have been omitted pursuant to Item 601(b)(2) of Regulation S-K. The Company agrees to furnish supplemental copies to the SEC of any omitted schedule upon request by the SEC.</w:t>
      </w:r>
    </w:p>
    <w:p>
      <w:pPr>
        <w:spacing w:after="0" w:line="22" w:lineRule="exact"/>
        <w:rPr>
          <w:rFonts w:ascii="Times New Roman" w:cs="Times New Roman" w:eastAsia="Times New Roman" w:hAnsi="Times New Roman"/>
          <w:sz w:val="27"/>
          <w:szCs w:val="27"/>
          <w:color w:val="auto"/>
          <w:vertAlign w:val="superscript"/>
        </w:rPr>
      </w:pPr>
    </w:p>
    <w:p>
      <w:pPr>
        <w:ind w:left="460" w:hanging="313"/>
        <w:spacing w:after="0"/>
        <w:tabs>
          <w:tab w:leader="none" w:pos="460"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Filing made by ILG, LLC under SEC File No. 001-34062.</w:t>
      </w:r>
    </w:p>
    <w:p>
      <w:pPr>
        <w:spacing w:after="0" w:line="196" w:lineRule="exact"/>
        <w:rPr>
          <w:sz w:val="20"/>
          <w:szCs w:val="20"/>
          <w:color w:val="auto"/>
        </w:rPr>
      </w:pPr>
    </w:p>
    <w:p>
      <w:pPr>
        <w:ind w:left="2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080"/>
          </w:cols>
          <w:pgMar w:left="320" w:top="1118" w:right="499" w:bottom="1440" w:gutter="0" w:footer="0" w:header="0"/>
          <w:type w:val="continuous"/>
        </w:sectPr>
      </w:pPr>
    </w:p>
    <w:bookmarkStart w:id="132" w:name="page133"/>
    <w:bookmarkEnd w:id="132"/>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7"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Annual Report to be signed on its behalf by the undersigned, thereunto duly authorized.</w:t>
      </w:r>
    </w:p>
    <w:p>
      <w:pPr>
        <w:spacing w:after="0" w:line="8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205" w:lineRule="exact"/>
        <w:rPr>
          <w:sz w:val="20"/>
          <w:szCs w:val="20"/>
          <w:color w:val="auto"/>
        </w:rPr>
      </w:pPr>
    </w:p>
    <w:p>
      <w:pPr>
        <w:ind w:left="1500"/>
        <w:spacing w:after="0"/>
        <w:tabs>
          <w:tab w:leader="none" w:pos="5080" w:val="left"/>
          <w:tab w:leader="none" w:pos="5500" w:val="left"/>
        </w:tabs>
        <w:rPr>
          <w:sz w:val="20"/>
          <w:szCs w:val="20"/>
          <w:color w:val="auto"/>
        </w:rPr>
      </w:pPr>
      <w:r>
        <w:rPr>
          <w:rFonts w:ascii="Times New Roman" w:cs="Times New Roman" w:eastAsia="Times New Roman" w:hAnsi="Times New Roman"/>
          <w:sz w:val="17"/>
          <w:szCs w:val="17"/>
          <w:color w:val="auto"/>
        </w:rPr>
        <w:t>Date: February 27, 2026</w:t>
      </w:r>
      <w:r>
        <w:rPr>
          <w:sz w:val="20"/>
          <w:szCs w:val="20"/>
          <w:color w:val="auto"/>
        </w:rPr>
        <w:tab/>
      </w:r>
      <w:r>
        <w:rPr>
          <w:rFonts w:ascii="Times New Roman" w:cs="Times New Roman" w:eastAsia="Times New Roman" w:hAnsi="Times New Roman"/>
          <w:sz w:val="17"/>
          <w:szCs w:val="17"/>
          <w:color w:val="auto"/>
        </w:rPr>
        <w:t>By:</w:t>
        <w:tab/>
        <w:t>/s/ Matthew E. Avril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32385</wp:posOffset>
            </wp:positionV>
            <wp:extent cx="27044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7">
                      <a:extLst>
                        <a:ext uri="{28A0092B-C50C-407E-A947-70E740481C1C}"/>
                      </a:extLst>
                    </a:blip>
                    <a:srcRect/>
                    <a:stretch>
                      <a:fillRect/>
                    </a:stretch>
                  </pic:blipFill>
                  <pic:spPr bwMode="auto">
                    <a:xfrm>
                      <a:off x="0" y="0"/>
                      <a:ext cx="2704465" cy="8255"/>
                    </a:xfrm>
                    <a:prstGeom prst="rect">
                      <a:avLst/>
                    </a:prstGeom>
                    <a:noFill/>
                  </pic:spPr>
                </pic:pic>
              </a:graphicData>
            </a:graphic>
          </wp:anchor>
        </w:drawing>
      </w:r>
    </w:p>
    <w:p>
      <w:pPr>
        <w:spacing w:after="0" w:line="4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Matthew E. Avril</w:t>
      </w:r>
    </w:p>
    <w:p>
      <w:pPr>
        <w:spacing w:after="0" w:line="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KNOW BY ALL PERSONS BY THESE PRESENTS, that each person whose signature appears below constitutes and appoints jointly and severally, Matthew E. Avril, Jason P. Marino,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71"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has been signed by the following persons on our behalf in the capacities and on the date indicated above.</w:t>
      </w:r>
    </w:p>
    <w:p>
      <w:pPr>
        <w:sectPr>
          <w:pgSz w:w="11900" w:h="16838" w:orient="portrait"/>
          <w:cols w:equalWidth="0" w:num="1">
            <w:col w:w="11160"/>
          </w:cols>
          <w:pgMar w:left="320" w:top="1245" w:right="419" w:bottom="1440" w:gutter="0" w:footer="0" w:header="0"/>
        </w:sectPr>
      </w:pPr>
    </w:p>
    <w:p>
      <w:pPr>
        <w:spacing w:after="0" w:line="3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179"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7"/>
          <w:szCs w:val="17"/>
          <w:color w:val="auto"/>
        </w:rPr>
        <w:t>/s/ Matthew E. Avril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24130</wp:posOffset>
            </wp:positionV>
            <wp:extent cx="24612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8">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8"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7"/>
          <w:szCs w:val="17"/>
          <w:color w:val="auto"/>
        </w:rPr>
        <w:t>Matthew E. Avril</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p>
      <w:pPr>
        <w:spacing w:after="0" w:line="192"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24130</wp:posOffset>
            </wp:positionV>
            <wp:extent cx="24612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9">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8"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7"/>
          <w:szCs w:val="17"/>
          <w:color w:val="auto"/>
        </w:rPr>
        <w:t>Jason P. Marino</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p>
      <w:pPr>
        <w:spacing w:after="0" w:line="192"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7"/>
          <w:szCs w:val="17"/>
          <w:color w:val="auto"/>
        </w:rPr>
        <w:t>/s/ Kathleen A. Pighini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24130</wp:posOffset>
            </wp:positionV>
            <wp:extent cx="24612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0">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8"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7"/>
          <w:szCs w:val="17"/>
          <w:color w:val="auto"/>
        </w:rPr>
        <w:t>Kathleen A. Pighini</w:t>
      </w:r>
    </w:p>
    <w:p>
      <w:pPr>
        <w:spacing w:after="0" w:line="26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92"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7"/>
          <w:szCs w:val="17"/>
          <w:color w:val="auto"/>
        </w:rPr>
        <w:t>/s/ William J.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16510</wp:posOffset>
            </wp:positionV>
            <wp:extent cx="25749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1">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line="28"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6"/>
          <w:szCs w:val="16"/>
          <w:color w:val="auto"/>
        </w:rPr>
        <w:t>William J. Shaw, Director, Chairman</w:t>
      </w:r>
    </w:p>
    <w:p>
      <w:pPr>
        <w:spacing w:after="0" w:line="264"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7"/>
          <w:szCs w:val="17"/>
          <w:color w:val="auto"/>
        </w:rPr>
        <w:t>/s/ C.E.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16510</wp:posOffset>
            </wp:positionV>
            <wp:extent cx="25749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2">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line="28"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7"/>
          <w:szCs w:val="17"/>
          <w:color w:val="auto"/>
        </w:rPr>
        <w:t>C.E. Andrews, Director</w:t>
      </w:r>
    </w:p>
    <w:p>
      <w:pPr>
        <w:spacing w:after="0" w:line="252"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7"/>
          <w:szCs w:val="17"/>
          <w:color w:val="auto"/>
        </w:rPr>
        <w:t>/s/ Christian A. 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16510</wp:posOffset>
            </wp:positionV>
            <wp:extent cx="25749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3">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line="28"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7"/>
          <w:szCs w:val="17"/>
          <w:color w:val="auto"/>
        </w:rPr>
        <w:t>Christian A. Asmar, Director</w:t>
      </w:r>
    </w:p>
    <w:p>
      <w:pPr>
        <w:spacing w:after="0" w:line="252"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7"/>
          <w:szCs w:val="17"/>
          <w:color w:val="auto"/>
        </w:rPr>
        <w:t>/s/ James A. Dausch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16510</wp:posOffset>
            </wp:positionV>
            <wp:extent cx="25749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4">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line="28"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7"/>
          <w:szCs w:val="17"/>
          <w:color w:val="auto"/>
        </w:rPr>
        <w:t>James A. Dausch, Director</w:t>
      </w:r>
    </w:p>
    <w:p>
      <w:pPr>
        <w:spacing w:after="0" w:line="252"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7"/>
          <w:szCs w:val="17"/>
          <w:color w:val="auto"/>
        </w:rPr>
        <w:t>/s/ Lizanne Galbreath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16510</wp:posOffset>
            </wp:positionV>
            <wp:extent cx="25749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5">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line="28"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7"/>
          <w:szCs w:val="17"/>
          <w:color w:val="auto"/>
        </w:rPr>
        <w:t>Lizanne Galbreath,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380"/>
        <w:spacing w:after="0" w:line="238" w:lineRule="auto"/>
        <w:rPr>
          <w:sz w:val="20"/>
          <w:szCs w:val="20"/>
          <w:color w:val="auto"/>
        </w:rPr>
      </w:pPr>
      <w:r>
        <w:rPr>
          <w:rFonts w:ascii="Times New Roman" w:cs="Times New Roman" w:eastAsia="Times New Roman" w:hAnsi="Times New Roman"/>
          <w:sz w:val="17"/>
          <w:szCs w:val="17"/>
          <w:color w:val="auto"/>
        </w:rPr>
        <w:t>Senior Vice President, Corporate 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/s/ Mary E. Galligan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16510</wp:posOffset>
            </wp:positionV>
            <wp:extent cx="25831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6">
                      <a:extLst>
                        <a:ext uri="{28A0092B-C50C-407E-A947-70E740481C1C}"/>
                      </a:extLst>
                    </a:blip>
                    <a:srcRect/>
                    <a:stretch>
                      <a:fillRect/>
                    </a:stretch>
                  </pic:blipFill>
                  <pic:spPr bwMode="auto">
                    <a:xfrm>
                      <a:off x="0" y="0"/>
                      <a:ext cx="2583180" cy="8255"/>
                    </a:xfrm>
                    <a:prstGeom prst="rect">
                      <a:avLst/>
                    </a:prstGeom>
                    <a:noFill/>
                  </pic:spPr>
                </pic:pic>
              </a:graphicData>
            </a:graphic>
          </wp:anchor>
        </w:drawing>
      </w:r>
    </w:p>
    <w:p>
      <w:pPr>
        <w:spacing w:after="0" w:line="2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Mary E. Galligan, Director</w:t>
      </w:r>
    </w:p>
    <w:p>
      <w:pPr>
        <w:spacing w:after="0" w:line="25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/s/ Jonice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16510</wp:posOffset>
            </wp:positionV>
            <wp:extent cx="258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7">
                      <a:extLst>
                        <a:ext uri="{28A0092B-C50C-407E-A947-70E740481C1C}"/>
                      </a:extLst>
                    </a:blip>
                    <a:srcRect/>
                    <a:stretch>
                      <a:fillRect/>
                    </a:stretch>
                  </pic:blipFill>
                  <pic:spPr bwMode="auto">
                    <a:xfrm>
                      <a:off x="0" y="0"/>
                      <a:ext cx="2583180" cy="8255"/>
                    </a:xfrm>
                    <a:prstGeom prst="rect">
                      <a:avLst/>
                    </a:prstGeom>
                    <a:noFill/>
                  </pic:spPr>
                </pic:pic>
              </a:graphicData>
            </a:graphic>
          </wp:anchor>
        </w:drawing>
      </w:r>
    </w:p>
    <w:p>
      <w:pPr>
        <w:spacing w:after="0" w:line="2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Jonice M. Gray, Director</w:t>
      </w:r>
    </w:p>
    <w:p>
      <w:pPr>
        <w:spacing w:after="0" w:line="25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/s/ 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16510</wp:posOffset>
            </wp:positionV>
            <wp:extent cx="258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8">
                      <a:extLst>
                        <a:ext uri="{28A0092B-C50C-407E-A947-70E740481C1C}"/>
                      </a:extLst>
                    </a:blip>
                    <a:srcRect/>
                    <a:stretch>
                      <a:fillRect/>
                    </a:stretch>
                  </pic:blipFill>
                  <pic:spPr bwMode="auto">
                    <a:xfrm>
                      <a:off x="0" y="0"/>
                      <a:ext cx="2583180" cy="8255"/>
                    </a:xfrm>
                    <a:prstGeom prst="rect">
                      <a:avLst/>
                    </a:prstGeom>
                    <a:noFill/>
                  </pic:spPr>
                </pic:pic>
              </a:graphicData>
            </a:graphic>
          </wp:anchor>
        </w:drawing>
      </w:r>
    </w:p>
    <w:p>
      <w:pPr>
        <w:spacing w:after="0" w:line="2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William W. McCarten, Director</w:t>
      </w:r>
    </w:p>
    <w:p>
      <w:pPr>
        <w:spacing w:after="0" w:line="25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/s/ Dianna F.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16510</wp:posOffset>
            </wp:positionV>
            <wp:extent cx="258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9">
                      <a:extLst>
                        <a:ext uri="{28A0092B-C50C-407E-A947-70E740481C1C}"/>
                      </a:extLst>
                    </a:blip>
                    <a:srcRect/>
                    <a:stretch>
                      <a:fillRect/>
                    </a:stretch>
                  </pic:blipFill>
                  <pic:spPr bwMode="auto">
                    <a:xfrm>
                      <a:off x="0" y="0"/>
                      <a:ext cx="2583180" cy="8255"/>
                    </a:xfrm>
                    <a:prstGeom prst="rect">
                      <a:avLst/>
                    </a:prstGeom>
                    <a:noFill/>
                  </pic:spPr>
                </pic:pic>
              </a:graphicData>
            </a:graphic>
          </wp:anchor>
        </w:drawing>
      </w:r>
    </w:p>
    <w:p>
      <w:pPr>
        <w:spacing w:after="0" w:line="2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Dianna F. Morgan, Director</w:t>
      </w:r>
    </w:p>
    <w:p>
      <w:pPr>
        <w:spacing w:after="0" w:line="25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/s/ Stephen R. Quazzo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16510</wp:posOffset>
            </wp:positionV>
            <wp:extent cx="258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0">
                      <a:extLst>
                        <a:ext uri="{28A0092B-C50C-407E-A947-70E740481C1C}"/>
                      </a:extLst>
                    </a:blip>
                    <a:srcRect/>
                    <a:stretch>
                      <a:fillRect/>
                    </a:stretch>
                  </pic:blipFill>
                  <pic:spPr bwMode="auto">
                    <a:xfrm>
                      <a:off x="0" y="0"/>
                      <a:ext cx="2583180" cy="8255"/>
                    </a:xfrm>
                    <a:prstGeom prst="rect">
                      <a:avLst/>
                    </a:prstGeom>
                    <a:noFill/>
                  </pic:spPr>
                </pic:pic>
              </a:graphicData>
            </a:graphic>
          </wp:anchor>
        </w:drawing>
      </w:r>
    </w:p>
    <w:p>
      <w:pPr>
        <w:spacing w:after="0" w:line="2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Stephen R. Quazzo, Director</w:t>
      </w:r>
    </w:p>
    <w:p>
      <w:pPr>
        <w:spacing w:after="0" w:line="200" w:lineRule="exact"/>
        <w:rPr>
          <w:sz w:val="20"/>
          <w:szCs w:val="20"/>
          <w:color w:val="auto"/>
        </w:rPr>
      </w:pPr>
    </w:p>
    <w:p>
      <w:pPr>
        <w:sectPr>
          <w:pgSz w:w="11900" w:h="16838" w:orient="portrait"/>
          <w:cols w:equalWidth="0" w:num="2">
            <w:col w:w="4780" w:space="720"/>
            <w:col w:w="5660"/>
          </w:cols>
          <w:pgMar w:left="320" w:top="124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1160"/>
          </w:cols>
          <w:pgMar w:left="320" w:top="1245" w:right="419" w:bottom="1440" w:gutter="0" w:footer="0" w:header="0"/>
          <w:type w:val="continuous"/>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b w:val="1"/>
          <w:bCs w:val="1"/>
          <w:color w:val="auto"/>
        </w:rPr>
        <w:t>Exhibit 10.51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643890</wp:posOffset>
            </wp:positionV>
            <wp:extent cx="1713865" cy="544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1">
                      <a:extLst>
                        <a:ext uri="{28A0092B-C50C-407E-A947-70E740481C1C}"/>
                      </a:extLst>
                    </a:blip>
                    <a:srcRect/>
                    <a:stretch>
                      <a:fillRect/>
                    </a:stretch>
                  </pic:blipFill>
                  <pic:spPr bwMode="auto">
                    <a:xfrm>
                      <a:off x="0" y="0"/>
                      <a:ext cx="1713865" cy="544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404040"/>
        </w:rPr>
        <w:t>November 9, 2025</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404040"/>
        </w:rPr>
        <w:t>PRIVATE &amp; CONFIDENTIAL</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404040"/>
        </w:rPr>
        <w:t>Matthew E. Avril</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404040"/>
        </w:rPr>
        <w:t>216 Ocean Way</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404040"/>
        </w:rPr>
        <w:t>Vero Beach, FL 32963-2741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404040"/>
        </w:rPr>
        <w:t>Dear Matt,</w:t>
      </w:r>
    </w:p>
    <w:p>
      <w:pPr>
        <w:spacing w:after="0" w:line="237" w:lineRule="exact"/>
        <w:rPr>
          <w:sz w:val="20"/>
          <w:szCs w:val="20"/>
          <w:color w:val="auto"/>
        </w:rPr>
      </w:pPr>
    </w:p>
    <w:p>
      <w:pPr>
        <w:ind w:right="120" w:hanging="3"/>
        <w:spacing w:after="0" w:line="277" w:lineRule="auto"/>
        <w:rPr>
          <w:sz w:val="20"/>
          <w:szCs w:val="20"/>
          <w:color w:val="auto"/>
        </w:rPr>
      </w:pPr>
      <w:r>
        <w:rPr>
          <w:rFonts w:ascii="Arial" w:cs="Arial" w:eastAsia="Arial" w:hAnsi="Arial"/>
          <w:sz w:val="15"/>
          <w:szCs w:val="15"/>
          <w:color w:val="404040"/>
        </w:rPr>
        <w:t xml:space="preserve">Congratulations! This letter confirms our offer of employment for you to join Marriott Ownership Resorts, Inc. ("the Company"), a subsidiary of Marriott Vacations Worldwide Corporation ("MVW") at MVW Headquarters as Interim </w:t>
      </w:r>
      <w:r>
        <w:rPr>
          <w:rFonts w:ascii="Arial" w:cs="Arial" w:eastAsia="Arial" w:hAnsi="Arial"/>
          <w:sz w:val="15"/>
          <w:szCs w:val="15"/>
          <w:color w:val="000000"/>
        </w:rPr>
        <w:t>President &amp; Chief Executive Officer (“Interim CEO”),</w:t>
      </w:r>
      <w:r>
        <w:rPr>
          <w:rFonts w:ascii="Arial" w:cs="Arial" w:eastAsia="Arial" w:hAnsi="Arial"/>
          <w:sz w:val="15"/>
          <w:szCs w:val="15"/>
          <w:color w:val="404040"/>
        </w:rPr>
        <w:t xml:space="preserve"> reporting to William Shaw. The effective date is November 10, 2025. Your appointment as Interim CEO has been approved by the Board of Directors of the Company.</w:t>
      </w:r>
    </w:p>
    <w:p>
      <w:pPr>
        <w:spacing w:after="0" w:line="183" w:lineRule="exact"/>
        <w:rPr>
          <w:sz w:val="20"/>
          <w:szCs w:val="20"/>
          <w:color w:val="auto"/>
        </w:rPr>
      </w:pPr>
    </w:p>
    <w:p>
      <w:pPr>
        <w:jc w:val="both"/>
        <w:ind w:hanging="3"/>
        <w:spacing w:after="0" w:line="268" w:lineRule="auto"/>
        <w:rPr>
          <w:sz w:val="20"/>
          <w:szCs w:val="20"/>
          <w:color w:val="auto"/>
        </w:rPr>
      </w:pPr>
      <w:r>
        <w:rPr>
          <w:rFonts w:ascii="Arial" w:cs="Arial" w:eastAsia="Arial" w:hAnsi="Arial"/>
          <w:sz w:val="15"/>
          <w:szCs w:val="15"/>
          <w:color w:val="404040"/>
        </w:rPr>
        <w:t xml:space="preserve">Your base salary </w:t>
      </w:r>
      <w:r>
        <w:rPr>
          <w:rFonts w:ascii="Arial" w:cs="Arial" w:eastAsia="Arial" w:hAnsi="Arial"/>
          <w:sz w:val="15"/>
          <w:szCs w:val="15"/>
          <w:color w:val="000000"/>
        </w:rPr>
        <w:t>will be $1,000,000 per year. Upon the appointment of a new</w:t>
      </w:r>
      <w:r>
        <w:rPr>
          <w:rFonts w:ascii="Arial" w:cs="Arial" w:eastAsia="Arial" w:hAnsi="Arial"/>
          <w:sz w:val="15"/>
          <w:szCs w:val="15"/>
          <w:color w:val="404040"/>
        </w:rPr>
        <w:t xml:space="preserve"> Chief Executive Officer following the conclusion of the executive search effort, you will resign from the Interim President &amp; Chief Executive Officer position and serve as an employed advisor to the new Chief Executive Officer until a mutually agreed upon date (not to exceed 60 days after the appointment of the new Chief Executive Officer unless otherwise mutually agreed). While serving as advisor to the new Chief Executive Officer, you will continue to be paid your then current salary and benefits as described herein.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404040"/>
        </w:rPr>
        <w:t>You may become eligible to participate in the Deferred Compensation Program. Your eligibility is based on your annual base salary being equal to or greater than the current definition of a "highly compensated employee" under IRS Code Section 414(q)(1)(B). If you become eligible, you will receive an email invitation during the next open enrollment.</w:t>
      </w:r>
    </w:p>
    <w:p>
      <w:pPr>
        <w:spacing w:after="0" w:line="183" w:lineRule="exact"/>
        <w:rPr>
          <w:sz w:val="20"/>
          <w:szCs w:val="20"/>
          <w:color w:val="auto"/>
        </w:rPr>
      </w:pPr>
    </w:p>
    <w:p>
      <w:pPr>
        <w:jc w:val="both"/>
        <w:ind w:hanging="3"/>
        <w:spacing w:after="0" w:line="258" w:lineRule="auto"/>
        <w:rPr>
          <w:sz w:val="20"/>
          <w:szCs w:val="20"/>
          <w:color w:val="auto"/>
        </w:rPr>
      </w:pPr>
      <w:r>
        <w:rPr>
          <w:rFonts w:ascii="Arial" w:cs="Arial" w:eastAsia="Arial" w:hAnsi="Arial"/>
          <w:sz w:val="15"/>
          <w:szCs w:val="15"/>
          <w:color w:val="404040"/>
        </w:rPr>
        <w:t>You are eligible to participate in the 401(k) Plan on your first day of employment. You will be automatically enrolled for 3% pre-tax contributions fifteen (15) days following your date of hire or as soon as administratively practicable. Even though you are automatically enrolled in the 401(k) Plan, you may change your percentage contribution at any time. You may increase your contribution or decrease it, including decreasing it to 0%, which stops the contribution deductions. You will also be able to withdraw the automatic contributions within the first thirty (30) days after the first</w:t>
      </w:r>
    </w:p>
    <w:p>
      <w:pPr>
        <w:spacing w:after="0" w:line="1" w:lineRule="exact"/>
        <w:rPr>
          <w:sz w:val="20"/>
          <w:szCs w:val="20"/>
          <w:color w:val="auto"/>
        </w:rPr>
      </w:pPr>
    </w:p>
    <w:p>
      <w:pPr>
        <w:jc w:val="both"/>
        <w:ind w:hanging="3"/>
        <w:spacing w:after="0" w:line="287" w:lineRule="auto"/>
        <w:rPr>
          <w:sz w:val="20"/>
          <w:szCs w:val="20"/>
          <w:color w:val="auto"/>
        </w:rPr>
      </w:pPr>
      <w:r>
        <w:rPr>
          <w:rFonts w:ascii="Arial" w:cs="Arial" w:eastAsia="Arial" w:hAnsi="Arial"/>
          <w:sz w:val="15"/>
          <w:szCs w:val="15"/>
          <w:color w:val="404040"/>
        </w:rPr>
        <w:t>automatic contribution is taken from your paycheck. If you do not withdraw the automatic contributions during this 30-day period, any contributions you withdraw from the 401(k) Plan will be subject to IRS penalties.</w:t>
      </w:r>
    </w:p>
    <w:p>
      <w:pPr>
        <w:spacing w:after="0" w:line="175" w:lineRule="exact"/>
        <w:rPr>
          <w:sz w:val="20"/>
          <w:szCs w:val="20"/>
          <w:color w:val="auto"/>
        </w:rPr>
      </w:pPr>
    </w:p>
    <w:p>
      <w:pPr>
        <w:jc w:val="both"/>
        <w:ind w:hanging="3"/>
        <w:spacing w:after="0" w:line="306" w:lineRule="auto"/>
        <w:rPr>
          <w:sz w:val="20"/>
          <w:szCs w:val="20"/>
          <w:color w:val="auto"/>
        </w:rPr>
      </w:pPr>
      <w:r>
        <w:rPr>
          <w:rFonts w:ascii="Arial" w:cs="Arial" w:eastAsia="Arial" w:hAnsi="Arial"/>
          <w:sz w:val="15"/>
          <w:szCs w:val="15"/>
          <w:color w:val="404040"/>
        </w:rPr>
        <w:t xml:space="preserve">For more information, the "Automatic Enrollment/QDIA Notice" will be presented to you with your onboarding documents. To make changes to your 401(k) Plan account or to address any questions regarding the 401(k) Plan, contact Fidelity Investments at 800-835-5095 or </w:t>
      </w:r>
      <w:r>
        <w:rPr>
          <w:rFonts w:ascii="Arial" w:cs="Arial" w:eastAsia="Arial" w:hAnsi="Arial"/>
          <w:sz w:val="15"/>
          <w:szCs w:val="15"/>
          <w:u w:val="single" w:color="auto"/>
          <w:color w:val="0563C1"/>
        </w:rPr>
        <w:t>www.netbenefits.com</w:t>
      </w:r>
      <w:r>
        <w:rPr>
          <w:rFonts w:ascii="Arial" w:cs="Arial" w:eastAsia="Arial" w:hAnsi="Arial"/>
          <w:sz w:val="15"/>
          <w:szCs w:val="15"/>
          <w:color w:val="404040"/>
        </w:rPr>
        <w:t>.</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404040"/>
        </w:rPr>
        <w:t>In this position, you are eligible to receive a stock award under the Marriott Vacations Worldwide Corporation Equity Incentive Plan. Your awards will be comprised of both restricted stock units (“RSU”) and stock appreciation rights</w:t>
      </w:r>
    </w:p>
    <w:p>
      <w:pPr>
        <w:sectPr>
          <w:pgSz w:w="11900" w:h="16838" w:orient="portrait"/>
          <w:cols w:equalWidth="0" w:num="1">
            <w:col w:w="11240"/>
          </w:cols>
          <w:pgMar w:left="320" w:top="123" w:right="339" w:bottom="1440" w:gutter="0" w:footer="0" w:header="0"/>
        </w:sectPr>
      </w:pPr>
    </w:p>
    <w:bookmarkStart w:id="134" w:name="page135"/>
    <w:bookmarkEnd w:id="134"/>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404040"/>
        </w:rPr>
        <w:t>(SARs). Your restricted stock award will be 50,000 RSUs and will vest on the earlier of (i) 12 months from the date of grant or (ii) your termination of employment.</w:t>
      </w:r>
    </w:p>
    <w:p>
      <w:pPr>
        <w:spacing w:after="0" w:line="23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404040"/>
        </w:rPr>
        <w:t>Your SARs award will be 100,000 SARs and will vest on the earlier of (i) 12 months from date of grant or (ii) your termination of employment. You will have six years from date of grant to exercise the SARs. The strike price for the SARs will be determined after the close of the stock market on November 13, 2025.</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404040"/>
        </w:rPr>
        <w:t>Additional information will be provided to you at the time any equity award is granted.</w:t>
      </w:r>
    </w:p>
    <w:p>
      <w:pPr>
        <w:spacing w:after="0" w:line="250" w:lineRule="exact"/>
        <w:rPr>
          <w:sz w:val="20"/>
          <w:szCs w:val="20"/>
          <w:color w:val="auto"/>
        </w:rPr>
      </w:pPr>
    </w:p>
    <w:p>
      <w:pPr>
        <w:jc w:val="both"/>
        <w:spacing w:after="0" w:line="187" w:lineRule="exact"/>
        <w:rPr>
          <w:sz w:val="20"/>
          <w:szCs w:val="20"/>
          <w:color w:val="auto"/>
        </w:rPr>
      </w:pPr>
      <w:r>
        <w:rPr>
          <w:rFonts w:ascii="Arial" w:cs="Arial" w:eastAsia="Arial" w:hAnsi="Arial"/>
          <w:sz w:val="15"/>
          <w:szCs w:val="15"/>
          <w:color w:val="404040"/>
        </w:rPr>
        <w:t>The Company will work with you to modify or amend the terms of any equity award (including vesting, payment timing, method, or other terms) to comply with, or to avoid or correct non</w:t>
      </w:r>
      <w:r>
        <w:rPr>
          <w:rFonts w:ascii="MS PGothic" w:cs="MS PGothic" w:eastAsia="MS PGothic" w:hAnsi="MS PGothic"/>
          <w:sz w:val="15"/>
          <w:szCs w:val="15"/>
          <w:color w:val="404040"/>
        </w:rPr>
        <w:t>‑</w:t>
      </w:r>
      <w:r>
        <w:rPr>
          <w:rFonts w:ascii="Arial" w:cs="Arial" w:eastAsia="Arial" w:hAnsi="Arial"/>
          <w:sz w:val="15"/>
          <w:szCs w:val="15"/>
          <w:color w:val="404040"/>
        </w:rPr>
        <w:t>compliance with, Section 409A of the Internal Revenue Code or any applicable Treasury regulations or guidance so long as it does not materially change the value to you or the cost to the Company.</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404040"/>
        </w:rPr>
        <w:t>An Enrollment Notification will be sent to your home address that is in the Workday system, which outlines the medical, dental, vision, life, and other benefit plans for which you may be eligible. You may elect your benefits starting the first day of employment up to the sixty (60) days after your hire date. Benefit elections become effective on your thirty-first day (31st) day of employment. Please note that enrolling after the effective date will result in back charges for coverage to the effective date. You may access your enrollment event by going to www.myMVW.com and clicking on the Fidelity icon to login and set up your benefits. If you have any questions on your benefits or would like to enroll via phone, you may contact the Benefits Center at 1-800-835-5095.</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404040"/>
        </w:rPr>
        <w:t>The Company believes that a balance between work and nonwork activities is essential to maintain quality performance and a positive work atmosphere. To support this philosophy, the Company has designed a plan that incorporates time off for vacation and personal time into a Personalized Vacation (PVAC") program and a Sick Leave program ("Sick"). As Interim CEO, you are eligible for these PVAC and Sick Leave programs and will have the opportunity to personalize your PVAC usage. Unless otherwise required by applicable law, sick time under the Sick Leave program will be accrued at the rate of six and one-half (6.5) days per calendar year, up to a maximum of 40 days. Please contact our HR Business Partner for full details of the PVAC and Sick Leave programs.</w:t>
      </w:r>
    </w:p>
    <w:p>
      <w:pPr>
        <w:spacing w:after="0" w:line="206" w:lineRule="exact"/>
        <w:rPr>
          <w:sz w:val="20"/>
          <w:szCs w:val="20"/>
          <w:color w:val="auto"/>
        </w:rPr>
      </w:pPr>
    </w:p>
    <w:p>
      <w:pPr>
        <w:jc w:val="both"/>
        <w:ind w:hanging="3"/>
        <w:spacing w:after="0" w:line="288" w:lineRule="auto"/>
        <w:rPr>
          <w:sz w:val="20"/>
          <w:szCs w:val="20"/>
          <w:color w:val="auto"/>
        </w:rPr>
      </w:pPr>
      <w:r>
        <w:rPr>
          <w:rFonts w:ascii="Arial" w:cs="Arial" w:eastAsia="Arial" w:hAnsi="Arial"/>
          <w:sz w:val="15"/>
          <w:szCs w:val="15"/>
          <w:color w:val="404040"/>
        </w:rPr>
        <w:t>In your position with the Company, you will be entitled to indemnification pursuant to Section 6 of the Company’s Restated Bylaws. You will also be covered by the Company’s director and officer insurance policy.</w:t>
      </w:r>
    </w:p>
    <w:p>
      <w:pPr>
        <w:spacing w:after="0" w:line="174" w:lineRule="exact"/>
        <w:rPr>
          <w:sz w:val="20"/>
          <w:szCs w:val="20"/>
          <w:color w:val="auto"/>
        </w:rPr>
      </w:pPr>
    </w:p>
    <w:p>
      <w:pPr>
        <w:jc w:val="both"/>
        <w:ind w:hanging="3"/>
        <w:spacing w:after="0" w:line="290" w:lineRule="auto"/>
        <w:rPr>
          <w:sz w:val="20"/>
          <w:szCs w:val="20"/>
          <w:color w:val="auto"/>
        </w:rPr>
      </w:pPr>
      <w:r>
        <w:rPr>
          <w:rFonts w:ascii="Arial" w:cs="Arial" w:eastAsia="Arial" w:hAnsi="Arial"/>
          <w:sz w:val="15"/>
          <w:szCs w:val="15"/>
          <w:color w:val="404040"/>
        </w:rPr>
        <w:t>In the ordinary course of business, compensation and benefit programs and plans may evolve as business needs and laws change. To the extent it becomes necessary and desirable to change any of the programs or plans in which you may participate, such changes will apply to you as they do to other similarly situated associates.</w:t>
      </w:r>
    </w:p>
    <w:p>
      <w:pPr>
        <w:spacing w:after="0" w:line="376" w:lineRule="exact"/>
        <w:rPr>
          <w:sz w:val="20"/>
          <w:szCs w:val="20"/>
          <w:color w:val="auto"/>
        </w:rPr>
      </w:pPr>
    </w:p>
    <w:p>
      <w:pPr>
        <w:jc w:val="both"/>
        <w:ind w:hanging="3"/>
        <w:spacing w:after="0" w:line="268" w:lineRule="auto"/>
        <w:rPr>
          <w:sz w:val="20"/>
          <w:szCs w:val="20"/>
          <w:color w:val="auto"/>
        </w:rPr>
      </w:pPr>
      <w:r>
        <w:rPr>
          <w:rFonts w:ascii="Arial" w:cs="Arial" w:eastAsia="Arial" w:hAnsi="Arial"/>
          <w:sz w:val="15"/>
          <w:szCs w:val="15"/>
          <w:color w:val="404040"/>
        </w:rPr>
        <w:t>In your position with the Company, you will have access to confidential information, such as, without limitation, financial data, personnel data of others, short-term and long-term business plans, as well as manuals, systems, clients, partner, and investor details. You understand and agree that such information and matters are the property of the Company or its affiliates. Neither during your employment nor following your employment with the Company will you disclose such confidential information and matters to any person without the prior written permission of the Company, except where required or permitted by applicable law.</w:t>
      </w:r>
    </w:p>
    <w:p>
      <w:pPr>
        <w:spacing w:after="0" w:line="189" w:lineRule="exact"/>
        <w:rPr>
          <w:sz w:val="20"/>
          <w:szCs w:val="20"/>
          <w:color w:val="auto"/>
        </w:rPr>
      </w:pPr>
    </w:p>
    <w:p>
      <w:pPr>
        <w:jc w:val="both"/>
        <w:ind w:hanging="3"/>
        <w:spacing w:after="0" w:line="277" w:lineRule="auto"/>
        <w:rPr>
          <w:sz w:val="20"/>
          <w:szCs w:val="20"/>
          <w:color w:val="auto"/>
        </w:rPr>
      </w:pPr>
      <w:r>
        <w:rPr>
          <w:rFonts w:ascii="Arial" w:cs="Arial" w:eastAsia="Arial" w:hAnsi="Arial"/>
          <w:sz w:val="15"/>
          <w:szCs w:val="15"/>
          <w:color w:val="404040"/>
        </w:rPr>
        <w:t>This letter constitutes the full offer that has been extended to you. However, this letter does not constitute a contract of employment for any period of time, and your employment with the Company is at will, meaning it is subject to termination by you or the Company at any time, with or without notice, and with or without cause. The extension of an employment offer by the Company to you is contingent upon the successful completion of any required pre-</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376" w:lineRule="exact"/>
        <w:rPr>
          <w:sz w:val="20"/>
          <w:szCs w:val="20"/>
          <w:color w:val="auto"/>
        </w:rPr>
      </w:pPr>
    </w:p>
    <w:p>
      <w:pPr>
        <w:ind w:hanging="3"/>
        <w:spacing w:after="0" w:line="288" w:lineRule="auto"/>
        <w:rPr>
          <w:sz w:val="20"/>
          <w:szCs w:val="20"/>
          <w:color w:val="auto"/>
        </w:rPr>
      </w:pPr>
      <w:r>
        <w:rPr>
          <w:rFonts w:ascii="Arial" w:cs="Arial" w:eastAsia="Arial" w:hAnsi="Arial"/>
          <w:sz w:val="15"/>
          <w:szCs w:val="15"/>
          <w:color w:val="404040"/>
        </w:rPr>
        <w:t>employment checks based upon position which may include background checks, drug testing and motor vehicle record check, where applicable, and your execution of certain agreements, including a dispute resolution agreement and a confidentiality and non-solicitation agreement, where applicable.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404040"/>
        </w:rPr>
        <w:t>Should you have any questions regarding this offer or your ability to comply with our Company policies and procedures, please contact me immediately.</w:t>
      </w:r>
    </w:p>
    <w:p>
      <w:pPr>
        <w:spacing w:after="0" w:line="237" w:lineRule="exact"/>
        <w:rPr>
          <w:sz w:val="20"/>
          <w:szCs w:val="20"/>
          <w:color w:val="auto"/>
        </w:rPr>
      </w:pPr>
    </w:p>
    <w:p>
      <w:pPr>
        <w:ind w:hanging="3"/>
        <w:spacing w:after="0" w:line="273" w:lineRule="auto"/>
        <w:rPr>
          <w:sz w:val="20"/>
          <w:szCs w:val="20"/>
          <w:color w:val="auto"/>
        </w:rPr>
      </w:pPr>
      <w:r>
        <w:rPr>
          <w:rFonts w:ascii="Arial" w:cs="Arial" w:eastAsia="Arial" w:hAnsi="Arial"/>
          <w:sz w:val="15"/>
          <w:szCs w:val="15"/>
          <w:color w:val="404040"/>
        </w:rPr>
        <w:t xml:space="preserve">To accept this offer, please sign and return to me no later </w:t>
      </w:r>
      <w:r>
        <w:rPr>
          <w:rFonts w:ascii="Arial" w:cs="Arial" w:eastAsia="Arial" w:hAnsi="Arial"/>
          <w:sz w:val="15"/>
          <w:szCs w:val="15"/>
          <w:color w:val="000000"/>
        </w:rPr>
        <w:t>than November 9, 2025. Feel</w:t>
      </w:r>
      <w:r>
        <w:rPr>
          <w:rFonts w:ascii="Arial" w:cs="Arial" w:eastAsia="Arial" w:hAnsi="Arial"/>
          <w:sz w:val="15"/>
          <w:szCs w:val="15"/>
          <w:color w:val="404040"/>
        </w:rPr>
        <w:t xml:space="preserve"> free to contact me if you have any questions or if I can be of further assistance.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William J. Shaw</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1540" w:type="dxa"/>
            <w:vAlign w:val="bottom"/>
          </w:tcPr>
          <w:p>
            <w:pPr>
              <w:spacing w:after="0"/>
              <w:rPr>
                <w:sz w:val="20"/>
                <w:szCs w:val="20"/>
                <w:color w:val="auto"/>
              </w:rPr>
            </w:pPr>
            <w:r>
              <w:rPr>
                <w:rFonts w:ascii="Arial" w:cs="Arial" w:eastAsia="Arial" w:hAnsi="Arial"/>
                <w:sz w:val="15"/>
                <w:szCs w:val="15"/>
                <w:color w:val="auto"/>
              </w:rPr>
              <w:t>William J. Shaw</w:t>
            </w:r>
          </w:p>
        </w:tc>
        <w:tc>
          <w:tcPr>
            <w:tcW w:w="1200" w:type="dxa"/>
            <w:vAlign w:val="bottom"/>
          </w:tcPr>
          <w:p>
            <w:pPr>
              <w:jc w:val="right"/>
              <w:spacing w:after="0"/>
              <w:rPr>
                <w:sz w:val="20"/>
                <w:szCs w:val="20"/>
                <w:color w:val="auto"/>
              </w:rPr>
            </w:pPr>
            <w:r>
              <w:rPr>
                <w:rFonts w:ascii="Arial" w:cs="Arial" w:eastAsia="Arial" w:hAnsi="Arial"/>
                <w:sz w:val="15"/>
                <w:szCs w:val="15"/>
                <w:color w:val="auto"/>
              </w:rPr>
              <w:t>11/10/2025</w:t>
            </w:r>
          </w:p>
        </w:tc>
      </w:tr>
    </w:tbl>
    <w:p>
      <w:pPr>
        <w:spacing w:after="0" w:line="9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Matthew E. Avril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32893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2">
                      <a:extLst>
                        <a:ext uri="{28A0092B-C50C-407E-A947-70E740481C1C}"/>
                      </a:extLst>
                    </a:blip>
                    <a:srcRect/>
                    <a:stretch>
                      <a:fillRect/>
                    </a:stretch>
                  </pic:blipFill>
                  <pic:spPr bwMode="auto">
                    <a:xfrm>
                      <a:off x="0" y="0"/>
                      <a:ext cx="3289300" cy="8255"/>
                    </a:xfrm>
                    <a:prstGeom prst="rect">
                      <a:avLst/>
                    </a:prstGeom>
                    <a:noFill/>
                  </pic:spPr>
                </pic:pic>
              </a:graphicData>
            </a:graphic>
          </wp:anchor>
        </w:drawing>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ASSOCIATE SIGNATURE - Matthew E. Avril</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5"/>
          <w:szCs w:val="15"/>
          <w:color w:val="auto"/>
        </w:rPr>
        <w:t>11/10/2025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32893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3">
                      <a:extLst>
                        <a:ext uri="{28A0092B-C50C-407E-A947-70E740481C1C}"/>
                      </a:extLst>
                    </a:blip>
                    <a:srcRect/>
                    <a:stretch>
                      <a:fillRect/>
                    </a:stretch>
                  </pic:blipFill>
                  <pic:spPr bwMode="auto">
                    <a:xfrm>
                      <a:off x="0" y="0"/>
                      <a:ext cx="3289300" cy="8255"/>
                    </a:xfrm>
                    <a:prstGeom prst="rect">
                      <a:avLst/>
                    </a:prstGeom>
                    <a:noFill/>
                  </pic:spPr>
                </pic:pic>
              </a:graphicData>
            </a:graphic>
          </wp:anchor>
        </w:drawing>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w:t>
      </w:r>
    </w:p>
    <w:p>
      <w:pPr>
        <w:sectPr>
          <w:pgSz w:w="11900" w:h="16838" w:orient="portrait"/>
          <w:cols w:equalWidth="0" w:num="1">
            <w:col w:w="11240"/>
          </w:cols>
          <w:pgMar w:left="320" w:top="1440"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9"/>
          <w:szCs w:val="19"/>
          <w:b w:val="1"/>
          <w:bCs w:val="1"/>
          <w:color w:val="auto"/>
        </w:rPr>
        <w:t>Exhibit 10.52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APPRECIATION RIGHT AGREEMENT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2020 EQUITY INCENTIVE PLAN</w:t>
      </w:r>
    </w:p>
    <w:p>
      <w:pPr>
        <w:spacing w:after="0" w:line="145" w:lineRule="exact"/>
        <w:rPr>
          <w:sz w:val="20"/>
          <w:szCs w:val="20"/>
          <w:color w:val="auto"/>
        </w:rPr>
      </w:pPr>
    </w:p>
    <w:p>
      <w:pPr>
        <w:ind w:right="1200" w:firstLine="520"/>
        <w:spacing w:after="0" w:line="283" w:lineRule="auto"/>
        <w:rPr>
          <w:sz w:val="20"/>
          <w:szCs w:val="20"/>
          <w:color w:val="auto"/>
        </w:rPr>
      </w:pPr>
      <w:r>
        <w:rPr>
          <w:rFonts w:ascii="Times New Roman" w:cs="Times New Roman" w:eastAsia="Times New Roman" w:hAnsi="Times New Roman"/>
          <w:sz w:val="17"/>
          <w:szCs w:val="17"/>
          <w:color w:val="auto"/>
        </w:rPr>
        <w:t>THIS AGREEMENT (the “Agreement”) is made on November 13, 2025 (the “Grant Date”) by MARRIOTT VACATIONS WORLDWIDE CORPORATION (the “Company”) and Matthew E. Avril (“Employee”).</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WITNESSETH:</w:t>
      </w:r>
    </w:p>
    <w:p>
      <w:pPr>
        <w:spacing w:after="0" w:line="112" w:lineRule="exact"/>
        <w:rPr>
          <w:sz w:val="20"/>
          <w:szCs w:val="20"/>
          <w:color w:val="auto"/>
        </w:rPr>
      </w:pPr>
    </w:p>
    <w:p>
      <w:pPr>
        <w:ind w:right="260" w:firstLine="520"/>
        <w:spacing w:after="0" w:line="283" w:lineRule="auto"/>
        <w:rPr>
          <w:sz w:val="20"/>
          <w:szCs w:val="20"/>
          <w:color w:val="auto"/>
        </w:rPr>
      </w:pPr>
      <w:r>
        <w:rPr>
          <w:rFonts w:ascii="Times New Roman" w:cs="Times New Roman" w:eastAsia="Times New Roman" w:hAnsi="Times New Roman"/>
          <w:sz w:val="17"/>
          <w:szCs w:val="17"/>
          <w:color w:val="auto"/>
        </w:rPr>
        <w:t>WHEREAS, the Company maintains the Marriott Vacations Worldwide Corporation 2020 Equity Incentive Plan, as it may be amended from time to time (the “Plan”); and</w:t>
      </w:r>
    </w:p>
    <w:p>
      <w:pPr>
        <w:spacing w:after="0" w:line="51" w:lineRule="exact"/>
        <w:rPr>
          <w:sz w:val="20"/>
          <w:szCs w:val="20"/>
          <w:color w:val="auto"/>
        </w:rPr>
      </w:pPr>
    </w:p>
    <w:p>
      <w:pPr>
        <w:ind w:right="140" w:firstLine="520"/>
        <w:spacing w:after="0" w:line="283" w:lineRule="auto"/>
        <w:rPr>
          <w:sz w:val="20"/>
          <w:szCs w:val="20"/>
          <w:color w:val="auto"/>
        </w:rPr>
      </w:pPr>
      <w:r>
        <w:rPr>
          <w:rFonts w:ascii="Times New Roman" w:cs="Times New Roman" w:eastAsia="Times New Roman" w:hAnsi="Times New Roman"/>
          <w:sz w:val="17"/>
          <w:szCs w:val="17"/>
          <w:color w:val="auto"/>
        </w:rPr>
        <w:t>WHEREAS, the Company wishes to award to designated employees certain Stock Appreciation Right awards as provided in Article 6 of the Plan (“SARs” or “Awards”); and</w:t>
      </w:r>
    </w:p>
    <w:p>
      <w:pPr>
        <w:spacing w:after="0" w:line="51" w:lineRule="exact"/>
        <w:rPr>
          <w:sz w:val="20"/>
          <w:szCs w:val="20"/>
          <w:color w:val="auto"/>
        </w:rPr>
      </w:pPr>
    </w:p>
    <w:p>
      <w:pPr>
        <w:ind w:right="320" w:firstLine="516"/>
        <w:spacing w:after="0" w:line="283" w:lineRule="auto"/>
        <w:rPr>
          <w:sz w:val="20"/>
          <w:szCs w:val="20"/>
          <w:color w:val="auto"/>
        </w:rPr>
      </w:pPr>
      <w:r>
        <w:rPr>
          <w:rFonts w:ascii="Times New Roman" w:cs="Times New Roman" w:eastAsia="Times New Roman" w:hAnsi="Times New Roman"/>
          <w:sz w:val="17"/>
          <w:szCs w:val="17"/>
          <w:color w:val="auto"/>
        </w:rPr>
        <w:t>WHEREAS, Employee has been approved by the Compensation Policy Committee (including any delegate thereof, the “Committee”) of the Company’s Board of Directors (the “Board”) to receive an award of SARs under the Plan;</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NOW, THEREFORE, it is agreed as follows:</w:t>
      </w:r>
    </w:p>
    <w:p>
      <w:pPr>
        <w:spacing w:after="0" w:line="108" w:lineRule="exact"/>
        <w:rPr>
          <w:sz w:val="20"/>
          <w:szCs w:val="20"/>
          <w:color w:val="auto"/>
        </w:rPr>
      </w:pPr>
    </w:p>
    <w:p>
      <w:pPr>
        <w:ind w:right="40" w:firstLine="522"/>
        <w:spacing w:after="0" w:line="269" w:lineRule="auto"/>
        <w:tabs>
          <w:tab w:leader="none" w:pos="69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Employee has been provided with, and hereby acknowledges receipt of, a Prospectus for the Plan dated</w:t>
      </w:r>
      <w:r>
        <w:rPr>
          <w:rFonts w:ascii="Times New Roman" w:cs="Times New Roman" w:eastAsia="Times New Roman" w:hAnsi="Times New Roman"/>
          <w:sz w:val="17"/>
          <w:szCs w:val="17"/>
          <w:b w:val="1"/>
          <w:bCs w:val="1"/>
          <w:color w:val="auto"/>
        </w:rPr>
        <w:t xml:space="preserve"> May 10, 2024</w:t>
      </w:r>
      <w:r>
        <w:rPr>
          <w:rFonts w:ascii="Times New Roman" w:cs="Times New Roman" w:eastAsia="Times New Roman" w:hAnsi="Times New Roman"/>
          <w:sz w:val="17"/>
          <w:szCs w:val="17"/>
          <w:color w:val="auto"/>
        </w:rPr>
        <w:t>, which contains,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among other things, a detailed description of the SAR award provisions of the Plan. Employee further acknowledges that Employee has read the Prospectus and this Agreement, and that Employee understands the provisions thereof.</w:t>
      </w:r>
    </w:p>
    <w:p>
      <w:pPr>
        <w:spacing w:after="0" w:line="186" w:lineRule="exact"/>
        <w:rPr>
          <w:rFonts w:ascii="Times New Roman" w:cs="Times New Roman" w:eastAsia="Times New Roman" w:hAnsi="Times New Roman"/>
          <w:sz w:val="17"/>
          <w:szCs w:val="17"/>
          <w:color w:val="auto"/>
        </w:rPr>
      </w:pPr>
    </w:p>
    <w:p>
      <w:pPr>
        <w:jc w:val="both"/>
        <w:ind w:right="40" w:firstLine="522"/>
        <w:spacing w:after="0" w:line="263" w:lineRule="auto"/>
        <w:tabs>
          <w:tab w:leader="none" w:pos="69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Interpretation</w:t>
      </w:r>
      <w:r>
        <w:rPr>
          <w:rFonts w:ascii="Times New Roman" w:cs="Times New Roman" w:eastAsia="Times New Roman" w:hAnsi="Times New Roman"/>
          <w:sz w:val="17"/>
          <w:szCs w:val="17"/>
          <w:color w:val="auto"/>
        </w:rPr>
        <w:t>. The provisions of the Plan are incorporated herein by reference and form an integral part of this Agreement. Except as otherwise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64" w:lineRule="exact"/>
        <w:rPr>
          <w:rFonts w:ascii="Times New Roman" w:cs="Times New Roman" w:eastAsia="Times New Roman" w:hAnsi="Times New Roman"/>
          <w:sz w:val="17"/>
          <w:szCs w:val="17"/>
          <w:color w:val="auto"/>
        </w:rPr>
      </w:pPr>
    </w:p>
    <w:p>
      <w:pPr>
        <w:ind w:right="60" w:firstLine="522"/>
        <w:spacing w:after="0" w:line="258" w:lineRule="auto"/>
        <w:tabs>
          <w:tab w:leader="none" w:pos="69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Grant of SARs. </w:t>
      </w:r>
      <w:r>
        <w:rPr>
          <w:rFonts w:ascii="Times New Roman" w:cs="Times New Roman" w:eastAsia="Times New Roman" w:hAnsi="Times New Roman"/>
          <w:sz w:val="17"/>
          <w:szCs w:val="17"/>
          <w:color w:val="auto"/>
        </w:rPr>
        <w:t>The Company hereby grants to Employee as of the Grant Date SARs on</w:t>
      </w:r>
      <w:r>
        <w:rPr>
          <w:rFonts w:ascii="Times New Roman" w:cs="Times New Roman" w:eastAsia="Times New Roman" w:hAnsi="Times New Roman"/>
          <w:sz w:val="17"/>
          <w:szCs w:val="17"/>
          <w:b w:val="1"/>
          <w:bCs w:val="1"/>
          <w:color w:val="auto"/>
        </w:rPr>
        <w:t xml:space="preserve"> 100,000 </w:t>
      </w:r>
      <w:r>
        <w:rPr>
          <w:rFonts w:ascii="Times New Roman" w:cs="Times New Roman" w:eastAsia="Times New Roman" w:hAnsi="Times New Roman"/>
          <w:sz w:val="17"/>
          <w:szCs w:val="17"/>
          <w:color w:val="auto"/>
        </w:rPr>
        <w:t>shares of the Company’s Common Stock (the “SAR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subject to the terms and conditions of the Plan Employee’s acceptance of this Agreement and satisfaction of the tax provisions of any policy of the Company regarding international assignments, if applicable. Under this Agreement, upon satisfying the conditions for exercising SARs as set forth in paragraphs 5 and 6 below, Employee shall receive a number of shares of Common Stock of the Company having a Fair Market Value equal to the number of SAR Shares that are being exercised under such SARs multiplied by the quotient of (a) the Final Value minus the Base Value, divided by (b) the Final Value. Any fractional share of Common Stock resulting from such calculation shall be rounded to the nearest whole share.</w:t>
      </w:r>
    </w:p>
    <w:p>
      <w:pPr>
        <w:spacing w:after="0" w:line="69" w:lineRule="exact"/>
        <w:rPr>
          <w:rFonts w:ascii="Times New Roman" w:cs="Times New Roman" w:eastAsia="Times New Roman" w:hAnsi="Times New Roman"/>
          <w:sz w:val="17"/>
          <w:szCs w:val="17"/>
          <w:color w:val="auto"/>
        </w:rPr>
      </w:pPr>
    </w:p>
    <w:p>
      <w:pPr>
        <w:ind w:firstLine="522"/>
        <w:spacing w:after="0" w:line="288" w:lineRule="auto"/>
        <w:tabs>
          <w:tab w:leader="none" w:pos="70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Base Value and Final Value. </w:t>
      </w:r>
      <w:r>
        <w:rPr>
          <w:rFonts w:ascii="Times New Roman" w:cs="Times New Roman" w:eastAsia="Times New Roman" w:hAnsi="Times New Roman"/>
          <w:sz w:val="17"/>
          <w:szCs w:val="17"/>
          <w:color w:val="auto"/>
        </w:rPr>
        <w:t>Subject to paragraph 13 hereof, the Base Value per share of the SAR Shares is $46.755 and the Final Value is the Fair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Value of a share of Common Stock of the Company as of the date the SARs are exercised.</w:t>
      </w:r>
    </w:p>
    <w:p>
      <w:pPr>
        <w:spacing w:after="0" w:line="42" w:lineRule="exact"/>
        <w:rPr>
          <w:rFonts w:ascii="Times New Roman" w:cs="Times New Roman" w:eastAsia="Times New Roman" w:hAnsi="Times New Roman"/>
          <w:sz w:val="17"/>
          <w:szCs w:val="17"/>
          <w:color w:val="auto"/>
        </w:rPr>
      </w:pPr>
    </w:p>
    <w:p>
      <w:pPr>
        <w:ind w:right="20" w:firstLine="522"/>
        <w:spacing w:after="0" w:line="256" w:lineRule="auto"/>
        <w:tabs>
          <w:tab w:leader="none" w:pos="69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Waiting Period and Exercise Dates. </w:t>
      </w:r>
      <w:r>
        <w:rPr>
          <w:rFonts w:ascii="Times New Roman" w:cs="Times New Roman" w:eastAsia="Times New Roman" w:hAnsi="Times New Roman"/>
          <w:sz w:val="17"/>
          <w:szCs w:val="17"/>
          <w:color w:val="auto"/>
        </w:rPr>
        <w:t>The SAR Shares may not be exercised during the one-year period following the Grant Date (the “waiting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the waiting period, the SAR Shares may be exercised in accordance with the following schedule: One hundred percent (100%) of the SAR Shares commencing on the first anniversary of the Grant Date, provided that if the application of the foregoing exercise schedule would cause a fractional SAR Share to become exercisable, then the Committee shall determine how to reallocate such fractional SAR Share so that only whole SAR Shares shall become exercisable. To the extent that the SARs are not exercised by Employee when they become initially exercisable, the SARs shall not expire but shall be carried forward and shall be exercisable at any time thereafter; provided, however, that the SARs shall not be exercisable after the expiration of six (6) years from the Grant Date or sooner as set forth in paragraph 9, if applicable. Exercise of the SARs shall not be dependent upon the prior or sequential exercise of any other SARs heretofore granted to Employee by the Company.</w:t>
      </w:r>
    </w:p>
    <w:p>
      <w:pPr>
        <w:spacing w:after="0" w:line="199" w:lineRule="exact"/>
        <w:rPr>
          <w:rFonts w:ascii="Times New Roman" w:cs="Times New Roman" w:eastAsia="Times New Roman" w:hAnsi="Times New Roman"/>
          <w:sz w:val="17"/>
          <w:szCs w:val="17"/>
          <w:color w:val="auto"/>
        </w:rPr>
      </w:pPr>
    </w:p>
    <w:p>
      <w:pPr>
        <w:ind w:right="20" w:firstLine="522"/>
        <w:spacing w:after="0" w:line="258" w:lineRule="auto"/>
        <w:tabs>
          <w:tab w:leader="none" w:pos="69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Method of Exercising SARs. </w:t>
      </w:r>
      <w:r>
        <w:rPr>
          <w:rFonts w:ascii="Times New Roman" w:cs="Times New Roman" w:eastAsia="Times New Roman" w:hAnsi="Times New Roman"/>
          <w:sz w:val="17"/>
          <w:szCs w:val="17"/>
          <w:color w:val="auto"/>
        </w:rPr>
        <w:t>To exercise the SARs, the person entitled to exercise the SARs must provide a signed written notice or the equivalent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or its designee, as prescribed in the administrative procedures of the Plan, stating the number of SAR Shares with respect to which the SARs are being exercised. The SARs may be exercised by (a) making provision for the satisfaction of the applicable withholding taxes pursuant to procedures specified by the Committee, and (b) an undertaking to furnish and execute such documents as the Company deems necessary (i) to evidence such exercise, and (ii) to determine whether registration is then required to comply with the Securities Act of 1933 or any other law. Upon satisfying the conditions for exercise including the provision for the satisfaction of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14" w:right="339" w:bottom="1440" w:gutter="0" w:footer="0" w:header="0"/>
        </w:sectPr>
      </w:pPr>
    </w:p>
    <w:bookmarkStart w:id="137" w:name="page138"/>
    <w:bookmarkEnd w:id="137"/>
    <w:p>
      <w:pPr>
        <w:ind w:right="40"/>
        <w:spacing w:after="0" w:line="267" w:lineRule="auto"/>
        <w:rPr>
          <w:sz w:val="20"/>
          <w:szCs w:val="20"/>
          <w:color w:val="auto"/>
        </w:rPr>
      </w:pPr>
      <w:r>
        <w:rPr>
          <w:rFonts w:ascii="Times New Roman" w:cs="Times New Roman" w:eastAsia="Times New Roman" w:hAnsi="Times New Roman"/>
          <w:sz w:val="17"/>
          <w:szCs w:val="17"/>
          <w:color w:val="auto"/>
        </w:rPr>
        <w:t>withholding taxes, the Company shall transfer a number of Common Shares calculated according to paragraph 3 to an individual brokerage account (the “Account”) established and maintained in Employee’s name. The exercise of the SARs may be made by any other means that the Committee determines to be consistent with the Plan’s purpose and applicable law.</w:t>
      </w:r>
    </w:p>
    <w:p>
      <w:pPr>
        <w:spacing w:after="0" w:line="60" w:lineRule="exact"/>
        <w:rPr>
          <w:sz w:val="20"/>
          <w:szCs w:val="20"/>
          <w:color w:val="auto"/>
        </w:rPr>
      </w:pPr>
    </w:p>
    <w:p>
      <w:pPr>
        <w:ind w:right="400" w:firstLine="522"/>
        <w:spacing w:after="0" w:line="288" w:lineRule="auto"/>
        <w:tabs>
          <w:tab w:leader="none" w:pos="69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Conditions of Exercise. </w:t>
      </w:r>
      <w:r>
        <w:rPr>
          <w:rFonts w:ascii="Times New Roman" w:cs="Times New Roman" w:eastAsia="Times New Roman" w:hAnsi="Times New Roman"/>
          <w:sz w:val="17"/>
          <w:szCs w:val="17"/>
          <w:color w:val="auto"/>
        </w:rPr>
        <w:t>As a condition of exercising any SARs hereunder and receiving the Common Shares in accordance with paragraphs 5 and 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above, Employee shall meet all of the following conditions during the entire period from the Grant Date through the date of exercise:</w:t>
      </w:r>
    </w:p>
    <w:p>
      <w:pPr>
        <w:spacing w:after="0" w:line="46" w:lineRule="exact"/>
        <w:rPr>
          <w:sz w:val="20"/>
          <w:szCs w:val="20"/>
          <w:color w:val="auto"/>
        </w:rPr>
      </w:pPr>
    </w:p>
    <w:p>
      <w:pPr>
        <w:ind w:right="40" w:firstLine="522"/>
        <w:spacing w:after="0" w:line="267" w:lineRule="auto"/>
        <w:tabs>
          <w:tab w:leader="none" w:pos="75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herein, Employee must continue to be an active employee of the Company or any Subsidiary (“Continuous Employment”). For purposes of this Award, Employee shall be deemed to no longer be in Continuous Employment as of the first day following a continuous leave of absence for a period of twelve months (other than a leave of absence approved by the Board of Directors or the Committee);</w:t>
      </w:r>
    </w:p>
    <w:p>
      <w:pPr>
        <w:spacing w:after="0" w:line="63" w:lineRule="exact"/>
        <w:rPr>
          <w:rFonts w:ascii="Times New Roman" w:cs="Times New Roman" w:eastAsia="Times New Roman" w:hAnsi="Times New Roman"/>
          <w:sz w:val="17"/>
          <w:szCs w:val="17"/>
          <w:color w:val="auto"/>
        </w:rPr>
      </w:pPr>
    </w:p>
    <w:p>
      <w:pPr>
        <w:ind w:right="80" w:firstLine="522"/>
        <w:spacing w:after="0" w:line="283" w:lineRule="auto"/>
        <w:tabs>
          <w:tab w:leader="none" w:pos="76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prohibited or unenforceable under applicable law, Employee must refrain from Engaging in Competition (as defined in Section 2.17 of the Plan) without first having obtained the written consent thereto from the Company (“Non-competition”); and</w:t>
      </w:r>
    </w:p>
    <w:p>
      <w:pPr>
        <w:spacing w:after="0" w:line="50" w:lineRule="exact"/>
        <w:rPr>
          <w:rFonts w:ascii="Times New Roman" w:cs="Times New Roman" w:eastAsia="Times New Roman" w:hAnsi="Times New Roman"/>
          <w:sz w:val="17"/>
          <w:szCs w:val="17"/>
          <w:color w:val="auto"/>
        </w:rPr>
      </w:pPr>
    </w:p>
    <w:p>
      <w:pPr>
        <w:ind w:right="80" w:firstLine="522"/>
        <w:spacing w:after="0" w:line="262" w:lineRule="auto"/>
        <w:tabs>
          <w:tab w:leader="none" w:pos="75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must refrain from: (i) committing any criminal offense or malicious tort relating to or against the Company or any Subsidiary or, (ii) engaging in willful acts or omissions that, in either case, are, or are reasonably likely to be, injurious on a material level to the Company’s or a Subsidiary’s operations, financial condition or business reputation as determined by the Committee in its sole discretion (subject in all events to the provisions of Section 21 below) (“No Improper Conduct”).</w:t>
      </w:r>
    </w:p>
    <w:p>
      <w:pPr>
        <w:spacing w:after="0" w:line="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If Employee should fail to meet the requirements relating to (i) Non-competition, or (ii) No Improper Conduct, then Employee shall forfeit the right to exercise any SARs that have not already been exercised as of the time such failure is determined, and Employee shall accordingly forfeit the right to receive the transfer of title to any corresponding Common Shares. The forfeiture of rights with respect to unexercised SARs (and corresponding Common Shares) shall not affect the rights of Employee with respect to any SARs that have already been exercised nor with respect to any Common Shares the title of which has already been transferred to the Account.</w:t>
      </w:r>
    </w:p>
    <w:p>
      <w:pPr>
        <w:spacing w:after="0" w:line="67" w:lineRule="exact"/>
        <w:rPr>
          <w:sz w:val="20"/>
          <w:szCs w:val="20"/>
          <w:color w:val="auto"/>
        </w:rPr>
      </w:pPr>
    </w:p>
    <w:p>
      <w:pPr>
        <w:jc w:val="both"/>
        <w:ind w:firstLine="522"/>
        <w:spacing w:after="0" w:line="269" w:lineRule="auto"/>
        <w:tabs>
          <w:tab w:leader="none" w:pos="69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Rights as a Shareholder. </w:t>
      </w:r>
      <w:r>
        <w:rPr>
          <w:rFonts w:ascii="Times New Roman" w:cs="Times New Roman" w:eastAsia="Times New Roman" w:hAnsi="Times New Roman"/>
          <w:sz w:val="17"/>
          <w:szCs w:val="17"/>
          <w:color w:val="auto"/>
        </w:rPr>
        <w:t>Employee shall have no rights as a shareholder with respect to any SAR Shares covered by the SARs granted hereby until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the corresponding Common Shares are transferred to the Account as described in paragraph 6. No adjustment shall be made for dividends or other rights for which the record date is prior to such date.</w:t>
      </w:r>
    </w:p>
    <w:p>
      <w:pPr>
        <w:spacing w:after="0" w:line="58" w:lineRule="exact"/>
        <w:rPr>
          <w:rFonts w:ascii="Times New Roman" w:cs="Times New Roman" w:eastAsia="Times New Roman" w:hAnsi="Times New Roman"/>
          <w:sz w:val="17"/>
          <w:szCs w:val="17"/>
          <w:color w:val="auto"/>
        </w:rPr>
      </w:pPr>
    </w:p>
    <w:p>
      <w:pPr>
        <w:ind w:right="460" w:firstLine="522"/>
        <w:spacing w:after="0" w:line="288" w:lineRule="auto"/>
        <w:tabs>
          <w:tab w:leader="none" w:pos="69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Non-Assignability. </w:t>
      </w:r>
      <w:r>
        <w:rPr>
          <w:rFonts w:ascii="Times New Roman" w:cs="Times New Roman" w:eastAsia="Times New Roman" w:hAnsi="Times New Roman"/>
          <w:sz w:val="17"/>
          <w:szCs w:val="17"/>
          <w:color w:val="auto"/>
        </w:rPr>
        <w:t>The SARs shall not be assignable or transferable by Employee except by will or by the laws of descent and distribution. During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lifetime, the SARs may be exercised only by Employee or, in the event of incompetence, by Employee’s legally appointed guardian.</w:t>
      </w:r>
    </w:p>
    <w:p>
      <w:pPr>
        <w:spacing w:after="0" w:line="42" w:lineRule="exact"/>
        <w:rPr>
          <w:rFonts w:ascii="Times New Roman" w:cs="Times New Roman" w:eastAsia="Times New Roman" w:hAnsi="Times New Roman"/>
          <w:sz w:val="17"/>
          <w:szCs w:val="17"/>
          <w:color w:val="auto"/>
        </w:rPr>
      </w:pPr>
    </w:p>
    <w:p>
      <w:pPr>
        <w:ind w:left="780" w:hanging="258"/>
        <w:spacing w:after="0"/>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Effect of Termination of Employment or Death.</w:t>
      </w:r>
    </w:p>
    <w:p>
      <w:pPr>
        <w:spacing w:after="0" w:line="116" w:lineRule="exact"/>
        <w:rPr>
          <w:sz w:val="20"/>
          <w:szCs w:val="20"/>
          <w:color w:val="auto"/>
        </w:rPr>
      </w:pPr>
    </w:p>
    <w:p>
      <w:pPr>
        <w:ind w:right="60" w:firstLine="522"/>
        <w:spacing w:after="0" w:line="267" w:lineRule="auto"/>
        <w:tabs>
          <w:tab w:leader="none" w:pos="752"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Employee’s Continuous Employment is terminated for any reason other than those specified in (b) below or as a result of Improper Conduct, Employee’s unvested SARs shall vest in full immediately prior to termination or employment provided that Employee continues to meet the requirements related to Non-competition and No Improper Conduct, any SARs which were otherwise exercisable on such date shall expire six years from date of grant.</w:t>
      </w:r>
    </w:p>
    <w:p>
      <w:pPr>
        <w:spacing w:after="0" w:line="63" w:lineRule="exact"/>
        <w:rPr>
          <w:rFonts w:ascii="Times New Roman" w:cs="Times New Roman" w:eastAsia="Times New Roman" w:hAnsi="Times New Roman"/>
          <w:sz w:val="17"/>
          <w:szCs w:val="17"/>
          <w:color w:val="auto"/>
        </w:rPr>
      </w:pPr>
    </w:p>
    <w:p>
      <w:pPr>
        <w:ind w:right="360" w:firstLine="522"/>
        <w:spacing w:after="0" w:line="283" w:lineRule="auto"/>
        <w:tabs>
          <w:tab w:leader="none" w:pos="76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the death of Employee, the SARs shall be exercisable by Employee’s personal representative, heirs or legatees to the same extent and during the same period that Employee could have exercised the SARs if Employee had not died.</w:t>
      </w:r>
    </w:p>
    <w:p>
      <w:pPr>
        <w:spacing w:after="0" w:line="46" w:lineRule="exact"/>
        <w:rPr>
          <w:rFonts w:ascii="Times New Roman" w:cs="Times New Roman" w:eastAsia="Times New Roman" w:hAnsi="Times New Roman"/>
          <w:sz w:val="17"/>
          <w:szCs w:val="17"/>
          <w:color w:val="auto"/>
        </w:rPr>
      </w:pPr>
    </w:p>
    <w:p>
      <w:pPr>
        <w:ind w:right="80" w:firstLine="523"/>
        <w:spacing w:after="0" w:line="255" w:lineRule="auto"/>
        <w:tabs>
          <w:tab w:leader="none" w:pos="77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Non-Solicitation. </w:t>
      </w:r>
      <w:r>
        <w:rPr>
          <w:rFonts w:ascii="Times New Roman" w:cs="Times New Roman" w:eastAsia="Times New Roman" w:hAnsi="Times New Roman"/>
          <w:sz w:val="17"/>
          <w:szCs w:val="17"/>
          <w:color w:val="auto"/>
        </w:rPr>
        <w:t>In consideration of good and valuable consideration in the form of the SARs granted herein to which Employee is not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entitled, the receipt and sufficiency of which are hereby acknowledged, and in recognition of the Company’s and its Subsidiary’s legitimate purpose of avoiding for limited times competition from persons whom the Company or its Subsidiary has trained and/or given experience, except to the extent prohibited or 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737" w:right="339" w:bottom="1440" w:gutter="0" w:footer="0" w:header="0"/>
        </w:sectPr>
      </w:pPr>
    </w:p>
    <w:bookmarkStart w:id="138" w:name="page139"/>
    <w:bookmarkEnd w:id="138"/>
    <w:p>
      <w:pPr>
        <w:ind w:right="100"/>
        <w:spacing w:after="0" w:line="262" w:lineRule="auto"/>
        <w:rPr>
          <w:sz w:val="20"/>
          <w:szCs w:val="20"/>
          <w:color w:val="auto"/>
        </w:rPr>
      </w:pPr>
      <w:r>
        <w:rPr>
          <w:rFonts w:ascii="Times New Roman" w:cs="Times New Roman" w:eastAsia="Times New Roman" w:hAnsi="Times New Roman"/>
          <w:sz w:val="17"/>
          <w:szCs w:val="17"/>
          <w:color w:val="auto"/>
        </w:rPr>
        <w:t>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63" w:lineRule="exact"/>
        <w:rPr>
          <w:sz w:val="20"/>
          <w:szCs w:val="20"/>
          <w:color w:val="auto"/>
        </w:rPr>
      </w:pPr>
    </w:p>
    <w:p>
      <w:pPr>
        <w:jc w:val="both"/>
        <w:ind w:firstLine="719"/>
        <w:spacing w:after="0" w:line="257" w:lineRule="auto"/>
        <w:tabs>
          <w:tab w:leader="none" w:pos="972"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Consent. </w:t>
      </w:r>
      <w:r>
        <w:rPr>
          <w:rFonts w:ascii="Times New Roman" w:cs="Times New Roman" w:eastAsia="Times New Roman" w:hAnsi="Times New Roman"/>
          <w:sz w:val="17"/>
          <w:szCs w:val="17"/>
          <w:color w:val="auto"/>
        </w:rPr>
        <w:t>By executing this Agreement, Employee consents to the collection, maintenance and processing of Employee’s personal information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Employee’s 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Exercise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73" w:lineRule="exact"/>
        <w:rPr>
          <w:rFonts w:ascii="Times New Roman" w:cs="Times New Roman" w:eastAsia="Times New Roman" w:hAnsi="Times New Roman"/>
          <w:sz w:val="17"/>
          <w:szCs w:val="17"/>
          <w:color w:val="auto"/>
        </w:rPr>
      </w:pPr>
    </w:p>
    <w:p>
      <w:pPr>
        <w:ind w:right="60" w:firstLine="412"/>
        <w:spacing w:after="0" w:line="283" w:lineRule="auto"/>
        <w:tabs>
          <w:tab w:leader="none" w:pos="64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this Agreement, investor questionnaires or other forms that Employee submits to the Company or a Subsidiary or contracts that Employee enters into with the Company or a Subsidiary;</w:t>
      </w:r>
    </w:p>
    <w:p>
      <w:pPr>
        <w:spacing w:after="0" w:line="50" w:lineRule="exact"/>
        <w:rPr>
          <w:rFonts w:ascii="Times New Roman" w:cs="Times New Roman" w:eastAsia="Times New Roman" w:hAnsi="Times New Roman"/>
          <w:sz w:val="17"/>
          <w:szCs w:val="17"/>
          <w:color w:val="auto"/>
        </w:rPr>
      </w:pPr>
    </w:p>
    <w:p>
      <w:pPr>
        <w:ind w:left="660" w:hanging="248"/>
        <w:spacing w:after="0"/>
        <w:tabs>
          <w:tab w:leader="none" w:pos="6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Employee’s transactions with the Company, the Company’s affiliates and service providers;</w:t>
      </w:r>
    </w:p>
    <w:p>
      <w:pPr>
        <w:spacing w:after="0" w:line="111" w:lineRule="exact"/>
        <w:rPr>
          <w:rFonts w:ascii="Times New Roman" w:cs="Times New Roman" w:eastAsia="Times New Roman" w:hAnsi="Times New Roman"/>
          <w:sz w:val="17"/>
          <w:szCs w:val="17"/>
          <w:color w:val="auto"/>
        </w:rPr>
      </w:pPr>
    </w:p>
    <w:p>
      <w:pPr>
        <w:ind w:left="640" w:hanging="228"/>
        <w:spacing w:after="0"/>
        <w:tabs>
          <w:tab w:leader="none" w:pos="6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Employee’s employment records with the Company or a Subsidiary; and</w:t>
      </w:r>
    </w:p>
    <w:p>
      <w:pPr>
        <w:spacing w:after="0" w:line="111" w:lineRule="exact"/>
        <w:rPr>
          <w:rFonts w:ascii="Times New Roman" w:cs="Times New Roman" w:eastAsia="Times New Roman" w:hAnsi="Times New Roman"/>
          <w:sz w:val="17"/>
          <w:szCs w:val="17"/>
          <w:color w:val="auto"/>
        </w:rPr>
      </w:pPr>
    </w:p>
    <w:p>
      <w:pPr>
        <w:ind w:left="660" w:hanging="248"/>
        <w:spacing w:after="0"/>
        <w:tabs>
          <w:tab w:leader="none" w:pos="6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meetings, telephone conversations and other communications with Employee.</w:t>
      </w:r>
    </w:p>
    <w:p>
      <w:pPr>
        <w:spacing w:after="0" w:line="112" w:lineRule="exact"/>
        <w:rPr>
          <w:sz w:val="20"/>
          <w:szCs w:val="20"/>
          <w:color w:val="auto"/>
        </w:rPr>
      </w:pPr>
    </w:p>
    <w:p>
      <w:pPr>
        <w:ind w:firstLine="716"/>
        <w:spacing w:after="0" w:line="283" w:lineRule="auto"/>
        <w:rPr>
          <w:sz w:val="20"/>
          <w:szCs w:val="20"/>
          <w:color w:val="auto"/>
        </w:rPr>
      </w:pPr>
      <w:r>
        <w:rPr>
          <w:rFonts w:ascii="Times New Roman" w:cs="Times New Roman" w:eastAsia="Times New Roman" w:hAnsi="Times New Roman"/>
          <w:sz w:val="17"/>
          <w:szCs w:val="17"/>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51" w:lineRule="exact"/>
        <w:rPr>
          <w:sz w:val="20"/>
          <w:szCs w:val="20"/>
          <w:color w:val="auto"/>
        </w:rPr>
      </w:pPr>
    </w:p>
    <w:p>
      <w:pPr>
        <w:ind w:left="640" w:hanging="228"/>
        <w:spacing w:after="0"/>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service providers, such as broker-dealers, custodians, banks and others used to finance or facilitate transactions by, or operations of, the Plan;</w:t>
      </w:r>
    </w:p>
    <w:p>
      <w:pPr>
        <w:spacing w:after="0" w:line="111" w:lineRule="exact"/>
        <w:rPr>
          <w:rFonts w:ascii="Times New Roman" w:cs="Times New Roman" w:eastAsia="Times New Roman" w:hAnsi="Times New Roman"/>
          <w:sz w:val="17"/>
          <w:szCs w:val="17"/>
          <w:color w:val="auto"/>
        </w:rPr>
      </w:pPr>
    </w:p>
    <w:p>
      <w:pPr>
        <w:ind w:left="660" w:hanging="248"/>
        <w:spacing w:after="0"/>
        <w:tabs>
          <w:tab w:leader="none" w:pos="6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service providers to the Plan, such as accounting, legal, or tax preparation services;</w:t>
      </w:r>
    </w:p>
    <w:p>
      <w:pPr>
        <w:spacing w:after="0" w:line="26" w:lineRule="exact"/>
        <w:rPr>
          <w:rFonts w:ascii="Times New Roman" w:cs="Times New Roman" w:eastAsia="Times New Roman" w:hAnsi="Times New Roman"/>
          <w:sz w:val="17"/>
          <w:szCs w:val="17"/>
          <w:color w:val="auto"/>
        </w:rPr>
      </w:pPr>
    </w:p>
    <w:p>
      <w:pPr>
        <w:ind w:left="640" w:hanging="228"/>
        <w:spacing w:after="0"/>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and</w:t>
      </w:r>
    </w:p>
    <w:p>
      <w:pPr>
        <w:spacing w:after="0" w:line="9" w:lineRule="exact"/>
        <w:rPr>
          <w:rFonts w:ascii="Times New Roman" w:cs="Times New Roman" w:eastAsia="Times New Roman" w:hAnsi="Times New Roman"/>
          <w:sz w:val="17"/>
          <w:szCs w:val="17"/>
          <w:color w:val="auto"/>
        </w:rPr>
      </w:pPr>
    </w:p>
    <w:p>
      <w:pPr>
        <w:ind w:left="660" w:hanging="248"/>
        <w:spacing w:after="0"/>
        <w:tabs>
          <w:tab w:leader="none" w:pos="6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agents, portfolio companies, brokerage firms and the like, in connection with distributions to Plan participants.</w:t>
      </w:r>
    </w:p>
    <w:p>
      <w:pPr>
        <w:spacing w:after="0" w:line="94" w:lineRule="exact"/>
        <w:rPr>
          <w:sz w:val="20"/>
          <w:szCs w:val="20"/>
          <w:color w:val="auto"/>
        </w:rPr>
      </w:pPr>
    </w:p>
    <w:p>
      <w:pPr>
        <w:ind w:firstLine="521"/>
        <w:spacing w:after="0" w:line="283" w:lineRule="auto"/>
        <w:rPr>
          <w:sz w:val="20"/>
          <w:szCs w:val="20"/>
          <w:color w:val="auto"/>
        </w:rPr>
      </w:pPr>
      <w:r>
        <w:rPr>
          <w:rFonts w:ascii="Times New Roman" w:cs="Times New Roman" w:eastAsia="Times New Roman" w:hAnsi="Times New Roman"/>
          <w:sz w:val="17"/>
          <w:szCs w:val="17"/>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51" w:lineRule="exact"/>
        <w:rPr>
          <w:sz w:val="20"/>
          <w:szCs w:val="20"/>
          <w:color w:val="auto"/>
        </w:rPr>
      </w:pPr>
    </w:p>
    <w:p>
      <w:pPr>
        <w:ind w:firstLine="521"/>
        <w:spacing w:after="0" w:line="255" w:lineRule="auto"/>
        <w:rPr>
          <w:sz w:val="20"/>
          <w:szCs w:val="20"/>
          <w:color w:val="auto"/>
        </w:rPr>
      </w:pPr>
      <w:r>
        <w:rPr>
          <w:rFonts w:ascii="Times New Roman" w:cs="Times New Roman" w:eastAsia="Times New Roman" w:hAnsi="Times New Roman"/>
          <w:sz w:val="17"/>
          <w:szCs w:val="17"/>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71" w:lineRule="exact"/>
        <w:rPr>
          <w:sz w:val="20"/>
          <w:szCs w:val="20"/>
          <w:color w:val="auto"/>
        </w:rPr>
      </w:pPr>
    </w:p>
    <w:p>
      <w:pPr>
        <w:ind w:right="60" w:firstLine="522"/>
        <w:spacing w:after="0" w:line="263" w:lineRule="auto"/>
        <w:tabs>
          <w:tab w:leader="none" w:pos="77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 Additional Rights. </w:t>
      </w:r>
      <w:r>
        <w:rPr>
          <w:rFonts w:ascii="Times New Roman" w:cs="Times New Roman" w:eastAsia="Times New Roman" w:hAnsi="Times New Roman"/>
          <w:sz w:val="17"/>
          <w:szCs w:val="17"/>
          <w:color w:val="auto"/>
        </w:rPr>
        <w:t>Benefits under the Plan are not guaranteed. The grant of this Award is a one-time benefit and does not create any contractual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 service payments, bonuses,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839" w:right="339" w:bottom="1440" w:gutter="0" w:footer="0" w:header="0"/>
        </w:sectPr>
      </w:pPr>
    </w:p>
    <w:bookmarkStart w:id="139" w:name="page140"/>
    <w:bookmarkEnd w:id="139"/>
    <w:p>
      <w:pPr>
        <w:jc w:val="both"/>
        <w:ind w:right="180"/>
        <w:spacing w:after="0" w:line="267" w:lineRule="auto"/>
        <w:rPr>
          <w:sz w:val="20"/>
          <w:szCs w:val="20"/>
          <w:color w:val="auto"/>
        </w:rPr>
      </w:pPr>
      <w:r>
        <w:rPr>
          <w:rFonts w:ascii="Times New Roman" w:cs="Times New Roman" w:eastAsia="Times New Roman" w:hAnsi="Times New Roman"/>
          <w:sz w:val="17"/>
          <w:szCs w:val="17"/>
          <w:color w:val="auto"/>
        </w:rPr>
        <w:t>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60" w:lineRule="exact"/>
        <w:rPr>
          <w:sz w:val="20"/>
          <w:szCs w:val="20"/>
          <w:color w:val="auto"/>
        </w:rPr>
      </w:pPr>
    </w:p>
    <w:p>
      <w:pPr>
        <w:ind w:firstLine="522"/>
        <w:spacing w:after="0" w:line="263" w:lineRule="auto"/>
        <w:tabs>
          <w:tab w:leader="none" w:pos="7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Recapitalization, Reorganization, Unusual Events. </w:t>
      </w:r>
      <w:r>
        <w:rPr>
          <w:rFonts w:ascii="Times New Roman" w:cs="Times New Roman" w:eastAsia="Times New Roman" w:hAnsi="Times New Roman"/>
          <w:sz w:val="17"/>
          <w:szCs w:val="17"/>
          <w:color w:val="auto"/>
        </w:rPr>
        <w:t>Certain events affecting the Common Shares of the Company and mergers, consolidations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reorganizations affecting the Company may affect the number or type of securities deliverable upon exercise of the SARs or limit the remaining term over which the SARs may be exercised, as set forth in Section 4.2 of the Plan. The Committee may make adjustments to this award of SARs due to the occurrence of unusual or unforeseeable circumstances as set forth in Section 14.2 of the Plan.</w:t>
      </w:r>
    </w:p>
    <w:p>
      <w:pPr>
        <w:spacing w:after="0" w:line="64" w:lineRule="exact"/>
        <w:rPr>
          <w:rFonts w:ascii="Times New Roman" w:cs="Times New Roman" w:eastAsia="Times New Roman" w:hAnsi="Times New Roman"/>
          <w:sz w:val="17"/>
          <w:szCs w:val="17"/>
          <w:color w:val="auto"/>
        </w:rPr>
      </w:pPr>
    </w:p>
    <w:p>
      <w:pPr>
        <w:ind w:right="340" w:firstLine="522"/>
        <w:spacing w:after="0" w:line="288" w:lineRule="auto"/>
        <w:tabs>
          <w:tab w:leader="none" w:pos="7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General Restriction. </w:t>
      </w:r>
      <w:r>
        <w:rPr>
          <w:rFonts w:ascii="Times New Roman" w:cs="Times New Roman" w:eastAsia="Times New Roman" w:hAnsi="Times New Roman"/>
          <w:sz w:val="17"/>
          <w:szCs w:val="17"/>
          <w:color w:val="auto"/>
        </w:rPr>
        <w:t>In accordance with the terms of the Plan, the Company may limit or suspend the exercisability of the SARs or the purchase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issuance of SAR Shares thereunder under certain circumstances. Any delay caused thereby shall in no way affect the date of termination of the SARs.</w:t>
      </w:r>
    </w:p>
    <w:p>
      <w:pPr>
        <w:spacing w:after="0" w:line="42" w:lineRule="exact"/>
        <w:rPr>
          <w:rFonts w:ascii="Times New Roman" w:cs="Times New Roman" w:eastAsia="Times New Roman" w:hAnsi="Times New Roman"/>
          <w:sz w:val="17"/>
          <w:szCs w:val="17"/>
          <w:color w:val="auto"/>
        </w:rPr>
      </w:pPr>
    </w:p>
    <w:p>
      <w:pPr>
        <w:ind w:right="40" w:firstLine="522"/>
        <w:spacing w:after="0" w:line="260" w:lineRule="auto"/>
        <w:tabs>
          <w:tab w:leader="none" w:pos="7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Amendment of this Agreement. </w:t>
      </w:r>
      <w:r>
        <w:rPr>
          <w:rFonts w:ascii="Times New Roman" w:cs="Times New Roman" w:eastAsia="Times New Roman" w:hAnsi="Times New Roman"/>
          <w:sz w:val="17"/>
          <w:szCs w:val="17"/>
          <w:color w:val="auto"/>
        </w:rPr>
        <w:t>The Board of Directors may at any time amend, suspend or terminate the Plan or this Agreement; provided, however,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no amendment, suspension or termination of the Plan, this Agreement or the SARs shall adversely affect in any material way the SARs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66" w:lineRule="exact"/>
        <w:rPr>
          <w:rFonts w:ascii="Times New Roman" w:cs="Times New Roman" w:eastAsia="Times New Roman" w:hAnsi="Times New Roman"/>
          <w:sz w:val="17"/>
          <w:szCs w:val="17"/>
          <w:color w:val="auto"/>
        </w:rPr>
      </w:pPr>
    </w:p>
    <w:p>
      <w:pPr>
        <w:ind w:firstLine="522"/>
        <w:spacing w:after="0" w:line="269" w:lineRule="auto"/>
        <w:tabs>
          <w:tab w:leader="none" w:pos="7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Notices. </w:t>
      </w:r>
      <w:r>
        <w:rPr>
          <w:rFonts w:ascii="Times New Roman" w:cs="Times New Roman" w:eastAsia="Times New Roman" w:hAnsi="Times New Roman"/>
          <w:sz w:val="17"/>
          <w:szCs w:val="17"/>
          <w:color w:val="auto"/>
        </w:rPr>
        <w:t>Notices hereunder shall be in writing, and if to the Company, may be delivered personally to the Compensation Department or such other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designated by the Company or mailed to its principal office at 7812 Palm Parkway, Orlando, Florida 32836, addressed to the attention of the Vice President, Total Rewards, and if to Employee, may be delivered personally or mailed to Employee at his or her address on the records of the Company.</w:t>
      </w:r>
    </w:p>
    <w:p>
      <w:pPr>
        <w:spacing w:after="0" w:line="58" w:lineRule="exact"/>
        <w:rPr>
          <w:rFonts w:ascii="Times New Roman" w:cs="Times New Roman" w:eastAsia="Times New Roman" w:hAnsi="Times New Roman"/>
          <w:sz w:val="17"/>
          <w:szCs w:val="17"/>
          <w:color w:val="auto"/>
        </w:rPr>
      </w:pPr>
    </w:p>
    <w:p>
      <w:pPr>
        <w:ind w:right="60" w:firstLine="522"/>
        <w:spacing w:after="0" w:line="288" w:lineRule="auto"/>
        <w:tabs>
          <w:tab w:leader="none" w:pos="7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Successors and Assigns. </w:t>
      </w:r>
      <w:r>
        <w:rPr>
          <w:rFonts w:ascii="Times New Roman" w:cs="Times New Roman" w:eastAsia="Times New Roman" w:hAnsi="Times New Roman"/>
          <w:sz w:val="17"/>
          <w:szCs w:val="17"/>
          <w:color w:val="auto"/>
        </w:rPr>
        <w:t>This Agreement shall bind and inure to the benefit of the parties hereto and the successors and assigns of the Company and,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extent provided in Paragraph 10(b) above and the provisions of the Plan, to the personal representatives, legatees and heirs of Employee.</w:t>
      </w:r>
    </w:p>
    <w:p>
      <w:pPr>
        <w:spacing w:after="0" w:line="42" w:lineRule="exact"/>
        <w:rPr>
          <w:rFonts w:ascii="Times New Roman" w:cs="Times New Roman" w:eastAsia="Times New Roman" w:hAnsi="Times New Roman"/>
          <w:sz w:val="17"/>
          <w:szCs w:val="17"/>
          <w:color w:val="auto"/>
        </w:rPr>
      </w:pPr>
    </w:p>
    <w:p>
      <w:pPr>
        <w:ind w:right="180" w:firstLine="522"/>
        <w:spacing w:after="0" w:line="288" w:lineRule="auto"/>
        <w:tabs>
          <w:tab w:leader="none" w:pos="7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 Effect on Employment. </w:t>
      </w:r>
      <w:r>
        <w:rPr>
          <w:rFonts w:ascii="Times New Roman" w:cs="Times New Roman" w:eastAsia="Times New Roman" w:hAnsi="Times New Roman"/>
          <w:sz w:val="17"/>
          <w:szCs w:val="17"/>
          <w:color w:val="auto"/>
        </w:rPr>
        <w:t>This agreement is not a contract of employment or otherwise a limitation on the right of the Company to terminate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of Employee or to increase or decrease Employee’s compensation from the rate of compensation in existence at the time this Agreement is executed.</w:t>
      </w:r>
    </w:p>
    <w:p>
      <w:pPr>
        <w:spacing w:after="0" w:line="42" w:lineRule="exact"/>
        <w:rPr>
          <w:rFonts w:ascii="Times New Roman" w:cs="Times New Roman" w:eastAsia="Times New Roman" w:hAnsi="Times New Roman"/>
          <w:sz w:val="17"/>
          <w:szCs w:val="17"/>
          <w:color w:val="auto"/>
        </w:rPr>
      </w:pPr>
    </w:p>
    <w:p>
      <w:pPr>
        <w:ind w:right="100" w:firstLine="522"/>
        <w:spacing w:after="0" w:line="269" w:lineRule="auto"/>
        <w:tabs>
          <w:tab w:leader="none" w:pos="7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Additional (Non-U.S.) Terms and Conditions. </w:t>
      </w:r>
      <w:r>
        <w:rPr>
          <w:rFonts w:ascii="Times New Roman" w:cs="Times New Roman" w:eastAsia="Times New Roman" w:hAnsi="Times New Roman"/>
          <w:sz w:val="17"/>
          <w:szCs w:val="17"/>
          <w:color w:val="auto"/>
        </w:rPr>
        <w:t>SARs awarded under this Agreement shall be subject to additional terms and conditions, as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in the Company’s Policies for Global Compliance of Equity Compensation Awards, which are attached in the Appendix hereto and shall be incorporated herein fully by reference.</w:t>
      </w:r>
    </w:p>
    <w:p>
      <w:pPr>
        <w:spacing w:after="0" w:line="58" w:lineRule="exact"/>
        <w:rPr>
          <w:rFonts w:ascii="Times New Roman" w:cs="Times New Roman" w:eastAsia="Times New Roman" w:hAnsi="Times New Roman"/>
          <w:sz w:val="17"/>
          <w:szCs w:val="17"/>
          <w:color w:val="auto"/>
        </w:rPr>
      </w:pPr>
    </w:p>
    <w:p>
      <w:pPr>
        <w:ind w:right="200" w:firstLine="522"/>
        <w:spacing w:after="0" w:line="269" w:lineRule="auto"/>
        <w:tabs>
          <w:tab w:leader="none" w:pos="7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Clawback Policy. </w:t>
      </w:r>
      <w:r>
        <w:rPr>
          <w:rFonts w:ascii="Times New Roman" w:cs="Times New Roman" w:eastAsia="Times New Roman" w:hAnsi="Times New Roman"/>
          <w:sz w:val="17"/>
          <w:szCs w:val="17"/>
          <w:color w:val="auto"/>
        </w:rPr>
        <w:t>SARs awarded under this Agreement, as well as any Common Stock issued with respect to such SARs, shall be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Clawback Policy adopted by the Committee on February 13, 2014, and any successor policy thereto, to the extent that at any relevant time Employee is subject to such policy in accordance with its terms.</w:t>
      </w:r>
    </w:p>
    <w:p>
      <w:pPr>
        <w:spacing w:after="0" w:line="58" w:lineRule="exact"/>
        <w:rPr>
          <w:rFonts w:ascii="Times New Roman" w:cs="Times New Roman" w:eastAsia="Times New Roman" w:hAnsi="Times New Roman"/>
          <w:sz w:val="17"/>
          <w:szCs w:val="17"/>
          <w:color w:val="auto"/>
        </w:rPr>
      </w:pPr>
    </w:p>
    <w:p>
      <w:pPr>
        <w:ind w:right="200" w:firstLine="522"/>
        <w:spacing w:after="0" w:line="269" w:lineRule="auto"/>
        <w:tabs>
          <w:tab w:leader="none" w:pos="7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Good Faith. </w:t>
      </w:r>
      <w:r>
        <w:rPr>
          <w:rFonts w:ascii="Times New Roman" w:cs="Times New Roman" w:eastAsia="Times New Roman" w:hAnsi="Times New Roman"/>
          <w:sz w:val="17"/>
          <w:szCs w:val="17"/>
          <w:color w:val="auto"/>
        </w:rPr>
        <w:t>The parties to this Agreement shall, in exercising their respective rights and complying with their respective obligations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(including when conducting any discussions or negotiations arising out of the application of any provisions of this Agreement, or any other document related to any matter arising hereunder, or exercising any discretion under them), at all times act in good faith.</w:t>
      </w:r>
    </w:p>
    <w:p>
      <w:pPr>
        <w:spacing w:after="0" w:line="200" w:lineRule="exact"/>
        <w:rPr>
          <w:sz w:val="20"/>
          <w:szCs w:val="20"/>
          <w:color w:val="auto"/>
        </w:rPr>
      </w:pPr>
    </w:p>
    <w:p>
      <w:pPr>
        <w:spacing w:after="0" w:line="217" w:lineRule="exact"/>
        <w:rPr>
          <w:sz w:val="20"/>
          <w:szCs w:val="20"/>
          <w:color w:val="auto"/>
        </w:rPr>
      </w:pPr>
    </w:p>
    <w:p>
      <w:pPr>
        <w:ind w:left="100" w:right="3440" w:firstLine="645"/>
        <w:spacing w:after="0" w:line="288"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MARRIOTT VACATIONS WORLDWIDE CORPORATION has caused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to be signed by its Chief Human Resources Officer, effective as of 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55880</wp:posOffset>
            </wp:positionV>
            <wp:extent cx="71151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MARRIOTT VACATIONS WORLDWIDE CORPORATION</w:t>
            </w:r>
          </w:p>
        </w:tc>
        <w:tc>
          <w:tcPr>
            <w:tcW w:w="4200" w:type="dxa"/>
            <w:vAlign w:val="bottom"/>
            <w:gridSpan w:val="3"/>
          </w:tcPr>
          <w:p>
            <w:pPr>
              <w:ind w:left="1240"/>
              <w:spacing w:after="0"/>
              <w:rPr>
                <w:sz w:val="20"/>
                <w:szCs w:val="20"/>
                <w:color w:val="auto"/>
              </w:rPr>
            </w:pPr>
            <w:r>
              <w:rPr>
                <w:rFonts w:ascii="Times New Roman" w:cs="Times New Roman" w:eastAsia="Times New Roman" w:hAnsi="Times New Roman"/>
                <w:sz w:val="17"/>
                <w:szCs w:val="17"/>
                <w:color w:val="auto"/>
              </w:rPr>
              <w:t>EMPLOYEE</w:t>
            </w:r>
          </w:p>
        </w:tc>
      </w:tr>
      <w:tr>
        <w:trPr>
          <w:trHeight w:val="434"/>
        </w:trPr>
        <w:tc>
          <w:tcPr>
            <w:tcW w:w="1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8"/>
              </w:rPr>
              <w:t>/s/ Michael E. Yonker</w:t>
            </w:r>
          </w:p>
        </w:tc>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/s/ Matthew E. Avril</w:t>
            </w:r>
          </w:p>
        </w:tc>
        <w:tc>
          <w:tcPr>
            <w:tcW w:w="1560" w:type="dxa"/>
            <w:vAlign w:val="bottom"/>
          </w:tcPr>
          <w:p>
            <w:pPr>
              <w:spacing w:after="0"/>
              <w:rPr>
                <w:sz w:val="24"/>
                <w:szCs w:val="24"/>
                <w:color w:val="auto"/>
              </w:rPr>
            </w:pPr>
          </w:p>
        </w:tc>
      </w:tr>
      <w:tr>
        <w:trPr>
          <w:trHeight w:val="390"/>
        </w:trPr>
        <w:tc>
          <w:tcPr>
            <w:tcW w:w="548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Chief Human Resources Officer</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Signed Electronically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20"/>
          </w:cols>
          <w:pgMar w:left="320" w:top="839" w:right="359" w:bottom="1440" w:gutter="0" w:footer="0" w:header="0"/>
        </w:sectPr>
      </w:pPr>
    </w:p>
    <w:bookmarkStart w:id="140" w:name="page141"/>
    <w:bookmarkEnd w:id="140"/>
    <w:p>
      <w:pPr>
        <w:spacing w:after="0" w:line="2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POLICIES FOR GLOBAL COMPLIANCE OF EQUITY COMPENSATION AWARDS</w:t>
      </w:r>
    </w:p>
    <w:p>
      <w:pPr>
        <w:spacing w:after="0" w:line="200" w:lineRule="exact"/>
        <w:rPr>
          <w:sz w:val="20"/>
          <w:szCs w:val="20"/>
          <w:color w:val="auto"/>
        </w:rPr>
      </w:pPr>
    </w:p>
    <w:p>
      <w:pPr>
        <w:spacing w:after="0" w:line="252" w:lineRule="exact"/>
        <w:rPr>
          <w:sz w:val="20"/>
          <w:szCs w:val="20"/>
          <w:color w:val="auto"/>
        </w:rPr>
      </w:pPr>
    </w:p>
    <w:p>
      <w:pPr>
        <w:ind w:right="100" w:firstLine="716"/>
        <w:spacing w:after="0" w:line="262" w:lineRule="auto"/>
        <w:rPr>
          <w:sz w:val="20"/>
          <w:szCs w:val="20"/>
          <w:color w:val="auto"/>
        </w:rPr>
      </w:pPr>
      <w:r>
        <w:rPr>
          <w:rFonts w:ascii="Times New Roman" w:cs="Times New Roman" w:eastAsia="Times New Roman" w:hAnsi="Times New Roman"/>
          <w:sz w:val="17"/>
          <w:szCs w:val="17"/>
          <w:color w:val="auto"/>
        </w:rPr>
        <w:t>This document (the “Policies”) sets forth policies of Marriott Vacations Worldwide Corporation (“MVW”) for the administration of equity compensation awards (the “Awards”) granted to employees (the “Employees”) of MVW and its subsidiaries (together, the “Company”) under the Marriott Vacations Worldwide Corporation 2020 Equity Incentive Plan (the “Plan”). The Policies apply to certain Employees who have received or held Awards under the Plan while working for the Company outside of the United States.</w:t>
      </w:r>
    </w:p>
    <w:p>
      <w:pPr>
        <w:spacing w:after="0" w:line="67" w:lineRule="exact"/>
        <w:rPr>
          <w:sz w:val="20"/>
          <w:szCs w:val="20"/>
          <w:color w:val="auto"/>
        </w:rPr>
      </w:pPr>
    </w:p>
    <w:p>
      <w:pPr>
        <w:ind w:right="160" w:firstLine="716"/>
        <w:spacing w:after="0" w:line="255" w:lineRule="auto"/>
        <w:rPr>
          <w:sz w:val="20"/>
          <w:szCs w:val="20"/>
          <w:color w:val="auto"/>
        </w:rPr>
      </w:pPr>
      <w:r>
        <w:rPr>
          <w:rFonts w:ascii="Times New Roman" w:cs="Times New Roman" w:eastAsia="Times New Roman" w:hAnsi="Times New Roman"/>
          <w:sz w:val="17"/>
          <w:szCs w:val="17"/>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 U.S. jurisdictions indicated below that certain Employees </w:t>
      </w:r>
      <w:r>
        <w:rPr>
          <w:rFonts w:ascii="Times New Roman" w:cs="Times New Roman" w:eastAsia="Times New Roman" w:hAnsi="Times New Roman"/>
          <w:sz w:val="17"/>
          <w:szCs w:val="17"/>
          <w:u w:val="single" w:color="auto"/>
          <w:color w:val="auto"/>
        </w:rPr>
        <w:t>must satisfy</w:t>
      </w:r>
      <w:r>
        <w:rPr>
          <w:rFonts w:ascii="Times New Roman" w:cs="Times New Roman" w:eastAsia="Times New Roman" w:hAnsi="Times New Roman"/>
          <w:sz w:val="17"/>
          <w:szCs w:val="17"/>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MVW stock obtained pursuant to the Awards because of such Employees’ presence (which may or may not require citizenship or legal residency) in a particular jurisdiction at some time during the term of the Awards.</w:t>
      </w:r>
    </w:p>
    <w:p>
      <w:pPr>
        <w:spacing w:after="0" w:line="78" w:lineRule="exact"/>
        <w:rPr>
          <w:sz w:val="20"/>
          <w:szCs w:val="20"/>
          <w:color w:val="auto"/>
        </w:rPr>
      </w:pPr>
    </w:p>
    <w:p>
      <w:pPr>
        <w:ind w:firstLine="716"/>
        <w:spacing w:after="0" w:line="262" w:lineRule="auto"/>
        <w:rPr>
          <w:sz w:val="20"/>
          <w:szCs w:val="20"/>
          <w:color w:val="auto"/>
        </w:rPr>
      </w:pPr>
      <w:r>
        <w:rPr>
          <w:rFonts w:ascii="Times New Roman" w:cs="Times New Roman" w:eastAsia="Times New Roman" w:hAnsi="Times New Roman"/>
          <w:sz w:val="17"/>
          <w:szCs w:val="17"/>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67" w:lineRule="exact"/>
        <w:rPr>
          <w:sz w:val="20"/>
          <w:szCs w:val="20"/>
          <w:color w:val="auto"/>
        </w:rPr>
      </w:pPr>
    </w:p>
    <w:p>
      <w:pPr>
        <w:ind w:firstLine="716"/>
        <w:spacing w:after="0" w:line="283" w:lineRule="auto"/>
        <w:rPr>
          <w:sz w:val="20"/>
          <w:szCs w:val="20"/>
          <w:color w:val="auto"/>
        </w:rPr>
      </w:pPr>
      <w:r>
        <w:rPr>
          <w:rFonts w:ascii="Times New Roman" w:cs="Times New Roman" w:eastAsia="Times New Roman" w:hAnsi="Times New Roman"/>
          <w:sz w:val="17"/>
          <w:szCs w:val="17"/>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240"/>
          </w:cols>
          <w:pgMar w:left="320" w:top="1440"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9"/>
          <w:szCs w:val="19"/>
          <w:b w:val="1"/>
          <w:bCs w:val="1"/>
          <w:color w:val="auto"/>
        </w:rPr>
        <w:t>Exhibit 10.53</w:t>
      </w:r>
    </w:p>
    <w:p>
      <w:pPr>
        <w:spacing w:after="0" w:line="200" w:lineRule="exact"/>
        <w:rPr>
          <w:sz w:val="20"/>
          <w:szCs w:val="20"/>
          <w:color w:val="auto"/>
        </w:rPr>
      </w:pPr>
    </w:p>
    <w:p>
      <w:pPr>
        <w:spacing w:after="0" w:line="20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3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2020 EQUITY INCENTIVE PLAN</w:t>
      </w:r>
    </w:p>
    <w:p>
      <w:pPr>
        <w:spacing w:after="0" w:line="222" w:lineRule="exact"/>
        <w:rPr>
          <w:sz w:val="20"/>
          <w:szCs w:val="20"/>
          <w:color w:val="auto"/>
        </w:rPr>
      </w:pPr>
    </w:p>
    <w:p>
      <w:pPr>
        <w:ind w:right="1200" w:firstLine="520"/>
        <w:spacing w:after="0" w:line="283" w:lineRule="auto"/>
        <w:rPr>
          <w:sz w:val="20"/>
          <w:szCs w:val="20"/>
          <w:color w:val="auto"/>
        </w:rPr>
      </w:pPr>
      <w:r>
        <w:rPr>
          <w:rFonts w:ascii="Times New Roman" w:cs="Times New Roman" w:eastAsia="Times New Roman" w:hAnsi="Times New Roman"/>
          <w:sz w:val="17"/>
          <w:szCs w:val="17"/>
          <w:color w:val="auto"/>
        </w:rPr>
        <w:t>THIS AGREEMENT (the “Agreement”) is made on November 13, 2025 (the “Grant Date”) by MARRIOTT VACATIONS WORLDWIDE CORPORATION (the “Company”) and Matthew E. Avril (“Employee”).</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WITNESSETH:</w:t>
      </w:r>
    </w:p>
    <w:p>
      <w:pPr>
        <w:spacing w:after="0" w:line="112" w:lineRule="exact"/>
        <w:rPr>
          <w:sz w:val="20"/>
          <w:szCs w:val="20"/>
          <w:color w:val="auto"/>
        </w:rPr>
      </w:pPr>
    </w:p>
    <w:p>
      <w:pPr>
        <w:ind w:right="4080" w:firstLine="520"/>
        <w:spacing w:after="0" w:line="283" w:lineRule="auto"/>
        <w:rPr>
          <w:sz w:val="20"/>
          <w:szCs w:val="20"/>
          <w:color w:val="auto"/>
        </w:rPr>
      </w:pPr>
      <w:r>
        <w:rPr>
          <w:rFonts w:ascii="Times New Roman" w:cs="Times New Roman" w:eastAsia="Times New Roman" w:hAnsi="Times New Roman"/>
          <w:sz w:val="17"/>
          <w:szCs w:val="17"/>
          <w:color w:val="auto"/>
        </w:rPr>
        <w:t>WHEREAS, the Company maintains the Marriott Vacations Worldwide Corporation 2020 Equity Incentive Plan, as it may be amended from time to time (the “Plan”); and</w:t>
      </w:r>
    </w:p>
    <w:p>
      <w:pPr>
        <w:spacing w:after="0" w:line="51" w:lineRule="exact"/>
        <w:rPr>
          <w:sz w:val="20"/>
          <w:szCs w:val="20"/>
          <w:color w:val="auto"/>
        </w:rPr>
      </w:pPr>
    </w:p>
    <w:p>
      <w:pPr>
        <w:ind w:left="100" w:right="3500" w:firstLine="418"/>
        <w:spacing w:after="0" w:line="283" w:lineRule="auto"/>
        <w:rPr>
          <w:sz w:val="20"/>
          <w:szCs w:val="20"/>
          <w:color w:val="auto"/>
        </w:rPr>
      </w:pPr>
      <w:r>
        <w:rPr>
          <w:rFonts w:ascii="Times New Roman" w:cs="Times New Roman" w:eastAsia="Times New Roman" w:hAnsi="Times New Roman"/>
          <w:sz w:val="17"/>
          <w:szCs w:val="17"/>
          <w:color w:val="auto"/>
        </w:rPr>
        <w:t>WHEREAS, the Company wishes to award to designated employees certain Restricted Stock Unit awards (“RSUs”) as provided in Article 8 of the Plan; and</w:t>
      </w:r>
    </w:p>
    <w:p>
      <w:pPr>
        <w:spacing w:after="0" w:line="51" w:lineRule="exact"/>
        <w:rPr>
          <w:sz w:val="20"/>
          <w:szCs w:val="20"/>
          <w:color w:val="auto"/>
        </w:rPr>
      </w:pPr>
    </w:p>
    <w:p>
      <w:pPr>
        <w:ind w:right="320" w:firstLine="520"/>
        <w:spacing w:after="0" w:line="283" w:lineRule="auto"/>
        <w:rPr>
          <w:sz w:val="20"/>
          <w:szCs w:val="20"/>
          <w:color w:val="auto"/>
        </w:rPr>
      </w:pPr>
      <w:r>
        <w:rPr>
          <w:rFonts w:ascii="Times New Roman" w:cs="Times New Roman" w:eastAsia="Times New Roman" w:hAnsi="Times New Roman"/>
          <w:sz w:val="17"/>
          <w:szCs w:val="17"/>
          <w:color w:val="auto"/>
        </w:rPr>
        <w:t>WHEREAS, Employee has been approved by the Compensation Policy Committee (including any delegate thereof, the “Committee”) of the Company’s Board of Directors (the “Board”) to receive an award of RSUs under the Plan;</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NOW, THEREFORE, it is agreed as follows:</w:t>
      </w:r>
    </w:p>
    <w:p>
      <w:pPr>
        <w:spacing w:after="0" w:line="108" w:lineRule="exact"/>
        <w:rPr>
          <w:sz w:val="20"/>
          <w:szCs w:val="20"/>
          <w:color w:val="auto"/>
        </w:rPr>
      </w:pPr>
    </w:p>
    <w:p>
      <w:pPr>
        <w:ind w:right="40" w:firstLine="522"/>
        <w:spacing w:after="0" w:line="269" w:lineRule="auto"/>
        <w:tabs>
          <w:tab w:leader="none" w:pos="69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Employee has been provided with, and hereby acknowledges receipt of, a Prospectus for the Plan dated</w:t>
      </w:r>
      <w:r>
        <w:rPr>
          <w:rFonts w:ascii="Times New Roman" w:cs="Times New Roman" w:eastAsia="Times New Roman" w:hAnsi="Times New Roman"/>
          <w:sz w:val="17"/>
          <w:szCs w:val="17"/>
          <w:b w:val="1"/>
          <w:bCs w:val="1"/>
          <w:color w:val="auto"/>
        </w:rPr>
        <w:t xml:space="preserve"> May 10, 2024</w:t>
      </w:r>
      <w:r>
        <w:rPr>
          <w:rFonts w:ascii="Times New Roman" w:cs="Times New Roman" w:eastAsia="Times New Roman" w:hAnsi="Times New Roman"/>
          <w:sz w:val="17"/>
          <w:szCs w:val="17"/>
          <w:color w:val="auto"/>
        </w:rPr>
        <w:t>, which contains,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among other things, a detailed description of the RSU award provisions of the Plan. Employee further acknowledges that Employee has read the Prospectus and this Agreement, and that Employee understands the provisions thereof.</w:t>
      </w:r>
    </w:p>
    <w:p>
      <w:pPr>
        <w:spacing w:after="0" w:line="58" w:lineRule="exact"/>
        <w:rPr>
          <w:rFonts w:ascii="Times New Roman" w:cs="Times New Roman" w:eastAsia="Times New Roman" w:hAnsi="Times New Roman"/>
          <w:sz w:val="17"/>
          <w:szCs w:val="17"/>
          <w:color w:val="auto"/>
        </w:rPr>
      </w:pPr>
    </w:p>
    <w:p>
      <w:pPr>
        <w:jc w:val="both"/>
        <w:ind w:right="40" w:firstLine="522"/>
        <w:spacing w:after="0" w:line="263" w:lineRule="auto"/>
        <w:tabs>
          <w:tab w:leader="none" w:pos="69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Interpretation</w:t>
      </w:r>
      <w:r>
        <w:rPr>
          <w:rFonts w:ascii="Times New Roman" w:cs="Times New Roman" w:eastAsia="Times New Roman" w:hAnsi="Times New Roman"/>
          <w:sz w:val="17"/>
          <w:szCs w:val="17"/>
          <w:color w:val="auto"/>
        </w:rPr>
        <w:t>. The provisions of the Plan are incorporated herein by reference and form an integral part of this Agreement. Except as otherwise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64" w:lineRule="exact"/>
        <w:rPr>
          <w:rFonts w:ascii="Times New Roman" w:cs="Times New Roman" w:eastAsia="Times New Roman" w:hAnsi="Times New Roman"/>
          <w:sz w:val="17"/>
          <w:szCs w:val="17"/>
          <w:color w:val="auto"/>
        </w:rPr>
      </w:pPr>
    </w:p>
    <w:p>
      <w:pPr>
        <w:ind w:right="220" w:firstLine="522"/>
        <w:spacing w:after="0" w:line="288" w:lineRule="auto"/>
        <w:tabs>
          <w:tab w:leader="none" w:pos="69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Grant of RSUs</w:t>
      </w:r>
      <w:r>
        <w:rPr>
          <w:rFonts w:ascii="Times New Roman" w:cs="Times New Roman" w:eastAsia="Times New Roman" w:hAnsi="Times New Roman"/>
          <w:sz w:val="17"/>
          <w:szCs w:val="17"/>
          <w:color w:val="auto"/>
        </w:rPr>
        <w:t>. Subject to the terms and conditions of the Plan, Employee’s acceptance of this Agreement and satisfaction of the tax provisions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policy of the Company regarding international assignments, if applicable, this award (the “Award”) of </w:t>
      </w:r>
      <w:r>
        <w:rPr>
          <w:rFonts w:ascii="Times New Roman" w:cs="Times New Roman" w:eastAsia="Times New Roman" w:hAnsi="Times New Roman"/>
          <w:sz w:val="17"/>
          <w:szCs w:val="17"/>
          <w:b w:val="1"/>
          <w:bCs w:val="1"/>
          <w:color w:val="auto"/>
        </w:rPr>
        <w:t>50,000</w:t>
      </w:r>
      <w:r>
        <w:rPr>
          <w:rFonts w:ascii="Times New Roman" w:cs="Times New Roman" w:eastAsia="Times New Roman" w:hAnsi="Times New Roman"/>
          <w:sz w:val="17"/>
          <w:szCs w:val="17"/>
          <w:color w:val="auto"/>
        </w:rPr>
        <w:t xml:space="preserve"> RSUs is made as of the Grant Date.</w:t>
      </w:r>
    </w:p>
    <w:p>
      <w:pPr>
        <w:spacing w:after="0" w:line="42" w:lineRule="exact"/>
        <w:rPr>
          <w:rFonts w:ascii="Times New Roman" w:cs="Times New Roman" w:eastAsia="Times New Roman" w:hAnsi="Times New Roman"/>
          <w:sz w:val="17"/>
          <w:szCs w:val="17"/>
          <w:color w:val="auto"/>
        </w:rPr>
      </w:pPr>
    </w:p>
    <w:p>
      <w:pPr>
        <w:ind w:firstLine="522"/>
        <w:spacing w:after="0" w:line="254" w:lineRule="auto"/>
        <w:tabs>
          <w:tab w:leader="none" w:pos="69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RSU and Common Share Rights</w:t>
      </w:r>
      <w:r>
        <w:rPr>
          <w:rFonts w:ascii="Times New Roman" w:cs="Times New Roman" w:eastAsia="Times New Roman" w:hAnsi="Times New Roman"/>
          <w:sz w:val="17"/>
          <w:szCs w:val="17"/>
          <w:color w:val="auto"/>
        </w:rPr>
        <w:t>. The RSUs awarded under this Agreement shall be recorded in a Company book-keeping account and shall represent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unsecured right to receive from the Company the transfer of title to shares of Common Stock of the Company (“Common Shares”) in accordance with the schedule of Vesting Dates set forth in paragraph 5 below, provided that Employee has satisfied the Conditions of Transfer set forth in paragraph 6 below and subject to the satisfaction of the provision on withholding taxes set forth in paragraph 10 below. On each such Vesting Date, if it occurs, the Company shall reverse the book-keeping entry for all such related RSUs and transfer a corresponding number of Common Shares (which may be reduced by the number of shares withheld to satisfy withholding taxes as set forth in paragraph 10 below, if share reduction is the method utilized for satisfying the tax withholding obligation) to an individual brokerage account (the “Account”) established and maintained in Employee’s name. Employee shall have all the rights of a stockholder with respect to such Common Shares transferred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the RSUs and/or the Common Shares underlying the RSUs prior to such time that the corresponding Common Shares are transferred, if at all, to the Account.</w:t>
      </w:r>
    </w:p>
    <w:p>
      <w:pPr>
        <w:spacing w:after="0" w:line="77" w:lineRule="exact"/>
        <w:rPr>
          <w:rFonts w:ascii="Times New Roman" w:cs="Times New Roman" w:eastAsia="Times New Roman" w:hAnsi="Times New Roman"/>
          <w:sz w:val="17"/>
          <w:szCs w:val="17"/>
          <w:color w:val="auto"/>
        </w:rPr>
      </w:pPr>
    </w:p>
    <w:p>
      <w:pPr>
        <w:ind w:right="540" w:firstLine="522"/>
        <w:spacing w:after="0" w:line="288" w:lineRule="auto"/>
        <w:tabs>
          <w:tab w:leader="none" w:pos="69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Vesting in RSUs</w:t>
      </w:r>
      <w:r>
        <w:rPr>
          <w:rFonts w:ascii="Times New Roman" w:cs="Times New Roman" w:eastAsia="Times New Roman" w:hAnsi="Times New Roman"/>
          <w:sz w:val="17"/>
          <w:szCs w:val="17"/>
          <w:color w:val="auto"/>
        </w:rPr>
        <w:t>. The RSUs shall vest on the earlier of (i) 12 months from the date of grant or (ii) immediately prior to Employee’s termination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other than as a result of Improper Conduct. (the “Vesting Date”)</w:t>
      </w:r>
    </w:p>
    <w:p>
      <w:pPr>
        <w:spacing w:after="0" w:line="42" w:lineRule="exact"/>
        <w:rPr>
          <w:rFonts w:ascii="Times New Roman" w:cs="Times New Roman" w:eastAsia="Times New Roman" w:hAnsi="Times New Roman"/>
          <w:sz w:val="17"/>
          <w:szCs w:val="17"/>
          <w:color w:val="auto"/>
        </w:rPr>
      </w:pPr>
    </w:p>
    <w:p>
      <w:pPr>
        <w:ind w:right="100" w:firstLine="522"/>
        <w:spacing w:after="0" w:line="269" w:lineRule="auto"/>
        <w:tabs>
          <w:tab w:leader="none" w:pos="69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Conditions of Transfer</w:t>
      </w:r>
      <w:r>
        <w:rPr>
          <w:rFonts w:ascii="Times New Roman" w:cs="Times New Roman" w:eastAsia="Times New Roman" w:hAnsi="Times New Roman"/>
          <w:sz w:val="17"/>
          <w:szCs w:val="17"/>
          <w:color w:val="auto"/>
        </w:rPr>
        <w:t>. Except as otherwise provided in paragraph 8 below, with respect to any RSUs awarded to Employee under this Agreement,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 of Employee receiving a transfer of corresponding Common Shares in accordance with paragraph 4 above, Employee shall meet all of the following conditions during the entire period from the Grant Date hereof through the Vesting Date relating to such RSUs:</w:t>
      </w:r>
    </w:p>
    <w:p>
      <w:pPr>
        <w:spacing w:after="0" w:line="62"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must continue to be an active employee of the Company or any Subsidiary (“Continuous Employment”);</w:t>
      </w:r>
    </w:p>
    <w:p>
      <w:pPr>
        <w:spacing w:after="0" w:line="111" w:lineRule="exact"/>
        <w:rPr>
          <w:rFonts w:ascii="Times New Roman" w:cs="Times New Roman" w:eastAsia="Times New Roman" w:hAnsi="Times New Roman"/>
          <w:sz w:val="17"/>
          <w:szCs w:val="17"/>
          <w:color w:val="auto"/>
        </w:rPr>
      </w:pPr>
    </w:p>
    <w:p>
      <w:pPr>
        <w:ind w:left="560" w:hanging="251"/>
        <w:spacing w:after="0"/>
        <w:tabs>
          <w:tab w:leader="none" w:pos="5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prohibited or unenforceable under applicable law, Employee must refrain from Engaging 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14" w:right="339" w:bottom="1440" w:gutter="0" w:footer="0" w:header="0"/>
        </w:sectPr>
      </w:pPr>
    </w:p>
    <w:bookmarkStart w:id="142" w:name="page143"/>
    <w:bookmarkEnd w:id="142"/>
    <w:p>
      <w:pPr>
        <w:ind w:left="620"/>
        <w:spacing w:after="0"/>
        <w:rPr>
          <w:sz w:val="20"/>
          <w:szCs w:val="20"/>
          <w:color w:val="auto"/>
        </w:rPr>
      </w:pPr>
      <w:r>
        <w:rPr>
          <w:rFonts w:ascii="Times New Roman" w:cs="Times New Roman" w:eastAsia="Times New Roman" w:hAnsi="Times New Roman"/>
          <w:sz w:val="17"/>
          <w:szCs w:val="17"/>
          <w:color w:val="auto"/>
        </w:rPr>
        <w:t>Competition (as defined in Section 2.17 of the Plan) without first having obtained the written consent thereto from the Company (“Non-competition”); and</w:t>
      </w:r>
    </w:p>
    <w:p>
      <w:pPr>
        <w:spacing w:after="0" w:line="112" w:lineRule="exact"/>
        <w:rPr>
          <w:sz w:val="20"/>
          <w:szCs w:val="20"/>
          <w:color w:val="auto"/>
        </w:rPr>
      </w:pPr>
    </w:p>
    <w:p>
      <w:pPr>
        <w:ind w:left="620" w:right="20" w:hanging="311"/>
        <w:spacing w:after="0" w:line="262" w:lineRule="auto"/>
        <w:tabs>
          <w:tab w:leader="none" w:pos="54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must refrain from: (i) committing any criminal offense or malicious tort relating to or against the Company or any Subsidiary or, (ii) engaging in willful acts or omissions that, in either case, are, or are reasonably likely to be, injurious on a material level to the Company’s or a Subsidiary’s operations, financial condition or business reputation as determined by the Committee in its sole discretion (subject in all events to the provisions of Section 20 below) (“No Improper Conduct”).</w:t>
      </w:r>
    </w:p>
    <w:p>
      <w:pPr>
        <w:spacing w:after="0" w:line="67" w:lineRule="exact"/>
        <w:rPr>
          <w:sz w:val="20"/>
          <w:szCs w:val="20"/>
          <w:color w:val="auto"/>
        </w:rPr>
      </w:pPr>
    </w:p>
    <w:p>
      <w:pPr>
        <w:ind w:right="140" w:firstLine="520"/>
        <w:spacing w:after="0" w:line="259" w:lineRule="auto"/>
        <w:rPr>
          <w:sz w:val="20"/>
          <w:szCs w:val="20"/>
          <w:color w:val="auto"/>
        </w:rPr>
      </w:pPr>
      <w:r>
        <w:rPr>
          <w:rFonts w:ascii="Times New Roman" w:cs="Times New Roman" w:eastAsia="Times New Roman" w:hAnsi="Times New Roman"/>
          <w:sz w:val="17"/>
          <w:szCs w:val="17"/>
          <w:color w:val="auto"/>
        </w:rPr>
        <w:t>If Employee should fail to meet the requirements relating to (i) Continuous Employment, (ii) Non-competition, or (iii) No Improper Conduct, then Employee shall forfeit the right to vest in any RSUs that have not already vested as of the time such failure is determined, and Employee shall accordingly forfeit the right to receive the transfer of title to any corresponding Common Shares. The forfeiture of rights with respect to unvested RSUs (and corresponding Common Shares) shall not affect the rights of Employee with respect to any RSUs that already have vested nor with respect to any Common Shares the title of which has already been transferred to the Account.</w:t>
      </w:r>
    </w:p>
    <w:p>
      <w:pPr>
        <w:spacing w:after="0" w:line="67" w:lineRule="exact"/>
        <w:rPr>
          <w:sz w:val="20"/>
          <w:szCs w:val="20"/>
          <w:color w:val="auto"/>
        </w:rPr>
      </w:pPr>
    </w:p>
    <w:p>
      <w:pPr>
        <w:ind w:left="700" w:hanging="178"/>
        <w:spacing w:after="0"/>
        <w:tabs>
          <w:tab w:leader="none" w:pos="7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Non-Assignability. </w:t>
      </w:r>
      <w:r>
        <w:rPr>
          <w:rFonts w:ascii="Times New Roman" w:cs="Times New Roman" w:eastAsia="Times New Roman" w:hAnsi="Times New Roman"/>
          <w:sz w:val="17"/>
          <w:szCs w:val="17"/>
          <w:color w:val="auto"/>
        </w:rPr>
        <w:t>The RSUs shall not be assignable or transferable by Employee except by will or by the laws of descent and distribution.</w:t>
      </w:r>
    </w:p>
    <w:p>
      <w:pPr>
        <w:spacing w:after="0" w:line="111" w:lineRule="exact"/>
        <w:rPr>
          <w:rFonts w:ascii="Times New Roman" w:cs="Times New Roman" w:eastAsia="Times New Roman" w:hAnsi="Times New Roman"/>
          <w:sz w:val="17"/>
          <w:szCs w:val="17"/>
          <w:color w:val="auto"/>
        </w:rPr>
      </w:pPr>
    </w:p>
    <w:p>
      <w:pPr>
        <w:ind w:left="700" w:hanging="178"/>
        <w:spacing w:after="0"/>
        <w:tabs>
          <w:tab w:leader="none" w:pos="7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Effect of Termination of Employment</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ind w:right="100" w:firstLine="522"/>
        <w:spacing w:after="0" w:line="262" w:lineRule="auto"/>
        <w:tabs>
          <w:tab w:leader="none" w:pos="75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Employee’s Continuous Employment is terminated prior to the relevant Vesting Date on account of Employee’s death, and if Employee had otherwise met the requirements of Non- competition and No Improper Conduct from the Grant Date through the date of such death, then Employee’s unvested RSUs shall immediately vest in full upon death and Employee’s rights hereunder with respect to any such RSUs shall inure to the benefit of Employee’s executors, administrators, personal representatives and assigns.</w:t>
      </w:r>
    </w:p>
    <w:p>
      <w:pPr>
        <w:spacing w:after="0" w:line="67" w:lineRule="exact"/>
        <w:rPr>
          <w:rFonts w:ascii="Times New Roman" w:cs="Times New Roman" w:eastAsia="Times New Roman" w:hAnsi="Times New Roman"/>
          <w:sz w:val="17"/>
          <w:szCs w:val="17"/>
          <w:color w:val="auto"/>
        </w:rPr>
      </w:pPr>
    </w:p>
    <w:p>
      <w:pPr>
        <w:ind w:right="140" w:firstLine="522"/>
        <w:spacing w:after="0" w:line="283" w:lineRule="auto"/>
        <w:tabs>
          <w:tab w:leader="none" w:pos="76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Employee’s Continuous Employment is terminated prior to the relevant Vesting Date for any reason other than those specified in (a) above or Improper Conduct, Employee’s unvested RSUs granted hereunder shall immediately vest in full.</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Except as set forth in paragraph 8(a) above, no other transfer of rights with respect to RSUs shall be permitted pursuant to this Agreement.</w:t>
      </w:r>
    </w:p>
    <w:p>
      <w:pPr>
        <w:spacing w:after="0" w:line="108" w:lineRule="exact"/>
        <w:rPr>
          <w:sz w:val="20"/>
          <w:szCs w:val="20"/>
          <w:color w:val="auto"/>
        </w:rPr>
      </w:pPr>
    </w:p>
    <w:p>
      <w:pPr>
        <w:ind w:right="40" w:firstLine="522"/>
        <w:spacing w:after="0" w:line="254" w:lineRule="auto"/>
        <w:tabs>
          <w:tab w:leader="none" w:pos="69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Non-Solicitation. </w:t>
      </w:r>
      <w:r>
        <w:rPr>
          <w:rFonts w:ascii="Times New Roman" w:cs="Times New Roman" w:eastAsia="Times New Roman" w:hAnsi="Times New Roman"/>
          <w:sz w:val="17"/>
          <w:szCs w:val="17"/>
          <w:color w:val="auto"/>
        </w:rPr>
        <w:t>In consideration of good and valuable consideration in the form of the RSUs granted herein to which Employee is not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entitled, the receipt and sufficiency of which are hereby acknowledged, and in recognition of the Company’s and its Subsidiary’s legitimate purpose of avoiding for limited times competition from persons whom the Company or its Subsidiary has trained and/or given experience, except to the extent prohibited or 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73" w:lineRule="exact"/>
        <w:rPr>
          <w:rFonts w:ascii="Times New Roman" w:cs="Times New Roman" w:eastAsia="Times New Roman" w:hAnsi="Times New Roman"/>
          <w:sz w:val="17"/>
          <w:szCs w:val="17"/>
          <w:color w:val="auto"/>
        </w:rPr>
      </w:pPr>
    </w:p>
    <w:p>
      <w:pPr>
        <w:ind w:firstLine="522"/>
        <w:spacing w:after="0" w:line="269" w:lineRule="auto"/>
        <w:tabs>
          <w:tab w:leader="none" w:pos="77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The transfer of Common Shares upon each Vesting Date, pursuant to paragraphs 4 and 6 above, shall be subject to the further condition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provide for the withholding of any taxes required by federal, state, or local law in respect of that Vesting Date by reducing the number of RSUs to be transferred to the Account or by such other manner as the Committee shall determine in its discretion.</w:t>
      </w:r>
    </w:p>
    <w:p>
      <w:pPr>
        <w:spacing w:after="0" w:line="58" w:lineRule="exact"/>
        <w:rPr>
          <w:rFonts w:ascii="Times New Roman" w:cs="Times New Roman" w:eastAsia="Times New Roman" w:hAnsi="Times New Roman"/>
          <w:sz w:val="17"/>
          <w:szCs w:val="17"/>
          <w:color w:val="auto"/>
        </w:rPr>
      </w:pPr>
    </w:p>
    <w:p>
      <w:pPr>
        <w:ind w:right="60" w:firstLine="522"/>
        <w:spacing w:after="0" w:line="260" w:lineRule="auto"/>
        <w:tabs>
          <w:tab w:leader="none" w:pos="76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Consent. </w:t>
      </w:r>
      <w:r>
        <w:rPr>
          <w:rFonts w:ascii="Times New Roman" w:cs="Times New Roman" w:eastAsia="Times New Roman" w:hAnsi="Times New Roman"/>
          <w:sz w:val="17"/>
          <w:szCs w:val="17"/>
          <w:color w:val="auto"/>
        </w:rPr>
        <w:t>By executing this Agreement, Employee consents to the collection, maintenance and processing of Employee’s personal information (such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Vesting Date), (ii) providing Employee with services in connection with Employee’s participation in the Plan,</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20"/>
          </w:cols>
          <w:pgMar w:left="320" w:top="839" w:right="359" w:bottom="1440" w:gutter="0" w:footer="0" w:header="0"/>
        </w:sectPr>
      </w:pPr>
    </w:p>
    <w:bookmarkStart w:id="143" w:name="page144"/>
    <w:bookmarkEnd w:id="143"/>
    <w:p>
      <w:pPr>
        <w:jc w:val="both"/>
        <w:ind w:right="560" w:firstLine="2"/>
        <w:spacing w:after="0" w:line="267" w:lineRule="auto"/>
        <w:tabs>
          <w:tab w:leader="none" w:pos="29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63" w:lineRule="exact"/>
        <w:rPr>
          <w:rFonts w:ascii="Times New Roman" w:cs="Times New Roman" w:eastAsia="Times New Roman" w:hAnsi="Times New Roman"/>
          <w:sz w:val="17"/>
          <w:szCs w:val="17"/>
          <w:color w:val="auto"/>
        </w:rPr>
      </w:pPr>
    </w:p>
    <w:p>
      <w:pPr>
        <w:ind w:right="240" w:firstLine="522"/>
        <w:spacing w:after="0" w:line="283" w:lineRule="auto"/>
        <w:tabs>
          <w:tab w:leader="none" w:pos="752"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this Agreement, investor questionnaires or other forms that Employee submits to the Company or a Subsidiary or contracts that Employee enters into with the Company or a Subsidiary;</w:t>
      </w:r>
    </w:p>
    <w:p>
      <w:pPr>
        <w:spacing w:after="0" w:line="50" w:lineRule="exact"/>
        <w:rPr>
          <w:rFonts w:ascii="Times New Roman" w:cs="Times New Roman" w:eastAsia="Times New Roman" w:hAnsi="Times New Roman"/>
          <w:sz w:val="17"/>
          <w:szCs w:val="17"/>
          <w:color w:val="auto"/>
        </w:rPr>
      </w:pPr>
    </w:p>
    <w:p>
      <w:pPr>
        <w:ind w:left="760" w:hanging="238"/>
        <w:spacing w:after="0"/>
        <w:tabs>
          <w:tab w:leader="none" w:pos="76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Employee’s transactions with the Company, the Company’s affiliates and service providers;</w:t>
      </w:r>
    </w:p>
    <w:p>
      <w:pPr>
        <w:spacing w:after="0" w:line="111" w:lineRule="exact"/>
        <w:rPr>
          <w:rFonts w:ascii="Times New Roman" w:cs="Times New Roman" w:eastAsia="Times New Roman" w:hAnsi="Times New Roman"/>
          <w:sz w:val="17"/>
          <w:szCs w:val="17"/>
          <w:color w:val="auto"/>
        </w:rPr>
      </w:pPr>
    </w:p>
    <w:p>
      <w:pPr>
        <w:ind w:left="760" w:hanging="238"/>
        <w:spacing w:after="0"/>
        <w:tabs>
          <w:tab w:leader="none" w:pos="76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Employee’s employment records with the Company or a Subsidiary; and</w:t>
      </w:r>
    </w:p>
    <w:p>
      <w:pPr>
        <w:spacing w:after="0" w:line="111" w:lineRule="exact"/>
        <w:rPr>
          <w:rFonts w:ascii="Times New Roman" w:cs="Times New Roman" w:eastAsia="Times New Roman" w:hAnsi="Times New Roman"/>
          <w:sz w:val="17"/>
          <w:szCs w:val="17"/>
          <w:color w:val="auto"/>
        </w:rPr>
      </w:pPr>
    </w:p>
    <w:p>
      <w:pPr>
        <w:ind w:left="760" w:hanging="238"/>
        <w:spacing w:after="0"/>
        <w:tabs>
          <w:tab w:leader="none" w:pos="76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meetings, telephone conversations and other communications with Employee.</w:t>
      </w:r>
    </w:p>
    <w:p>
      <w:pPr>
        <w:spacing w:after="0" w:line="112" w:lineRule="exact"/>
        <w:rPr>
          <w:sz w:val="20"/>
          <w:szCs w:val="20"/>
          <w:color w:val="auto"/>
        </w:rPr>
      </w:pPr>
    </w:p>
    <w:p>
      <w:pPr>
        <w:ind w:right="260" w:firstLine="537"/>
        <w:spacing w:after="0" w:line="283" w:lineRule="auto"/>
        <w:rPr>
          <w:sz w:val="20"/>
          <w:szCs w:val="20"/>
          <w:color w:val="auto"/>
        </w:rPr>
      </w:pPr>
      <w:r>
        <w:rPr>
          <w:rFonts w:ascii="Times New Roman" w:cs="Times New Roman" w:eastAsia="Times New Roman" w:hAnsi="Times New Roman"/>
          <w:sz w:val="17"/>
          <w:szCs w:val="17"/>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51" w:lineRule="exact"/>
        <w:rPr>
          <w:sz w:val="20"/>
          <w:szCs w:val="20"/>
          <w:color w:val="auto"/>
        </w:rPr>
      </w:pPr>
    </w:p>
    <w:p>
      <w:pPr>
        <w:ind w:left="760" w:hanging="238"/>
        <w:spacing w:after="0"/>
        <w:tabs>
          <w:tab w:leader="none" w:pos="7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service providers, such as broker-dealers, custodians, banks and others used to finance or facilitate transactions by, or operations of, the Plan;</w:t>
      </w:r>
    </w:p>
    <w:p>
      <w:pPr>
        <w:spacing w:after="0" w:line="111" w:lineRule="exact"/>
        <w:rPr>
          <w:rFonts w:ascii="Times New Roman" w:cs="Times New Roman" w:eastAsia="Times New Roman" w:hAnsi="Times New Roman"/>
          <w:sz w:val="17"/>
          <w:szCs w:val="17"/>
          <w:color w:val="auto"/>
        </w:rPr>
      </w:pPr>
    </w:p>
    <w:p>
      <w:pPr>
        <w:ind w:left="760" w:hanging="238"/>
        <w:spacing w:after="0"/>
        <w:tabs>
          <w:tab w:leader="none" w:pos="7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service providers to the Plan, such as accounting, legal, or tax preparation services;</w:t>
      </w:r>
    </w:p>
    <w:p>
      <w:pPr>
        <w:spacing w:after="0" w:line="111" w:lineRule="exact"/>
        <w:rPr>
          <w:rFonts w:ascii="Times New Roman" w:cs="Times New Roman" w:eastAsia="Times New Roman" w:hAnsi="Times New Roman"/>
          <w:sz w:val="17"/>
          <w:szCs w:val="17"/>
          <w:color w:val="auto"/>
        </w:rPr>
      </w:pPr>
    </w:p>
    <w:p>
      <w:pPr>
        <w:ind w:left="760" w:hanging="238"/>
        <w:spacing w:after="0"/>
        <w:tabs>
          <w:tab w:leader="none" w:pos="7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and</w:t>
      </w:r>
    </w:p>
    <w:p>
      <w:pPr>
        <w:spacing w:after="0" w:line="111" w:lineRule="exact"/>
        <w:rPr>
          <w:rFonts w:ascii="Times New Roman" w:cs="Times New Roman" w:eastAsia="Times New Roman" w:hAnsi="Times New Roman"/>
          <w:sz w:val="17"/>
          <w:szCs w:val="17"/>
          <w:color w:val="auto"/>
        </w:rPr>
      </w:pPr>
    </w:p>
    <w:p>
      <w:pPr>
        <w:ind w:left="780" w:hanging="240"/>
        <w:spacing w:after="0"/>
        <w:tabs>
          <w:tab w:leader="none" w:pos="78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agents, portfolio companies, brokerage firms and the like, in connection with distributions to Plan participants.</w:t>
      </w:r>
    </w:p>
    <w:p>
      <w:pPr>
        <w:spacing w:after="0" w:line="112" w:lineRule="exact"/>
        <w:rPr>
          <w:sz w:val="20"/>
          <w:szCs w:val="20"/>
          <w:color w:val="auto"/>
        </w:rPr>
      </w:pPr>
    </w:p>
    <w:p>
      <w:pPr>
        <w:ind w:right="80" w:firstLine="520"/>
        <w:spacing w:after="0" w:line="283" w:lineRule="auto"/>
        <w:rPr>
          <w:sz w:val="20"/>
          <w:szCs w:val="20"/>
          <w:color w:val="auto"/>
        </w:rPr>
      </w:pPr>
      <w:r>
        <w:rPr>
          <w:rFonts w:ascii="Times New Roman" w:cs="Times New Roman" w:eastAsia="Times New Roman" w:hAnsi="Times New Roman"/>
          <w:sz w:val="17"/>
          <w:szCs w:val="17"/>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51" w:lineRule="exact"/>
        <w:rPr>
          <w:sz w:val="20"/>
          <w:szCs w:val="20"/>
          <w:color w:val="auto"/>
        </w:rPr>
      </w:pPr>
    </w:p>
    <w:p>
      <w:pPr>
        <w:ind w:firstLine="520"/>
        <w:spacing w:after="0" w:line="255" w:lineRule="auto"/>
        <w:rPr>
          <w:sz w:val="20"/>
          <w:szCs w:val="20"/>
          <w:color w:val="auto"/>
        </w:rPr>
      </w:pPr>
      <w:r>
        <w:rPr>
          <w:rFonts w:ascii="Times New Roman" w:cs="Times New Roman" w:eastAsia="Times New Roman" w:hAnsi="Times New Roman"/>
          <w:sz w:val="17"/>
          <w:szCs w:val="17"/>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71" w:lineRule="exact"/>
        <w:rPr>
          <w:sz w:val="20"/>
          <w:szCs w:val="20"/>
          <w:color w:val="auto"/>
        </w:rPr>
      </w:pPr>
    </w:p>
    <w:p>
      <w:pPr>
        <w:ind w:right="60" w:firstLine="522"/>
        <w:spacing w:after="0" w:line="257" w:lineRule="auto"/>
        <w:tabs>
          <w:tab w:leader="none" w:pos="77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 Additional Rights. </w:t>
      </w:r>
      <w:r>
        <w:rPr>
          <w:rFonts w:ascii="Times New Roman" w:cs="Times New Roman" w:eastAsia="Times New Roman" w:hAnsi="Times New Roman"/>
          <w:sz w:val="17"/>
          <w:szCs w:val="17"/>
          <w:color w:val="auto"/>
        </w:rPr>
        <w:t>Benefits under the Plan are not guaranteed. The grant of this Award is a one-time benefit and does not create any contractual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69" w:lineRule="exact"/>
        <w:rPr>
          <w:rFonts w:ascii="Times New Roman" w:cs="Times New Roman" w:eastAsia="Times New Roman" w:hAnsi="Times New Roman"/>
          <w:sz w:val="17"/>
          <w:szCs w:val="17"/>
          <w:color w:val="auto"/>
        </w:rPr>
      </w:pPr>
    </w:p>
    <w:p>
      <w:pPr>
        <w:ind w:right="80" w:firstLine="522"/>
        <w:spacing w:after="0" w:line="263" w:lineRule="auto"/>
        <w:tabs>
          <w:tab w:leader="none" w:pos="77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Recapitalization, Reorganization, Unusual Events</w:t>
      </w:r>
      <w:r>
        <w:rPr>
          <w:rFonts w:ascii="Times New Roman" w:cs="Times New Roman" w:eastAsia="Times New Roman" w:hAnsi="Times New Roman"/>
          <w:sz w:val="17"/>
          <w:szCs w:val="17"/>
          <w:color w:val="auto"/>
        </w:rPr>
        <w:t>. Certain events affecting the Common Shares of the Company and mergers, consolidations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reorganizations affecting the Company may affect the number or type of securities deliverable upon vesting of the RSUs, as set forth in Section 4.2 of the Plan. The Committee may make adjustments to this award of RSUs due to the occurrence of certain unusual or unforeseeable circumstances as set forth in Section 14.2 of the Plan.</w:t>
      </w:r>
    </w:p>
    <w:p>
      <w:pPr>
        <w:spacing w:after="0" w:line="64" w:lineRule="exact"/>
        <w:rPr>
          <w:rFonts w:ascii="Times New Roman" w:cs="Times New Roman" w:eastAsia="Times New Roman" w:hAnsi="Times New Roman"/>
          <w:sz w:val="17"/>
          <w:szCs w:val="17"/>
          <w:color w:val="auto"/>
        </w:rPr>
      </w:pPr>
    </w:p>
    <w:p>
      <w:pPr>
        <w:ind w:right="140" w:firstLine="522"/>
        <w:spacing w:after="0" w:line="260" w:lineRule="auto"/>
        <w:tabs>
          <w:tab w:leader="none" w:pos="77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 of this Agreement</w:t>
      </w:r>
      <w:r>
        <w:rPr>
          <w:rFonts w:ascii="Times New Roman" w:cs="Times New Roman" w:eastAsia="Times New Roman" w:hAnsi="Times New Roman"/>
          <w:sz w:val="17"/>
          <w:szCs w:val="17"/>
          <w:color w:val="auto"/>
        </w:rPr>
        <w:t>. The Board of Directors may at any time amend, suspend or terminate the Plan or this Agreement; provided, however,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no amendment, suspension or termination of the Plan or this Agreement shall adversely affect this Agreement in any material way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83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color w:val="auto"/>
        </w:rPr>
        <w:t>enforceable to the maximum extent compatible with the applicable law.</w:t>
      </w:r>
    </w:p>
    <w:p>
      <w:pPr>
        <w:spacing w:after="0" w:line="108" w:lineRule="exact"/>
        <w:rPr>
          <w:sz w:val="20"/>
          <w:szCs w:val="20"/>
          <w:color w:val="auto"/>
        </w:rPr>
      </w:pPr>
    </w:p>
    <w:p>
      <w:pPr>
        <w:ind w:firstLine="522"/>
        <w:spacing w:after="0" w:line="269" w:lineRule="auto"/>
        <w:tabs>
          <w:tab w:leader="none" w:pos="77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Notices. </w:t>
      </w:r>
      <w:r>
        <w:rPr>
          <w:rFonts w:ascii="Times New Roman" w:cs="Times New Roman" w:eastAsia="Times New Roman" w:hAnsi="Times New Roman"/>
          <w:sz w:val="17"/>
          <w:szCs w:val="17"/>
          <w:color w:val="auto"/>
        </w:rPr>
        <w:t>Notices hereunder shall be in writing, and if to the Company, may be delivered personally to the Compensation Department or such other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designated by the Company or mailed to its principal office at 7812 Palm Parkway, Orlando, Florida 32836, addressed to the attention of the Vice President, Global Talent Management, and if to Employee, may be delivered personally or mailed to Employee at his or her address on the records of the Company.</w:t>
      </w:r>
    </w:p>
    <w:p>
      <w:pPr>
        <w:spacing w:after="0" w:line="58" w:lineRule="exact"/>
        <w:rPr>
          <w:rFonts w:ascii="Times New Roman" w:cs="Times New Roman" w:eastAsia="Times New Roman" w:hAnsi="Times New Roman"/>
          <w:sz w:val="17"/>
          <w:szCs w:val="17"/>
          <w:color w:val="auto"/>
        </w:rPr>
      </w:pPr>
    </w:p>
    <w:p>
      <w:pPr>
        <w:ind w:firstLine="522"/>
        <w:spacing w:after="0" w:line="288" w:lineRule="auto"/>
        <w:tabs>
          <w:tab w:leader="none" w:pos="77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Successors and Assigns</w:t>
      </w:r>
      <w:r>
        <w:rPr>
          <w:rFonts w:ascii="Times New Roman" w:cs="Times New Roman" w:eastAsia="Times New Roman" w:hAnsi="Times New Roman"/>
          <w:sz w:val="17"/>
          <w:szCs w:val="17"/>
          <w:color w:val="auto"/>
        </w:rPr>
        <w:t>. This Agreement shall bind and inure to the benefit of the parties hereto and the successors and assigns of the Company and,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extent provided in paragraph 8(a) above and in the Plan, to the personal representatives, legatees and heirs of Employee.</w:t>
      </w:r>
    </w:p>
    <w:p>
      <w:pPr>
        <w:spacing w:after="0" w:line="42" w:lineRule="exact"/>
        <w:rPr>
          <w:rFonts w:ascii="Times New Roman" w:cs="Times New Roman" w:eastAsia="Times New Roman" w:hAnsi="Times New Roman"/>
          <w:sz w:val="17"/>
          <w:szCs w:val="17"/>
          <w:color w:val="auto"/>
        </w:rPr>
      </w:pPr>
    </w:p>
    <w:p>
      <w:pPr>
        <w:ind w:right="120" w:firstLine="522"/>
        <w:spacing w:after="0" w:line="288" w:lineRule="auto"/>
        <w:tabs>
          <w:tab w:leader="none" w:pos="77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Effect on Employment</w:t>
      </w:r>
      <w:r>
        <w:rPr>
          <w:rFonts w:ascii="Times New Roman" w:cs="Times New Roman" w:eastAsia="Times New Roman" w:hAnsi="Times New Roman"/>
          <w:sz w:val="17"/>
          <w:szCs w:val="17"/>
          <w:color w:val="auto"/>
        </w:rPr>
        <w:t>. This agreement is not a contract of employment or otherwise a limitation on the right of the Company to terminate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of Employee or to increase or decrease Employee’s compensation from the rate of compensation in existence at the time this Agreement is executed.</w:t>
      </w:r>
    </w:p>
    <w:p>
      <w:pPr>
        <w:spacing w:after="0" w:line="42" w:lineRule="exact"/>
        <w:rPr>
          <w:sz w:val="20"/>
          <w:szCs w:val="20"/>
          <w:color w:val="auto"/>
        </w:rPr>
      </w:pPr>
    </w:p>
    <w:p>
      <w:pPr>
        <w:ind w:right="40" w:firstLine="520"/>
        <w:spacing w:after="0" w:line="269" w:lineRule="auto"/>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17"/>
          <w:szCs w:val="17"/>
          <w:b w:val="1"/>
          <w:bCs w:val="1"/>
          <w:color w:val="auto"/>
        </w:rPr>
        <w:t>. Additional (Non-U.S.) Terms and Conditions.</w:t>
      </w:r>
      <w:r>
        <w:rPr>
          <w:rFonts w:ascii="Times New Roman" w:cs="Times New Roman" w:eastAsia="Times New Roman" w:hAnsi="Times New Roman"/>
          <w:sz w:val="17"/>
          <w:szCs w:val="17"/>
          <w:color w:val="auto"/>
        </w:rPr>
        <w:t xml:space="preserve"> RSUs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pacing w:after="0" w:line="59" w:lineRule="exact"/>
        <w:rPr>
          <w:sz w:val="20"/>
          <w:szCs w:val="20"/>
          <w:color w:val="auto"/>
        </w:rPr>
      </w:pPr>
    </w:p>
    <w:p>
      <w:pPr>
        <w:ind w:right="140" w:firstLine="522"/>
        <w:spacing w:after="0" w:line="269" w:lineRule="auto"/>
        <w:tabs>
          <w:tab w:leader="none" w:pos="77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Clawback Policy. </w:t>
      </w:r>
      <w:r>
        <w:rPr>
          <w:rFonts w:ascii="Times New Roman" w:cs="Times New Roman" w:eastAsia="Times New Roman" w:hAnsi="Times New Roman"/>
          <w:sz w:val="17"/>
          <w:szCs w:val="17"/>
          <w:color w:val="auto"/>
        </w:rPr>
        <w:t>RSUs awarded under this Agreement, as well as any Common Shares issued with respect to such RSUs, shall be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Clawback Policy adopted by the Committee on February 13, 2014, and any successor policy thereto, to the extent that at any relevant time Employee is subject to such policy in accordance with its terms.</w:t>
      </w:r>
    </w:p>
    <w:p>
      <w:pPr>
        <w:spacing w:after="0" w:line="58" w:lineRule="exact"/>
        <w:rPr>
          <w:rFonts w:ascii="Times New Roman" w:cs="Times New Roman" w:eastAsia="Times New Roman" w:hAnsi="Times New Roman"/>
          <w:sz w:val="17"/>
          <w:szCs w:val="17"/>
          <w:color w:val="auto"/>
        </w:rPr>
      </w:pPr>
    </w:p>
    <w:p>
      <w:pPr>
        <w:ind w:right="140" w:firstLine="522"/>
        <w:spacing w:after="0" w:line="269" w:lineRule="auto"/>
        <w:tabs>
          <w:tab w:leader="none" w:pos="77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Good Faith. </w:t>
      </w:r>
      <w:r>
        <w:rPr>
          <w:rFonts w:ascii="Times New Roman" w:cs="Times New Roman" w:eastAsia="Times New Roman" w:hAnsi="Times New Roman"/>
          <w:sz w:val="17"/>
          <w:szCs w:val="17"/>
          <w:color w:val="auto"/>
        </w:rPr>
        <w:t>The parties to this Agreement shall, in exercising their respective rights and complying with their respective obligations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(including when conducting any discussions or negotiations arising out of the application of any provisions of this Agreement, or any other document related to any matter arising hereunder, or exercising any discretion under them), at all times act in good faith.</w:t>
      </w:r>
    </w:p>
    <w:p>
      <w:pPr>
        <w:spacing w:after="0" w:line="392" w:lineRule="exact"/>
        <w:rPr>
          <w:sz w:val="20"/>
          <w:szCs w:val="20"/>
          <w:color w:val="auto"/>
        </w:rPr>
      </w:pPr>
    </w:p>
    <w:p>
      <w:pPr>
        <w:ind w:right="280" w:firstLine="520"/>
        <w:spacing w:after="0" w:line="288"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MARRIOTT VACATIONS WORLDWIDE CORPORATION has caused this Agreement to be signed by its Chief Human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Resources Officer, effective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332105</wp:posOffset>
            </wp:positionV>
            <wp:extent cx="71151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MARRIOTT VACATIONS WORLDWIDE CORPORATION</w:t>
            </w:r>
          </w:p>
        </w:tc>
        <w:tc>
          <w:tcPr>
            <w:tcW w:w="4200" w:type="dxa"/>
            <w:vAlign w:val="bottom"/>
            <w:gridSpan w:val="3"/>
          </w:tcPr>
          <w:p>
            <w:pPr>
              <w:ind w:left="1240"/>
              <w:spacing w:after="0"/>
              <w:rPr>
                <w:sz w:val="20"/>
                <w:szCs w:val="20"/>
                <w:color w:val="auto"/>
              </w:rPr>
            </w:pPr>
            <w:r>
              <w:rPr>
                <w:rFonts w:ascii="Times New Roman" w:cs="Times New Roman" w:eastAsia="Times New Roman" w:hAnsi="Times New Roman"/>
                <w:sz w:val="17"/>
                <w:szCs w:val="17"/>
                <w:color w:val="auto"/>
              </w:rPr>
              <w:t>EMPLOYEE</w:t>
            </w:r>
          </w:p>
        </w:tc>
      </w:tr>
      <w:tr>
        <w:trPr>
          <w:trHeight w:val="434"/>
        </w:trPr>
        <w:tc>
          <w:tcPr>
            <w:tcW w:w="1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8"/>
              </w:rPr>
              <w:t>/s/ Michael E. Yonker</w:t>
            </w:r>
          </w:p>
        </w:tc>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/s/ Matthew E. Avril</w:t>
            </w:r>
          </w:p>
        </w:tc>
        <w:tc>
          <w:tcPr>
            <w:tcW w:w="1560" w:type="dxa"/>
            <w:vAlign w:val="bottom"/>
          </w:tcPr>
          <w:p>
            <w:pPr>
              <w:spacing w:after="0"/>
              <w:rPr>
                <w:sz w:val="24"/>
                <w:szCs w:val="24"/>
                <w:color w:val="auto"/>
              </w:rPr>
            </w:pPr>
          </w:p>
        </w:tc>
      </w:tr>
      <w:tr>
        <w:trPr>
          <w:trHeight w:val="390"/>
        </w:trPr>
        <w:tc>
          <w:tcPr>
            <w:tcW w:w="548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Chief Human Resources Officer</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Signed Electronically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160"/>
          </w:cols>
          <w:pgMar w:left="320" w:top="839" w:right="419" w:bottom="1440" w:gutter="0" w:footer="0" w:header="0"/>
        </w:sectPr>
      </w:pPr>
    </w:p>
    <w:bookmarkStart w:id="145" w:name="page146"/>
    <w:bookmarkEnd w:id="145"/>
    <w:p>
      <w:pPr>
        <w:spacing w:after="0" w:line="13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POLICIES FOR GLOBAL COMPLIANCE OF EQUITY COMPENSATION AWARDS</w:t>
      </w:r>
    </w:p>
    <w:p>
      <w:pPr>
        <w:spacing w:after="0" w:line="200" w:lineRule="exact"/>
        <w:rPr>
          <w:sz w:val="20"/>
          <w:szCs w:val="20"/>
          <w:color w:val="auto"/>
        </w:rPr>
      </w:pPr>
    </w:p>
    <w:p>
      <w:pPr>
        <w:spacing w:after="0" w:line="252" w:lineRule="exact"/>
        <w:rPr>
          <w:sz w:val="20"/>
          <w:szCs w:val="20"/>
          <w:color w:val="auto"/>
        </w:rPr>
      </w:pPr>
    </w:p>
    <w:p>
      <w:pPr>
        <w:ind w:right="100" w:firstLine="716"/>
        <w:spacing w:after="0" w:line="262" w:lineRule="auto"/>
        <w:rPr>
          <w:sz w:val="20"/>
          <w:szCs w:val="20"/>
          <w:color w:val="auto"/>
        </w:rPr>
      </w:pPr>
      <w:r>
        <w:rPr>
          <w:rFonts w:ascii="Times New Roman" w:cs="Times New Roman" w:eastAsia="Times New Roman" w:hAnsi="Times New Roman"/>
          <w:sz w:val="17"/>
          <w:szCs w:val="17"/>
          <w:color w:val="auto"/>
        </w:rPr>
        <w:t>This document (the “Policies”) sets forth policies of Marriott Vacations Worldwide Corporation (“MVW”) for the administration of equity compensation awards (the “Awards”) granted to employees (the “Employees”) of MVW and its subsidiaries (together, the “Company”) under the Marriott Vacations Worldwide Corporation 2020 Equity Incentive Plan (the “Plan”). The Policies apply to certain Employees who have received or held Awards under the Plan while working for the Company outside of the United States.</w:t>
      </w:r>
    </w:p>
    <w:p>
      <w:pPr>
        <w:spacing w:after="0" w:line="195" w:lineRule="exact"/>
        <w:rPr>
          <w:sz w:val="20"/>
          <w:szCs w:val="20"/>
          <w:color w:val="auto"/>
        </w:rPr>
      </w:pPr>
    </w:p>
    <w:p>
      <w:pPr>
        <w:ind w:right="160" w:firstLine="716"/>
        <w:spacing w:after="0" w:line="255" w:lineRule="auto"/>
        <w:rPr>
          <w:sz w:val="20"/>
          <w:szCs w:val="20"/>
          <w:color w:val="auto"/>
        </w:rPr>
      </w:pPr>
      <w:r>
        <w:rPr>
          <w:rFonts w:ascii="Times New Roman" w:cs="Times New Roman" w:eastAsia="Times New Roman" w:hAnsi="Times New Roman"/>
          <w:sz w:val="17"/>
          <w:szCs w:val="17"/>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 U.S. jurisdictions indicated below that certain Employees </w:t>
      </w:r>
      <w:r>
        <w:rPr>
          <w:rFonts w:ascii="Times New Roman" w:cs="Times New Roman" w:eastAsia="Times New Roman" w:hAnsi="Times New Roman"/>
          <w:sz w:val="17"/>
          <w:szCs w:val="17"/>
          <w:u w:val="single" w:color="auto"/>
          <w:color w:val="auto"/>
        </w:rPr>
        <w:t>must satisfy</w:t>
      </w:r>
      <w:r>
        <w:rPr>
          <w:rFonts w:ascii="Times New Roman" w:cs="Times New Roman" w:eastAsia="Times New Roman" w:hAnsi="Times New Roman"/>
          <w:sz w:val="17"/>
          <w:szCs w:val="17"/>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MVW stock obtained pursuant to the Awards because of such Employees’ presence (which may or may not require citizenship or legal residency) in a particular jurisdiction at some time during the term of the Awards.</w:t>
      </w:r>
    </w:p>
    <w:p>
      <w:pPr>
        <w:spacing w:after="0" w:line="206" w:lineRule="exact"/>
        <w:rPr>
          <w:sz w:val="20"/>
          <w:szCs w:val="20"/>
          <w:color w:val="auto"/>
        </w:rPr>
      </w:pPr>
    </w:p>
    <w:p>
      <w:pPr>
        <w:ind w:firstLine="716"/>
        <w:spacing w:after="0" w:line="262" w:lineRule="auto"/>
        <w:rPr>
          <w:sz w:val="20"/>
          <w:szCs w:val="20"/>
          <w:color w:val="auto"/>
        </w:rPr>
      </w:pPr>
      <w:r>
        <w:rPr>
          <w:rFonts w:ascii="Times New Roman" w:cs="Times New Roman" w:eastAsia="Times New Roman" w:hAnsi="Times New Roman"/>
          <w:sz w:val="17"/>
          <w:szCs w:val="17"/>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95" w:lineRule="exact"/>
        <w:rPr>
          <w:sz w:val="20"/>
          <w:szCs w:val="20"/>
          <w:color w:val="auto"/>
        </w:rPr>
      </w:pPr>
    </w:p>
    <w:p>
      <w:pPr>
        <w:ind w:firstLine="716"/>
        <w:spacing w:after="0" w:line="283" w:lineRule="auto"/>
        <w:rPr>
          <w:sz w:val="20"/>
          <w:szCs w:val="20"/>
          <w:color w:val="auto"/>
        </w:rPr>
      </w:pPr>
      <w:r>
        <w:rPr>
          <w:rFonts w:ascii="Times New Roman" w:cs="Times New Roman" w:eastAsia="Times New Roman" w:hAnsi="Times New Roman"/>
          <w:sz w:val="17"/>
          <w:szCs w:val="17"/>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240"/>
          </w:cols>
          <w:pgMar w:left="320" w:top="1440"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4"/>
          <w:szCs w:val="24"/>
          <w:b w:val="1"/>
          <w:bCs w:val="1"/>
          <w:color w:val="auto"/>
        </w:rPr>
        <w:t>Exhibit 19.1</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Trading Policy</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Introduction</w:t>
      </w:r>
    </w:p>
    <w:p>
      <w:pPr>
        <w:spacing w:after="0" w:line="6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Marriott Vacations Worldwide Corporation (together with its subsidiaries, “MVW” or the “Company”) conducts its business in accordance with uncompromising ethical standards and consistently observes a policy restricting trading in Company securities on the basis of material nonpublic information (“MNPI”). Consistent with MVW’s commitment and practices, this policy is intended to promote compliance with applicable securities laws and to protect the Company and its associates, officers and directors from the serious liabilities and penalties that can result from violations of these laws. This policy applies to all directors, officers and associates of the Company. Each director, officer and associate of the Company is responsible for ensuring that he or she does not violate applicable securities laws or this policy.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Highlights of the Policy</w:t>
      </w:r>
    </w:p>
    <w:p>
      <w:pPr>
        <w:spacing w:after="0" w:line="74" w:lineRule="exact"/>
        <w:rPr>
          <w:sz w:val="20"/>
          <w:szCs w:val="20"/>
          <w:color w:val="auto"/>
        </w:rPr>
      </w:pPr>
    </w:p>
    <w:p>
      <w:pPr>
        <w:jc w:val="both"/>
        <w:ind w:left="300" w:right="260" w:hanging="298"/>
        <w:spacing w:after="0" w:line="268" w:lineRule="auto"/>
        <w:tabs>
          <w:tab w:leader="none" w:pos="296"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No MVW associate, officer or director, or Family Member (as defined below) or Controlled Entity (as defined below) of such persons, may buy, sell, gift or otherwise trade in MVW stock or other MVW securities (or securities of other companies that do business with the Company) while aware of MNPI, or “tip” such information to others.</w:t>
      </w:r>
    </w:p>
    <w:p>
      <w:pPr>
        <w:spacing w:after="0" w:line="61" w:lineRule="exact"/>
        <w:rPr>
          <w:rFonts w:ascii="Arial" w:cs="Arial" w:eastAsia="Arial" w:hAnsi="Arial"/>
          <w:sz w:val="17"/>
          <w:szCs w:val="17"/>
          <w:b w:val="1"/>
          <w:bCs w:val="1"/>
          <w:color w:val="auto"/>
        </w:rPr>
      </w:pPr>
    </w:p>
    <w:p>
      <w:pPr>
        <w:ind w:left="300" w:right="140" w:hanging="298"/>
        <w:spacing w:after="0" w:line="268" w:lineRule="auto"/>
        <w:tabs>
          <w:tab w:leader="none" w:pos="296"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No MVW associate, officer or director, or Family Member or Controlled Entity of such persons, may at any time engage in any form of derivative transactions (such as “short” sales or “option puts or calls”) in MVW securities or otherwise engage in any hedging transactions with respect to MVW securities.</w:t>
      </w:r>
    </w:p>
    <w:p>
      <w:pPr>
        <w:spacing w:after="0" w:line="61" w:lineRule="exact"/>
        <w:rPr>
          <w:rFonts w:ascii="Arial" w:cs="Arial" w:eastAsia="Arial" w:hAnsi="Arial"/>
          <w:sz w:val="17"/>
          <w:szCs w:val="17"/>
          <w:b w:val="1"/>
          <w:bCs w:val="1"/>
          <w:color w:val="auto"/>
        </w:rPr>
      </w:pPr>
    </w:p>
    <w:p>
      <w:pPr>
        <w:ind w:left="300" w:right="120" w:hanging="298"/>
        <w:spacing w:after="0" w:line="286" w:lineRule="auto"/>
        <w:tabs>
          <w:tab w:leader="none" w:pos="296"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No MVW associate, officer or director, or Family Member or Controlled Entity of such persons, may include MVW stock or other MVW securities in a margin account or pledge such securities as collateral for a loan.</w:t>
      </w:r>
    </w:p>
    <w:p>
      <w:pPr>
        <w:spacing w:after="0" w:line="45" w:lineRule="exact"/>
        <w:rPr>
          <w:rFonts w:ascii="Arial" w:cs="Arial" w:eastAsia="Arial" w:hAnsi="Arial"/>
          <w:sz w:val="17"/>
          <w:szCs w:val="17"/>
          <w:b w:val="1"/>
          <w:bCs w:val="1"/>
          <w:color w:val="auto"/>
        </w:rPr>
      </w:pPr>
    </w:p>
    <w:p>
      <w:pPr>
        <w:ind w:left="300" w:right="40" w:hanging="298"/>
        <w:spacing w:after="0" w:line="260" w:lineRule="auto"/>
        <w:tabs>
          <w:tab w:leader="none" w:pos="296"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Members of the Board of Directors, the Chief Executive Officer, each Section 16 officer, each member of the Executive Committee, and certain other associates may trade in MVW securities only when the “trading window” is open so long as they are not aware of MNPI. Without exception, the “trading window” will be closed at 5:00 pm (Eastern Time) on the last business day of each quarter through the market opening on the second trading day following the Company’s earnings announcement. The Company may close the trading window at other times as announced by the Law Department.</w:t>
      </w:r>
    </w:p>
    <w:p>
      <w:pPr>
        <w:spacing w:after="0" w:line="66" w:lineRule="exact"/>
        <w:rPr>
          <w:rFonts w:ascii="Arial" w:cs="Arial" w:eastAsia="Arial" w:hAnsi="Arial"/>
          <w:sz w:val="17"/>
          <w:szCs w:val="17"/>
          <w:b w:val="1"/>
          <w:bCs w:val="1"/>
          <w:color w:val="auto"/>
        </w:rPr>
      </w:pPr>
    </w:p>
    <w:p>
      <w:pPr>
        <w:ind w:left="300" w:right="660" w:hanging="298"/>
        <w:spacing w:after="0" w:line="286" w:lineRule="auto"/>
        <w:tabs>
          <w:tab w:leader="none" w:pos="296"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Even when the “trading window” is open, directors and Section 16 officers must pre-clear all transactions in MVW securities with the Law Department prior to engaging in any transaction in MVW securities.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Disciplinary Action and Penalties</w:t>
      </w:r>
    </w:p>
    <w:p>
      <w:pPr>
        <w:spacing w:after="0" w:line="6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Disciplinary action, up to and including termination, may result from any violation of this policy. Violators may also face civil penalties, criminal fines or jail terms. For example, individuals who are found to have violated federal insider trading laws are subject to civil fines of up to three times the profit gained or loss avoided by such trading, criminal fines of up to $5 million, and imprisonment for up to 20 years. In addition as of January 15, 2025, as a result of an individual’s insider trading violations, the Company could be subject to civil fines of up to the greater of $2.626 million (subject to adjustment for inflation) and three times the profit gained or loss avoided and criminal fines of up to $25 million.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All Associates, Officers and Directors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Insider trading and tipping.</w:t>
      </w:r>
    </w:p>
    <w:p>
      <w:pPr>
        <w:spacing w:after="0" w:line="27" w:lineRule="exact"/>
        <w:rPr>
          <w:sz w:val="20"/>
          <w:szCs w:val="20"/>
          <w:color w:val="auto"/>
        </w:rPr>
      </w:pPr>
    </w:p>
    <w:p>
      <w:pPr>
        <w:ind w:left="300"/>
        <w:spacing w:after="0" w:line="257" w:lineRule="auto"/>
        <w:rPr>
          <w:sz w:val="20"/>
          <w:szCs w:val="20"/>
          <w:color w:val="auto"/>
        </w:rPr>
      </w:pPr>
      <w:r>
        <w:rPr>
          <w:rFonts w:ascii="Arial" w:cs="Arial" w:eastAsia="Arial" w:hAnsi="Arial"/>
          <w:sz w:val="17"/>
          <w:szCs w:val="17"/>
          <w:i w:val="1"/>
          <w:iCs w:val="1"/>
          <w:color w:val="auto"/>
        </w:rPr>
        <w:t xml:space="preserve">Prohibition on Insider Trading. </w:t>
      </w:r>
      <w:r>
        <w:rPr>
          <w:rFonts w:ascii="Arial" w:cs="Arial" w:eastAsia="Arial" w:hAnsi="Arial"/>
          <w:sz w:val="17"/>
          <w:szCs w:val="17"/>
          <w:color w:val="auto"/>
        </w:rPr>
        <w:t>No MVW associate, officer or director may buy, sell, gift, donate or otherwise trade (including a same day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cashless exercise of a stock option) in MVW stock or other MVW securities while he or she is aware of MNPI. The mere fact that a person is aware of MNPI is a bar to trading. There is no defense under the federal securities laws that such person’s reasons for trading were not based on the MNPI.</w:t>
      </w:r>
    </w:p>
    <w:p>
      <w:pPr>
        <w:spacing w:after="0" w:line="71" w:lineRule="exact"/>
        <w:rPr>
          <w:sz w:val="20"/>
          <w:szCs w:val="20"/>
          <w:color w:val="auto"/>
        </w:rPr>
      </w:pPr>
    </w:p>
    <w:p>
      <w:pPr>
        <w:ind w:left="620" w:right="640"/>
        <w:spacing w:after="0" w:line="286" w:lineRule="auto"/>
        <w:rPr>
          <w:sz w:val="20"/>
          <w:szCs w:val="20"/>
          <w:color w:val="auto"/>
        </w:rPr>
      </w:pPr>
      <w:r>
        <w:rPr>
          <w:rFonts w:ascii="Arial" w:cs="Arial" w:eastAsia="Arial" w:hAnsi="Arial"/>
          <w:sz w:val="17"/>
          <w:szCs w:val="17"/>
          <w:color w:val="auto"/>
        </w:rPr>
        <w:t>“Material” information generally means information for which there is a likelihood a reasonable investor would consider important in a decision to buy, hold or sell securities.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11</w:t>
      </w:r>
    </w:p>
    <w:p>
      <w:pPr>
        <w:sectPr>
          <w:pgSz w:w="11900" w:h="16838" w:orient="portrait"/>
          <w:cols w:equalWidth="0" w:num="1">
            <w:col w:w="11240"/>
          </w:cols>
          <w:pgMar w:left="320" w:top="112" w:right="339" w:bottom="1440" w:gutter="0" w:footer="0" w:header="0"/>
        </w:sectPr>
      </w:pPr>
    </w:p>
    <w:bookmarkStart w:id="147" w:name="page148"/>
    <w:bookmarkEnd w:id="147"/>
    <w:p>
      <w:pPr>
        <w:ind w:left="620"/>
        <w:spacing w:after="0"/>
        <w:rPr>
          <w:sz w:val="20"/>
          <w:szCs w:val="20"/>
          <w:color w:val="auto"/>
        </w:rPr>
      </w:pPr>
      <w:r>
        <w:rPr>
          <w:rFonts w:ascii="Arial" w:cs="Arial" w:eastAsia="Arial" w:hAnsi="Arial"/>
          <w:sz w:val="17"/>
          <w:szCs w:val="17"/>
          <w:color w:val="auto"/>
        </w:rPr>
        <w:t xml:space="preserve">Both “good news” and “bad news” can be material. Examples of this type of information are included in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pacing w:after="0" w:line="112" w:lineRule="exact"/>
        <w:rPr>
          <w:sz w:val="20"/>
          <w:szCs w:val="20"/>
          <w:color w:val="auto"/>
        </w:rPr>
      </w:pPr>
    </w:p>
    <w:p>
      <w:pPr>
        <w:ind w:left="620" w:right="580"/>
        <w:spacing w:after="0" w:line="286" w:lineRule="auto"/>
        <w:rPr>
          <w:sz w:val="20"/>
          <w:szCs w:val="20"/>
          <w:color w:val="auto"/>
        </w:rPr>
      </w:pPr>
      <w:r>
        <w:rPr>
          <w:rFonts w:ascii="Arial" w:cs="Arial" w:eastAsia="Arial" w:hAnsi="Arial"/>
          <w:sz w:val="17"/>
          <w:szCs w:val="17"/>
          <w:color w:val="auto"/>
        </w:rPr>
        <w:t>“Nonpublic information” is information that is not generally known or available to the public. The Company considers information to be available to the public only when:</w:t>
      </w:r>
    </w:p>
    <w:p>
      <w:pPr>
        <w:spacing w:after="0" w:line="46" w:lineRule="exact"/>
        <w:rPr>
          <w:sz w:val="20"/>
          <w:szCs w:val="20"/>
          <w:color w:val="auto"/>
        </w:rPr>
      </w:pPr>
    </w:p>
    <w:p>
      <w:pPr>
        <w:ind w:left="920" w:right="20" w:hanging="304"/>
        <w:spacing w:after="0" w:line="286" w:lineRule="auto"/>
        <w:tabs>
          <w:tab w:leader="none" w:pos="916" w:val="left"/>
        </w:tabs>
        <w:numPr>
          <w:ilvl w:val="0"/>
          <w:numId w:val="85"/>
        </w:numPr>
        <w:rPr>
          <w:rFonts w:ascii="Arial" w:cs="Arial" w:eastAsia="Arial" w:hAnsi="Arial"/>
          <w:sz w:val="17"/>
          <w:szCs w:val="17"/>
          <w:b w:val="1"/>
          <w:bCs w:val="1"/>
          <w:color w:val="auto"/>
        </w:rPr>
      </w:pPr>
      <w:r>
        <w:rPr>
          <w:rFonts w:ascii="Arial" w:cs="Arial" w:eastAsia="Arial" w:hAnsi="Arial"/>
          <w:sz w:val="17"/>
          <w:szCs w:val="17"/>
          <w:color w:val="auto"/>
        </w:rPr>
        <w:t>it has been released to the public by the Company through appropriate channels (e.g., by means of a filing with the SEC, a press release or a widely disseminated statement from a senior officer); and</w:t>
      </w:r>
    </w:p>
    <w:p>
      <w:pPr>
        <w:spacing w:after="0" w:line="45" w:lineRule="exact"/>
        <w:rPr>
          <w:rFonts w:ascii="Arial" w:cs="Arial" w:eastAsia="Arial" w:hAnsi="Arial"/>
          <w:sz w:val="17"/>
          <w:szCs w:val="17"/>
          <w:b w:val="1"/>
          <w:bCs w:val="1"/>
          <w:color w:val="auto"/>
        </w:rPr>
      </w:pPr>
    </w:p>
    <w:p>
      <w:pPr>
        <w:ind w:left="920" w:hanging="304"/>
        <w:spacing w:after="0"/>
        <w:tabs>
          <w:tab w:leader="none" w:pos="920" w:val="left"/>
        </w:tabs>
        <w:numPr>
          <w:ilvl w:val="0"/>
          <w:numId w:val="85"/>
        </w:numPr>
        <w:rPr>
          <w:rFonts w:ascii="Arial" w:cs="Arial" w:eastAsia="Arial" w:hAnsi="Arial"/>
          <w:sz w:val="17"/>
          <w:szCs w:val="17"/>
          <w:b w:val="1"/>
          <w:bCs w:val="1"/>
          <w:color w:val="auto"/>
        </w:rPr>
      </w:pPr>
      <w:r>
        <w:rPr>
          <w:rFonts w:ascii="Arial" w:cs="Arial" w:eastAsia="Arial" w:hAnsi="Arial"/>
          <w:sz w:val="17"/>
          <w:szCs w:val="17"/>
          <w:color w:val="auto"/>
        </w:rPr>
        <w:t>enough time has elapsed to permit the investment market to absorb and evaluate the information.</w:t>
      </w:r>
    </w:p>
    <w:p>
      <w:pPr>
        <w:spacing w:after="0" w:line="112" w:lineRule="exact"/>
        <w:rPr>
          <w:sz w:val="20"/>
          <w:szCs w:val="20"/>
          <w:color w:val="auto"/>
        </w:rPr>
      </w:pPr>
    </w:p>
    <w:p>
      <w:pPr>
        <w:jc w:val="both"/>
        <w:ind w:left="620" w:right="220"/>
        <w:spacing w:after="0" w:line="268" w:lineRule="auto"/>
        <w:rPr>
          <w:sz w:val="20"/>
          <w:szCs w:val="20"/>
          <w:color w:val="auto"/>
        </w:rPr>
      </w:pPr>
      <w:r>
        <w:rPr>
          <w:rFonts w:ascii="Arial" w:cs="Arial" w:eastAsia="Arial" w:hAnsi="Arial"/>
          <w:sz w:val="17"/>
          <w:szCs w:val="17"/>
          <w:color w:val="auto"/>
        </w:rPr>
        <w:t>Generally, information is considered to be nonpublic until one full trading day has elapsed following public disclosure. The fact that rumors, speculation, or statements attributed to unidentified sources are public is insufficient to be considered widely disseminated even when the information is accurate.</w:t>
      </w:r>
    </w:p>
    <w:p>
      <w:pPr>
        <w:spacing w:after="0" w:line="61" w:lineRule="exact"/>
        <w:rPr>
          <w:sz w:val="20"/>
          <w:szCs w:val="20"/>
          <w:color w:val="auto"/>
        </w:rPr>
      </w:pPr>
    </w:p>
    <w:p>
      <w:pPr>
        <w:ind w:left="620" w:right="40"/>
        <w:spacing w:after="0" w:line="286" w:lineRule="auto"/>
        <w:rPr>
          <w:sz w:val="20"/>
          <w:szCs w:val="20"/>
          <w:color w:val="auto"/>
        </w:rPr>
      </w:pPr>
      <w:r>
        <w:rPr>
          <w:rFonts w:ascii="Arial" w:cs="Arial" w:eastAsia="Arial" w:hAnsi="Arial"/>
          <w:sz w:val="17"/>
          <w:szCs w:val="17"/>
          <w:i w:val="1"/>
          <w:iCs w:val="1"/>
          <w:color w:val="auto"/>
        </w:rPr>
        <w:t xml:space="preserve">Prohibition on Tipping. </w:t>
      </w:r>
      <w:r>
        <w:rPr>
          <w:rFonts w:ascii="Arial" w:cs="Arial" w:eastAsia="Arial" w:hAnsi="Arial"/>
          <w:sz w:val="17"/>
          <w:szCs w:val="17"/>
          <w:color w:val="auto"/>
        </w:rPr>
        <w:t>No MVW associate, officer or director may pass MNPI along (“tip”) to others or recommend that they buy or sell MVW</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based on MNPI.</w:t>
      </w:r>
    </w:p>
    <w:p>
      <w:pPr>
        <w:spacing w:after="0" w:line="46" w:lineRule="exact"/>
        <w:rPr>
          <w:sz w:val="20"/>
          <w:szCs w:val="20"/>
          <w:color w:val="auto"/>
        </w:rPr>
      </w:pPr>
    </w:p>
    <w:p>
      <w:pPr>
        <w:ind w:left="620" w:right="160"/>
        <w:spacing w:after="0" w:line="268" w:lineRule="auto"/>
        <w:rPr>
          <w:sz w:val="20"/>
          <w:szCs w:val="20"/>
          <w:color w:val="auto"/>
        </w:rPr>
      </w:pPr>
      <w:r>
        <w:rPr>
          <w:rFonts w:ascii="Arial" w:cs="Arial" w:eastAsia="Arial" w:hAnsi="Arial"/>
          <w:sz w:val="17"/>
          <w:szCs w:val="17"/>
          <w:i w:val="1"/>
          <w:iCs w:val="1"/>
          <w:color w:val="auto"/>
        </w:rPr>
        <w:t xml:space="preserve">Prohibition on use of MNPI related to other companies. </w:t>
      </w:r>
      <w:r>
        <w:rPr>
          <w:rFonts w:ascii="Arial" w:cs="Arial" w:eastAsia="Arial" w:hAnsi="Arial"/>
          <w:sz w:val="17"/>
          <w:szCs w:val="17"/>
          <w:color w:val="auto"/>
        </w:rPr>
        <w:t>MVW associates, officers or directors who in the course of their responsibilities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become aware of MNPI about another company, including MVW’s competitors, customers and suppliers, are also prohibited from trading in the securities of that company or tipping that information to others.</w:t>
      </w:r>
    </w:p>
    <w:p>
      <w:pPr>
        <w:spacing w:after="0" w:line="61" w:lineRule="exact"/>
        <w:rPr>
          <w:sz w:val="20"/>
          <w:szCs w:val="20"/>
          <w:color w:val="auto"/>
        </w:rPr>
      </w:pPr>
    </w:p>
    <w:p>
      <w:pPr>
        <w:ind w:left="620" w:right="160"/>
        <w:spacing w:after="0" w:line="260" w:lineRule="auto"/>
        <w:rPr>
          <w:sz w:val="20"/>
          <w:szCs w:val="20"/>
          <w:color w:val="auto"/>
        </w:rPr>
      </w:pPr>
      <w:r>
        <w:rPr>
          <w:rFonts w:ascii="Arial" w:cs="Arial" w:eastAsia="Arial" w:hAnsi="Arial"/>
          <w:sz w:val="17"/>
          <w:szCs w:val="17"/>
          <w:color w:val="auto"/>
        </w:rPr>
        <w:t>As discussed above, there are strict legal prohibitions against trading on and tipping MNPI and violations of these prohibitions may result in civil penalties, criminal fines and/or jail terms. Both the Company and supervisory individuals may be liable if they know or recklessly disregard the fact that a person under their control is likely to engage in insider trading and fail to take appropriate steps to prevent it. As such, if MNPI is inadvertently disclosed, the person making or discovering that disclosure should immediately report the facts to the Law Department.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Transactions subject to this policy. </w:t>
      </w:r>
      <w:r>
        <w:rPr>
          <w:rFonts w:ascii="Arial" w:cs="Arial" w:eastAsia="Arial" w:hAnsi="Arial"/>
          <w:sz w:val="17"/>
          <w:szCs w:val="17"/>
          <w:color w:val="auto"/>
        </w:rPr>
        <w:t>For purposes of this policy, “trading” and “transactions” include:</w:t>
      </w:r>
    </w:p>
    <w:p>
      <w:pPr>
        <w:spacing w:after="0" w:line="112" w:lineRule="exact"/>
        <w:rPr>
          <w:sz w:val="20"/>
          <w:szCs w:val="20"/>
          <w:color w:val="auto"/>
        </w:rPr>
      </w:pPr>
    </w:p>
    <w:p>
      <w:pPr>
        <w:ind w:left="620" w:hanging="311"/>
        <w:spacing w:after="0"/>
        <w:tabs>
          <w:tab w:leader="none" w:pos="620"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purchases and sales of Company securities;</w:t>
      </w:r>
    </w:p>
    <w:p>
      <w:pPr>
        <w:spacing w:after="0" w:line="111" w:lineRule="exact"/>
        <w:rPr>
          <w:rFonts w:ascii="Arial" w:cs="Arial" w:eastAsia="Arial" w:hAnsi="Arial"/>
          <w:sz w:val="17"/>
          <w:szCs w:val="17"/>
          <w:b w:val="1"/>
          <w:bCs w:val="1"/>
          <w:color w:val="auto"/>
        </w:rPr>
      </w:pPr>
    </w:p>
    <w:p>
      <w:pPr>
        <w:ind w:left="620" w:hanging="311"/>
        <w:spacing w:after="0"/>
        <w:tabs>
          <w:tab w:leader="none" w:pos="620"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making gifts of Company securities; and</w:t>
      </w:r>
    </w:p>
    <w:p>
      <w:pPr>
        <w:spacing w:after="0" w:line="111" w:lineRule="exact"/>
        <w:rPr>
          <w:rFonts w:ascii="Arial" w:cs="Arial" w:eastAsia="Arial" w:hAnsi="Arial"/>
          <w:sz w:val="17"/>
          <w:szCs w:val="17"/>
          <w:b w:val="1"/>
          <w:bCs w:val="1"/>
          <w:color w:val="auto"/>
        </w:rPr>
      </w:pPr>
    </w:p>
    <w:p>
      <w:pPr>
        <w:ind w:left="620" w:right="720" w:hanging="311"/>
        <w:spacing w:after="0" w:line="286" w:lineRule="auto"/>
        <w:tabs>
          <w:tab w:leader="none" w:pos="616"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executing a same-day sale (e.g., a “cashless” or “broker-assisted” exercise) of Company securities obtained through the exercise of securities issued by the Company.</w:t>
      </w:r>
    </w:p>
    <w:p>
      <w:pPr>
        <w:spacing w:after="0" w:line="4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color w:val="auto"/>
        </w:rPr>
        <w:t xml:space="preserve">All short sales are prohibited. </w:t>
      </w:r>
      <w:r>
        <w:rPr>
          <w:rFonts w:ascii="Arial" w:cs="Arial" w:eastAsia="Arial" w:hAnsi="Arial"/>
          <w:sz w:val="17"/>
          <w:szCs w:val="17"/>
          <w:color w:val="auto"/>
        </w:rPr>
        <w:t>Because of the inherent potential for abuse with “short sale” transactions (i.e., a person selling securities that he or she</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own and delivering borrowed securities to the buyer), MVW also prohibits all associates, officers and directors from shorting the sale of MVW stock or other MVW securities, whether or not the sale is “against the box” (i.e., a transaction in which the seller already owns a number of securities at least equal to the number sold short).</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 xml:space="preserve">Derivative transactions (including hedging transactions) are prohibited. </w:t>
      </w:r>
      <w:r>
        <w:rPr>
          <w:rFonts w:ascii="Arial" w:cs="Arial" w:eastAsia="Arial" w:hAnsi="Arial"/>
          <w:sz w:val="17"/>
          <w:szCs w:val="17"/>
          <w:color w:val="auto"/>
        </w:rPr>
        <w:t>Buying, selling, writing or otherwise entering into any “derivative”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MVW stock or other MVW securities, including options, warrants, puts, calls, and similar rights that have an exercise or conversion privilege that is related to the price of a MVW security, or similar securities with a value derived from the value of a MVW security are prohibited (in each case, other than the receipt or exercise of employee stock options or other derivative securities that MVW issues to its associates, officers or directors pursuant to Company compensation plans). This prohibition of derivative transactions extends to any transactions designed to hedge or offset, or that have the effect of hedging or offsetting, any decrease in the market value of MVW securities. As such, associates, officers and directors may not utilize financial instruments, such as prepaid variable forwards, equity swaps, collars or exchange funds.</w:t>
      </w:r>
    </w:p>
    <w:p>
      <w:pPr>
        <w:spacing w:after="0" w:line="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i w:val="1"/>
          <w:iCs w:val="1"/>
          <w:color w:val="auto"/>
        </w:rPr>
        <w:t xml:space="preserve">Pledging is prohibited. </w:t>
      </w:r>
      <w:r>
        <w:rPr>
          <w:rFonts w:ascii="Arial" w:cs="Arial" w:eastAsia="Arial" w:hAnsi="Arial"/>
          <w:sz w:val="17"/>
          <w:szCs w:val="17"/>
          <w:color w:val="auto"/>
        </w:rPr>
        <w:t>Securities held in a margin account or pledged as collateral may be sold without the pledgor’s consent if the pledgor fails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a margin call or defaults on a loan, and as a result a margin or foreclosure sale may result in unlawful insider trading. Because of this danger,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 of 11</w:t>
      </w:r>
    </w:p>
    <w:p>
      <w:pPr>
        <w:sectPr>
          <w:pgSz w:w="11900" w:h="16838" w:orient="portrait"/>
          <w:cols w:equalWidth="0" w:num="1">
            <w:col w:w="11240"/>
          </w:cols>
          <w:pgMar w:left="320" w:top="916" w:right="339" w:bottom="1440" w:gutter="0" w:footer="0" w:header="0"/>
        </w:sectPr>
      </w:pPr>
    </w:p>
    <w:bookmarkStart w:id="148" w:name="page149"/>
    <w:bookmarkEnd w:id="148"/>
    <w:p>
      <w:pPr>
        <w:ind w:right="120"/>
        <w:spacing w:after="0" w:line="286" w:lineRule="auto"/>
        <w:rPr>
          <w:sz w:val="20"/>
          <w:szCs w:val="20"/>
          <w:color w:val="auto"/>
        </w:rPr>
      </w:pPr>
      <w:r>
        <w:rPr>
          <w:rFonts w:ascii="Arial" w:cs="Arial" w:eastAsia="Arial" w:hAnsi="Arial"/>
          <w:sz w:val="17"/>
          <w:szCs w:val="17"/>
          <w:color w:val="auto"/>
        </w:rPr>
        <w:t>MVW prohibits associates, officers and directors from including MVW stock or other MVW securities in a margin account or pledging such securities as collateral for a loan.</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 xml:space="preserve">Stock award payroll tax elections are subject to this policy. </w:t>
      </w:r>
      <w:r>
        <w:rPr>
          <w:rFonts w:ascii="Arial" w:cs="Arial" w:eastAsia="Arial" w:hAnsi="Arial"/>
          <w:sz w:val="17"/>
          <w:szCs w:val="17"/>
          <w:color w:val="auto"/>
        </w:rPr>
        <w:t>Participants who receive stock-based awards under the Marriott Vacations Worldwide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Equity Plan (the “Stock Plan”) or other Company stock- based compensation plans may be offered an election for meeting payroll tax requirements in connection with the vesting or exercise of such awards. Making such elections may constitute trading on the basis of MNPI under the securities laws (for example, if an associate elects to reduce the number of shares to be delivered upon vesting of an award under the Stock Plan by the shares needed to satisfy the related tax withholding obligation, such an election can be viewed as an instruction to sell those shares). Associates, officers and directors therefore may not make or change such elections at any time that they are aware of MNPI or are otherwise restricted from trading under this policy.</w:t>
      </w:r>
    </w:p>
    <w:p>
      <w:pPr>
        <w:spacing w:after="0" w:line="7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i w:val="1"/>
          <w:iCs w:val="1"/>
          <w:color w:val="auto"/>
        </w:rPr>
        <w:t xml:space="preserve">Employee Stock Purchase Plan Transactions. </w:t>
      </w:r>
      <w:r>
        <w:rPr>
          <w:rFonts w:ascii="Arial" w:cs="Arial" w:eastAsia="Arial" w:hAnsi="Arial"/>
          <w:sz w:val="17"/>
          <w:szCs w:val="17"/>
          <w:color w:val="auto"/>
        </w:rPr>
        <w:t>Associates and officers are prohibited under this policy from (1) making an election to participate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Employee Stock Purchase Plan (“ESPP”) for an enrollment period, (2) increasing or decreasing the amount of their periodic contributions to the ESPP or (3) selling Company stock pursuant to the ESPP at any time when they are aware of MNPI or are otherwise restricted from trading under this policy (collectively, “Restricted ESPP Transactions”). The restrictions in this policy, however, do not apply to purchases of Company stock resulting from an associate’s or officer’s periodic contribution of money to the ESPP pursuant to a payroll deduction election made when such associate or officer was not aware of MNPI and was otherwise permitted to trade under this policy.</w:t>
      </w:r>
    </w:p>
    <w:p>
      <w:pPr>
        <w:spacing w:after="0" w:line="69"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i w:val="1"/>
          <w:iCs w:val="1"/>
          <w:color w:val="auto"/>
        </w:rPr>
        <w:t xml:space="preserve">Family Members; Controlled Entities. </w:t>
      </w:r>
      <w:r>
        <w:rPr>
          <w:rFonts w:ascii="Arial" w:cs="Arial" w:eastAsia="Arial" w:hAnsi="Arial"/>
          <w:sz w:val="17"/>
          <w:szCs w:val="17"/>
          <w:color w:val="auto"/>
        </w:rPr>
        <w:t>This policy applies to family members (spouses, parents, children, siblings and in-laws), and others living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household of any director, officer or associate of the Company, and any family members who do not live in the household of a director, officer or associate of the Company but whose transactions in Company securities are directed by, or subject to the influence of, a director, officer or associate of the Company (together, “Family Members”), to the same extent that the policy applies to the related director, officer or associate, as the case may be. Directors, officers and associates of the Company are expected to be responsible for compliance with this policy by their Family Members.</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This policy also applies to all investment decisions made by persons covered by this policy. Any restriction applicable to a person (or Family Member) under this policy also applies to securities that he or she has the power to direct by virtue of being a stockholder, director, officer, partner, trustee or executor of a business, partnership, not-for-profit organization, trust, estate or similar entity (collectively, “Controlled Entities”), and the Controlled Entity may not buy, sell, gift or otherwise trade MVW securities (or securities of other companies that do business with the Company) on behalf of any other person or entity at a time when this policy does not permit that person to buy, sell, gift or otherwise trade for his or her own account.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Company Transactions</w:t>
      </w:r>
    </w:p>
    <w:p>
      <w:pPr>
        <w:spacing w:after="0" w:line="11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From time to time, the Company may engage in transactions in its own securities. It is the Company’s policy to comply with applicable securities and state law (including appropriate approvals by the Board of Directors or appropriate committee, if required) when engaging in transactions in the Company’s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Restricted Associates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This section describes additional rules that apply only to Restricted Associates (which include directors and Section 16 officers).</w:t>
      </w:r>
    </w:p>
    <w:p>
      <w:pPr>
        <w:spacing w:after="0" w:line="11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A “Restricted Associate” is (1) each member of MVW’s Board of Directors; (2) the Chief Executive Officer; (3): each Section 16 officer; (4) each member of the Executive Committee; (5) each associate who is involved in the preparation or review of the Company’s financial statements or earnings press releases prior to their public disclosure; and (6) any other designated associate identified by senior management as a “restricted associate,” and such designation has been communicated in writing to the Senior Vice President and Associate General Counsel, Corporate Affairs and Finance.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3 of 11</w:t>
      </w:r>
    </w:p>
    <w:p>
      <w:pPr>
        <w:sectPr>
          <w:pgSz w:w="11900" w:h="16838" w:orient="portrait"/>
          <w:cols w:equalWidth="0" w:num="1">
            <w:col w:w="11240"/>
          </w:cols>
          <w:pgMar w:left="320" w:top="916" w:right="339" w:bottom="1440" w:gutter="0" w:footer="0" w:header="0"/>
        </w:sectPr>
      </w:pPr>
    </w:p>
    <w:bookmarkStart w:id="149" w:name="page150"/>
    <w:bookmarkEnd w:id="149"/>
    <w:p>
      <w:pPr>
        <w:spacing w:after="0" w:line="263" w:lineRule="auto"/>
        <w:rPr>
          <w:sz w:val="20"/>
          <w:szCs w:val="20"/>
          <w:color w:val="auto"/>
        </w:rPr>
      </w:pPr>
      <w:r>
        <w:rPr>
          <w:rFonts w:ascii="Arial" w:cs="Arial" w:eastAsia="Arial" w:hAnsi="Arial"/>
          <w:sz w:val="17"/>
          <w:szCs w:val="17"/>
          <w:color w:val="auto"/>
        </w:rPr>
        <w:t>“Section 16 officer” means “officer” as defined by Rule 16a-1(f) under the Securities Exchange Act of 1934, as amended (the “Exchange Act”) and includes the Chief Executive Officer, Chief Financial Officer, Chief Accounting Officer and certain other officers that have been advised by MVW that they are required to file reports pursuant to Section 16 of the Exchange Act or are otherwise required to file reports under Section 16 of the Exchange Act.</w:t>
      </w:r>
    </w:p>
    <w:p>
      <w:pPr>
        <w:spacing w:after="0" w:line="166"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i w:val="1"/>
          <w:iCs w:val="1"/>
          <w:color w:val="auto"/>
        </w:rPr>
        <w:t xml:space="preserve">Restricted trading window. </w:t>
      </w:r>
      <w:r>
        <w:rPr>
          <w:rFonts w:ascii="Arial" w:cs="Arial" w:eastAsia="Arial" w:hAnsi="Arial"/>
          <w:sz w:val="17"/>
          <w:szCs w:val="17"/>
          <w:color w:val="auto"/>
        </w:rPr>
        <w:t>Except as set forth below, Restricted Associates may trade in Company securities only during designated open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windows.” During a closed trading window, Restricted Associates may not buy, sell, gift or donate MVW stock or other MVW securities, execute a same-day sale (including a cashless exercise) of an option or stock appreciation right, make any other trade in MVW securities, make or change an election of payroll tax withholding method under the Stock Plan, or engage in Restricted ESPP Transactions.</w:t>
      </w:r>
    </w:p>
    <w:p>
      <w:pPr>
        <w:spacing w:after="0" w:line="16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Restricted Associates also need to be aware of any outstanding limit orders they may have with brokers (sale or purchase orders) and must cancel them for the period during which the trading window is closed unless such order is under an approved pre-arranged trading plan (discussed below).</w:t>
      </w:r>
    </w:p>
    <w:p>
      <w:pPr>
        <w:spacing w:after="0" w:line="14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These trading window rules also apply to Family Members and Controlled Entities of Restricted Associates. Even when the trading window is open, no Company associate, officer or director may trade in MVW securities at a time when he or she is aware of MNPI about the Company.</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i w:val="1"/>
          <w:iCs w:val="1"/>
          <w:color w:val="auto"/>
        </w:rPr>
        <w:t xml:space="preserve">Close of trading window. </w:t>
      </w:r>
      <w:r>
        <w:rPr>
          <w:rFonts w:ascii="Arial" w:cs="Arial" w:eastAsia="Arial" w:hAnsi="Arial"/>
          <w:sz w:val="17"/>
          <w:szCs w:val="17"/>
          <w:color w:val="auto"/>
        </w:rPr>
        <w:t>The trading window will be closed from 5:00 pm (Eastern Time) on the last business day of each quarter through the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opening on the second trading day after the earnings release or analysts’ conference call, whichever is later. For example, if the last business day of the first quarter of the year was Friday, March 31, the window would close at 5:00 pm (Eastern Time) on that day. In that particular year, if the earnings release for that quarter took place on Wednesday, May 3 and analysts’ conference call took place on Thursday, May 4, the window would reopen upon the market opening on Monday, May 8. The Company may also close the trading window and require some or all directors, officers and associates to refrain from trading in connection with major events or announcements. Notice of any such window closure will be given to the applicable directors, officers and associates, who then may not trade until they have been formally notified that the restriction has been lifted. If you are subject to a special trading blackout, you should not disclose to others the fact that the trading window has been closed.</w:t>
      </w:r>
    </w:p>
    <w:p>
      <w:pPr>
        <w:spacing w:after="0" w:line="17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i w:val="1"/>
          <w:iCs w:val="1"/>
          <w:color w:val="auto"/>
        </w:rPr>
        <w:t xml:space="preserve">Exceptions. </w:t>
      </w:r>
      <w:r>
        <w:rPr>
          <w:rFonts w:ascii="Arial" w:cs="Arial" w:eastAsia="Arial" w:hAnsi="Arial"/>
          <w:sz w:val="17"/>
          <w:szCs w:val="17"/>
          <w:color w:val="auto"/>
        </w:rPr>
        <w:t>Restricted Associates may engage in the following transactions in MVW securities during a closed trading window: (1) exercises of MVW</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(but not stock appreciation rights) where the associate holds the acquired stock until the trading window reopens and uses cash to pay the strike price and all other exercise costs, including any required withholding tax; (2) use of “net shares” (i.e., reduction of shares delivered) to pay taxes on vesting of restricted stock units or deferred stock awards as a result of either the Stock Plan’s default “net shares” election or an election made when an associate is not restricted from trading under this policy; and (3) trades effected in accordance with approved pre-arranged trading plans (discussed below).</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Pre-arranged trading plans.</w:t>
      </w:r>
    </w:p>
    <w:p>
      <w:pPr>
        <w:spacing w:after="0" w:line="212"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Restricted Associates and their respective Family Members and Controlled Entities (together, “Insiders”) may trade in Company securities in accordance with written, pre-arranged trading plans that satisfy the requirements of Rule 10b5-1(c) under the Exchange Act and this policy, including the conditions set forth under “Requirements for Pre-Approved Plans.” Under Rule 10b5-1(c), if an Insider enters into a binding contract, an instruction or a written plan that satisfies the conditions of Rule 10b5-1(c) (a “Rule 10b5-1 Plan”), the Insider may claim a defense to insider trading liability if the transactions under the Rule 10b5-1 Plan occur at a time when the Insider is subsequently aware of MNPI.</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 of 11</w:t>
      </w:r>
    </w:p>
    <w:p>
      <w:pPr>
        <w:sectPr>
          <w:pgSz w:w="11900" w:h="16838" w:orient="portrait"/>
          <w:cols w:equalWidth="0" w:num="1">
            <w:col w:w="11240"/>
          </w:cols>
          <w:pgMar w:left="320" w:top="916" w:right="339" w:bottom="1440" w:gutter="0" w:footer="0" w:header="0"/>
        </w:sectPr>
      </w:pPr>
    </w:p>
    <w:bookmarkStart w:id="150" w:name="page151"/>
    <w:bookmarkEnd w:id="150"/>
    <w:p>
      <w:pPr>
        <w:spacing w:after="0"/>
        <w:rPr>
          <w:sz w:val="20"/>
          <w:szCs w:val="20"/>
          <w:color w:val="auto"/>
        </w:rPr>
      </w:pPr>
      <w:r>
        <w:rPr>
          <w:rFonts w:ascii="Arial" w:cs="Arial" w:eastAsia="Arial" w:hAnsi="Arial"/>
          <w:sz w:val="19"/>
          <w:szCs w:val="19"/>
          <w:color w:val="auto"/>
        </w:rPr>
        <w:t>Requirements for Pre-Approved Plans</w:t>
      </w:r>
    </w:p>
    <w:p>
      <w:pPr>
        <w:spacing w:after="0" w:line="119" w:lineRule="exact"/>
        <w:rPr>
          <w:sz w:val="20"/>
          <w:szCs w:val="20"/>
          <w:color w:val="auto"/>
        </w:rPr>
      </w:pPr>
    </w:p>
    <w:p>
      <w:pPr>
        <w:ind w:left="620" w:hanging="311"/>
        <w:spacing w:after="0"/>
        <w:tabs>
          <w:tab w:leader="none" w:pos="620" w:val="left"/>
        </w:tabs>
        <w:numPr>
          <w:ilvl w:val="0"/>
          <w:numId w:val="8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Instructions. </w:t>
      </w:r>
      <w:r>
        <w:rPr>
          <w:rFonts w:ascii="Arial" w:cs="Arial" w:eastAsia="Arial" w:hAnsi="Arial"/>
          <w:sz w:val="17"/>
          <w:szCs w:val="17"/>
          <w:color w:val="auto"/>
        </w:rPr>
        <w:t>Any Rule 10b5-1 Plan adopted by any Insider must be in writing, signed, and:</w:t>
      </w:r>
    </w:p>
    <w:p>
      <w:pPr>
        <w:spacing w:after="0" w:line="25" w:lineRule="exact"/>
        <w:rPr>
          <w:rFonts w:ascii="Arial" w:cs="Arial" w:eastAsia="Arial" w:hAnsi="Arial"/>
          <w:sz w:val="17"/>
          <w:szCs w:val="17"/>
          <w:b w:val="1"/>
          <w:bCs w:val="1"/>
          <w:color w:val="auto"/>
        </w:rPr>
      </w:pPr>
    </w:p>
    <w:p>
      <w:pPr>
        <w:ind w:left="1220" w:hanging="297"/>
        <w:spacing w:after="0"/>
        <w:tabs>
          <w:tab w:leader="none" w:pos="1220" w:val="left"/>
        </w:tabs>
        <w:numPr>
          <w:ilvl w:val="1"/>
          <w:numId w:val="87"/>
        </w:numPr>
        <w:rPr>
          <w:rFonts w:ascii="Arial" w:cs="Arial" w:eastAsia="Arial" w:hAnsi="Arial"/>
          <w:sz w:val="17"/>
          <w:szCs w:val="17"/>
          <w:b w:val="1"/>
          <w:bCs w:val="1"/>
          <w:color w:val="auto"/>
        </w:rPr>
      </w:pPr>
      <w:r>
        <w:rPr>
          <w:rFonts w:ascii="Arial" w:cs="Arial" w:eastAsia="Arial" w:hAnsi="Arial"/>
          <w:sz w:val="17"/>
          <w:szCs w:val="17"/>
          <w:color w:val="auto"/>
        </w:rPr>
        <w:t>specify the amount, price and date of the sales (or purchases) of Company securities to be effected;</w:t>
      </w:r>
    </w:p>
    <w:p>
      <w:pPr>
        <w:spacing w:after="0" w:line="9" w:lineRule="exact"/>
        <w:rPr>
          <w:rFonts w:ascii="Arial" w:cs="Arial" w:eastAsia="Arial" w:hAnsi="Arial"/>
          <w:sz w:val="17"/>
          <w:szCs w:val="17"/>
          <w:b w:val="1"/>
          <w:bCs w:val="1"/>
          <w:color w:val="auto"/>
        </w:rPr>
      </w:pPr>
    </w:p>
    <w:p>
      <w:pPr>
        <w:ind w:left="1240" w:right="120" w:hanging="317"/>
        <w:spacing w:after="0" w:line="251" w:lineRule="auto"/>
        <w:tabs>
          <w:tab w:leader="none" w:pos="1236" w:val="left"/>
        </w:tabs>
        <w:numPr>
          <w:ilvl w:val="1"/>
          <w:numId w:val="87"/>
        </w:numPr>
        <w:rPr>
          <w:rFonts w:ascii="Arial" w:cs="Arial" w:eastAsia="Arial" w:hAnsi="Arial"/>
          <w:sz w:val="17"/>
          <w:szCs w:val="17"/>
          <w:b w:val="1"/>
          <w:bCs w:val="1"/>
          <w:color w:val="auto"/>
        </w:rPr>
      </w:pPr>
      <w:r>
        <w:rPr>
          <w:rFonts w:ascii="Arial" w:cs="Arial" w:eastAsia="Arial" w:hAnsi="Arial"/>
          <w:sz w:val="17"/>
          <w:szCs w:val="17"/>
          <w:color w:val="auto"/>
        </w:rPr>
        <w:t>provide a formula, algorithm or computer program for determining when to sell (or purchase) the Company’s securities, the quantity to sell (or purchase) and the price; or</w:t>
      </w:r>
    </w:p>
    <w:p>
      <w:pPr>
        <w:ind w:left="1240" w:right="440" w:hanging="317"/>
        <w:spacing w:after="0" w:line="267" w:lineRule="auto"/>
        <w:tabs>
          <w:tab w:leader="none" w:pos="1236" w:val="left"/>
        </w:tabs>
        <w:numPr>
          <w:ilvl w:val="1"/>
          <w:numId w:val="87"/>
        </w:numPr>
        <w:rPr>
          <w:rFonts w:ascii="Arial" w:cs="Arial" w:eastAsia="Arial" w:hAnsi="Arial"/>
          <w:sz w:val="17"/>
          <w:szCs w:val="17"/>
          <w:b w:val="1"/>
          <w:bCs w:val="1"/>
          <w:color w:val="auto"/>
        </w:rPr>
      </w:pPr>
      <w:r>
        <w:rPr>
          <w:rFonts w:ascii="Arial" w:cs="Arial" w:eastAsia="Arial" w:hAnsi="Arial"/>
          <w:sz w:val="17"/>
          <w:szCs w:val="17"/>
          <w:color w:val="auto"/>
        </w:rPr>
        <w:t>delegate decision-making authority with regard to the sales (or purchases) to be effected to a broker or other agent without any MNPI about the Company or its securities.</w:t>
      </w:r>
    </w:p>
    <w:p>
      <w:pPr>
        <w:spacing w:after="0" w:line="61" w:lineRule="exact"/>
        <w:rPr>
          <w:sz w:val="20"/>
          <w:szCs w:val="20"/>
          <w:color w:val="auto"/>
        </w:rPr>
      </w:pPr>
    </w:p>
    <w:p>
      <w:pPr>
        <w:ind w:left="620" w:right="140"/>
        <w:spacing w:after="0" w:line="286" w:lineRule="auto"/>
        <w:rPr>
          <w:sz w:val="20"/>
          <w:szCs w:val="20"/>
          <w:color w:val="auto"/>
        </w:rPr>
      </w:pPr>
      <w:r>
        <w:rPr>
          <w:rFonts w:ascii="Arial" w:cs="Arial" w:eastAsia="Arial" w:hAnsi="Arial"/>
          <w:sz w:val="17"/>
          <w:szCs w:val="17"/>
          <w:color w:val="auto"/>
        </w:rPr>
        <w:t>For the avoidance of doubt, Insiders may not subsequently influence how, when, or whether to effect purchases or sales with respect to the securities subject to an approved and adopted Rule 10b5-1 Plan.</w:t>
      </w:r>
    </w:p>
    <w:p>
      <w:pPr>
        <w:spacing w:after="0" w:line="46" w:lineRule="exact"/>
        <w:rPr>
          <w:sz w:val="20"/>
          <w:szCs w:val="20"/>
          <w:color w:val="auto"/>
        </w:rPr>
      </w:pPr>
    </w:p>
    <w:p>
      <w:pPr>
        <w:ind w:left="620" w:right="520" w:hanging="311"/>
        <w:spacing w:after="0" w:line="286" w:lineRule="auto"/>
        <w:tabs>
          <w:tab w:leader="none" w:pos="616" w:val="left"/>
        </w:tabs>
        <w:numPr>
          <w:ilvl w:val="0"/>
          <w:numId w:val="8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Pre-Clearance. </w:t>
      </w:r>
      <w:r>
        <w:rPr>
          <w:rFonts w:ascii="Arial" w:cs="Arial" w:eastAsia="Arial" w:hAnsi="Arial"/>
          <w:sz w:val="17"/>
          <w:szCs w:val="17"/>
          <w:color w:val="auto"/>
        </w:rPr>
        <w:t>The Rule 10b5-1 Plan must be reviewed and approved in advance by the Law Department. Please allow at least three</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days prior to the intended entry into the plan for review in accordance with the procedures set forth in this policy.</w:t>
      </w:r>
    </w:p>
    <w:p>
      <w:pPr>
        <w:spacing w:after="0" w:line="45" w:lineRule="exact"/>
        <w:rPr>
          <w:rFonts w:ascii="Arial" w:cs="Arial" w:eastAsia="Arial" w:hAnsi="Arial"/>
          <w:sz w:val="17"/>
          <w:szCs w:val="17"/>
          <w:b w:val="1"/>
          <w:bCs w:val="1"/>
          <w:color w:val="auto"/>
        </w:rPr>
      </w:pPr>
    </w:p>
    <w:p>
      <w:pPr>
        <w:jc w:val="both"/>
        <w:ind w:left="620" w:right="60" w:hanging="311"/>
        <w:spacing w:after="0" w:line="268" w:lineRule="auto"/>
        <w:tabs>
          <w:tab w:leader="none" w:pos="616" w:val="left"/>
        </w:tabs>
        <w:numPr>
          <w:ilvl w:val="0"/>
          <w:numId w:val="8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No Hedging. </w:t>
      </w:r>
      <w:r>
        <w:rPr>
          <w:rFonts w:ascii="Arial" w:cs="Arial" w:eastAsia="Arial" w:hAnsi="Arial"/>
          <w:sz w:val="17"/>
          <w:szCs w:val="17"/>
          <w:color w:val="auto"/>
        </w:rPr>
        <w:t>Consistent with the prohibition on hedging set forth in this policy, Insiders may not have entered into or altered a corresponding</w:t>
      </w:r>
      <w:r>
        <w:rPr>
          <w:rFonts w:ascii="Arial" w:cs="Arial" w:eastAsia="Arial" w:hAnsi="Arial"/>
          <w:sz w:val="17"/>
          <w:szCs w:val="17"/>
          <w:i w:val="1"/>
          <w:iCs w:val="1"/>
          <w:color w:val="auto"/>
        </w:rPr>
        <w:t xml:space="preserve"> </w:t>
      </w:r>
      <w:r>
        <w:rPr>
          <w:rFonts w:ascii="Arial" w:cs="Arial" w:eastAsia="Arial" w:hAnsi="Arial"/>
          <w:sz w:val="17"/>
          <w:szCs w:val="17"/>
          <w:color w:val="auto"/>
        </w:rPr>
        <w:t>or hedging transaction or position with respect to the securities subject to the Rule 10b5-1 Plan and must not enter into any such transaction while the Rule 10b5-1 Plan is in effect.</w:t>
      </w:r>
    </w:p>
    <w:p>
      <w:pPr>
        <w:spacing w:after="0" w:line="61" w:lineRule="exact"/>
        <w:rPr>
          <w:rFonts w:ascii="Arial" w:cs="Arial" w:eastAsia="Arial" w:hAnsi="Arial"/>
          <w:sz w:val="17"/>
          <w:szCs w:val="17"/>
          <w:b w:val="1"/>
          <w:bCs w:val="1"/>
          <w:color w:val="auto"/>
        </w:rPr>
      </w:pPr>
    </w:p>
    <w:p>
      <w:pPr>
        <w:ind w:left="620" w:hanging="311"/>
        <w:spacing w:after="0" w:line="268" w:lineRule="auto"/>
        <w:tabs>
          <w:tab w:leader="none" w:pos="616" w:val="left"/>
        </w:tabs>
        <w:numPr>
          <w:ilvl w:val="0"/>
          <w:numId w:val="8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Acting in Good Faith. </w:t>
      </w:r>
      <w:r>
        <w:rPr>
          <w:rFonts w:ascii="Arial" w:cs="Arial" w:eastAsia="Arial" w:hAnsi="Arial"/>
          <w:sz w:val="17"/>
          <w:szCs w:val="17"/>
          <w:color w:val="201D1E"/>
        </w:rPr>
        <w:t>The affirmative defense to insider trading liability applies only when (1) the Rule 10b5-1 Plan was entered into in good</w:t>
      </w:r>
      <w:r>
        <w:rPr>
          <w:rFonts w:ascii="Arial" w:cs="Arial" w:eastAsia="Arial" w:hAnsi="Arial"/>
          <w:sz w:val="17"/>
          <w:szCs w:val="17"/>
          <w:i w:val="1"/>
          <w:iCs w:val="1"/>
          <w:color w:val="auto"/>
        </w:rPr>
        <w:t xml:space="preserve"> </w:t>
      </w:r>
      <w:r>
        <w:rPr>
          <w:rFonts w:ascii="Arial" w:cs="Arial" w:eastAsia="Arial" w:hAnsi="Arial"/>
          <w:sz w:val="17"/>
          <w:szCs w:val="17"/>
          <w:color w:val="201D1E"/>
        </w:rPr>
        <w:t>faith and not as part of a plan or scheme to evade the prohibitions of Rule 10b5-1 and (2) the person who entered into the plan acted in good faith with respect to the plan.</w:t>
      </w:r>
    </w:p>
    <w:p>
      <w:pPr>
        <w:spacing w:after="0" w:line="61" w:lineRule="exact"/>
        <w:rPr>
          <w:rFonts w:ascii="Arial" w:cs="Arial" w:eastAsia="Arial" w:hAnsi="Arial"/>
          <w:sz w:val="17"/>
          <w:szCs w:val="17"/>
          <w:b w:val="1"/>
          <w:bCs w:val="1"/>
          <w:color w:val="auto"/>
        </w:rPr>
      </w:pPr>
    </w:p>
    <w:p>
      <w:pPr>
        <w:ind w:left="620" w:right="160" w:hanging="311"/>
        <w:spacing w:after="0" w:line="286" w:lineRule="auto"/>
        <w:tabs>
          <w:tab w:leader="none" w:pos="616" w:val="left"/>
        </w:tabs>
        <w:numPr>
          <w:ilvl w:val="0"/>
          <w:numId w:val="88"/>
        </w:numPr>
        <w:rPr>
          <w:rFonts w:ascii="Arial" w:cs="Arial" w:eastAsia="Arial" w:hAnsi="Arial"/>
          <w:sz w:val="17"/>
          <w:szCs w:val="17"/>
          <w:b w:val="1"/>
          <w:bCs w:val="1"/>
          <w:color w:val="201D1E"/>
        </w:rPr>
      </w:pPr>
      <w:r>
        <w:rPr>
          <w:rFonts w:ascii="Arial" w:cs="Arial" w:eastAsia="Arial" w:hAnsi="Arial"/>
          <w:sz w:val="17"/>
          <w:szCs w:val="17"/>
          <w:i w:val="1"/>
          <w:iCs w:val="1"/>
          <w:color w:val="auto"/>
        </w:rPr>
        <w:t xml:space="preserve">Trading Window. </w:t>
      </w:r>
      <w:r>
        <w:rPr>
          <w:rFonts w:ascii="Arial" w:cs="Arial" w:eastAsia="Arial" w:hAnsi="Arial"/>
          <w:sz w:val="17"/>
          <w:szCs w:val="17"/>
          <w:color w:val="auto"/>
        </w:rPr>
        <w:t>A Rule 10b5-1 plan must be entered into during an open “trading window” while the person adopting the plan is not aware</w:t>
      </w:r>
      <w:r>
        <w:rPr>
          <w:rFonts w:ascii="Arial" w:cs="Arial" w:eastAsia="Arial" w:hAnsi="Arial"/>
          <w:sz w:val="17"/>
          <w:szCs w:val="17"/>
          <w:i w:val="1"/>
          <w:iCs w:val="1"/>
          <w:color w:val="auto"/>
        </w:rPr>
        <w:t xml:space="preserve"> </w:t>
      </w:r>
      <w:r>
        <w:rPr>
          <w:rFonts w:ascii="Arial" w:cs="Arial" w:eastAsia="Arial" w:hAnsi="Arial"/>
          <w:sz w:val="17"/>
          <w:szCs w:val="17"/>
          <w:color w:val="auto"/>
        </w:rPr>
        <w:t>of MNPI.</w:t>
      </w:r>
    </w:p>
    <w:p>
      <w:pPr>
        <w:spacing w:after="0" w:line="45" w:lineRule="exact"/>
        <w:rPr>
          <w:rFonts w:ascii="Arial" w:cs="Arial" w:eastAsia="Arial" w:hAnsi="Arial"/>
          <w:sz w:val="17"/>
          <w:szCs w:val="17"/>
          <w:b w:val="1"/>
          <w:bCs w:val="1"/>
          <w:color w:val="201D1E"/>
        </w:rPr>
      </w:pPr>
    </w:p>
    <w:p>
      <w:pPr>
        <w:ind w:left="620" w:hanging="311"/>
        <w:spacing w:after="0" w:line="260" w:lineRule="auto"/>
        <w:tabs>
          <w:tab w:leader="none" w:pos="616"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Cooling-Off Periods. </w:t>
      </w:r>
      <w:r>
        <w:rPr>
          <w:rFonts w:ascii="Arial" w:cs="Arial" w:eastAsia="Arial" w:hAnsi="Arial"/>
          <w:sz w:val="17"/>
          <w:szCs w:val="17"/>
          <w:color w:val="auto"/>
        </w:rPr>
        <w:t>If the person who proposes to enter into the Rule 10b5-1 Plan is a director or Section 16 officer (or a Family Member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Controlled Entity of such person), no purchases or sales can occur under the Rule 10b5-1 Plan until expiration of a cooling-off period ending on the later of: (i) ninety days after the adoption of the Rule 10b5-1 Plan or (ii) two business days following the filing of the Company’s Form 10-Q or Form 10-K for the completed fiscal quarter in which the plan was adopted (but, in any event, this required cooling-off period is subject to a maximum of 120 days after adoption of the Rule 10b5-1 Plan).</w:t>
      </w:r>
    </w:p>
    <w:p>
      <w:pPr>
        <w:spacing w:after="0" w:line="66" w:lineRule="exact"/>
        <w:rPr>
          <w:rFonts w:ascii="Arial" w:cs="Arial" w:eastAsia="Arial" w:hAnsi="Arial"/>
          <w:sz w:val="17"/>
          <w:szCs w:val="17"/>
          <w:b w:val="1"/>
          <w:bCs w:val="1"/>
          <w:color w:val="auto"/>
        </w:rPr>
      </w:pPr>
    </w:p>
    <w:p>
      <w:pPr>
        <w:ind w:left="620" w:right="40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If the person who proposes to enter into a plan is not a director or Section 16 officer (or a Family Member or Controlled Entity of such person), no purchases or sales under the Rule 10b5-1 Plan can occur until the expiration of a cooling-off period that is 30 days after the adoption of the Rule 10b5-1 Plan.</w:t>
      </w:r>
    </w:p>
    <w:p>
      <w:pPr>
        <w:spacing w:after="0" w:line="61" w:lineRule="exact"/>
        <w:rPr>
          <w:rFonts w:ascii="Arial" w:cs="Arial" w:eastAsia="Arial" w:hAnsi="Arial"/>
          <w:sz w:val="17"/>
          <w:szCs w:val="17"/>
          <w:b w:val="1"/>
          <w:bCs w:val="1"/>
          <w:color w:val="auto"/>
        </w:rPr>
      </w:pPr>
    </w:p>
    <w:p>
      <w:pPr>
        <w:ind w:left="620" w:right="160" w:hanging="311"/>
        <w:spacing w:after="0" w:line="263" w:lineRule="auto"/>
        <w:tabs>
          <w:tab w:leader="none" w:pos="616" w:val="left"/>
        </w:tabs>
        <w:numPr>
          <w:ilvl w:val="0"/>
          <w:numId w:val="8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Certifications. </w:t>
      </w:r>
      <w:r>
        <w:rPr>
          <w:rFonts w:ascii="Arial" w:cs="Arial" w:eastAsia="Arial" w:hAnsi="Arial"/>
          <w:sz w:val="17"/>
          <w:szCs w:val="17"/>
          <w:color w:val="auto"/>
        </w:rPr>
        <w:t>If the person who entered into a plan is a director, Section 16 officer or associate (or a Family Member or Controlled Entity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person), such person must include a representation in the plan certifying that, on the date of adoption of the plan: (1) the individual is not aware of any MNPI about the security or the Company; and (2) the individual is adopting the plan in good faith and not as part of a plan or scheme to evade the prohibitions of Rule 10b-5.</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Additional Rules for Use of 10b5-1 Plans</w:t>
      </w:r>
    </w:p>
    <w:p>
      <w:pPr>
        <w:spacing w:after="0" w:line="106" w:lineRule="exact"/>
        <w:rPr>
          <w:sz w:val="20"/>
          <w:szCs w:val="20"/>
          <w:color w:val="auto"/>
        </w:rPr>
      </w:pPr>
    </w:p>
    <w:p>
      <w:pPr>
        <w:ind w:left="620" w:right="260" w:hanging="311"/>
        <w:spacing w:after="0" w:line="286" w:lineRule="auto"/>
        <w:tabs>
          <w:tab w:leader="none" w:pos="616" w:val="left"/>
        </w:tabs>
        <w:numPr>
          <w:ilvl w:val="0"/>
          <w:numId w:val="89"/>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Prohibition on Overlapping Plans, </w:t>
      </w:r>
      <w:r>
        <w:rPr>
          <w:rFonts w:ascii="Arial" w:cs="Arial" w:eastAsia="Arial" w:hAnsi="Arial"/>
          <w:sz w:val="17"/>
          <w:szCs w:val="17"/>
          <w:color w:val="auto"/>
        </w:rPr>
        <w:t>Subject to limited exceptions, a person other than the Company may not have overlapping Rule 10b5-1</w:t>
      </w:r>
      <w:r>
        <w:rPr>
          <w:rFonts w:ascii="Arial" w:cs="Arial" w:eastAsia="Arial" w:hAnsi="Arial"/>
          <w:sz w:val="17"/>
          <w:szCs w:val="17"/>
          <w:i w:val="1"/>
          <w:iCs w:val="1"/>
          <w:color w:val="auto"/>
        </w:rPr>
        <w:t xml:space="preserve"> </w:t>
      </w:r>
      <w:r>
        <w:rPr>
          <w:rFonts w:ascii="Arial" w:cs="Arial" w:eastAsia="Arial" w:hAnsi="Arial"/>
          <w:sz w:val="17"/>
          <w:szCs w:val="17"/>
          <w:color w:val="auto"/>
        </w:rPr>
        <w:t>Plans, i.e., entering into a Rule 10b-5 Plan while there is already a currently outstanding Rule 10b5-1 Plan.</w:t>
      </w:r>
    </w:p>
    <w:p>
      <w:pPr>
        <w:spacing w:after="0" w:line="45" w:lineRule="exact"/>
        <w:rPr>
          <w:rFonts w:ascii="Arial" w:cs="Arial" w:eastAsia="Arial" w:hAnsi="Arial"/>
          <w:sz w:val="17"/>
          <w:szCs w:val="17"/>
          <w:b w:val="1"/>
          <w:bCs w:val="1"/>
          <w:color w:val="auto"/>
        </w:rPr>
      </w:pPr>
    </w:p>
    <w:p>
      <w:pPr>
        <w:jc w:val="both"/>
        <w:ind w:left="620" w:right="20" w:hanging="311"/>
        <w:spacing w:after="0" w:line="268" w:lineRule="auto"/>
        <w:tabs>
          <w:tab w:leader="none" w:pos="616" w:val="left"/>
        </w:tabs>
        <w:numPr>
          <w:ilvl w:val="0"/>
          <w:numId w:val="89"/>
        </w:numPr>
        <w:rPr>
          <w:rFonts w:ascii="Arial" w:cs="Arial" w:eastAsia="Arial" w:hAnsi="Arial"/>
          <w:sz w:val="17"/>
          <w:szCs w:val="17"/>
          <w:b w:val="1"/>
          <w:bCs w:val="1"/>
          <w:color w:val="auto"/>
        </w:rPr>
      </w:pPr>
      <w:r>
        <w:rPr>
          <w:rFonts w:ascii="Arial" w:cs="Arial" w:eastAsia="Arial" w:hAnsi="Arial"/>
          <w:sz w:val="17"/>
          <w:szCs w:val="17"/>
          <w:color w:val="auto"/>
        </w:rPr>
        <w:t xml:space="preserve">Restrictions on Single-Trade Plans. </w:t>
      </w:r>
      <w:r>
        <w:rPr>
          <w:rFonts w:ascii="Arial" w:cs="Arial" w:eastAsia="Arial" w:hAnsi="Arial"/>
          <w:sz w:val="17"/>
          <w:szCs w:val="17"/>
          <w:color w:val="201D1E"/>
        </w:rPr>
        <w:t>Persons other than the Company may have the affirmative defense for only one single-trade plan during</w:t>
      </w:r>
      <w:r>
        <w:rPr>
          <w:rFonts w:ascii="Arial" w:cs="Arial" w:eastAsia="Arial" w:hAnsi="Arial"/>
          <w:sz w:val="17"/>
          <w:szCs w:val="17"/>
          <w:color w:val="auto"/>
        </w:rPr>
        <w:t xml:space="preserve"> </w:t>
      </w:r>
      <w:r>
        <w:rPr>
          <w:rFonts w:ascii="Arial" w:cs="Arial" w:eastAsia="Arial" w:hAnsi="Arial"/>
          <w:sz w:val="17"/>
          <w:szCs w:val="17"/>
          <w:color w:val="201D1E"/>
        </w:rPr>
        <w:t>any consecutive 12-month period. A single-trade plan is one that is “designed to effect” the open-market purchase or sale of the total amount of securities as a single transaction.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5 of 11</w:t>
      </w:r>
    </w:p>
    <w:p>
      <w:pPr>
        <w:sectPr>
          <w:pgSz w:w="11900" w:h="16838" w:orient="portrait"/>
          <w:cols w:equalWidth="0" w:num="1">
            <w:col w:w="11220"/>
          </w:cols>
          <w:pgMar w:left="320" w:top="1014" w:right="359" w:bottom="1440" w:gutter="0" w:footer="0" w:header="0"/>
        </w:sectPr>
      </w:pPr>
    </w:p>
    <w:bookmarkStart w:id="151" w:name="page152"/>
    <w:bookmarkEnd w:id="151"/>
    <w:p>
      <w:pPr>
        <w:ind w:left="620" w:right="180" w:hanging="311"/>
        <w:spacing w:after="0" w:line="263" w:lineRule="auto"/>
        <w:tabs>
          <w:tab w:leader="none" w:pos="616"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 xml:space="preserve">Disclosure of 10b5-1 plans. </w:t>
      </w:r>
      <w:r>
        <w:rPr>
          <w:rFonts w:ascii="Arial" w:cs="Arial" w:eastAsia="Arial" w:hAnsi="Arial"/>
          <w:sz w:val="17"/>
          <w:szCs w:val="17"/>
          <w:color w:val="201D1E"/>
        </w:rPr>
        <w:t>MVW is required to disclose quarterly in its Form 10-Q or Form 10-K whether, during the Company’s last fiscal</w:t>
      </w:r>
      <w:r>
        <w:rPr>
          <w:rFonts w:ascii="Arial" w:cs="Arial" w:eastAsia="Arial" w:hAnsi="Arial"/>
          <w:sz w:val="17"/>
          <w:szCs w:val="17"/>
          <w:color w:val="auto"/>
        </w:rPr>
        <w:t xml:space="preserve"> </w:t>
      </w:r>
      <w:r>
        <w:rPr>
          <w:rFonts w:ascii="Arial" w:cs="Arial" w:eastAsia="Arial" w:hAnsi="Arial"/>
          <w:sz w:val="17"/>
          <w:szCs w:val="17"/>
          <w:color w:val="201D1E"/>
        </w:rPr>
        <w:t>quarter, a director or officer adopted or terminated any purported Rule 10b5-1 Plans and/or “non-Rule 10b5-1 trading arrangements” (as defined in Item 408(c) of Regulation S-K). MVW must disclose whether the trading arrangement is intended to satisfy the Rule 10b5-1(c) affirmative defense and the material terms of the trading plans and arrangements, including:</w:t>
      </w:r>
    </w:p>
    <w:p>
      <w:pPr>
        <w:spacing w:after="0" w:line="64" w:lineRule="exact"/>
        <w:rPr>
          <w:rFonts w:ascii="Arial" w:cs="Arial" w:eastAsia="Arial" w:hAnsi="Arial"/>
          <w:sz w:val="17"/>
          <w:szCs w:val="17"/>
          <w:b w:val="1"/>
          <w:bCs w:val="1"/>
          <w:color w:val="auto"/>
        </w:rPr>
      </w:pPr>
    </w:p>
    <w:p>
      <w:pPr>
        <w:ind w:left="920" w:hanging="304"/>
        <w:spacing w:after="0"/>
        <w:tabs>
          <w:tab w:leader="none" w:pos="920" w:val="left"/>
        </w:tabs>
        <w:numPr>
          <w:ilvl w:val="1"/>
          <w:numId w:val="90"/>
        </w:numPr>
        <w:rPr>
          <w:rFonts w:ascii="Arial" w:cs="Arial" w:eastAsia="Arial" w:hAnsi="Arial"/>
          <w:sz w:val="17"/>
          <w:szCs w:val="17"/>
          <w:b w:val="1"/>
          <w:bCs w:val="1"/>
          <w:color w:val="201D1E"/>
        </w:rPr>
      </w:pPr>
      <w:r>
        <w:rPr>
          <w:rFonts w:ascii="Arial" w:cs="Arial" w:eastAsia="Arial" w:hAnsi="Arial"/>
          <w:sz w:val="17"/>
          <w:szCs w:val="17"/>
          <w:color w:val="201D1E"/>
        </w:rPr>
        <w:t>the name and title of the director or officer;</w:t>
      </w:r>
    </w:p>
    <w:p>
      <w:pPr>
        <w:spacing w:after="0" w:line="111" w:lineRule="exact"/>
        <w:rPr>
          <w:rFonts w:ascii="Arial" w:cs="Arial" w:eastAsia="Arial" w:hAnsi="Arial"/>
          <w:sz w:val="17"/>
          <w:szCs w:val="17"/>
          <w:b w:val="1"/>
          <w:bCs w:val="1"/>
          <w:color w:val="201D1E"/>
        </w:rPr>
      </w:pPr>
    </w:p>
    <w:p>
      <w:pPr>
        <w:ind w:left="920" w:hanging="304"/>
        <w:spacing w:after="0"/>
        <w:tabs>
          <w:tab w:leader="none" w:pos="920" w:val="left"/>
        </w:tabs>
        <w:numPr>
          <w:ilvl w:val="1"/>
          <w:numId w:val="90"/>
        </w:numPr>
        <w:rPr>
          <w:rFonts w:ascii="Arial" w:cs="Arial" w:eastAsia="Arial" w:hAnsi="Arial"/>
          <w:sz w:val="17"/>
          <w:szCs w:val="17"/>
          <w:b w:val="1"/>
          <w:bCs w:val="1"/>
          <w:color w:val="201D1E"/>
        </w:rPr>
      </w:pPr>
      <w:r>
        <w:rPr>
          <w:rFonts w:ascii="Arial" w:cs="Arial" w:eastAsia="Arial" w:hAnsi="Arial"/>
          <w:sz w:val="17"/>
          <w:szCs w:val="17"/>
          <w:color w:val="201D1E"/>
        </w:rPr>
        <w:t>the date of the adoption/termination of the trading arrangement;</w:t>
      </w:r>
    </w:p>
    <w:p>
      <w:pPr>
        <w:spacing w:after="0" w:line="111" w:lineRule="exact"/>
        <w:rPr>
          <w:rFonts w:ascii="Arial" w:cs="Arial" w:eastAsia="Arial" w:hAnsi="Arial"/>
          <w:sz w:val="17"/>
          <w:szCs w:val="17"/>
          <w:b w:val="1"/>
          <w:bCs w:val="1"/>
          <w:color w:val="201D1E"/>
        </w:rPr>
      </w:pPr>
    </w:p>
    <w:p>
      <w:pPr>
        <w:ind w:left="920" w:hanging="304"/>
        <w:spacing w:after="0"/>
        <w:tabs>
          <w:tab w:leader="none" w:pos="920" w:val="left"/>
        </w:tabs>
        <w:numPr>
          <w:ilvl w:val="1"/>
          <w:numId w:val="90"/>
        </w:numPr>
        <w:rPr>
          <w:rFonts w:ascii="Arial" w:cs="Arial" w:eastAsia="Arial" w:hAnsi="Arial"/>
          <w:sz w:val="17"/>
          <w:szCs w:val="17"/>
          <w:b w:val="1"/>
          <w:bCs w:val="1"/>
          <w:color w:val="201D1E"/>
        </w:rPr>
      </w:pPr>
      <w:r>
        <w:rPr>
          <w:rFonts w:ascii="Arial" w:cs="Arial" w:eastAsia="Arial" w:hAnsi="Arial"/>
          <w:sz w:val="17"/>
          <w:szCs w:val="17"/>
          <w:color w:val="201D1E"/>
        </w:rPr>
        <w:t>the duration of such arrangement; and</w:t>
      </w:r>
    </w:p>
    <w:p>
      <w:pPr>
        <w:spacing w:after="0" w:line="111" w:lineRule="exact"/>
        <w:rPr>
          <w:rFonts w:ascii="Arial" w:cs="Arial" w:eastAsia="Arial" w:hAnsi="Arial"/>
          <w:sz w:val="17"/>
          <w:szCs w:val="17"/>
          <w:b w:val="1"/>
          <w:bCs w:val="1"/>
          <w:color w:val="201D1E"/>
        </w:rPr>
      </w:pPr>
    </w:p>
    <w:p>
      <w:pPr>
        <w:ind w:left="920" w:hanging="304"/>
        <w:spacing w:after="0"/>
        <w:tabs>
          <w:tab w:leader="none" w:pos="920" w:val="left"/>
        </w:tabs>
        <w:numPr>
          <w:ilvl w:val="1"/>
          <w:numId w:val="90"/>
        </w:numPr>
        <w:rPr>
          <w:rFonts w:ascii="Arial" w:cs="Arial" w:eastAsia="Arial" w:hAnsi="Arial"/>
          <w:sz w:val="17"/>
          <w:szCs w:val="17"/>
          <w:b w:val="1"/>
          <w:bCs w:val="1"/>
          <w:color w:val="201D1E"/>
        </w:rPr>
      </w:pPr>
      <w:r>
        <w:rPr>
          <w:rFonts w:ascii="Arial" w:cs="Arial" w:eastAsia="Arial" w:hAnsi="Arial"/>
          <w:sz w:val="17"/>
          <w:szCs w:val="17"/>
          <w:color w:val="201D1E"/>
        </w:rPr>
        <w:t>the aggregate number of securities to be sold or purchased under such arrangement.</w:t>
      </w:r>
    </w:p>
    <w:p>
      <w:pPr>
        <w:spacing w:after="0" w:line="112" w:lineRule="exact"/>
        <w:rPr>
          <w:sz w:val="20"/>
          <w:szCs w:val="20"/>
          <w:color w:val="auto"/>
        </w:rPr>
      </w:pPr>
    </w:p>
    <w:p>
      <w:pPr>
        <w:ind w:left="620" w:right="60"/>
        <w:spacing w:after="0" w:line="286" w:lineRule="auto"/>
        <w:rPr>
          <w:sz w:val="20"/>
          <w:szCs w:val="20"/>
          <w:color w:val="auto"/>
        </w:rPr>
      </w:pPr>
      <w:r>
        <w:rPr>
          <w:rFonts w:ascii="Arial" w:cs="Arial" w:eastAsia="Arial" w:hAnsi="Arial"/>
          <w:sz w:val="17"/>
          <w:szCs w:val="17"/>
          <w:color w:val="201D1E"/>
        </w:rPr>
        <w:t>Please note that the SEC rules view most amendments and modifications to a trading plan as disclosable terminations. There is no required disclosure of prices.</w:t>
      </w:r>
    </w:p>
    <w:p>
      <w:pPr>
        <w:spacing w:after="0" w:line="4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Insiders may use the Fidelity-approved pre-arranged trading plan document for MVW securities held with Fidelity Brokerage Services, LLC, including securities acquired under the Stock Plan. Restricted Associates are encouraged to contact Fidelity Executive Services at 1-800-823-0217, team 111 for help completing the form. A pre-arranged trading plan with a broker other than Fidelity that a Restricted Associate proposes to use must be reviewed and approved by the Law Department in order to be effective under this policy. Insiders should request the broker’s form of pre-arranged trading plan sufficiently in advance of when the Restricted Associate wishes to enter into the plan to allow the Law Department ample time to review the plan.</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 xml:space="preserve">Amendments, Modifications and Terminations of Existing Pre-Arranged Trading Plan. All amendments, modifications and terminations of an existing pre-arranged trading plan must be reviewed and approved by the Law Department prior to effecting any such amendments, modifications or terminations. This requirement applies to both pre-arranged plans that are intended to comply with Rule 10b5-1 as described above, as well as other pre-planned trading contracts, instructions, or plans through which a director or officer seeks to transact in MVW securities. Modifications </w:t>
      </w:r>
      <w:r>
        <w:rPr>
          <w:rFonts w:ascii="Arial" w:cs="Arial" w:eastAsia="Arial" w:hAnsi="Arial"/>
          <w:sz w:val="17"/>
          <w:szCs w:val="17"/>
          <w:color w:val="201D1E"/>
        </w:rPr>
        <w:t>can only be</w:t>
      </w:r>
      <w:r>
        <w:rPr>
          <w:rFonts w:ascii="Arial" w:cs="Arial" w:eastAsia="Arial" w:hAnsi="Arial"/>
          <w:sz w:val="17"/>
          <w:szCs w:val="17"/>
          <w:color w:val="auto"/>
        </w:rPr>
        <w:t xml:space="preserve"> </w:t>
      </w:r>
      <w:r>
        <w:rPr>
          <w:rFonts w:ascii="Arial" w:cs="Arial" w:eastAsia="Arial" w:hAnsi="Arial"/>
          <w:sz w:val="17"/>
          <w:szCs w:val="17"/>
          <w:color w:val="201D1E"/>
        </w:rPr>
        <w:t>made when the person is not aware of MNPI and when the “trading window” is open. Any trades under a modified plan must satisfy the cooling off periods specified above.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about pre-arranged trading plans, please contact the Law Department.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Directors and Section 16 Officers: Pre-Clearance Policy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This section describes additional rules that apply only to directors and Section 16 officers (as described above).</w:t>
      </w:r>
    </w:p>
    <w:p>
      <w:pPr>
        <w:spacing w:after="0" w:line="11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Each director and Section 16 officer must, in addition to abiding by the general and Restricted Associate rules described above, contact the Law Department and pre-clear any transactions (including any purchase, sale, gift or donation) in MVW securities subject to the trading window. The pre-clearance rule also applies to trading by Family Members and Controlled Entities of directors and Section 16 officers. Pre-clearance is intended to:</w:t>
      </w:r>
    </w:p>
    <w:p>
      <w:pPr>
        <w:spacing w:after="0" w:line="61" w:lineRule="exact"/>
        <w:rPr>
          <w:sz w:val="20"/>
          <w:szCs w:val="20"/>
          <w:color w:val="auto"/>
        </w:rPr>
      </w:pPr>
    </w:p>
    <w:p>
      <w:pPr>
        <w:ind w:left="620" w:hanging="311"/>
        <w:spacing w:after="0"/>
        <w:tabs>
          <w:tab w:leader="none" w:pos="620"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facilitate the timely reporting of transactions under Section 16(a) of the Exchange Act;</w:t>
      </w:r>
    </w:p>
    <w:p>
      <w:pPr>
        <w:spacing w:after="0" w:line="25" w:lineRule="exact"/>
        <w:rPr>
          <w:rFonts w:ascii="Arial" w:cs="Arial" w:eastAsia="Arial" w:hAnsi="Arial"/>
          <w:sz w:val="17"/>
          <w:szCs w:val="17"/>
          <w:b w:val="1"/>
          <w:bCs w:val="1"/>
          <w:color w:val="auto"/>
        </w:rPr>
      </w:pPr>
    </w:p>
    <w:p>
      <w:pPr>
        <w:ind w:left="620" w:hanging="311"/>
        <w:spacing w:after="0"/>
        <w:tabs>
          <w:tab w:leader="none" w:pos="620"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protect against liability for short-swing profits;</w:t>
      </w:r>
    </w:p>
    <w:p>
      <w:pPr>
        <w:spacing w:after="0" w:line="9" w:lineRule="exact"/>
        <w:rPr>
          <w:rFonts w:ascii="Arial" w:cs="Arial" w:eastAsia="Arial" w:hAnsi="Arial"/>
          <w:sz w:val="17"/>
          <w:szCs w:val="17"/>
          <w:b w:val="1"/>
          <w:bCs w:val="1"/>
          <w:color w:val="auto"/>
        </w:rPr>
      </w:pPr>
    </w:p>
    <w:p>
      <w:pPr>
        <w:ind w:left="620" w:hanging="311"/>
        <w:spacing w:after="0"/>
        <w:tabs>
          <w:tab w:leader="none" w:pos="620"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protect against inadvertent violations of the insider trading laws; and</w:t>
      </w:r>
    </w:p>
    <w:p>
      <w:pPr>
        <w:spacing w:after="0" w:line="9" w:lineRule="exact"/>
        <w:rPr>
          <w:rFonts w:ascii="Arial" w:cs="Arial" w:eastAsia="Arial" w:hAnsi="Arial"/>
          <w:sz w:val="17"/>
          <w:szCs w:val="17"/>
          <w:b w:val="1"/>
          <w:bCs w:val="1"/>
          <w:color w:val="auto"/>
        </w:rPr>
      </w:pPr>
    </w:p>
    <w:p>
      <w:pPr>
        <w:ind w:left="620" w:hanging="311"/>
        <w:spacing w:after="0"/>
        <w:tabs>
          <w:tab w:leader="none" w:pos="620"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avoid the appearance of improper trading.</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Directors and Section 16 officers should be aware that the deadline for reporting transactions in MVW securities is short – transactions typically must be reported within two business days. In addition, </w:t>
      </w:r>
      <w:r>
        <w:rPr>
          <w:rFonts w:ascii="Arial" w:cs="Arial" w:eastAsia="Arial" w:hAnsi="Arial"/>
          <w:sz w:val="17"/>
          <w:szCs w:val="17"/>
          <w:color w:val="171717"/>
        </w:rPr>
        <w:t>Forms 4 and 5 require specific disclosure via a checkbox to indicate whether the reported</w:t>
      </w:r>
      <w:r>
        <w:rPr>
          <w:rFonts w:ascii="Arial" w:cs="Arial" w:eastAsia="Arial" w:hAnsi="Arial"/>
          <w:sz w:val="17"/>
          <w:szCs w:val="17"/>
          <w:color w:val="auto"/>
        </w:rPr>
        <w:t xml:space="preserve"> </w:t>
      </w:r>
      <w:r>
        <w:rPr>
          <w:rFonts w:ascii="Arial" w:cs="Arial" w:eastAsia="Arial" w:hAnsi="Arial"/>
          <w:sz w:val="17"/>
          <w:szCs w:val="17"/>
          <w:color w:val="171717"/>
        </w:rPr>
        <w:t>transactions were made pursuant to a Rule 10b5-1 plan and the disclosure of the date of adoption of the 10b5-1 plan.</w:t>
      </w:r>
    </w:p>
    <w:p>
      <w:pPr>
        <w:spacing w:after="0" w:line="6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notifies officers when they have been designated Section 16 officers and provides periodic training regarding the implications of and responsibilities associated with that status.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6 of 11</w:t>
      </w:r>
    </w:p>
    <w:p>
      <w:pPr>
        <w:sectPr>
          <w:pgSz w:w="11900" w:h="16838" w:orient="portrait"/>
          <w:cols w:equalWidth="0" w:num="1">
            <w:col w:w="11200"/>
          </w:cols>
          <w:pgMar w:left="320" w:top="915" w:right="379" w:bottom="1440" w:gutter="0" w:footer="0" w:header="0"/>
        </w:sectPr>
      </w:pPr>
    </w:p>
    <w:bookmarkStart w:id="152" w:name="page153"/>
    <w:bookmarkEnd w:id="152"/>
    <w:p>
      <w:pPr>
        <w:ind w:right="20"/>
        <w:spacing w:after="0" w:line="257" w:lineRule="auto"/>
        <w:rPr>
          <w:sz w:val="20"/>
          <w:szCs w:val="20"/>
          <w:color w:val="auto"/>
        </w:rPr>
      </w:pPr>
      <w:r>
        <w:rPr>
          <w:rFonts w:ascii="Arial" w:cs="Arial" w:eastAsia="Arial" w:hAnsi="Arial"/>
          <w:sz w:val="17"/>
          <w:szCs w:val="17"/>
          <w:color w:val="auto"/>
        </w:rPr>
        <w:t xml:space="preserve">“Control Persons,” including directors and Section 16 officers, are required to file a Form 144 in advance of the sale of MVW securities. This form is required to be filed electronically with the Securities and Exchange Commission. Generally, Fidelity or any other broker that assists a director or Section 16 officer with the sale of MVW securities should assist with the filing of the Form 144. To enable a broker to file the Form 144 on your behalf via EDGAR Next, they must be granted filing permission as a delegated entity. If your selected broker has not yet been designated, you must contact your EDGAR Next account administrator to authorize their access. Please allow additional time for this authorization process to avoid delays in the filing of your Form 144. A </w:t>
      </w:r>
      <w:r>
        <w:rPr>
          <w:rFonts w:ascii="Arial" w:cs="Arial" w:eastAsia="Arial" w:hAnsi="Arial"/>
          <w:sz w:val="17"/>
          <w:szCs w:val="17"/>
          <w:color w:val="211E1F"/>
        </w:rPr>
        <w:t>notice on Form 144 is effective for a maximum of three months. Therefore, sales over longer periods will require multiple</w:t>
      </w:r>
      <w:r>
        <w:rPr>
          <w:rFonts w:ascii="Arial" w:cs="Arial" w:eastAsia="Arial" w:hAnsi="Arial"/>
          <w:sz w:val="17"/>
          <w:szCs w:val="17"/>
          <w:color w:val="auto"/>
        </w:rPr>
        <w:t xml:space="preserve"> </w:t>
      </w:r>
      <w:r>
        <w:rPr>
          <w:rFonts w:ascii="Arial" w:cs="Arial" w:eastAsia="Arial" w:hAnsi="Arial"/>
          <w:sz w:val="17"/>
          <w:szCs w:val="17"/>
          <w:color w:val="211E1F"/>
        </w:rPr>
        <w:t>Form 144 filings.</w:t>
      </w:r>
    </w:p>
    <w:p>
      <w:pPr>
        <w:spacing w:after="0" w:line="7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 xml:space="preserve">In order to receive clearance for a transaction, a director or Section 16 officer is required to submit a Pre- Clearance Request Form (attached to this policy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at least two business days in advance, which will include information about the proposed transaction(s) as well as transactions for the prior 6 months and anticipated future transactions. The Law Department will review the request and verify the information regarding recent transactions against Company records. Unless the Law Department indicates otherwise, clearance of a proposed transaction is effective through the end of four full trading days from the time the Law Department grants the clearance. If the transaction order is not placed and executed within that time period, clearance must be requested again. In addition, if subsequent to obtaining clearance, the director or Section 16 officer becomes aware of MNPI, he or she must refrain from trading. A response from the Law Department that a trade may not occur should be kept confidential to avoid signaling to other associates that something nonpublic and material may be happening with respect to the Company.</w:t>
      </w:r>
    </w:p>
    <w:p>
      <w:pPr>
        <w:spacing w:after="0" w:line="7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This pre-clearance requirement does not apply to transactions effected in accordance with pre-arranged trading plans (discussed above). However, directors and Section 16 officers must still immediately notify the Senior Vice President and Associate General Counsel, Corporate Affairs and Finance after entering into any of the foregoing transactions in order to assure that they are reported on a timely basis.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Questions, Reporting, and Pre-Clearance</w:t>
      </w:r>
    </w:p>
    <w:p>
      <w:pPr>
        <w:spacing w:after="0" w:line="112"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Any questions regarding the specifics of this policy, reports of insider trading or any inadvertent release of MNPI, or requests for pre-clearance should be directed to the Senior Vice President and Associate General Counsel, Corporate Affairs and Finance, Marriott Vacations Worldwide Corporation, Law Department, 7812 Palm Parkway, Orlando FL 32836 (telephone 407-206-6009) (email MVWCorporateSecretary@mvwc.com).</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Post-Termination Transactions</w:t>
      </w:r>
    </w:p>
    <w:p>
      <w:pPr>
        <w:spacing w:after="0" w:line="11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This policy will continue to apply to transactions by a director, officer or associate of the Company in Company securities until the later of (i) the first day of the “window” period that begins six months after his or her employment or service with the Company has terminated or (ii) such time as he or she is no longer aware of MNPI or until that information has been publicly disclosed or is no longer material. During such period, former directors and Section 16 officers may continue to seek pre-clearance of transactions pursuant to the pre- clearance process described above if they are not aware of MNPI.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7 of 11</w:t>
      </w:r>
    </w:p>
    <w:p>
      <w:pPr>
        <w:sectPr>
          <w:pgSz w:w="11900" w:h="16838" w:orient="portrait"/>
          <w:cols w:equalWidth="0" w:num="1">
            <w:col w:w="11220"/>
          </w:cols>
          <w:pgMar w:left="320" w:top="916" w:right="35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b w:val="1"/>
          <w:bCs w:val="1"/>
          <w:color w:val="auto"/>
        </w:rPr>
        <w:t>EXHIBIT A</w:t>
      </w:r>
    </w:p>
    <w:p>
      <w:pPr>
        <w:spacing w:after="0" w:line="93"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EXAMPLES OF POTENTIAL MATERIAL NONPUBLIC INFORMATION (“MNPI”)</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Performance and Forecasts</w:t>
      </w:r>
    </w:p>
    <w:p>
      <w:pPr>
        <w:spacing w:after="0" w:line="99" w:lineRule="exact"/>
        <w:rPr>
          <w:sz w:val="20"/>
          <w:szCs w:val="20"/>
          <w:color w:val="auto"/>
        </w:rPr>
      </w:pPr>
    </w:p>
    <w:p>
      <w:pPr>
        <w:ind w:left="160" w:hanging="158"/>
        <w:spacing w:after="0"/>
        <w:tabs>
          <w:tab w:leader="none" w:pos="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Earnings or financial results in advance of public disclosure</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Projected sales or earnings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Unexpected financial results or liquidity issues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action or event which had or is likely to have a special or extraordinary charge against earnings or capital</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Significant changes in asset values or operating or financial circumstances (e.g. cash flow reductions, major write-offs)</w:t>
      </w:r>
    </w:p>
    <w:p>
      <w:pPr>
        <w:spacing w:after="0" w:line="9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color w:val="auto"/>
        </w:rPr>
        <w:t>Business Developments and Strategic Transactions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Major new products, services or innovations</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Significant changes in the Company’s lines of business, business strategy or strategic partnerships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non-routine action or event such as a significant proposed joint venture, merger, acquisition or disposition of stock or assets</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change in control or a significant change in management, directors, officers or other key personnel</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Markets Activity and Market-Sensitive Developments</w:t>
      </w:r>
    </w:p>
    <w:p>
      <w:pPr>
        <w:spacing w:after="0" w:line="99" w:lineRule="exact"/>
        <w:rPr>
          <w:sz w:val="20"/>
          <w:szCs w:val="20"/>
          <w:color w:val="auto"/>
        </w:rPr>
      </w:pPr>
    </w:p>
    <w:p>
      <w:pPr>
        <w:ind w:left="160" w:hanging="158"/>
        <w:spacing w:after="0"/>
        <w:tabs>
          <w:tab w:leader="none" w:pos="1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public or private sale by the Company of a significant amount of additional securities</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Significant corporate borrowings or other financings</w:t>
      </w:r>
    </w:p>
    <w:p>
      <w:pPr>
        <w:spacing w:after="0" w:line="98" w:lineRule="exact"/>
        <w:rPr>
          <w:rFonts w:ascii="Arial" w:cs="Arial" w:eastAsia="Arial" w:hAnsi="Arial"/>
          <w:sz w:val="17"/>
          <w:szCs w:val="17"/>
          <w:color w:val="auto"/>
        </w:rPr>
      </w:pPr>
    </w:p>
    <w:p>
      <w:pPr>
        <w:ind w:left="160" w:right="120" w:hanging="158"/>
        <w:spacing w:after="0" w:line="286" w:lineRule="auto"/>
        <w:tabs>
          <w:tab w:leader="none" w:pos="168" w:val="left"/>
        </w:tabs>
        <w:numPr>
          <w:ilvl w:val="0"/>
          <w:numId w:val="93"/>
        </w:numPr>
        <w:rPr>
          <w:rFonts w:ascii="Arial" w:cs="Arial" w:eastAsia="Arial" w:hAnsi="Arial"/>
          <w:sz w:val="17"/>
          <w:szCs w:val="17"/>
          <w:color w:val="auto"/>
        </w:rPr>
      </w:pPr>
      <w:r>
        <w:rPr>
          <w:rFonts w:ascii="Arial" w:cs="Arial" w:eastAsia="Arial" w:hAnsi="Arial"/>
          <w:sz w:val="17"/>
          <w:szCs w:val="17"/>
          <w:color w:val="auto"/>
        </w:rPr>
        <w:t>Establishment of or any changes to, or an announcement regarding the Company’s capital allocation strategy, including debt repayment, dividend policy or share repurchase programs</w:t>
      </w:r>
    </w:p>
    <w:p>
      <w:pPr>
        <w:spacing w:after="0" w:line="32" w:lineRule="exact"/>
        <w:rPr>
          <w:rFonts w:ascii="Arial" w:cs="Arial" w:eastAsia="Arial" w:hAnsi="Arial"/>
          <w:sz w:val="17"/>
          <w:szCs w:val="17"/>
          <w:color w:val="auto"/>
        </w:rPr>
      </w:pPr>
    </w:p>
    <w:p>
      <w:pPr>
        <w:ind w:left="160" w:hanging="158"/>
        <w:spacing w:after="0"/>
        <w:tabs>
          <w:tab w:leader="none" w:pos="1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call of securities for redemption</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Actions relating to the Company’s credit ratings</w:t>
      </w:r>
    </w:p>
    <w:p>
      <w:pPr>
        <w:spacing w:after="0" w:line="98" w:lineRule="exact"/>
        <w:rPr>
          <w:rFonts w:ascii="Arial" w:cs="Arial" w:eastAsia="Arial" w:hAnsi="Arial"/>
          <w:sz w:val="17"/>
          <w:szCs w:val="17"/>
          <w:color w:val="auto"/>
        </w:rPr>
      </w:pPr>
    </w:p>
    <w:p>
      <w:pPr>
        <w:jc w:val="both"/>
        <w:ind w:left="160" w:hanging="158"/>
        <w:spacing w:after="0" w:line="268" w:lineRule="auto"/>
        <w:tabs>
          <w:tab w:leader="none" w:pos="168" w:val="left"/>
        </w:tabs>
        <w:numPr>
          <w:ilvl w:val="0"/>
          <w:numId w:val="93"/>
        </w:numPr>
        <w:rPr>
          <w:rFonts w:ascii="Arial" w:cs="Arial" w:eastAsia="Arial" w:hAnsi="Arial"/>
          <w:sz w:val="17"/>
          <w:szCs w:val="17"/>
          <w:color w:val="auto"/>
        </w:rPr>
      </w:pPr>
      <w:r>
        <w:rPr>
          <w:rFonts w:ascii="Arial" w:cs="Arial" w:eastAsia="Arial" w:hAnsi="Arial"/>
          <w:sz w:val="17"/>
          <w:szCs w:val="17"/>
          <w:color w:val="auto"/>
        </w:rPr>
        <w:t>Significant non-business matters which could affect the market for the Company’s securities, such as a forthcoming research recommendation by a major brokerage firm, listing or delisting of any of the Company’s securities, or the intention by any party to buy or sell an unusually large amount of the Company’s securities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Regulatory, Compliance and Financial Reporting Matters</w:t>
      </w:r>
    </w:p>
    <w:p>
      <w:pPr>
        <w:spacing w:after="0" w:line="86" w:lineRule="exact"/>
        <w:rPr>
          <w:sz w:val="20"/>
          <w:szCs w:val="20"/>
          <w:color w:val="auto"/>
        </w:rPr>
      </w:pPr>
    </w:p>
    <w:p>
      <w:pPr>
        <w:ind w:left="160" w:right="700" w:hanging="158"/>
        <w:spacing w:after="0" w:line="286" w:lineRule="auto"/>
        <w:tabs>
          <w:tab w:leader="none" w:pos="168"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threat of new significant litigation, investigations or regulatory actions or proceedings or important developments in existing significant litigation, investigations or regulatory actions or proceedings</w:t>
      </w:r>
    </w:p>
    <w:p>
      <w:pPr>
        <w:spacing w:after="0" w:line="32" w:lineRule="exact"/>
        <w:rPr>
          <w:rFonts w:ascii="Arial" w:cs="Arial" w:eastAsia="Arial" w:hAnsi="Arial"/>
          <w:sz w:val="17"/>
          <w:szCs w:val="17"/>
          <w:color w:val="auto"/>
        </w:rPr>
      </w:pPr>
    </w:p>
    <w:p>
      <w:pPr>
        <w:ind w:left="160" w:hanging="158"/>
        <w:spacing w:after="0"/>
        <w:tabs>
          <w:tab w:leader="none" w:pos="1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Changes in the Company’s auditors or a notification from its auditors that the Company may no longer rely on the auditors’ audit report</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restatement of the Company’s previously issued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Disruptions and Risk Events</w:t>
      </w:r>
    </w:p>
    <w:p>
      <w:pPr>
        <w:spacing w:after="0" w:line="99" w:lineRule="exact"/>
        <w:rPr>
          <w:sz w:val="20"/>
          <w:szCs w:val="20"/>
          <w:color w:val="auto"/>
        </w:rPr>
      </w:pPr>
    </w:p>
    <w:p>
      <w:pPr>
        <w:ind w:left="160" w:hanging="158"/>
        <w:spacing w:after="0"/>
        <w:tabs>
          <w:tab w:leader="none" w:pos="1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interruption of business as a result of an accident, fire, natural disaster, or breakdown of labor negotiations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Assessments of a potentially significant data loss, cybersecurity incident or other security breach</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Major environmental incidents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Significant labor disputes or significant hiring freezes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Relationships &amp; Contracts</w:t>
      </w:r>
    </w:p>
    <w:p>
      <w:pPr>
        <w:spacing w:after="0" w:line="86" w:lineRule="exact"/>
        <w:rPr>
          <w:sz w:val="20"/>
          <w:szCs w:val="20"/>
          <w:color w:val="auto"/>
        </w:rPr>
      </w:pPr>
    </w:p>
    <w:p>
      <w:pPr>
        <w:ind w:left="160" w:hanging="158"/>
        <w:spacing w:after="0"/>
        <w:tabs>
          <w:tab w:leader="none" w:pos="1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Information about major contracts or material contractual defaults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Material changes in the Company’s arrangements or relationship with Marriott International,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8 of 11</w:t>
      </w:r>
    </w:p>
    <w:p>
      <w:pPr>
        <w:sectPr>
          <w:pgSz w:w="11900" w:h="16838" w:orient="portrait"/>
          <w:cols w:equalWidth="0" w:num="1">
            <w:col w:w="11240"/>
          </w:cols>
          <w:pgMar w:left="320" w:top="809" w:right="339" w:bottom="1440" w:gutter="0" w:footer="0" w:header="0"/>
        </w:sectPr>
      </w:pPr>
    </w:p>
    <w:bookmarkStart w:id="154" w:name="page155"/>
    <w:bookmarkEnd w:id="154"/>
    <w:p>
      <w:pPr>
        <w:spacing w:after="0"/>
        <w:rPr>
          <w:sz w:val="20"/>
          <w:szCs w:val="20"/>
          <w:color w:val="auto"/>
        </w:rPr>
      </w:pPr>
      <w:r>
        <w:rPr>
          <w:rFonts w:ascii="Arial" w:cs="Arial" w:eastAsia="Arial" w:hAnsi="Arial"/>
          <w:sz w:val="19"/>
          <w:szCs w:val="19"/>
          <w:b w:val="1"/>
          <w:bCs w:val="1"/>
          <w:color w:val="auto"/>
        </w:rPr>
        <w:t>EXHIBIT B</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MARRIOTT VACATIONS WORLDWIDE CORPORATION</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Pre-Clearance Request Form</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Members of the Board of Directors and other Section 16 officers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Marriott Vacations Worldwide Corporation (the “Company” or “MVW”) must submit this Pre-Clearance Request Form (the “Pre-Clearance Request”) prior to engaging in any transaction in securities of the Company. Please complete and submit the Pre-Clearance Request via email to MVWCorporateSecretary@mvwc.com at least two business days in advance of the time that you are seeking to engage in the proposed transaction(s) and all Insiders must submit this form three business days in advance of the time that you seek to adopt, amend, modify, or terminate a Rule 10b5-1 Plan. A response to the Pre-Clearance Request, or any requests for additional information needed to determine the response, will be provided by return email. </w:t>
      </w:r>
      <w:r>
        <w:rPr>
          <w:rFonts w:ascii="Arial" w:cs="Arial" w:eastAsia="Arial" w:hAnsi="Arial"/>
          <w:sz w:val="18"/>
          <w:szCs w:val="18"/>
          <w:b w:val="1"/>
          <w:bCs w:val="1"/>
          <w:color w:val="auto"/>
        </w:rPr>
        <w:t>You may not engage in the proposed transaction(s) unless and until you receive approval from the Law</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Department.</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used in this form without definition have the meaning set forth in the MVW Securities Trading Policy.</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about the Proposed Transaction</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auto"/>
        </w:rPr>
        <w:t>Type of transaction(s):</w:t>
      </w:r>
    </w:p>
    <w:p>
      <w:pPr>
        <w:spacing w:after="0" w:line="101" w:lineRule="exact"/>
        <w:rPr>
          <w:sz w:val="20"/>
          <w:szCs w:val="20"/>
          <w:color w:val="auto"/>
        </w:rPr>
      </w:pPr>
    </w:p>
    <w:p>
      <w:pPr>
        <w:ind w:left="640" w:hanging="158"/>
        <w:spacing w:after="0"/>
        <w:tabs>
          <w:tab w:leader="none" w:pos="6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Open market sale □ Exercise of stock appreciation rights</w:t>
      </w:r>
    </w:p>
    <w:p>
      <w:pPr>
        <w:spacing w:after="0" w:line="114" w:lineRule="exact"/>
        <w:rPr>
          <w:rFonts w:ascii="Arial" w:cs="Arial" w:eastAsia="Arial" w:hAnsi="Arial"/>
          <w:sz w:val="19"/>
          <w:szCs w:val="19"/>
          <w:color w:val="auto"/>
        </w:rPr>
      </w:pPr>
    </w:p>
    <w:p>
      <w:pPr>
        <w:ind w:left="640" w:hanging="158"/>
        <w:spacing w:after="0"/>
        <w:tabs>
          <w:tab w:leader="none" w:pos="6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Open market purchase □ Exercise of options</w:t>
      </w:r>
    </w:p>
    <w:p>
      <w:pPr>
        <w:spacing w:after="0" w:line="114" w:lineRule="exact"/>
        <w:rPr>
          <w:rFonts w:ascii="Arial" w:cs="Arial" w:eastAsia="Arial" w:hAnsi="Arial"/>
          <w:sz w:val="19"/>
          <w:szCs w:val="19"/>
          <w:color w:val="auto"/>
        </w:rPr>
      </w:pPr>
    </w:p>
    <w:p>
      <w:pPr>
        <w:ind w:left="640" w:hanging="158"/>
        <w:spacing w:after="0"/>
        <w:tabs>
          <w:tab w:leader="none" w:pos="6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Gift or Donation □ Other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646430</wp:posOffset>
            </wp:positionV>
            <wp:extent cx="64731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6">
                      <a:extLst>
                        <a:ext uri="{28A0092B-C50C-407E-A947-70E740481C1C}"/>
                      </a:extLst>
                    </a:blip>
                    <a:srcRect/>
                    <a:stretch>
                      <a:fillRect/>
                    </a:stretch>
                  </pic:blipFill>
                  <pic:spPr bwMode="auto">
                    <a:xfrm>
                      <a:off x="0" y="0"/>
                      <a:ext cx="6473190" cy="8255"/>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451485</wp:posOffset>
            </wp:positionV>
            <wp:extent cx="64731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7">
                      <a:extLst>
                        <a:ext uri="{28A0092B-C50C-407E-A947-70E740481C1C}"/>
                      </a:extLst>
                    </a:blip>
                    <a:srcRect/>
                    <a:stretch>
                      <a:fillRect/>
                    </a:stretch>
                  </pic:blipFill>
                  <pic:spPr bwMode="auto">
                    <a:xfrm>
                      <a:off x="0" y="0"/>
                      <a:ext cx="6473190" cy="8255"/>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256540</wp:posOffset>
            </wp:positionV>
            <wp:extent cx="64731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8">
                      <a:extLst>
                        <a:ext uri="{28A0092B-C50C-407E-A947-70E740481C1C}"/>
                      </a:extLst>
                    </a:blip>
                    <a:srcRect/>
                    <a:stretch>
                      <a:fillRect/>
                    </a:stretch>
                  </pic:blipFill>
                  <pic:spPr bwMode="auto">
                    <a:xfrm>
                      <a:off x="0" y="0"/>
                      <a:ext cx="6473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1414780</wp:posOffset>
            </wp:positionH>
            <wp:positionV relativeFrom="paragraph">
              <wp:posOffset>16510</wp:posOffset>
            </wp:positionV>
            <wp:extent cx="57264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9">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Expected timing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16510</wp:posOffset>
            </wp:positionV>
            <wp:extent cx="43370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0">
                      <a:extLst>
                        <a:ext uri="{28A0092B-C50C-407E-A947-70E740481C1C}"/>
                      </a:extLst>
                    </a:blip>
                    <a:srcRect/>
                    <a:stretch>
                      <a:fillRect/>
                    </a:stretch>
                  </pic:blipFill>
                  <pic:spPr bwMode="auto">
                    <a:xfrm>
                      <a:off x="0" y="0"/>
                      <a:ext cx="4337050" cy="8255"/>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Account on whose behalf transaction(s) will be effected (e.g., my own, my spouse, my family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211455</wp:posOffset>
            </wp:positionV>
            <wp:extent cx="71393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about the Rule 10b5-1 Plan (only required if entering into, amending or terminating a 10b5-1 plan)</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auto"/>
        </w:rPr>
        <w:t>I am requesting approval for:</w:t>
      </w:r>
    </w:p>
    <w:p>
      <w:pPr>
        <w:spacing w:after="0" w:line="114" w:lineRule="exact"/>
        <w:rPr>
          <w:sz w:val="20"/>
          <w:szCs w:val="20"/>
          <w:color w:val="auto"/>
        </w:rPr>
      </w:pPr>
    </w:p>
    <w:p>
      <w:pPr>
        <w:ind w:left="620" w:hanging="157"/>
        <w:spacing w:after="0"/>
        <w:tabs>
          <w:tab w:leader="none" w:pos="6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Adopting a new plan</w:t>
      </w:r>
    </w:p>
    <w:p>
      <w:pPr>
        <w:spacing w:after="0" w:line="101" w:lineRule="exact"/>
        <w:rPr>
          <w:rFonts w:ascii="Arial" w:cs="Arial" w:eastAsia="Arial" w:hAnsi="Arial"/>
          <w:sz w:val="19"/>
          <w:szCs w:val="19"/>
          <w:color w:val="auto"/>
        </w:rPr>
      </w:pPr>
    </w:p>
    <w:p>
      <w:pPr>
        <w:ind w:left="620" w:hanging="157"/>
        <w:spacing w:after="0"/>
        <w:tabs>
          <w:tab w:leader="none" w:pos="6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Amending or modifying an existing plan</w:t>
      </w:r>
    </w:p>
    <w:p>
      <w:pPr>
        <w:spacing w:after="0" w:line="114" w:lineRule="exact"/>
        <w:rPr>
          <w:rFonts w:ascii="Arial" w:cs="Arial" w:eastAsia="Arial" w:hAnsi="Arial"/>
          <w:sz w:val="19"/>
          <w:szCs w:val="19"/>
          <w:color w:val="auto"/>
        </w:rPr>
      </w:pPr>
    </w:p>
    <w:p>
      <w:pPr>
        <w:ind w:left="620" w:hanging="157"/>
        <w:spacing w:after="0"/>
        <w:tabs>
          <w:tab w:leader="none" w:pos="6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Terminating an existing plan</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9"/>
          <w:szCs w:val="19"/>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402590</wp:posOffset>
            </wp:positionV>
            <wp:extent cx="67494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2">
                      <a:extLst>
                        <a:ext uri="{28A0092B-C50C-407E-A947-70E740481C1C}"/>
                      </a:extLst>
                    </a:blip>
                    <a:srcRect/>
                    <a:stretch>
                      <a:fillRect/>
                    </a:stretch>
                  </pic:blipFill>
                  <pic:spPr bwMode="auto">
                    <a:xfrm>
                      <a:off x="0" y="0"/>
                      <a:ext cx="6749415" cy="8255"/>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215900</wp:posOffset>
            </wp:positionV>
            <wp:extent cx="67494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3">
                      <a:extLst>
                        <a:ext uri="{28A0092B-C50C-407E-A947-70E740481C1C}"/>
                      </a:extLst>
                    </a:blip>
                    <a:srcRect/>
                    <a:stretch>
                      <a:fillRect/>
                    </a:stretch>
                  </pic:blipFill>
                  <pic:spPr bwMode="auto">
                    <a:xfrm>
                      <a:off x="0" y="0"/>
                      <a:ext cx="6749415"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20955</wp:posOffset>
            </wp:positionV>
            <wp:extent cx="60839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4">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Page 9 of 11</w:t>
      </w:r>
    </w:p>
    <w:p>
      <w:pPr>
        <w:sectPr>
          <w:pgSz w:w="11900" w:h="16838" w:orient="portrait"/>
          <w:cols w:equalWidth="0" w:num="1">
            <w:col w:w="11160"/>
          </w:cols>
          <w:pgMar w:left="320" w:top="1039" w:right="419" w:bottom="1440" w:gutter="0" w:footer="0" w:header="0"/>
        </w:sectPr>
      </w:pPr>
    </w:p>
    <w:bookmarkStart w:id="155" w:name="page156"/>
    <w:bookmarkEnd w:id="155"/>
    <w:p>
      <w:pPr>
        <w:ind w:left="20"/>
        <w:spacing w:after="0"/>
        <w:rPr>
          <w:sz w:val="20"/>
          <w:szCs w:val="20"/>
          <w:color w:val="auto"/>
        </w:rPr>
      </w:pPr>
      <w:r>
        <w:rPr>
          <w:rFonts w:ascii="Arial" w:cs="Arial" w:eastAsia="Arial" w:hAnsi="Arial"/>
          <w:sz w:val="19"/>
          <w:szCs w:val="19"/>
          <w:color w:val="auto"/>
        </w:rPr>
        <w:t>Account on whose behalf plan will be effected (e.g., my own, my spouse, my family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248285</wp:posOffset>
            </wp:positionV>
            <wp:extent cx="71393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Please include a copy of the relevant Rule 10b5-1 Plan in your email. Information about Recent Transactions (Directors and Section 16 officers only)</w:t>
      </w:r>
    </w:p>
    <w:p>
      <w:pPr>
        <w:jc w:val="both"/>
        <w:ind w:left="300" w:right="240" w:hanging="298"/>
        <w:spacing w:after="0" w:line="258" w:lineRule="auto"/>
        <w:tabs>
          <w:tab w:leader="none" w:pos="341" w:val="left"/>
        </w:tabs>
        <w:numPr>
          <w:ilvl w:val="0"/>
          <w:numId w:val="99"/>
        </w:numPr>
        <w:rPr>
          <w:rFonts w:ascii="Arial" w:cs="Arial" w:eastAsia="Arial" w:hAnsi="Arial"/>
          <w:sz w:val="19"/>
          <w:szCs w:val="19"/>
          <w:color w:val="auto"/>
        </w:rPr>
      </w:pPr>
      <w:r>
        <w:rPr>
          <w:rFonts w:ascii="Arial" w:cs="Arial" w:eastAsia="Arial" w:hAnsi="Arial"/>
          <w:sz w:val="19"/>
          <w:szCs w:val="19"/>
          <w:color w:val="auto"/>
        </w:rPr>
        <w:t>Describe all transactions (including any gifts or charitable donations that you have made) involving MVW securities in which you had a pecuniary interest in the six months prior to the date of this Pre-Clearance Request (if none, please indicate). Please note that additional Form 4 reporting may be required if a transaction has not previously been reported, and it may not be possible for such additional reporting to be made on a timely basis.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300" w:hanging="298"/>
        <w:spacing w:after="0" w:line="270" w:lineRule="auto"/>
        <w:tabs>
          <w:tab w:leader="none" w:pos="303" w:val="left"/>
        </w:tabs>
        <w:numPr>
          <w:ilvl w:val="0"/>
          <w:numId w:val="99"/>
        </w:numPr>
        <w:rPr>
          <w:rFonts w:ascii="Arial" w:cs="Arial" w:eastAsia="Arial" w:hAnsi="Arial"/>
          <w:sz w:val="19"/>
          <w:szCs w:val="19"/>
          <w:color w:val="auto"/>
        </w:rPr>
      </w:pPr>
      <w:r>
        <w:rPr>
          <w:rFonts w:ascii="Arial" w:cs="Arial" w:eastAsia="Arial" w:hAnsi="Arial"/>
          <w:sz w:val="19"/>
          <w:szCs w:val="19"/>
          <w:color w:val="auto"/>
        </w:rPr>
        <w:t>Do you anticipate any other transactions (including the making of any gifts or charitable donations) in MVW securities for which you have a pecuniary interest in the next six months? If yes,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-557530</wp:posOffset>
            </wp:positionV>
            <wp:extent cx="71393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6">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-777240</wp:posOffset>
            </wp:positionV>
            <wp:extent cx="71393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7">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-996315</wp:posOffset>
            </wp:positionV>
            <wp:extent cx="71393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8">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659765</wp:posOffset>
            </wp:positionV>
            <wp:extent cx="71393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9">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440690</wp:posOffset>
            </wp:positionV>
            <wp:extent cx="71393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0">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220980</wp:posOffset>
            </wp:positionV>
            <wp:extent cx="71393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40"/>
        <w:spacing w:after="0" w:line="281" w:lineRule="auto"/>
        <w:rPr>
          <w:sz w:val="20"/>
          <w:szCs w:val="20"/>
          <w:color w:val="auto"/>
        </w:rPr>
      </w:pPr>
      <w:r>
        <w:rPr>
          <w:rFonts w:ascii="Arial" w:cs="Arial" w:eastAsia="Arial" w:hAnsi="Arial"/>
          <w:sz w:val="19"/>
          <w:szCs w:val="19"/>
          <w:b w:val="1"/>
          <w:bCs w:val="1"/>
          <w:color w:val="auto"/>
        </w:rPr>
        <w:t>Acknowledgments Relating to Proposed Transaction(s) or Rule 10b5-1 Plan (Please check yes or no in response to each question below)</w:t>
      </w:r>
    </w:p>
    <w:p>
      <w:pPr>
        <w:spacing w:after="0" w:line="141" w:lineRule="exact"/>
        <w:rPr>
          <w:sz w:val="20"/>
          <w:szCs w:val="20"/>
          <w:color w:val="auto"/>
        </w:rPr>
      </w:pPr>
    </w:p>
    <w:p>
      <w:pPr>
        <w:ind w:left="360" w:hanging="358"/>
        <w:spacing w:after="0"/>
        <w:tabs>
          <w:tab w:leader="none" w:pos="3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Have you reviewed the MVW Securities Trading Policy, as amended to date? □ Yes □ No</w:t>
      </w:r>
    </w:p>
    <w:p>
      <w:pPr>
        <w:spacing w:after="0" w:line="216" w:lineRule="exact"/>
        <w:rPr>
          <w:rFonts w:ascii="Arial" w:cs="Arial" w:eastAsia="Arial" w:hAnsi="Arial"/>
          <w:sz w:val="19"/>
          <w:szCs w:val="19"/>
          <w:color w:val="auto"/>
        </w:rPr>
      </w:pPr>
    </w:p>
    <w:p>
      <w:pPr>
        <w:ind w:left="300" w:right="20" w:hanging="298"/>
        <w:spacing w:after="0" w:line="270" w:lineRule="auto"/>
        <w:tabs>
          <w:tab w:leader="none" w:pos="30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Are you (or your Family Member or Controlled Entity) aware of any material nonpublic information regarding MVW or its securities? □ Yes □ No</w:t>
      </w:r>
    </w:p>
    <w:p>
      <w:pPr>
        <w:spacing w:after="0" w:line="160" w:lineRule="exact"/>
        <w:rPr>
          <w:rFonts w:ascii="Arial" w:cs="Arial" w:eastAsia="Arial" w:hAnsi="Arial"/>
          <w:sz w:val="19"/>
          <w:szCs w:val="19"/>
          <w:color w:val="auto"/>
        </w:rPr>
      </w:pPr>
    </w:p>
    <w:p>
      <w:pPr>
        <w:ind w:left="300" w:right="200" w:hanging="298"/>
        <w:spacing w:after="0" w:line="270" w:lineRule="auto"/>
        <w:tabs>
          <w:tab w:leader="none" w:pos="30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Do you understand the importance of not trading in MVW securities or entering into a Rule 10b5-1 Plan covering MVW securities while aware of material nonpublic information? □ Yes □ No</w:t>
      </w:r>
    </w:p>
    <w:p>
      <w:pPr>
        <w:spacing w:after="0" w:line="160" w:lineRule="exact"/>
        <w:rPr>
          <w:rFonts w:ascii="Arial" w:cs="Arial" w:eastAsia="Arial" w:hAnsi="Arial"/>
          <w:sz w:val="19"/>
          <w:szCs w:val="19"/>
          <w:color w:val="auto"/>
        </w:rPr>
      </w:pPr>
    </w:p>
    <w:p>
      <w:pPr>
        <w:ind w:left="300" w:hanging="298"/>
        <w:spacing w:after="0" w:line="270" w:lineRule="auto"/>
        <w:tabs>
          <w:tab w:leader="none" w:pos="29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Do you understand that the transaction(s) or Rule 10b5-1 Plan must be executed within four trading days of approval, and if it is not executed in that time period, you must submit another request for approval? □ Yes □ No</w:t>
      </w:r>
    </w:p>
    <w:p>
      <w:pPr>
        <w:spacing w:after="0" w:line="160" w:lineRule="exact"/>
        <w:rPr>
          <w:rFonts w:ascii="Arial" w:cs="Arial" w:eastAsia="Arial" w:hAnsi="Arial"/>
          <w:sz w:val="19"/>
          <w:szCs w:val="19"/>
          <w:color w:val="auto"/>
        </w:rPr>
      </w:pPr>
    </w:p>
    <w:p>
      <w:pPr>
        <w:ind w:left="300" w:right="540" w:hanging="298"/>
        <w:spacing w:after="0" w:line="285" w:lineRule="auto"/>
        <w:tabs>
          <w:tab w:leader="none" w:pos="30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If applicable, does the Rule 10b5-1 Plan described above comply with the MVW Securities Trading Policy? □ Yes □ No □ Not applicable</w:t>
      </w:r>
    </w:p>
    <w:p>
      <w:pPr>
        <w:spacing w:after="0" w:line="133" w:lineRule="exact"/>
        <w:rPr>
          <w:rFonts w:ascii="Arial" w:cs="Arial" w:eastAsia="Arial" w:hAnsi="Arial"/>
          <w:sz w:val="19"/>
          <w:szCs w:val="19"/>
          <w:color w:val="auto"/>
        </w:rPr>
      </w:pPr>
    </w:p>
    <w:p>
      <w:pPr>
        <w:ind w:left="300" w:right="100" w:hanging="298"/>
        <w:spacing w:after="0" w:line="261" w:lineRule="auto"/>
        <w:tabs>
          <w:tab w:leader="none" w:pos="29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Do you hereby agree to refrain from engaging in the transaction(s) or adopting the Rule 10b5-1 Plan, if approved, if subsequent to approval but prior to execution of the transaction(s) you (or your Family Member or Controlled Entity) become aware of material nonpublic information regarding MVW or its securities? □ Yes □ No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Page 10 of 11</w:t>
      </w:r>
    </w:p>
    <w:p>
      <w:pPr>
        <w:sectPr>
          <w:pgSz w:w="11900" w:h="16838" w:orient="portrait"/>
          <w:cols w:equalWidth="0" w:num="1">
            <w:col w:w="11160"/>
          </w:cols>
          <w:pgMar w:left="320" w:top="1282" w:right="419" w:bottom="1440" w:gutter="0" w:footer="0" w:header="0"/>
        </w:sectPr>
      </w:pPr>
    </w:p>
    <w:bookmarkStart w:id="156" w:name="page157"/>
    <w:bookmarkEnd w:id="156"/>
    <w:p>
      <w:pPr>
        <w:spacing w:after="0" w:line="137" w:lineRule="exact"/>
        <w:rPr>
          <w:sz w:val="20"/>
          <w:szCs w:val="20"/>
          <w:color w:val="auto"/>
        </w:rPr>
      </w:pPr>
    </w:p>
    <w:p>
      <w:pPr>
        <w:ind w:left="318" w:hanging="318"/>
        <w:spacing w:after="0"/>
        <w:tabs>
          <w:tab w:leader="none" w:pos="31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Should this approval request be denied, do you hereby agree to not disclose that fact to anyone else? □ Yes □ No</w:t>
      </w:r>
    </w:p>
    <w:p>
      <w:pPr>
        <w:spacing w:after="0" w:line="216" w:lineRule="exact"/>
        <w:rPr>
          <w:rFonts w:ascii="Arial" w:cs="Arial" w:eastAsia="Arial" w:hAnsi="Arial"/>
          <w:sz w:val="19"/>
          <w:szCs w:val="19"/>
          <w:color w:val="auto"/>
        </w:rPr>
      </w:pPr>
    </w:p>
    <w:p>
      <w:pPr>
        <w:ind w:left="298" w:right="200" w:hanging="298"/>
        <w:spacing w:after="0" w:line="270" w:lineRule="auto"/>
        <w:tabs>
          <w:tab w:leader="none" w:pos="28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Do you hereby agree to, or cause your broker to, promptly inform the Law Department of the terms of any transaction(s) effected pursuant to this Pre-Clearance Request Form? □ Yes □ No</w:t>
      </w:r>
    </w:p>
    <w:p>
      <w:pPr>
        <w:spacing w:after="0" w:line="160" w:lineRule="exact"/>
        <w:rPr>
          <w:rFonts w:ascii="Arial" w:cs="Arial" w:eastAsia="Arial" w:hAnsi="Arial"/>
          <w:sz w:val="19"/>
          <w:szCs w:val="19"/>
          <w:color w:val="auto"/>
        </w:rPr>
      </w:pPr>
    </w:p>
    <w:p>
      <w:pPr>
        <w:ind w:left="298" w:hanging="298"/>
        <w:spacing w:after="0" w:line="261" w:lineRule="auto"/>
        <w:tabs>
          <w:tab w:leader="none" w:pos="28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 am aware of the stock ownership guidelines that apply to my current position with the Company and after this transaction or these transactions, I will be (i) in compliance with my stock ownership guidelines or (ii) on track to be in compliance with my stock ownership guidelines by my compliance date? □ Yes □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356870</wp:posOffset>
            </wp:positionV>
            <wp:extent cx="24688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698"/>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459740</wp:posOffset>
            </wp:positionV>
            <wp:extent cx="24688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98"/>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459740</wp:posOffset>
            </wp:positionV>
            <wp:extent cx="24688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98"/>
        <w:spacing w:after="0"/>
        <w:rPr>
          <w:sz w:val="20"/>
          <w:szCs w:val="20"/>
          <w:color w:val="auto"/>
        </w:rPr>
      </w:pPr>
      <w:r>
        <w:rPr>
          <w:rFonts w:ascii="Arial" w:cs="Arial" w:eastAsia="Arial" w:hAnsi="Arial"/>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 w:right="80" w:firstLine="2"/>
        <w:spacing w:after="0" w:line="247" w:lineRule="auto"/>
        <w:tabs>
          <w:tab w:leader="none" w:pos="99" w:val="left"/>
        </w:tabs>
        <w:numPr>
          <w:ilvl w:val="0"/>
          <w:numId w:val="102"/>
        </w:numPr>
        <w:rPr>
          <w:rFonts w:ascii="Arial" w:cs="Arial" w:eastAsia="Arial" w:hAnsi="Arial"/>
          <w:sz w:val="23"/>
          <w:szCs w:val="23"/>
          <w:color w:val="auto"/>
          <w:vertAlign w:val="superscript"/>
        </w:rPr>
      </w:pPr>
      <w:r>
        <w:rPr>
          <w:rFonts w:ascii="Arial" w:cs="Arial" w:eastAsia="Arial" w:hAnsi="Arial"/>
          <w:sz w:val="18"/>
          <w:szCs w:val="18"/>
          <w:color w:val="auto"/>
        </w:rPr>
        <w:t>Each officer (as that term is defined in Rule 16a-1(f) under the Exchange Act) of the Company that falls within the filing requirements of Section 16(a) of the Exchange Act by virtue of his or her office or policy-making authority is considered a “Section 16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7"/>
        <w:spacing w:after="0"/>
        <w:rPr>
          <w:sz w:val="20"/>
          <w:szCs w:val="20"/>
          <w:color w:val="auto"/>
        </w:rPr>
      </w:pPr>
      <w:r>
        <w:rPr>
          <w:rFonts w:ascii="Arial" w:cs="Arial" w:eastAsia="Arial" w:hAnsi="Arial"/>
          <w:sz w:val="17"/>
          <w:szCs w:val="17"/>
          <w:color w:val="auto"/>
        </w:rPr>
        <w:t>Page 11 of 11</w:t>
      </w:r>
    </w:p>
    <w:p>
      <w:pPr>
        <w:sectPr>
          <w:pgSz w:w="11900" w:h="16838" w:orient="portrait"/>
          <w:cols w:equalWidth="0" w:num="1">
            <w:col w:w="11138"/>
          </w:cols>
          <w:pgMar w:left="322" w:top="1440" w:right="4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3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SUBSIDIARIES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 of December 31, 2025)</w:t>
      </w:r>
    </w:p>
    <w:p>
      <w:pPr>
        <w:spacing w:after="0" w:line="235"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0" w:type="dxa"/>
            <w:vAlign w:val="bottom"/>
          </w:tcPr>
          <w:p>
            <w:pPr>
              <w:spacing w:after="0"/>
              <w:rPr>
                <w:sz w:val="1"/>
                <w:szCs w:val="1"/>
                <w:color w:val="auto"/>
              </w:rPr>
            </w:pPr>
          </w:p>
        </w:tc>
      </w:tr>
      <w:tr>
        <w:trPr>
          <w:trHeight w:val="230"/>
        </w:trPr>
        <w:tc>
          <w:tcPr>
            <w:tcW w:w="6180" w:type="dxa"/>
            <w:vAlign w:val="bottom"/>
            <w:gridSpan w:val="2"/>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15"/>
        </w:trPr>
        <w:tc>
          <w:tcPr>
            <w:tcW w:w="6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Apollo Marketing, Inc.</w:t>
            </w:r>
          </w:p>
        </w:tc>
        <w:tc>
          <w:tcPr>
            <w:tcW w:w="120" w:type="dxa"/>
            <w:vAlign w:val="bottom"/>
          </w:tcPr>
          <w:p>
            <w:pPr>
              <w:spacing w:after="0"/>
              <w:rPr>
                <w:sz w:val="18"/>
                <w:szCs w:val="18"/>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Hospitality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Hotels &amp; Resorts,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Hotels and Resorts Operator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Hotels and Resorts,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Luana Operator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Aqua-Aston Holdings,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Aqua-Aston Hospitality,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Entity also does business under the names:</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Aqua Aloha Surf Hotel</w:t>
      </w:r>
      <w:r>
        <w:rPr>
          <w:sz w:val="20"/>
          <w:szCs w:val="20"/>
          <w:color w:val="auto"/>
        </w:rPr>
        <w:tab/>
      </w:r>
      <w:r>
        <w:rPr>
          <w:rFonts w:ascii="Times New Roman" w:cs="Times New Roman" w:eastAsia="Times New Roman" w:hAnsi="Times New Roman"/>
          <w:sz w:val="16"/>
          <w:szCs w:val="16"/>
          <w:color w:val="auto"/>
        </w:rPr>
        <w:t>Aston Kaanapali Shores</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Aqua Aloha Surf Waikiki</w:t>
      </w:r>
      <w:r>
        <w:rPr>
          <w:sz w:val="20"/>
          <w:szCs w:val="20"/>
          <w:color w:val="auto"/>
        </w:rPr>
        <w:tab/>
      </w:r>
      <w:r>
        <w:rPr>
          <w:rFonts w:ascii="Times New Roman" w:cs="Times New Roman" w:eastAsia="Times New Roman" w:hAnsi="Times New Roman"/>
          <w:sz w:val="17"/>
          <w:szCs w:val="17"/>
          <w:color w:val="auto"/>
        </w:rPr>
        <w:t>Aston Kona By The Sea</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Aqua Palms Waikiki</w:t>
      </w:r>
      <w:r>
        <w:rPr>
          <w:sz w:val="20"/>
          <w:szCs w:val="20"/>
          <w:color w:val="auto"/>
        </w:rPr>
        <w:tab/>
      </w:r>
      <w:r>
        <w:rPr>
          <w:rFonts w:ascii="Times New Roman" w:cs="Times New Roman" w:eastAsia="Times New Roman" w:hAnsi="Times New Roman"/>
          <w:sz w:val="16"/>
          <w:szCs w:val="16"/>
          <w:color w:val="auto"/>
        </w:rPr>
        <w:t>Aston Mahana At Kaanapali</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Aqua-Aston Advantage</w:t>
      </w:r>
      <w:r>
        <w:rPr>
          <w:sz w:val="20"/>
          <w:szCs w:val="20"/>
          <w:color w:val="auto"/>
        </w:rPr>
        <w:tab/>
      </w:r>
      <w:r>
        <w:rPr>
          <w:rFonts w:ascii="Times New Roman" w:cs="Times New Roman" w:eastAsia="Times New Roman" w:hAnsi="Times New Roman"/>
          <w:sz w:val="17"/>
          <w:szCs w:val="17"/>
          <w:color w:val="auto"/>
        </w:rPr>
        <w:t>Aston Maui Hill</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Aqua-Aston Property Management</w:t>
      </w:r>
      <w:r>
        <w:rPr>
          <w:sz w:val="20"/>
          <w:szCs w:val="20"/>
          <w:color w:val="auto"/>
        </w:rPr>
        <w:tab/>
      </w:r>
      <w:r>
        <w:rPr>
          <w:rFonts w:ascii="Times New Roman" w:cs="Times New Roman" w:eastAsia="Times New Roman" w:hAnsi="Times New Roman"/>
          <w:sz w:val="16"/>
          <w:szCs w:val="16"/>
          <w:color w:val="auto"/>
        </w:rPr>
        <w:t>Aston Maui Kaanapali Villas</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Aston</w:t>
      </w:r>
      <w:r>
        <w:rPr>
          <w:sz w:val="20"/>
          <w:szCs w:val="20"/>
          <w:color w:val="auto"/>
        </w:rPr>
        <w:tab/>
      </w:r>
      <w:r>
        <w:rPr>
          <w:rFonts w:ascii="Times New Roman" w:cs="Times New Roman" w:eastAsia="Times New Roman" w:hAnsi="Times New Roman"/>
          <w:sz w:val="17"/>
          <w:szCs w:val="17"/>
          <w:color w:val="auto"/>
        </w:rPr>
        <w:t>Aston Vacations</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Aston At Papakea Resort</w:t>
      </w:r>
      <w:r>
        <w:rPr>
          <w:sz w:val="20"/>
          <w:szCs w:val="20"/>
          <w:color w:val="auto"/>
        </w:rPr>
        <w:tab/>
      </w:r>
      <w:r>
        <w:rPr>
          <w:rFonts w:ascii="Times New Roman" w:cs="Times New Roman" w:eastAsia="Times New Roman" w:hAnsi="Times New Roman"/>
          <w:sz w:val="16"/>
          <w:szCs w:val="16"/>
          <w:color w:val="auto"/>
        </w:rPr>
        <w:t>Aston Waikiki Beach Tower</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Aston at Poipu Kai</w:t>
      </w:r>
      <w:r>
        <w:rPr>
          <w:sz w:val="20"/>
          <w:szCs w:val="20"/>
          <w:color w:val="auto"/>
        </w:rPr>
        <w:tab/>
      </w:r>
      <w:r>
        <w:rPr>
          <w:rFonts w:ascii="Times New Roman" w:cs="Times New Roman" w:eastAsia="Times New Roman" w:hAnsi="Times New Roman"/>
          <w:sz w:val="16"/>
          <w:szCs w:val="16"/>
          <w:color w:val="auto"/>
        </w:rPr>
        <w:t>Aston Waikiki Circle Hotel</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Aston At The Executive Centre Hotel</w:t>
      </w:r>
      <w:r>
        <w:rPr>
          <w:sz w:val="20"/>
          <w:szCs w:val="20"/>
          <w:color w:val="auto"/>
        </w:rPr>
        <w:tab/>
      </w:r>
      <w:r>
        <w:rPr>
          <w:rFonts w:ascii="Times New Roman" w:cs="Times New Roman" w:eastAsia="Times New Roman" w:hAnsi="Times New Roman"/>
          <w:sz w:val="16"/>
          <w:szCs w:val="16"/>
          <w:color w:val="auto"/>
        </w:rPr>
        <w:t>Aston Waikiki Sunset</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Aston At the Maui Banyan</w:t>
      </w:r>
      <w:r>
        <w:rPr>
          <w:sz w:val="20"/>
          <w:szCs w:val="20"/>
          <w:color w:val="auto"/>
        </w:rPr>
        <w:tab/>
      </w:r>
      <w:r>
        <w:rPr>
          <w:rFonts w:ascii="Times New Roman" w:cs="Times New Roman" w:eastAsia="Times New Roman" w:hAnsi="Times New Roman"/>
          <w:sz w:val="17"/>
          <w:szCs w:val="17"/>
          <w:color w:val="auto"/>
        </w:rPr>
        <w:t>Enjoy an Endless Summer</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Aston At The Waikiki Banyan</w:t>
      </w:r>
      <w:r>
        <w:rPr>
          <w:sz w:val="20"/>
          <w:szCs w:val="20"/>
          <w:color w:val="auto"/>
        </w:rPr>
        <w:tab/>
      </w:r>
      <w:r>
        <w:rPr>
          <w:rFonts w:ascii="Times New Roman" w:cs="Times New Roman" w:eastAsia="Times New Roman" w:hAnsi="Times New Roman"/>
          <w:sz w:val="17"/>
          <w:szCs w:val="17"/>
          <w:color w:val="auto"/>
        </w:rPr>
        <w:t>Kaanapali Shores</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Aston at The Whaler on Kaanapali Beach</w:t>
      </w:r>
      <w:r>
        <w:rPr>
          <w:sz w:val="20"/>
          <w:szCs w:val="20"/>
          <w:color w:val="auto"/>
        </w:rPr>
        <w:tab/>
      </w:r>
      <w:r>
        <w:rPr>
          <w:rFonts w:ascii="Times New Roman" w:cs="Times New Roman" w:eastAsia="Times New Roman" w:hAnsi="Times New Roman"/>
          <w:sz w:val="16"/>
          <w:szCs w:val="16"/>
          <w:color w:val="auto"/>
        </w:rPr>
        <w:t>Kope Cabana</w:t>
      </w:r>
    </w:p>
    <w:p>
      <w:pPr>
        <w:spacing w:after="0" w:line="48" w:lineRule="exact"/>
        <w:rPr>
          <w:sz w:val="20"/>
          <w:szCs w:val="20"/>
          <w:color w:val="auto"/>
        </w:rPr>
      </w:pPr>
    </w:p>
    <w:p>
      <w:pPr>
        <w:ind w:left="900"/>
        <w:spacing w:after="0"/>
        <w:tabs>
          <w:tab w:leader="none" w:pos="4740" w:val="left"/>
        </w:tabs>
        <w:rPr>
          <w:sz w:val="20"/>
          <w:szCs w:val="20"/>
          <w:color w:val="auto"/>
        </w:rPr>
      </w:pPr>
      <w:r>
        <w:rPr>
          <w:rFonts w:ascii="Times New Roman" w:cs="Times New Roman" w:eastAsia="Times New Roman" w:hAnsi="Times New Roman"/>
          <w:sz w:val="17"/>
          <w:szCs w:val="17"/>
          <w:color w:val="auto"/>
        </w:rPr>
        <w:t>Aston Hotels &amp; Resorts</w:t>
      </w:r>
      <w:r>
        <w:rPr>
          <w:sz w:val="20"/>
          <w:szCs w:val="20"/>
          <w:color w:val="auto"/>
        </w:rPr>
        <w:tab/>
      </w:r>
      <w:r>
        <w:rPr>
          <w:rFonts w:ascii="Times New Roman" w:cs="Times New Roman" w:eastAsia="Times New Roman" w:hAnsi="Times New Roman"/>
          <w:sz w:val="16"/>
          <w:szCs w:val="16"/>
          <w:color w:val="auto"/>
        </w:rPr>
        <w:t>Waikiki Beach Hotel</w:t>
      </w:r>
    </w:p>
    <w:p>
      <w:pPr>
        <w:spacing w:after="0" w:line="48"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4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Aston Islander On The Beach</w:t>
            </w:r>
          </w:p>
        </w:tc>
        <w:tc>
          <w:tcPr>
            <w:tcW w:w="2600" w:type="dxa"/>
            <w:vAlign w:val="bottom"/>
          </w:tcPr>
          <w:p>
            <w:pPr>
              <w:spacing w:after="0"/>
              <w:rPr>
                <w:sz w:val="19"/>
                <w:szCs w:val="19"/>
                <w:color w:val="auto"/>
              </w:rPr>
            </w:pP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Aqua-Aston Management Holdings, LLC</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Delaware</w:t>
            </w: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Aston Hospitality, LLC</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Hawaii</w:t>
            </w: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Aston Hotels &amp; Resorts Florida, LLC</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Florida</w:t>
            </w:r>
          </w:p>
        </w:tc>
      </w:tr>
      <w:tr>
        <w:trPr>
          <w:trHeight w:val="243"/>
        </w:trPr>
        <w:tc>
          <w:tcPr>
            <w:tcW w:w="4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600" w:type="dxa"/>
            <w:vAlign w:val="bottom"/>
          </w:tcPr>
          <w:p>
            <w:pPr>
              <w:spacing w:after="0"/>
              <w:rPr>
                <w:sz w:val="21"/>
                <w:szCs w:val="21"/>
                <w:color w:val="auto"/>
              </w:rPr>
            </w:pPr>
          </w:p>
        </w:tc>
      </w:tr>
      <w:tr>
        <w:trPr>
          <w:trHeight w:val="243"/>
        </w:trPr>
        <w:tc>
          <w:tcPr>
            <w:tcW w:w="4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Aston Orlando Resort</w:t>
            </w:r>
          </w:p>
        </w:tc>
        <w:tc>
          <w:tcPr>
            <w:tcW w:w="2600" w:type="dxa"/>
            <w:vAlign w:val="bottom"/>
          </w:tcPr>
          <w:p>
            <w:pPr>
              <w:spacing w:after="0"/>
              <w:rPr>
                <w:sz w:val="21"/>
                <w:szCs w:val="21"/>
                <w:color w:val="auto"/>
              </w:rPr>
            </w:pP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Beach House Development Partnership</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Florida</w:t>
            </w: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CDP GP, LLC</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Delaware</w:t>
            </w: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CDP Investors, L.P.</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Delaware</w:t>
            </w: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Cerromar Development Partners GP, LLC</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Delaware</w:t>
            </w: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Cerromar Development Partners, L.P., S.E.</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Delaware</w:t>
            </w: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Champagne Resorts Inc.</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Delaware</w:t>
            </w: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Coconut Plantation Partner, LLC</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Florida</w:t>
            </w: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Data Marketing Associates East, Inc.</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Florida</w:t>
            </w: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Diamond Head Management LLC</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7"/>
                <w:szCs w:val="17"/>
                <w:color w:val="auto"/>
              </w:rPr>
              <w:t>Hawaii</w:t>
            </w:r>
          </w:p>
        </w:tc>
      </w:tr>
    </w:tbl>
    <w:p>
      <w:pPr>
        <w:spacing w:after="0" w:line="200" w:lineRule="exact"/>
        <w:rPr>
          <w:sz w:val="20"/>
          <w:szCs w:val="20"/>
          <w:color w:val="auto"/>
        </w:rPr>
      </w:pPr>
    </w:p>
    <w:p>
      <w:pPr>
        <w:sectPr>
          <w:pgSz w:w="11900" w:h="16838" w:orient="portrait"/>
          <w:cols w:equalWidth="0" w:num="1">
            <w:col w:w="10120"/>
          </w:cols>
          <w:pgMar w:left="1440" w:top="11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120"/>
          </w:cols>
          <w:pgMar w:left="1440" w:top="1193" w:right="339" w:bottom="1440" w:gutter="0" w:footer="0" w:header="0"/>
          <w:type w:val="continuous"/>
        </w:sectPr>
      </w:pPr>
    </w:p>
    <w:bookmarkStart w:id="158" w:name="page159"/>
    <w:bookmarkEnd w:id="158"/>
    <w:tbl>
      <w:tblPr>
        <w:tblLayout w:type="fixed"/>
        <w:tblInd w:w="360" w:type="dxa"/>
        <w:tblCellMar>
          <w:top w:w="0" w:type="dxa"/>
          <w:left w:w="0" w:type="dxa"/>
          <w:bottom w:w="0" w:type="dxa"/>
          <w:right w:w="0" w:type="dxa"/>
        </w:tblCellMar>
      </w:tblPr>
      <w:tr>
        <w:trPr>
          <w:trHeight w:val="19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6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Eagle Tree Construction, LLC</w:t>
            </w:r>
          </w:p>
        </w:tc>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and Fifty-Fifth Holdings,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New York</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Flex Collection,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FOH Holdings,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FOH Hospitality,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Kai Ala Market</w:t>
            </w:r>
          </w:p>
        </w:tc>
        <w:tc>
          <w:tcPr>
            <w:tcW w:w="448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Princeville Ocean Resort Villas</w:t>
            </w:r>
          </w:p>
        </w:tc>
        <w:tc>
          <w:tcPr>
            <w:tcW w:w="0" w:type="dxa"/>
            <w:vAlign w:val="bottom"/>
          </w:tcPr>
          <w:p>
            <w:pPr>
              <w:spacing w:after="0"/>
              <w:rPr>
                <w:sz w:val="1"/>
                <w:szCs w:val="1"/>
                <w:color w:val="auto"/>
              </w:rPr>
            </w:pPr>
          </w:p>
        </w:tc>
      </w:tr>
      <w:tr>
        <w:trPr>
          <w:trHeight w:val="243"/>
        </w:trPr>
        <w:tc>
          <w:tcPr>
            <w:tcW w:w="3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Kauhale Market</w:t>
            </w:r>
          </w:p>
        </w:tc>
        <w:tc>
          <w:tcPr>
            <w:tcW w:w="448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Spa Helani</w:t>
            </w:r>
          </w:p>
        </w:tc>
        <w:tc>
          <w:tcPr>
            <w:tcW w:w="0" w:type="dxa"/>
            <w:vAlign w:val="bottom"/>
          </w:tcPr>
          <w:p>
            <w:pPr>
              <w:spacing w:after="0"/>
              <w:rPr>
                <w:sz w:val="1"/>
                <w:szCs w:val="1"/>
                <w:color w:val="auto"/>
              </w:rPr>
            </w:pPr>
          </w:p>
        </w:tc>
      </w:tr>
      <w:tr>
        <w:trPr>
          <w:trHeight w:val="243"/>
        </w:trPr>
        <w:tc>
          <w:tcPr>
            <w:tcW w:w="3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Princeville Market</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Aspen Holdings,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Aspen Lodging,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Hard Carbon,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Hawaii Vacation Title Services,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Heavenly Resort Properties,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Highlands Inn Investors II, L.P.*</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Hospitality Team Members,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 Management Services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Ilikai Hotel &amp; Luxury Suites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HPC Developer,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HT-Highlands,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HTS-BC,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HTS-Beach House Partner,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HTS-Beach House,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HTS-CHC (Sedona),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HTS-Coconut Point,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HTS-Ground Lake Tahoe,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HTS-Key West,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HTS-KW,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HTS-Lake Tahoe,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HTS-Loan Servicing,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HTS-Main Street Station,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HTS-Maui,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HTS-San Antonio,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HTS-San Antonio,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HTS-San Antonio, L.P.</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HTS-Hyatt San Antonio, L.P.</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210" w:right="1440" w:bottom="1440" w:gutter="0" w:footer="0" w:header="0"/>
          <w:type w:val="continuous"/>
        </w:sectPr>
      </w:pPr>
    </w:p>
    <w:bookmarkStart w:id="159" w:name="page160"/>
    <w:bookmarkEnd w:id="159"/>
    <w:tbl>
      <w:tblPr>
        <w:tblLayout w:type="fixed"/>
        <w:tblInd w:w="360" w:type="dxa"/>
        <w:tblCellMar>
          <w:top w:w="0" w:type="dxa"/>
          <w:left w:w="0" w:type="dxa"/>
          <w:bottom w:w="0" w:type="dxa"/>
          <w:right w:w="0" w:type="dxa"/>
        </w:tblCellMar>
      </w:tblPr>
      <w:tr>
        <w:trPr>
          <w:trHeight w:val="19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HTS-Sedona, Inc.</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1"/>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HTS-Sunset Harbor Partner,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HTS-Wild Oak Ranch Beverage,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Texas</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HTS-Windward Pointe Partner,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 Global Group,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 Global Management Corporation</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 Global Marketing Corporation</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HVC-Highlands,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HVO Holdings,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IIC Holdings, Incorporated</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ILG International Holdings,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ILG Management,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ILG Shared Ownership,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ILG,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Holdings,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International Holdings,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International Overseas Holdings,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International,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Interval Purchasing Services</w:t>
            </w:r>
          </w:p>
        </w:tc>
        <w:tc>
          <w:tcPr>
            <w:tcW w:w="448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Shared Ownership Investment Conference</w:t>
            </w:r>
          </w:p>
        </w:tc>
        <w:tc>
          <w:tcPr>
            <w:tcW w:w="0" w:type="dxa"/>
            <w:vAlign w:val="bottom"/>
          </w:tcPr>
          <w:p>
            <w:pPr>
              <w:spacing w:after="0"/>
              <w:rPr>
                <w:sz w:val="1"/>
                <w:szCs w:val="1"/>
                <w:color w:val="auto"/>
              </w:rPr>
            </w:pPr>
          </w:p>
        </w:tc>
      </w:tr>
      <w:tr>
        <w:trPr>
          <w:trHeight w:val="243"/>
        </w:trPr>
        <w:tc>
          <w:tcPr>
            <w:tcW w:w="3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Preferred Residences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Resort &amp; Financial Services,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Software Services,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Vacation Exchange,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 D Kapule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Kai Management Services,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Kauai Blue, Inc.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Sheraton Kauai</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Kauai Lagoons Holdings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Kauai Lagoons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Kauai Lagoons Vessels LLC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9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Key Wester Limited</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1211" w:right="1440" w:bottom="1440" w:gutter="0" w:footer="0" w:header="0"/>
          <w:type w:val="continuous"/>
        </w:sectPr>
      </w:pPr>
    </w:p>
    <w:bookmarkStart w:id="160" w:name="page161"/>
    <w:bookmarkEnd w:id="160"/>
    <w:tbl>
      <w:tblPr>
        <w:tblLayout w:type="fixed"/>
        <w:tblInd w:w="360" w:type="dxa"/>
        <w:tblCellMar>
          <w:top w:w="0" w:type="dxa"/>
          <w:left w:w="0" w:type="dxa"/>
          <w:bottom w:w="0" w:type="dxa"/>
          <w:right w:w="0" w:type="dxa"/>
        </w:tblCellMar>
      </w:tblPr>
      <w:tr>
        <w:trPr>
          <w:trHeight w:val="195"/>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auto"/>
            </w:tcBorders>
            <w:vMerge w:val="continue"/>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15"/>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Lagunamar Cancun Mexico, Inc.</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1"/>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 Cabos Villas, LLC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MAIC Travel LLC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MAIC Travel, Inc.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Acquisition Holdings, LLC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Kauai Ownership Resorts, Inc.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Overseas Owners Services Corporation</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Ownership Resorts Procurement, LLC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Ownership Resorts, Inc.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Grand Residence by Marriott</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Marriott Vacation Club International Corp.</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Grand Residences by Marriott</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Marriott’s Mountainside Resort</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Golf Academy</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Marriott’s Summit Watch</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Marriott’s Waiohai Beach Resort</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The Marketplace</w:t>
            </w: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Resorts Hospitality Corporation</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South Carolina</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Marriott’s Vacation Club, South Beach</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 International Corp.</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Marriott’s Villas at Doral</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 Pulse San Diego</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Marriott’s Willow Ridge Lodge</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 Pulse, New York City</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Reflections</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 New York City</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Strand Bistro</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 South Beach</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The Market Place</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Marriott’s Custom House</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Tidewater’s Sweets and Sundries</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Marriott’s Legends Edge at Bay Point</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Top Of The Strand</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Marriott’s Oceana Palms</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Twisted Knot Cafe &amp; Lounge</w:t>
            </w: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Marriott’s Summit Watch Resort</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Resorts Sales Company, Inc.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Resorts Realty, Inc.</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Marriott Vacation Club International Ltd.</w:t>
            </w: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Resorts Title Company, Inc.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Resorts Title, Inc.</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Resorts, Travel Company, Inc.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MVC Exchange Company</w:t>
            </w: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Vacation Properties of Florida, Inc.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Vacations Worldwide Corporation</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MVW</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211" w:right="1440" w:bottom="1440" w:gutter="0" w:footer="0" w:header="0"/>
          <w:type w:val="continuous"/>
        </w:sectPr>
      </w:pPr>
    </w:p>
    <w:bookmarkStart w:id="161" w:name="page162"/>
    <w:bookmarkEnd w:id="161"/>
    <w:tbl>
      <w:tblPr>
        <w:tblLayout w:type="fixed"/>
        <w:tblInd w:w="360" w:type="dxa"/>
        <w:tblCellMar>
          <w:top w:w="0" w:type="dxa"/>
          <w:left w:w="0" w:type="dxa"/>
          <w:bottom w:w="0" w:type="dxa"/>
          <w:right w:w="0" w:type="dxa"/>
        </w:tblCellMar>
      </w:tblPr>
      <w:tr>
        <w:trPr>
          <w:trHeight w:val="195"/>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vMerge w:val="continue"/>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Marriott's Desert Springs Development Corporation</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1"/>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Maui Condo and Home,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Hawaii Condo and Home</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Member Development, Inc.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MH Kapalua Venture,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Golf (Kauai),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Member (Kauai),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Residences, Inc.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SPC Series Corp.</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Waikoloa Holding Company,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MTSC, INC.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MVCO Series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2019-1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2019-2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2020-1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2021-1W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2021-2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2022-1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2022-2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2023-1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2023-2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2024-1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2024-2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2025-1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2025-2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International Finance Company,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of Hawaii, Inc.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Marketplace Express</w:t>
            </w:r>
          </w:p>
        </w:tc>
        <w:tc>
          <w:tcPr>
            <w:tcW w:w="430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Marriott's Waiohai Beach Club</w:t>
            </w:r>
          </w:p>
        </w:tc>
        <w:tc>
          <w:tcPr>
            <w:tcW w:w="0" w:type="dxa"/>
            <w:vAlign w:val="bottom"/>
          </w:tcPr>
          <w:p>
            <w:pPr>
              <w:spacing w:after="0"/>
              <w:rPr>
                <w:sz w:val="1"/>
                <w:szCs w:val="1"/>
                <w:color w:val="auto"/>
              </w:rPr>
            </w:pPr>
          </w:p>
        </w:tc>
      </w:tr>
      <w:tr>
        <w:trPr>
          <w:trHeight w:val="243"/>
        </w:trPr>
        <w:tc>
          <w:tcPr>
            <w:tcW w:w="3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 Waikiki</w:t>
            </w:r>
          </w:p>
        </w:tc>
        <w:tc>
          <w:tcPr>
            <w:tcW w:w="430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The Marketplace at Ko Olina</w:t>
            </w:r>
          </w:p>
        </w:tc>
        <w:tc>
          <w:tcPr>
            <w:tcW w:w="0" w:type="dxa"/>
            <w:vAlign w:val="bottom"/>
          </w:tcPr>
          <w:p>
            <w:pPr>
              <w:spacing w:after="0"/>
              <w:rPr>
                <w:sz w:val="1"/>
                <w:szCs w:val="1"/>
                <w:color w:val="auto"/>
              </w:rPr>
            </w:pPr>
          </w:p>
        </w:tc>
      </w:tr>
      <w:tr>
        <w:trPr>
          <w:trHeight w:val="243"/>
        </w:trPr>
        <w:tc>
          <w:tcPr>
            <w:tcW w:w="3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Marriott's Ko Olina Beach Club</w:t>
            </w:r>
          </w:p>
        </w:tc>
        <w:tc>
          <w:tcPr>
            <w:tcW w:w="430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Waikiki Marketplace</w:t>
            </w:r>
          </w:p>
        </w:tc>
        <w:tc>
          <w:tcPr>
            <w:tcW w:w="0" w:type="dxa"/>
            <w:vAlign w:val="bottom"/>
          </w:tcPr>
          <w:p>
            <w:pPr>
              <w:spacing w:after="0"/>
              <w:rPr>
                <w:sz w:val="1"/>
                <w:szCs w:val="1"/>
                <w:color w:val="auto"/>
              </w:rPr>
            </w:pPr>
          </w:p>
        </w:tc>
      </w:tr>
      <w:tr>
        <w:trPr>
          <w:trHeight w:val="243"/>
        </w:trPr>
        <w:tc>
          <w:tcPr>
            <w:tcW w:w="3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Marriott's Maui Ocean Club</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of Nevada, Inc.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Marriott's Grand Chateau</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Services Corporation</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SSC, Inc.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US Holdings LLC</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1210" w:right="1440" w:bottom="1440" w:gutter="0" w:footer="0" w:header="0"/>
          <w:type w:val="continuous"/>
        </w:sectPr>
      </w:pPr>
    </w:p>
    <w:bookmarkStart w:id="162" w:name="page163"/>
    <w:bookmarkEnd w:id="162"/>
    <w:tbl>
      <w:tblPr>
        <w:tblLayout w:type="fixed"/>
        <w:tblInd w:w="360" w:type="dxa"/>
        <w:tblCellMar>
          <w:top w:w="0" w:type="dxa"/>
          <w:left w:w="0" w:type="dxa"/>
          <w:bottom w:w="0" w:type="dxa"/>
          <w:right w:w="0" w:type="dxa"/>
        </w:tblCellMar>
      </w:tblPr>
      <w:tr>
        <w:trPr>
          <w:trHeight w:val="195"/>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120" w:type="dxa"/>
            <w:vAlign w:val="bottom"/>
            <w:vMerge w:val="restart"/>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62"/>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US Services,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Vacations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Warehouse I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Ozark Tourism Marketing,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Missouri</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Ozark Travel Services,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Missouri</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Pelican Landing Timeshare Ventures Limited Partnership</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Platinum Vacations,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Points of Colorado,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Premier Vacation Ownership,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R.C. Chronicle Building, L.P.</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RBF,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80"/>
              <w:spacing w:after="0"/>
              <w:rPr>
                <w:sz w:val="20"/>
                <w:szCs w:val="20"/>
                <w:color w:val="auto"/>
              </w:rPr>
            </w:pPr>
            <w:r>
              <w:rPr>
                <w:rFonts w:ascii="Times New Roman" w:cs="Times New Roman" w:eastAsia="Times New Roman" w:hAnsi="Times New Roman"/>
                <w:sz w:val="17"/>
                <w:szCs w:val="17"/>
                <w:color w:val="auto"/>
                <w:w w:val="99"/>
              </w:rPr>
              <w:t>Entity also does business under the name:</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RBF-Jupiter, LLC</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RCC (GP) Holdings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RCC (LP) Holdings L.P.</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RCDC 942,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80"/>
              <w:spacing w:after="0"/>
              <w:rPr>
                <w:sz w:val="20"/>
                <w:szCs w:val="20"/>
                <w:color w:val="auto"/>
              </w:rPr>
            </w:pPr>
            <w:r>
              <w:rPr>
                <w:rFonts w:ascii="Times New Roman" w:cs="Times New Roman" w:eastAsia="Times New Roman" w:hAnsi="Times New Roman"/>
                <w:sz w:val="17"/>
                <w:szCs w:val="17"/>
                <w:color w:val="auto"/>
                <w:w w:val="99"/>
              </w:rPr>
              <w:t>Entity also does business under the name:</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40"/>
              <w:spacing w:after="0"/>
              <w:rPr>
                <w:sz w:val="20"/>
                <w:szCs w:val="20"/>
                <w:color w:val="auto"/>
              </w:rPr>
            </w:pPr>
            <w:r>
              <w:rPr>
                <w:rFonts w:ascii="Times New Roman" w:cs="Times New Roman" w:eastAsia="Times New Roman" w:hAnsi="Times New Roman"/>
                <w:sz w:val="17"/>
                <w:szCs w:val="17"/>
                <w:color w:val="auto"/>
              </w:rPr>
              <w:t>RCDC 942 Market Street, LLC</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RCDC Chronicle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 Holdings, Ltd.</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Resort Management Finance Services,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307"/>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Resort Sales Services,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S.O.I. Acquisition Corp.</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Scottsdale Residence Club Sales,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Scottsdale Residence Club,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Sheraton Flex Vacations,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Soleil Communications,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Soleil NV,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 Regis Colorado Management,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 Regis New York Management,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 Regis Residence Club of Colorado,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 Regis Residence Club, New York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Steamboat Resort Village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80"/>
              <w:spacing w:after="0"/>
              <w:rPr>
                <w:sz w:val="20"/>
                <w:szCs w:val="20"/>
                <w:color w:val="auto"/>
              </w:rPr>
            </w:pPr>
            <w:r>
              <w:rPr>
                <w:rFonts w:ascii="Times New Roman" w:cs="Times New Roman" w:eastAsia="Times New Roman" w:hAnsi="Times New Roman"/>
                <w:sz w:val="17"/>
                <w:szCs w:val="17"/>
                <w:color w:val="auto"/>
                <w:w w:val="99"/>
              </w:rPr>
              <w:t>Entity also does business under the name:</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Sheraton Steamboat Resort</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Success Developments,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80"/>
              <w:spacing w:after="0"/>
              <w:rPr>
                <w:sz w:val="20"/>
                <w:szCs w:val="20"/>
                <w:color w:val="auto"/>
              </w:rPr>
            </w:pPr>
            <w:r>
              <w:rPr>
                <w:rFonts w:ascii="Times New Roman" w:cs="Times New Roman" w:eastAsia="Times New Roman" w:hAnsi="Times New Roman"/>
                <w:sz w:val="17"/>
                <w:szCs w:val="17"/>
                <w:color w:val="auto"/>
                <w:w w:val="99"/>
              </w:rPr>
              <w:t>Entity also does business under the name:</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Villas of Cave Creek, L.L.C.</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1210" w:right="1440" w:bottom="1440" w:gutter="0" w:footer="0" w:header="0"/>
          <w:type w:val="continuous"/>
        </w:sectPr>
      </w:pPr>
    </w:p>
    <w:bookmarkStart w:id="163" w:name="page164"/>
    <w:bookmarkEnd w:id="163"/>
    <w:tbl>
      <w:tblPr>
        <w:tblLayout w:type="fixed"/>
        <w:tblInd w:w="360" w:type="dxa"/>
        <w:tblCellMar>
          <w:top w:w="0" w:type="dxa"/>
          <w:left w:w="0" w:type="dxa"/>
          <w:bottom w:w="0" w:type="dxa"/>
          <w:right w:w="0" w:type="dxa"/>
        </w:tblCellMar>
      </w:tblPr>
      <w:tr>
        <w:trPr>
          <w:trHeight w:val="195"/>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0" w:type="dxa"/>
            <w:vAlign w:val="bottom"/>
          </w:tcPr>
          <w:p>
            <w:pPr>
              <w:spacing w:after="0"/>
              <w:rPr>
                <w:sz w:val="1"/>
                <w:szCs w:val="1"/>
                <w:color w:val="auto"/>
              </w:rPr>
            </w:pPr>
          </w:p>
        </w:tc>
      </w:tr>
      <w:tr>
        <w:trPr>
          <w:trHeight w:val="230"/>
        </w:trPr>
        <w:tc>
          <w:tcPr>
            <w:tcW w:w="6180" w:type="dxa"/>
            <w:vAlign w:val="bottom"/>
            <w:gridSpan w:val="2"/>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15"/>
        </w:trPr>
        <w:tc>
          <w:tcPr>
            <w:tcW w:w="6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Sunset Harbor Development Partnership</w:t>
            </w:r>
          </w:p>
        </w:tc>
        <w:tc>
          <w:tcPr>
            <w:tcW w:w="120" w:type="dxa"/>
            <w:vAlign w:val="bottom"/>
          </w:tcPr>
          <w:p>
            <w:pPr>
              <w:spacing w:after="0"/>
              <w:rPr>
                <w:sz w:val="18"/>
                <w:szCs w:val="18"/>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Cobalt Travel Company,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Lion &amp; Crown Travel Co.,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Ritz-Carlton Development Company,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80"/>
              <w:spacing w:after="0"/>
              <w:rPr>
                <w:sz w:val="20"/>
                <w:szCs w:val="20"/>
                <w:color w:val="auto"/>
              </w:rPr>
            </w:pPr>
            <w:r>
              <w:rPr>
                <w:rFonts w:ascii="Times New Roman" w:cs="Times New Roman" w:eastAsia="Times New Roman" w:hAnsi="Times New Roman"/>
                <w:sz w:val="17"/>
                <w:szCs w:val="17"/>
                <w:color w:val="auto"/>
                <w:w w:val="99"/>
              </w:rPr>
              <w:t>Entity also does business under the name:</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The Ritz-Carlton Destination Club</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Ritz-Carlton Management Company,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Ritz-Carlton Sales Company,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Ritz-Carlton Title Company,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WAVE Insurance Corporation</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Timber Ridge Escapes,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Missouri</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Vacanza 2019-A LLC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Vacation Ownership Lending GP,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Vacation Ownership Lending, L.P.</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Vacation Title Services,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80"/>
              <w:spacing w:after="0"/>
              <w:rPr>
                <w:sz w:val="20"/>
                <w:szCs w:val="20"/>
                <w:color w:val="auto"/>
              </w:rPr>
            </w:pPr>
            <w:r>
              <w:rPr>
                <w:rFonts w:ascii="Times New Roman" w:cs="Times New Roman" w:eastAsia="Times New Roman" w:hAnsi="Times New Roman"/>
                <w:sz w:val="17"/>
                <w:szCs w:val="17"/>
                <w:color w:val="auto"/>
                <w:w w:val="99"/>
              </w:rPr>
              <w:t>Entity also does business under the name:</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40"/>
              <w:spacing w:after="0"/>
              <w:rPr>
                <w:sz w:val="20"/>
                <w:szCs w:val="20"/>
                <w:color w:val="auto"/>
              </w:rPr>
            </w:pPr>
            <w:r>
              <w:rPr>
                <w:rFonts w:ascii="Times New Roman" w:cs="Times New Roman" w:eastAsia="Times New Roman" w:hAnsi="Times New Roman"/>
                <w:sz w:val="17"/>
                <w:szCs w:val="17"/>
                <w:color w:val="auto"/>
                <w:w w:val="99"/>
              </w:rPr>
              <w:t>Vacation Title Services Agency</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VCH Communications,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VCH Consulting,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VCH Systems,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80"/>
              <w:spacing w:after="0"/>
              <w:rPr>
                <w:sz w:val="20"/>
                <w:szCs w:val="20"/>
                <w:color w:val="auto"/>
              </w:rPr>
            </w:pPr>
            <w:r>
              <w:rPr>
                <w:rFonts w:ascii="Times New Roman" w:cs="Times New Roman" w:eastAsia="Times New Roman" w:hAnsi="Times New Roman"/>
                <w:sz w:val="17"/>
                <w:szCs w:val="17"/>
                <w:color w:val="auto"/>
                <w:w w:val="99"/>
              </w:rPr>
              <w:t>Entity also does business under the name:</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Vistana Vacation Club</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Acceptance Corp.</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Arizona Management,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Aventuras,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California Management,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Colorado Management,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80"/>
              <w:spacing w:after="0"/>
              <w:rPr>
                <w:sz w:val="20"/>
                <w:szCs w:val="20"/>
                <w:color w:val="auto"/>
              </w:rPr>
            </w:pPr>
            <w:r>
              <w:rPr>
                <w:rFonts w:ascii="Times New Roman" w:cs="Times New Roman" w:eastAsia="Times New Roman" w:hAnsi="Times New Roman"/>
                <w:sz w:val="17"/>
                <w:szCs w:val="17"/>
                <w:color w:val="auto"/>
                <w:w w:val="99"/>
              </w:rPr>
              <w:t>Entity also does business under the name:</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Mountain Vista Market</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Development,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80"/>
              <w:spacing w:after="0"/>
              <w:rPr>
                <w:sz w:val="20"/>
                <w:szCs w:val="20"/>
                <w:color w:val="auto"/>
              </w:rPr>
            </w:pPr>
            <w:r>
              <w:rPr>
                <w:rFonts w:ascii="Times New Roman" w:cs="Times New Roman" w:eastAsia="Times New Roman" w:hAnsi="Times New Roman"/>
                <w:sz w:val="17"/>
                <w:szCs w:val="17"/>
                <w:color w:val="auto"/>
                <w:w w:val="99"/>
              </w:rPr>
              <w:t>Entity also does business under the name:</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Vistana Development, Ltd.</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Hawaii Management,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Management,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43"/>
        </w:trPr>
        <w:tc>
          <w:tcPr>
            <w:tcW w:w="6180" w:type="dxa"/>
            <w:vAlign w:val="bottom"/>
            <w:gridSpan w:val="2"/>
          </w:tcPr>
          <w:p>
            <w:pPr>
              <w:jc w:val="center"/>
              <w:ind w:right="2980"/>
              <w:spacing w:after="0"/>
              <w:rPr>
                <w:sz w:val="20"/>
                <w:szCs w:val="20"/>
                <w:color w:val="auto"/>
              </w:rPr>
            </w:pPr>
            <w:r>
              <w:rPr>
                <w:rFonts w:ascii="Times New Roman" w:cs="Times New Roman" w:eastAsia="Times New Roman" w:hAnsi="Times New Roman"/>
                <w:sz w:val="17"/>
                <w:szCs w:val="17"/>
                <w:color w:val="auto"/>
                <w:w w:val="99"/>
              </w:rPr>
              <w:t>Entity also does business under the name:</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Vistana Management, Ltd.</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MB Management,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South Carolina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Portfolio Services,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PSL, Inc.</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210" w:right="1440" w:bottom="1440" w:gutter="0" w:footer="0" w:header="0"/>
          <w:type w:val="continuous"/>
        </w:sectPr>
      </w:pPr>
    </w:p>
    <w:bookmarkStart w:id="164" w:name="page165"/>
    <w:bookmarkEnd w:id="164"/>
    <w:tbl>
      <w:tblPr>
        <w:tblLayout w:type="fixed"/>
        <w:tblInd w:w="360" w:type="dxa"/>
        <w:tblCellMar>
          <w:top w:w="0" w:type="dxa"/>
          <w:left w:w="0" w:type="dxa"/>
          <w:bottom w:w="0" w:type="dxa"/>
          <w:right w:w="0" w:type="dxa"/>
        </w:tblCellMar>
      </w:tblPr>
      <w:tr>
        <w:trPr>
          <w:trHeight w:val="19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vMerge w:val="continue"/>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Residential Management, Inc.</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1"/>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Scottsdale Development,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Scottsdale Management,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Scottsdale,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Signature Experiences,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Signature Network,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Vacation Ownership,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Vacation Realty,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Vacation Services Hawaii,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 GP,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 Investors, L.P.</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Volt Merger Sub, LLC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2016-A VOI Mortgage,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2017-A VOI Mortgage LLC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2017-A VOI Mortgage,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2018-A VOI Mortgage,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Arizona Development,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Arizona Realty,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Bahamas Holdings, LLC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California Sales,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Development,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East,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International Holdco, LLC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International,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Mexico Portfolio Services,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Myrtle Beach, LLC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South Carolina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Pacific,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Hawaii Activity Planners</w:t>
            </w:r>
          </w:p>
        </w:tc>
        <w:tc>
          <w:tcPr>
            <w:tcW w:w="45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Westin Ka'anapali Ocean Resort Villas</w:t>
            </w:r>
          </w:p>
        </w:tc>
        <w:tc>
          <w:tcPr>
            <w:tcW w:w="0" w:type="dxa"/>
            <w:vAlign w:val="bottom"/>
          </w:tcPr>
          <w:p>
            <w:pPr>
              <w:spacing w:after="0"/>
              <w:rPr>
                <w:sz w:val="1"/>
                <w:szCs w:val="1"/>
                <w:color w:val="auto"/>
              </w:rPr>
            </w:pPr>
          </w:p>
        </w:tc>
      </w:tr>
      <w:tr>
        <w:trPr>
          <w:trHeight w:val="243"/>
        </w:trPr>
        <w:tc>
          <w:tcPr>
            <w:tcW w:w="3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The Westin Nanea Ocean Villas</w:t>
            </w:r>
          </w:p>
        </w:tc>
        <w:tc>
          <w:tcPr>
            <w:tcW w:w="45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Westin Vacation Club</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Residence Club Sales of New York,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New York</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Residence Club Sales,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Trademark,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Villas Arizona,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Vistana Villages,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West, Inc.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VVO International Holdco, LLC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Welk Hospitality Services, LLC</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1211" w:right="1440" w:bottom="1440" w:gutter="0" w:footer="0" w:header="0"/>
          <w:type w:val="continuous"/>
        </w:sectPr>
      </w:pPr>
    </w:p>
    <w:bookmarkStart w:id="165" w:name="page166"/>
    <w:bookmarkEnd w:id="165"/>
    <w:tbl>
      <w:tblPr>
        <w:tblLayout w:type="fixed"/>
        <w:tblInd w:w="360" w:type="dxa"/>
        <w:tblCellMar>
          <w:top w:w="0" w:type="dxa"/>
          <w:left w:w="0" w:type="dxa"/>
          <w:bottom w:w="0" w:type="dxa"/>
          <w:right w:w="0" w:type="dxa"/>
        </w:tblCellMar>
      </w:tblPr>
      <w:tr>
        <w:trPr>
          <w:trHeight w:val="19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vMerge w:val="continue"/>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62"/>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Welk Resorts 2019-A, LLC</w:t>
            </w:r>
          </w:p>
        </w:tc>
        <w:tc>
          <w:tcPr>
            <w:tcW w:w="2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Welk Warehouse Facility 2, LLC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Welk Warehouse Facility, LLC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Westin Sheraton Vacation Services, Inc.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Sheraton Vacations</w:t>
            </w:r>
          </w:p>
        </w:tc>
        <w:tc>
          <w:tcPr>
            <w:tcW w:w="45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Westin Vacations</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Hospitality Management, Inc.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Mountain Villas, Inc.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 Group, Inc.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The Lodges at Timber Ridge</w:t>
            </w:r>
          </w:p>
        </w:tc>
        <w:tc>
          <w:tcPr>
            <w:tcW w:w="45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Villas on the Green</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 Properties, Inc.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Resorts Breckenridge, LLC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Resorts Cabo, LLC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Resorts Northstar, LLC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Resorts Vacation Rentals, Inc.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Vacation Club Rentals</w:t>
            </w: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Windward Pointe II, L.L.C.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Worldex Corporation</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Worldwide Vacation &amp; Travel, Inc.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condodirect.com</w:t>
            </w:r>
          </w:p>
        </w:tc>
        <w:tc>
          <w:tcPr>
            <w:tcW w:w="45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Leisure Time Passport</w:t>
            </w:r>
          </w:p>
        </w:tc>
        <w:tc>
          <w:tcPr>
            <w:tcW w:w="0" w:type="dxa"/>
            <w:vAlign w:val="bottom"/>
          </w:tcPr>
          <w:p>
            <w:pPr>
              <w:spacing w:after="0"/>
              <w:rPr>
                <w:sz w:val="1"/>
                <w:szCs w:val="1"/>
                <w:color w:val="auto"/>
              </w:rPr>
            </w:pPr>
          </w:p>
        </w:tc>
      </w:tr>
      <w:tr>
        <w:trPr>
          <w:trHeight w:val="243"/>
        </w:trPr>
        <w:tc>
          <w:tcPr>
            <w:tcW w:w="3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Dream Vacation Week</w:t>
            </w:r>
          </w:p>
        </w:tc>
        <w:tc>
          <w:tcPr>
            <w:tcW w:w="45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Vacationsource</w:t>
            </w:r>
          </w:p>
        </w:tc>
        <w:tc>
          <w:tcPr>
            <w:tcW w:w="0" w:type="dxa"/>
            <w:vAlign w:val="bottom"/>
          </w:tcPr>
          <w:p>
            <w:pPr>
              <w:spacing w:after="0"/>
              <w:rPr>
                <w:sz w:val="1"/>
                <w:szCs w:val="1"/>
                <w:color w:val="auto"/>
              </w:rPr>
            </w:pPr>
          </w:p>
        </w:tc>
      </w:tr>
      <w:tr>
        <w:trPr>
          <w:trHeight w:val="243"/>
        </w:trPr>
        <w:tc>
          <w:tcPr>
            <w:tcW w:w="3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Interval Travel</w:t>
            </w: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WVC Rancho Mirage, Inc.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94"/>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XYZII, Inc.</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Washington</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*Marriott Vacations Worldwide Corporation owns less than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9019"/>
          </w:cols>
          <w:pgMar w:left="1440" w:top="1210" w:right="1440" w:bottom="1440" w:gutter="0" w:footer="0" w:header="0"/>
        </w:sectPr>
      </w:pPr>
    </w:p>
    <w:bookmarkStart w:id="166" w:name="page167"/>
    <w:bookmarkEnd w:id="166"/>
    <w:p>
      <w:pPr>
        <w:spacing w:after="0" w:line="7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c>
          <w:tcPr>
            <w:tcW w:w="0" w:type="dxa"/>
            <w:vAlign w:val="bottom"/>
          </w:tcPr>
          <w:p>
            <w:pPr>
              <w:spacing w:after="0"/>
              <w:rPr>
                <w:sz w:val="1"/>
                <w:szCs w:val="1"/>
                <w:color w:val="auto"/>
              </w:rPr>
            </w:pPr>
          </w:p>
        </w:tc>
      </w:tr>
      <w:tr>
        <w:trPr>
          <w:trHeight w:val="215"/>
        </w:trPr>
        <w:tc>
          <w:tcPr>
            <w:tcW w:w="6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AP (Macau) Pte Limited*</w:t>
            </w:r>
          </w:p>
        </w:tc>
        <w:tc>
          <w:tcPr>
            <w:tcW w:w="120" w:type="dxa"/>
            <w:vAlign w:val="bottom"/>
          </w:tcPr>
          <w:p>
            <w:pPr>
              <w:spacing w:after="0"/>
              <w:rPr>
                <w:sz w:val="18"/>
                <w:szCs w:val="18"/>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Macau</w:t>
            </w:r>
          </w:p>
        </w:tc>
        <w:tc>
          <w:tcPr>
            <w:tcW w:w="0" w:type="dxa"/>
            <w:vAlign w:val="bottom"/>
          </w:tcPr>
          <w:p>
            <w:pPr>
              <w:spacing w:after="0"/>
              <w:rPr>
                <w:sz w:val="1"/>
                <w:szCs w:val="1"/>
                <w:color w:val="auto"/>
              </w:rPr>
            </w:pPr>
          </w:p>
        </w:tc>
      </w:tr>
      <w:tr>
        <w:trPr>
          <w:trHeight w:val="29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 Bali Enclave HK Holding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 Bali Terrace HK Holding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 Nusa Dua Bali Hong Kong Holding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 Nusa Dua Enclave HK Holding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 Nusa Dua Terrace HK Holding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Aqua-Aston Hospitalidad Ltda.</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Costa Rica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Aruba Finance Holdings B.V.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Netherlands</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Caide Desarrollos, S. de R.L.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Chaihat Holding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Thailand</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Club Holidays Australia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Australia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Club Resorts No. 1 Australia Pty Ltd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Australia</w:t>
            </w:r>
          </w:p>
        </w:tc>
        <w:tc>
          <w:tcPr>
            <w:tcW w:w="0" w:type="dxa"/>
            <w:vAlign w:val="bottom"/>
          </w:tcPr>
          <w:p>
            <w:pPr>
              <w:spacing w:after="0"/>
              <w:rPr>
                <w:sz w:val="1"/>
                <w:szCs w:val="1"/>
                <w:color w:val="auto"/>
              </w:rPr>
            </w:pPr>
          </w:p>
        </w:tc>
      </w:tr>
      <w:tr>
        <w:trPr>
          <w:trHeight w:val="229"/>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Costa Del Sol Development Company N.V., trading as Aruba Surf Club Development</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c>
          <w:tcPr>
            <w:tcW w:w="0" w:type="dxa"/>
            <w:vAlign w:val="bottom"/>
          </w:tcPr>
          <w:p>
            <w:pPr>
              <w:spacing w:after="0"/>
              <w:rPr>
                <w:sz w:val="1"/>
                <w:szCs w:val="1"/>
                <w:color w:val="auto"/>
              </w:rPr>
            </w:pPr>
          </w:p>
        </w:tc>
      </w:tr>
      <w:tr>
        <w:trPr>
          <w:trHeight w:val="142"/>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and Management Aruba Surf Club Development Company</w:t>
            </w: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180" w:type="dxa"/>
            <w:vAlign w:val="bottom"/>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Aruba Surf Club Development and Management Company</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Costa Del Sol Financing Company VBA</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CR Resorts Holdings, S.L.</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CR Vacation Nominee Limitada</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Costa Rica</w:t>
            </w:r>
          </w:p>
        </w:tc>
        <w:tc>
          <w:tcPr>
            <w:tcW w:w="0" w:type="dxa"/>
            <w:vAlign w:val="bottom"/>
          </w:tcPr>
          <w:p>
            <w:pPr>
              <w:spacing w:after="0"/>
              <w:rPr>
                <w:sz w:val="1"/>
                <w:szCs w:val="1"/>
                <w:color w:val="auto"/>
              </w:rPr>
            </w:pPr>
          </w:p>
        </w:tc>
      </w:tr>
      <w:tr>
        <w:trPr>
          <w:trHeight w:val="307"/>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Empresa de Servicios Cancun, S.A.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8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Empresa de Servicios K20 Cancun, S. de R.L.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Empresa de Servicios Los Cabos, S.A.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Empresa de Servicios Vallarta 205, S. de R.L.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Fortyseven Park Street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United Kingdom</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Hoteles Cabos K22.5, S. de R.L.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Hoteles Cancun K20, S. de R.L.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ILG Lux Finance S.a.r.l.</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ILG Lux Holdings II S.a.r.l.</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ILG Lux Holdings S.a.r.l.</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Indah HK Holding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Intercambios Internacionales de Vacaciones S.A.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Argentina S.A.</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Argentina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Brasil Servicos Ltda.</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Brazil</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de Colombia, S.A.S.</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Colombia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Eastern Canada, Inc.</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Canada</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Egypt Ltd.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Egypt</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Finland Oy</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Finland</w:t>
            </w:r>
          </w:p>
        </w:tc>
        <w:tc>
          <w:tcPr>
            <w:tcW w:w="0" w:type="dxa"/>
            <w:vAlign w:val="bottom"/>
          </w:tcPr>
          <w:p>
            <w:pPr>
              <w:spacing w:after="0"/>
              <w:rPr>
                <w:sz w:val="1"/>
                <w:szCs w:val="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GmbH</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019"/>
          </w:cols>
          <w:pgMar w:left="1440" w:top="1440" w:right="1440" w:bottom="1440" w:gutter="0" w:footer="0" w:header="0"/>
          <w:type w:val="continuous"/>
        </w:sectPr>
      </w:pPr>
    </w:p>
    <w:bookmarkStart w:id="167" w:name="page168"/>
    <w:bookmarkEnd w:id="167"/>
    <w:p>
      <w:pPr>
        <w:spacing w:after="0" w:line="7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6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Interval International Holdings Mexico, S.A. de C.V.</w:t>
            </w:r>
          </w:p>
        </w:tc>
        <w:tc>
          <w:tcPr>
            <w:tcW w:w="120" w:type="dxa"/>
            <w:vAlign w:val="bottom"/>
          </w:tcPr>
          <w:p>
            <w:pPr>
              <w:spacing w:after="0"/>
              <w:rPr>
                <w:sz w:val="18"/>
                <w:szCs w:val="18"/>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9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Italia S.r.l.</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Italy</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Singapore (Pte) Ltd.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Singapore</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Leisure Group Management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Leisure Group UK Holdings (No. 2)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Leisure Group UK Holdings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Servicios de Mexico S.A.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UK Holdings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Vacation Exchange S.A.</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Khao Lak HK Holdings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 Cabos Villa Management, S. de R.L.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MAIC Travel de Mexico S. de R.L.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Maikhao Land Owning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Thailand</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Ownership Resorts (Bahamas)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Ownership Resorts (St. Thomas), Inc.</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43"/>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120" w:type="dxa"/>
            <w:vAlign w:val="bottom"/>
          </w:tcPr>
          <w:p>
            <w:pPr>
              <w:spacing w:after="0"/>
              <w:rPr>
                <w:sz w:val="21"/>
                <w:szCs w:val="21"/>
                <w:color w:val="auto"/>
              </w:rPr>
            </w:pPr>
          </w:p>
        </w:tc>
      </w:tr>
      <w:tr>
        <w:trPr>
          <w:trHeight w:val="243"/>
        </w:trPr>
        <w:tc>
          <w:tcPr>
            <w:tcW w:w="61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ST. KITTS BEACH CLUB</w:t>
            </w:r>
          </w:p>
        </w:tc>
        <w:tc>
          <w:tcPr>
            <w:tcW w:w="2120" w:type="dxa"/>
            <w:vAlign w:val="bottom"/>
          </w:tcPr>
          <w:p>
            <w:pPr>
              <w:spacing w:after="0"/>
              <w:rPr>
                <w:sz w:val="21"/>
                <w:szCs w:val="2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Resorts Hospitality (Bahamas)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Resorts Hospitality of Aruba N.V.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Vacation Club International of Aruba N.V.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Vacation Club International of Japan, Inc.</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Japan</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Vacation Club Timesharing GmbH</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Austria</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MGRC Management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United Kingdom</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 LS Costa Rica, Ltda.</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Costa Rica</w:t>
            </w:r>
          </w:p>
        </w:tc>
      </w:tr>
      <w:tr>
        <w:trPr>
          <w:trHeight w:val="243"/>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120" w:type="dxa"/>
            <w:vAlign w:val="bottom"/>
          </w:tcPr>
          <w:p>
            <w:pPr>
              <w:spacing w:after="0"/>
              <w:rPr>
                <w:sz w:val="21"/>
                <w:szCs w:val="21"/>
                <w:color w:val="auto"/>
              </w:rPr>
            </w:pPr>
          </w:p>
        </w:tc>
      </w:tr>
      <w:tr>
        <w:trPr>
          <w:trHeight w:val="243"/>
        </w:trPr>
        <w:tc>
          <w:tcPr>
            <w:tcW w:w="61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MVC LS Costa Rica, Ltd.</w:t>
            </w:r>
          </w:p>
        </w:tc>
        <w:tc>
          <w:tcPr>
            <w:tcW w:w="2120" w:type="dxa"/>
            <w:vAlign w:val="bottom"/>
          </w:tcPr>
          <w:p>
            <w:pPr>
              <w:spacing w:after="0"/>
              <w:rPr>
                <w:sz w:val="21"/>
                <w:szCs w:val="2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MVCI (Thailand)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Thailand</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MVCI AP Macau Marketing Pte,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Macau</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MVCI Asia Pacific (Hong Kong) Pte.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MVCI Asia Pacific Finance Pte.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MVCI Asia Pacific Pte. Ltd.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Singapore</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MVCI Australia Pty Ltd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Australia</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MVCI Egypt B.V.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Netherlands</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MVCI Europe Limited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United Kingdom</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MVCI Finance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MVCI France SAS</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France</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MVCI Holdings B.V.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Netherlands</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019"/>
          </w:cols>
          <w:pgMar w:left="1440" w:top="1440" w:right="1440" w:bottom="1440" w:gutter="0" w:footer="0" w:header="0"/>
          <w:type w:val="continuous"/>
        </w:sectPr>
      </w:pPr>
    </w:p>
    <w:bookmarkStart w:id="168" w:name="page169"/>
    <w:bookmarkEnd w:id="168"/>
    <w:p>
      <w:pPr>
        <w:spacing w:after="0" w:line="74" w:lineRule="exact"/>
        <w:rPr>
          <w:sz w:val="20"/>
          <w:szCs w:val="20"/>
          <w:color w:val="auto"/>
        </w:rPr>
      </w:pPr>
    </w:p>
    <w:p>
      <w:pPr>
        <w:ind w:left="380"/>
        <w:spacing w:after="0"/>
        <w:tabs>
          <w:tab w:leader="none" w:pos="6540" w:val="left"/>
        </w:tabs>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r>
        <w:rPr>
          <w:sz w:val="20"/>
          <w:szCs w:val="20"/>
          <w:color w:val="auto"/>
        </w:rPr>
        <w:tab/>
      </w:r>
      <w:r>
        <w:rPr>
          <w:rFonts w:ascii="Times New Roman" w:cs="Times New Roman" w:eastAsia="Times New Roman" w:hAnsi="Times New Roman"/>
          <w:sz w:val="17"/>
          <w:szCs w:val="17"/>
          <w:b w:val="1"/>
          <w:bCs w:val="1"/>
          <w:u w:val="single" w:color="auto"/>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19050</wp:posOffset>
            </wp:positionV>
            <wp:extent cx="38500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5">
                      <a:extLst>
                        <a:ext uri="{28A0092B-C50C-407E-A947-70E740481C1C}"/>
                      </a:extLst>
                    </a:blip>
                    <a:srcRect/>
                    <a:stretch>
                      <a:fillRect/>
                    </a:stretch>
                  </pic:blipFill>
                  <pic:spPr bwMode="auto">
                    <a:xfrm>
                      <a:off x="0" y="0"/>
                      <a:ext cx="385000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90"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MVCI Holidays France S.A.S.</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9"/>
              </w:rPr>
              <w:t>France</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MVCI Holidays, S.L.</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7"/>
              </w:rPr>
              <w:t>Spain</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MVCI Ireland Limited</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w w:val="99"/>
              </w:rPr>
              <w:t>Ireland</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MVCI Khao Lak Limited</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w w:val="99"/>
              </w:rPr>
              <w:t>Thailand</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MVCI Management, S.L.</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7"/>
              </w:rPr>
              <w:t>Spain</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MVCI Playa Andaluza Holidays, S.L.</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7"/>
              </w:rPr>
              <w:t>Spain</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MVCI Puerto Rico, Inc.</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rPr>
              <w:t>Puerto Rico</w:t>
            </w:r>
          </w:p>
        </w:tc>
      </w:tr>
      <w:tr>
        <w:trPr>
          <w:trHeight w:val="243"/>
        </w:trPr>
        <w:tc>
          <w:tcPr>
            <w:tcW w:w="5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340" w:type="dxa"/>
            <w:vAlign w:val="bottom"/>
          </w:tcPr>
          <w:p>
            <w:pPr>
              <w:spacing w:after="0"/>
              <w:rPr>
                <w:sz w:val="21"/>
                <w:szCs w:val="21"/>
                <w:color w:val="auto"/>
              </w:rPr>
            </w:pPr>
          </w:p>
        </w:tc>
      </w:tr>
      <w:tr>
        <w:trPr>
          <w:trHeight w:val="243"/>
        </w:trPr>
        <w:tc>
          <w:tcPr>
            <w:tcW w:w="56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2340" w:type="dxa"/>
            <w:vAlign w:val="bottom"/>
          </w:tcPr>
          <w:p>
            <w:pPr>
              <w:spacing w:after="0"/>
              <w:rPr>
                <w:sz w:val="21"/>
                <w:szCs w:val="21"/>
                <w:color w:val="auto"/>
              </w:rPr>
            </w:pP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MVCI Services Designated Activity Company or MVCI Services DAC</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w w:val="99"/>
              </w:rPr>
              <w:t>Ireland</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MVCI St. Kitts Company Limited</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Nevis</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MVCI Travel Information Consultancy (Shanghai) Co., Ltd.</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rPr>
              <w:t>China</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MVW de Mexico, S. de R.L. de C.V.</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MVW International Holding Company S.à r.l.</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Luxembourg</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MVW International Switzerland Holding GmbH</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rPr>
              <w:t>Switzerland</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Overseas Promotions, Inc.</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Promociones Marriott, S.A. de C.V.</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PT Indonesia Bali Resort Enclave</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9"/>
              </w:rPr>
              <w:t>Indonesia</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Pt. Indonesia Bali Resort Expansion</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9"/>
              </w:rPr>
              <w:t>Indonesia</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PT. Indonesia MOC Services</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9"/>
              </w:rPr>
              <w:t>Indonesia</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R.M. Mexicana S.A.de C.V.</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RC Abaco Holding Company Ltd.</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w w:val="99"/>
              </w:rPr>
              <w:t>Virgin Islands - British</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RC Management Company Bahamas Limited</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RC St. Thomas, LLC</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Teman HK Holding Limited</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Hong Kong</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The Abaco Club RC, Ltd.*</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The Ritz-Carlton Club, St. Thomas, Inc.</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Turistica Cancun S. de R.L. de C.V.</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Vistana Bahamas Investments Limited</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Vistana Bahamas Sales and Marketing Limited</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VSE Azteca Holdings, S. de R.L. de C.V.</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VSE Cancun Sales, S. de R.L. de C.V.</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VSE Cayman Holdings Limited</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VSE Mexico Holding, S. de R.L. de C.V.</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VSE UK Holdings Ltd.</w:t>
            </w:r>
          </w:p>
        </w:tc>
        <w:tc>
          <w:tcPr>
            <w:tcW w:w="234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rPr>
              <w:t>England</w:t>
            </w:r>
          </w:p>
        </w:tc>
      </w:tr>
      <w:tr>
        <w:trPr>
          <w:trHeight w:val="29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VSE Villas Los Cabos, S. de R.L de C.V.</w:t>
            </w:r>
          </w:p>
        </w:tc>
        <w:tc>
          <w:tcPr>
            <w:tcW w:w="234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rPr>
              <w:t>Mexico</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019"/>
          </w:cols>
          <w:pgMar w:left="1440" w:top="1440" w:right="1440" w:bottom="1440" w:gutter="0" w:footer="0" w:header="0"/>
          <w:type w:val="continuous"/>
        </w:sectPr>
      </w:pPr>
    </w:p>
    <w:bookmarkStart w:id="169" w:name="page170"/>
    <w:bookmarkEnd w:id="169"/>
    <w:p>
      <w:pPr>
        <w:spacing w:after="0" w:line="7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6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Westin St. John Hotel Company, Inc.</w:t>
            </w:r>
          </w:p>
        </w:tc>
        <w:tc>
          <w:tcPr>
            <w:tcW w:w="120" w:type="dxa"/>
            <w:vAlign w:val="bottom"/>
          </w:tcPr>
          <w:p>
            <w:pPr>
              <w:spacing w:after="0"/>
              <w:rPr>
                <w:sz w:val="18"/>
                <w:szCs w:val="18"/>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39"/>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120" w:type="dxa"/>
            <w:vAlign w:val="bottom"/>
          </w:tcPr>
          <w:p>
            <w:pPr>
              <w:spacing w:after="0"/>
              <w:rPr>
                <w:sz w:val="20"/>
                <w:szCs w:val="20"/>
                <w:color w:val="auto"/>
              </w:rPr>
            </w:pPr>
          </w:p>
        </w:tc>
      </w:tr>
      <w:tr>
        <w:trPr>
          <w:trHeight w:val="243"/>
        </w:trPr>
        <w:tc>
          <w:tcPr>
            <w:tcW w:w="61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Bamboula Cafe</w:t>
            </w:r>
          </w:p>
        </w:tc>
        <w:tc>
          <w:tcPr>
            <w:tcW w:w="2120" w:type="dxa"/>
            <w:vAlign w:val="bottom"/>
          </w:tcPr>
          <w:p>
            <w:pPr>
              <w:spacing w:after="0"/>
              <w:rPr>
                <w:sz w:val="21"/>
                <w:szCs w:val="21"/>
                <w:color w:val="auto"/>
              </w:rPr>
            </w:pPr>
          </w:p>
        </w:tc>
      </w:tr>
      <w:tr>
        <w:trPr>
          <w:trHeight w:val="243"/>
        </w:trPr>
        <w:tc>
          <w:tcPr>
            <w:tcW w:w="61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Lemongrass Restaurant and Bar</w:t>
            </w:r>
          </w:p>
        </w:tc>
        <w:tc>
          <w:tcPr>
            <w:tcW w:w="2120" w:type="dxa"/>
            <w:vAlign w:val="bottom"/>
          </w:tcPr>
          <w:p>
            <w:pPr>
              <w:spacing w:after="0"/>
              <w:rPr>
                <w:sz w:val="21"/>
                <w:szCs w:val="21"/>
                <w:color w:val="auto"/>
              </w:rPr>
            </w:pPr>
          </w:p>
        </w:tc>
      </w:tr>
      <w:tr>
        <w:trPr>
          <w:trHeight w:val="243"/>
        </w:trPr>
        <w:tc>
          <w:tcPr>
            <w:tcW w:w="61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MARRIOTT VACATION CLUB DESTINATIONS</w:t>
            </w:r>
          </w:p>
        </w:tc>
        <w:tc>
          <w:tcPr>
            <w:tcW w:w="2120" w:type="dxa"/>
            <w:vAlign w:val="bottom"/>
          </w:tcPr>
          <w:p>
            <w:pPr>
              <w:spacing w:after="0"/>
              <w:rPr>
                <w:sz w:val="21"/>
                <w:szCs w:val="21"/>
                <w:color w:val="auto"/>
              </w:rPr>
            </w:pPr>
          </w:p>
        </w:tc>
      </w:tr>
      <w:tr>
        <w:trPr>
          <w:trHeight w:val="243"/>
        </w:trPr>
        <w:tc>
          <w:tcPr>
            <w:tcW w:w="61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Snorkels Bar &amp; Grill</w:t>
            </w:r>
          </w:p>
        </w:tc>
        <w:tc>
          <w:tcPr>
            <w:tcW w:w="2120" w:type="dxa"/>
            <w:vAlign w:val="bottom"/>
          </w:tcPr>
          <w:p>
            <w:pPr>
              <w:spacing w:after="0"/>
              <w:rPr>
                <w:sz w:val="21"/>
                <w:szCs w:val="21"/>
                <w:color w:val="auto"/>
              </w:rPr>
            </w:pPr>
          </w:p>
        </w:tc>
      </w:tr>
      <w:tr>
        <w:trPr>
          <w:trHeight w:val="243"/>
        </w:trPr>
        <w:tc>
          <w:tcPr>
            <w:tcW w:w="61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The Marketplace at Great Cruz Bay</w:t>
            </w:r>
          </w:p>
        </w:tc>
        <w:tc>
          <w:tcPr>
            <w:tcW w:w="2120" w:type="dxa"/>
            <w:vAlign w:val="bottom"/>
          </w:tcPr>
          <w:p>
            <w:pPr>
              <w:spacing w:after="0"/>
              <w:rPr>
                <w:sz w:val="21"/>
                <w:szCs w:val="21"/>
                <w:color w:val="auto"/>
              </w:rPr>
            </w:pPr>
          </w:p>
        </w:tc>
      </w:tr>
      <w:tr>
        <w:trPr>
          <w:trHeight w:val="243"/>
        </w:trPr>
        <w:tc>
          <w:tcPr>
            <w:tcW w:w="61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The Westin Health &amp; Spa</w:t>
            </w:r>
          </w:p>
        </w:tc>
        <w:tc>
          <w:tcPr>
            <w:tcW w:w="2120" w:type="dxa"/>
            <w:vAlign w:val="bottom"/>
          </w:tcPr>
          <w:p>
            <w:pPr>
              <w:spacing w:after="0"/>
              <w:rPr>
                <w:sz w:val="21"/>
                <w:szCs w:val="21"/>
                <w:color w:val="auto"/>
              </w:rPr>
            </w:pPr>
          </w:p>
        </w:tc>
      </w:tr>
      <w:tr>
        <w:trPr>
          <w:trHeight w:val="243"/>
        </w:trPr>
        <w:tc>
          <w:tcPr>
            <w:tcW w:w="61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The Westin St. John Resort &amp; Villas</w:t>
            </w:r>
          </w:p>
        </w:tc>
        <w:tc>
          <w:tcPr>
            <w:tcW w:w="2120" w:type="dxa"/>
            <w:vAlign w:val="bottom"/>
          </w:tcPr>
          <w:p>
            <w:pPr>
              <w:spacing w:after="0"/>
              <w:rPr>
                <w:sz w:val="21"/>
                <w:szCs w:val="21"/>
                <w:color w:val="auto"/>
              </w:rPr>
            </w:pPr>
          </w:p>
        </w:tc>
      </w:tr>
      <w:tr>
        <w:trPr>
          <w:trHeight w:val="243"/>
        </w:trPr>
        <w:tc>
          <w:tcPr>
            <w:tcW w:w="61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Westin Aventuras</w:t>
            </w:r>
          </w:p>
        </w:tc>
        <w:tc>
          <w:tcPr>
            <w:tcW w:w="2120" w:type="dxa"/>
            <w:vAlign w:val="bottom"/>
          </w:tcPr>
          <w:p>
            <w:pPr>
              <w:spacing w:after="0"/>
              <w:rPr>
                <w:sz w:val="21"/>
                <w:szCs w:val="21"/>
                <w:color w:val="auto"/>
              </w:rPr>
            </w:pP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Westin Vacation Management Company</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Cabo Associates 1, S. de R.L.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Cabo Associates 2, S. de R.L.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Cabo Management, S. de R.L.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Platinum Preview, S. de R.L. de C.V.</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9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WVC St. John, Inc.</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486"/>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Vacations Worldwide Corporation owns less than 100%.</w:t>
            </w:r>
          </w:p>
        </w:tc>
        <w:tc>
          <w:tcPr>
            <w:tcW w:w="2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9019"/>
          </w:cols>
          <w:pgMar w:left="1440" w:top="1440" w:right="144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List of the Issuer and its Guarantor Subsidiaries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the following subsidiaries of Marriott Vacations Worldwide Corporation guarantee the $350 million aggregate principal amount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4.750% Senior Unsecured Notes due 2028 issued in the fourth quarter of 2019 with a maturity date of January 15, 2028 (the "2028 Notes"):</w:t>
      </w:r>
    </w:p>
    <w:p>
      <w:pPr>
        <w:spacing w:after="0" w:line="107" w:lineRule="exact"/>
        <w:rPr>
          <w:sz w:val="20"/>
          <w:szCs w:val="20"/>
          <w:color w:val="auto"/>
        </w:rPr>
      </w:pPr>
    </w:p>
    <w:tbl>
      <w:tblPr>
        <w:tblLayout w:type="fixed"/>
        <w:tblInd w:w="1480" w:type="dxa"/>
        <w:tblCellMar>
          <w:top w:w="0" w:type="dxa"/>
          <w:left w:w="0" w:type="dxa"/>
          <w:bottom w:w="0" w:type="dxa"/>
          <w:right w:w="0" w:type="dxa"/>
        </w:tblCellMar>
      </w:tblPr>
      <w:tr>
        <w:trPr>
          <w:trHeight w:val="195"/>
        </w:trPr>
        <w:tc>
          <w:tcPr>
            <w:tcW w:w="3520" w:type="dxa"/>
            <w:vAlign w:val="bottom"/>
          </w:tcPr>
          <w:p>
            <w:pPr>
              <w:spacing w:after="0"/>
              <w:rPr>
                <w:sz w:val="17"/>
                <w:szCs w:val="17"/>
                <w:color w:val="auto"/>
              </w:rPr>
            </w:pP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20" w:type="dxa"/>
            <w:vAlign w:val="bottom"/>
            <w:vMerge w:val="restart"/>
          </w:tcPr>
          <w:p>
            <w:pPr>
              <w:ind w:left="2280"/>
              <w:spacing w:after="0"/>
              <w:rPr>
                <w:sz w:val="20"/>
                <w:szCs w:val="20"/>
                <w:color w:val="auto"/>
              </w:rPr>
            </w:pPr>
            <w:r>
              <w:rPr>
                <w:rFonts w:ascii="Times New Roman" w:cs="Times New Roman" w:eastAsia="Times New Roman" w:hAnsi="Times New Roman"/>
                <w:sz w:val="17"/>
                <w:szCs w:val="17"/>
                <w:b w:val="1"/>
                <w:bCs w:val="1"/>
                <w:color w:val="auto"/>
              </w:rPr>
              <w:t>Entity</w:t>
            </w:r>
          </w:p>
        </w:tc>
        <w:tc>
          <w:tcPr>
            <w:tcW w:w="3320" w:type="dxa"/>
            <w:vAlign w:val="bottom"/>
          </w:tcPr>
          <w:p>
            <w:pPr>
              <w:jc w:val="center"/>
              <w:ind w:left="1375"/>
              <w:spacing w:after="0" w:line="172" w:lineRule="exact"/>
              <w:rPr>
                <w:sz w:val="20"/>
                <w:szCs w:val="20"/>
                <w:color w:val="auto"/>
              </w:rPr>
            </w:pPr>
            <w:r>
              <w:rPr>
                <w:rFonts w:ascii="Times New Roman" w:cs="Times New Roman" w:eastAsia="Times New Roman" w:hAnsi="Times New Roman"/>
                <w:sz w:val="17"/>
                <w:szCs w:val="17"/>
                <w:b w:val="1"/>
                <w:bCs w:val="1"/>
                <w:color w:val="auto"/>
                <w:w w:val="99"/>
              </w:rPr>
              <w:t>Incorporation or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0" w:type="dxa"/>
            <w:vAlign w:val="bottom"/>
          </w:tcPr>
          <w:p>
            <w:pPr>
              <w:spacing w:after="0"/>
              <w:rPr>
                <w:sz w:val="1"/>
                <w:szCs w:val="1"/>
                <w:color w:val="auto"/>
              </w:rPr>
            </w:pPr>
          </w:p>
        </w:tc>
      </w:tr>
      <w:tr>
        <w:trPr>
          <w:trHeight w:val="225"/>
        </w:trPr>
        <w:tc>
          <w:tcPr>
            <w:tcW w:w="3520" w:type="dxa"/>
            <w:vAlign w:val="bottom"/>
            <w:tcBorders>
              <w:bottom w:val="single" w:sz="8" w:color="auto"/>
            </w:tcBorders>
            <w:vMerge w:val="continue"/>
          </w:tcPr>
          <w:p>
            <w:pPr>
              <w:spacing w:after="0"/>
              <w:rPr>
                <w:sz w:val="19"/>
                <w:szCs w:val="19"/>
                <w:color w:val="auto"/>
              </w:rPr>
            </w:pPr>
          </w:p>
        </w:tc>
        <w:tc>
          <w:tcPr>
            <w:tcW w:w="3320" w:type="dxa"/>
            <w:vAlign w:val="bottom"/>
            <w:tcBorders>
              <w:bottom w:val="single" w:sz="8" w:color="auto"/>
            </w:tcBorders>
          </w:tcPr>
          <w:p>
            <w:pPr>
              <w:jc w:val="center"/>
              <w:ind w:left="1375"/>
              <w:spacing w:after="0"/>
              <w:rPr>
                <w:sz w:val="20"/>
                <w:szCs w:val="20"/>
                <w:color w:val="auto"/>
              </w:rPr>
            </w:pPr>
            <w:r>
              <w:rPr>
                <w:rFonts w:ascii="Times New Roman" w:cs="Times New Roman" w:eastAsia="Times New Roman" w:hAnsi="Times New Roman"/>
                <w:sz w:val="17"/>
                <w:szCs w:val="17"/>
                <w:b w:val="1"/>
                <w:bCs w:val="1"/>
                <w:color w:val="auto"/>
              </w:rPr>
              <w:t>Organization</w:t>
            </w: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Ownership Resorts,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Issuer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ILG,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Vacations Worldwide Corporation</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Apollo Marketing,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California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 Hospitality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 Hotels and Resorts Operator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 Hotels and Resorts,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 Hotels &amp; Resorts,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 Luana Operator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Aqua-Aston Holdings,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Aqua-Aston Hospitality,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Aston Hotels &amp; Resorts Florida,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Aston Services,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Beach House Development Partnership</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CDP GP,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CDP Investors, L.P.</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Cerromar Development Partners GP,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Cerromar Development Partners, L.P., S.E.</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Champagne Resorts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Coconut Plantation Partner,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Data Marketing Associates East,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Diamond Head Management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Flex Collection,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FOH Holdings,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FOH Hospitality,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Aspen Holdings,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Aspen Lodging,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Hawaii Vacation Title Services,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Hospitality Team Members,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California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 Management Services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HPC Developer,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HT-Highlands,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HTS-BC,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HTS-Beach House Partner,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HTS-Beach House,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HTS-Coconut Point,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HTS-Ground Lake Tahoe,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HTS-Key West,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HTS-KW,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819"/>
        </w:trPr>
        <w:tc>
          <w:tcPr>
            <w:tcW w:w="3520" w:type="dxa"/>
            <w:vAlign w:val="bottom"/>
          </w:tcPr>
          <w:p>
            <w:pPr>
              <w:spacing w:after="0"/>
              <w:rPr>
                <w:sz w:val="24"/>
                <w:szCs w:val="24"/>
                <w:color w:val="auto"/>
              </w:rPr>
            </w:pPr>
          </w:p>
        </w:tc>
        <w:tc>
          <w:tcPr>
            <w:tcW w:w="3320" w:type="dxa"/>
            <w:vAlign w:val="bottom"/>
          </w:tcPr>
          <w:p>
            <w:pPr>
              <w:jc w:val="right"/>
              <w:ind w:right="2575"/>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8" w:right="339" w:bottom="1440" w:gutter="0" w:footer="0" w:header="0"/>
        </w:sectPr>
      </w:pPr>
    </w:p>
    <w:bookmarkStart w:id="171" w:name="page172"/>
    <w:bookmarkEnd w:id="171"/>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4280" w:type="dxa"/>
            <w:vAlign w:val="bottom"/>
          </w:tcPr>
          <w:p>
            <w:pPr>
              <w:spacing w:after="0"/>
              <w:rPr>
                <w:sz w:val="17"/>
                <w:szCs w:val="17"/>
                <w:color w:val="auto"/>
              </w:rPr>
            </w:pP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280" w:type="dxa"/>
            <w:vAlign w:val="bottom"/>
            <w:vMerge w:val="restart"/>
          </w:tcPr>
          <w:p>
            <w:pPr>
              <w:ind w:left="2280"/>
              <w:spacing w:after="0"/>
              <w:rPr>
                <w:sz w:val="20"/>
                <w:szCs w:val="20"/>
                <w:color w:val="auto"/>
              </w:rPr>
            </w:pPr>
            <w:r>
              <w:rPr>
                <w:rFonts w:ascii="Times New Roman" w:cs="Times New Roman" w:eastAsia="Times New Roman" w:hAnsi="Times New Roman"/>
                <w:sz w:val="17"/>
                <w:szCs w:val="17"/>
                <w:b w:val="1"/>
                <w:bCs w:val="1"/>
                <w:color w:val="auto"/>
              </w:rPr>
              <w:t>Entity</w:t>
            </w:r>
          </w:p>
        </w:tc>
        <w:tc>
          <w:tcPr>
            <w:tcW w:w="2560" w:type="dxa"/>
            <w:vAlign w:val="bottom"/>
          </w:tcPr>
          <w:p>
            <w:pPr>
              <w:jc w:val="center"/>
              <w:ind w:left="615"/>
              <w:spacing w:after="0" w:line="172" w:lineRule="exact"/>
              <w:rPr>
                <w:sz w:val="20"/>
                <w:szCs w:val="20"/>
                <w:color w:val="auto"/>
              </w:rPr>
            </w:pPr>
            <w:r>
              <w:rPr>
                <w:rFonts w:ascii="Times New Roman" w:cs="Times New Roman" w:eastAsia="Times New Roman" w:hAnsi="Times New Roman"/>
                <w:sz w:val="17"/>
                <w:szCs w:val="17"/>
                <w:b w:val="1"/>
                <w:bCs w:val="1"/>
                <w:color w:val="auto"/>
                <w:w w:val="99"/>
              </w:rPr>
              <w:t>Incorporation or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auto"/>
            </w:tcBorders>
            <w:vMerge w:val="continue"/>
          </w:tcPr>
          <w:p>
            <w:pPr>
              <w:spacing w:after="0"/>
              <w:rPr>
                <w:sz w:val="19"/>
                <w:szCs w:val="19"/>
                <w:color w:val="auto"/>
              </w:rPr>
            </w:pPr>
          </w:p>
        </w:tc>
        <w:tc>
          <w:tcPr>
            <w:tcW w:w="256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7"/>
                <w:szCs w:val="17"/>
                <w:b w:val="1"/>
                <w:bCs w:val="1"/>
                <w:color w:val="auto"/>
              </w:rPr>
              <w:t>Organization</w:t>
            </w: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HTS-Lake Tahoe,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HTS-Loan Servicing,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HTS-Main Street Station,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HTS-Maui,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HTS-San Antonio,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HTS-San Antonio,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HTS-San Antonio, L.P.</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HTS-Sedona,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HTS-Sunset Harbor Partner,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HTS-Windward Pointe Partner,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 Global Group,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 Global Management Corporation</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 Global Marketing Corporation</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HVO Holdings,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IIC Holdings, Incorporated</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ILG Management,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ILG Shared Ownership,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Holdings,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International,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Resort &amp; Financial Services,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Software Services,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Kai Management Services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Kauai Blue,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Kauai Lagoons Holdings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Key Wester Limited</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Lagunamar Cancun Mexico,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MAIC Travel,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MAIC Travel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Acquisition Holdings,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Kauai Ownership Resorts,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Ownership Resorts Procurement,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Resorts Hospitality Corporation</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w w:val="99"/>
              </w:rPr>
              <w:t>South Carolina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Resorts Sales Company,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Maui Condo and Home,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Member Development,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California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MH Kapalua Venture,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Golf (Kauai),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Member (Kauai),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Residences,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Waikoloa Holding Company,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MTSC,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of Hawaii,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Services Corporation</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SSC,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96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967" w:right="1440" w:bottom="1440" w:gutter="0" w:footer="0" w:header="0"/>
          <w:type w:val="continuous"/>
        </w:sectPr>
      </w:pPr>
    </w:p>
    <w:bookmarkStart w:id="172" w:name="page173"/>
    <w:bookmarkEnd w:id="172"/>
    <w:tbl>
      <w:tblPr>
        <w:tblLayout w:type="fixed"/>
        <w:tblInd w:w="360" w:type="dxa"/>
        <w:tblCellMar>
          <w:top w:w="0" w:type="dxa"/>
          <w:left w:w="0" w:type="dxa"/>
          <w:bottom w:w="0" w:type="dxa"/>
          <w:right w:w="0" w:type="dxa"/>
        </w:tblCellMar>
      </w:tblPr>
      <w:tr>
        <w:trPr>
          <w:trHeight w:val="195"/>
        </w:trPr>
        <w:tc>
          <w:tcPr>
            <w:tcW w:w="4020" w:type="dxa"/>
            <w:vAlign w:val="bottom"/>
          </w:tcPr>
          <w:p>
            <w:pPr>
              <w:spacing w:after="0"/>
              <w:rPr>
                <w:sz w:val="17"/>
                <w:szCs w:val="17"/>
                <w:color w:val="auto"/>
              </w:rPr>
            </w:pP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20" w:type="dxa"/>
            <w:vAlign w:val="bottom"/>
            <w:vMerge w:val="restart"/>
          </w:tcPr>
          <w:p>
            <w:pPr>
              <w:ind w:left="2280"/>
              <w:spacing w:after="0"/>
              <w:rPr>
                <w:sz w:val="20"/>
                <w:szCs w:val="20"/>
                <w:color w:val="auto"/>
              </w:rPr>
            </w:pPr>
            <w:r>
              <w:rPr>
                <w:rFonts w:ascii="Times New Roman" w:cs="Times New Roman" w:eastAsia="Times New Roman" w:hAnsi="Times New Roman"/>
                <w:sz w:val="17"/>
                <w:szCs w:val="17"/>
                <w:b w:val="1"/>
                <w:bCs w:val="1"/>
                <w:color w:val="auto"/>
              </w:rPr>
              <w:t>Entity</w:t>
            </w:r>
          </w:p>
        </w:tc>
        <w:tc>
          <w:tcPr>
            <w:tcW w:w="2820" w:type="dxa"/>
            <w:vAlign w:val="bottom"/>
          </w:tcPr>
          <w:p>
            <w:pPr>
              <w:jc w:val="center"/>
              <w:ind w:left="875"/>
              <w:spacing w:after="0" w:line="172" w:lineRule="exact"/>
              <w:rPr>
                <w:sz w:val="20"/>
                <w:szCs w:val="20"/>
                <w:color w:val="auto"/>
              </w:rPr>
            </w:pPr>
            <w:r>
              <w:rPr>
                <w:rFonts w:ascii="Times New Roman" w:cs="Times New Roman" w:eastAsia="Times New Roman" w:hAnsi="Times New Roman"/>
                <w:sz w:val="17"/>
                <w:szCs w:val="17"/>
                <w:b w:val="1"/>
                <w:bCs w:val="1"/>
                <w:color w:val="auto"/>
                <w:w w:val="99"/>
              </w:rPr>
              <w:t>Incorporation or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2028 Notes</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auto"/>
            </w:tcBorders>
            <w:vMerge w:val="continue"/>
          </w:tcPr>
          <w:p>
            <w:pPr>
              <w:spacing w:after="0"/>
              <w:rPr>
                <w:sz w:val="19"/>
                <w:szCs w:val="19"/>
                <w:color w:val="auto"/>
              </w:rPr>
            </w:pPr>
          </w:p>
        </w:tc>
        <w:tc>
          <w:tcPr>
            <w:tcW w:w="2820" w:type="dxa"/>
            <w:vAlign w:val="bottom"/>
            <w:tcBorders>
              <w:bottom w:val="single" w:sz="8" w:color="auto"/>
            </w:tcBorders>
          </w:tcPr>
          <w:p>
            <w:pPr>
              <w:jc w:val="center"/>
              <w:ind w:left="895"/>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US Holdings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US Services,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Vacations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Pelican Landing Timeshare Ventures Limited Partnership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R.C. Chronicle Building, L.P.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RBF,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RCC (GP) Holdings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RCC (LP) Holdings L.P.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RCDC 942,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RCDC Chronicle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 Holdings, Ltd.</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Finance Services,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Sales Services,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S.O.I. Acquisition Corp.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Scottsdale Residence Club,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Sheraton Flex Vacations,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Soleil Communications, Inc.</w:t>
            </w:r>
          </w:p>
        </w:tc>
        <w:tc>
          <w:tcPr>
            <w:tcW w:w="2820" w:type="dxa"/>
            <w:vAlign w:val="bottom"/>
          </w:tcPr>
          <w:p>
            <w:pPr>
              <w:jc w:val="center"/>
              <w:ind w:left="895"/>
              <w:spacing w:after="0"/>
              <w:rPr>
                <w:sz w:val="20"/>
                <w:szCs w:val="20"/>
                <w:color w:val="auto"/>
              </w:rPr>
            </w:pPr>
            <w:r>
              <w:rPr>
                <w:rFonts w:ascii="Times New Roman" w:cs="Times New Roman" w:eastAsia="Times New Roman" w:hAnsi="Times New Roman"/>
                <w:sz w:val="17"/>
                <w:szCs w:val="17"/>
                <w:color w:val="auto"/>
                <w:w w:val="98"/>
              </w:rPr>
              <w:t>California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 Regis New York Management,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 Regis Residence Club, New York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Cobalt Travel Company,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Lion &amp; Crown Travel Co.,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Ritz-Carlton Development Company,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Ritz-Carlton Management Company,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Ritz-Carlton Sales Company,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Ritz-Carlton Title Company,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Vacation Ownership Lending GP,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Vacation Ownership Lending, L.P.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Vacation Title Services,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VCH Communications,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VCH Consulting,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VCH Systems,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Acceptance Corp.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Aventuras,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California Management, Inc.</w:t>
            </w:r>
          </w:p>
        </w:tc>
        <w:tc>
          <w:tcPr>
            <w:tcW w:w="2820" w:type="dxa"/>
            <w:vAlign w:val="bottom"/>
          </w:tcPr>
          <w:p>
            <w:pPr>
              <w:jc w:val="center"/>
              <w:ind w:left="895"/>
              <w:spacing w:after="0"/>
              <w:rPr>
                <w:sz w:val="20"/>
                <w:szCs w:val="20"/>
                <w:color w:val="auto"/>
              </w:rPr>
            </w:pPr>
            <w:r>
              <w:rPr>
                <w:rFonts w:ascii="Times New Roman" w:cs="Times New Roman" w:eastAsia="Times New Roman" w:hAnsi="Times New Roman"/>
                <w:sz w:val="17"/>
                <w:szCs w:val="17"/>
                <w:color w:val="auto"/>
                <w:w w:val="98"/>
              </w:rPr>
              <w:t>California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Development,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Hawaii Management,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Management,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MB Management,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w w:val="99"/>
              </w:rPr>
              <w:t>South Carolina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Portfolio Services,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PSL,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Residential Management,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Signature Experiences,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Signature Network,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Guarantor</w:t>
            </w:r>
          </w:p>
        </w:tc>
        <w:tc>
          <w:tcPr>
            <w:tcW w:w="0" w:type="dxa"/>
            <w:vAlign w:val="bottom"/>
          </w:tcPr>
          <w:p>
            <w:pPr>
              <w:spacing w:after="0"/>
              <w:rPr>
                <w:sz w:val="1"/>
                <w:szCs w:val="1"/>
                <w:color w:val="auto"/>
              </w:rPr>
            </w:pPr>
          </w:p>
        </w:tc>
      </w:tr>
      <w:tr>
        <w:trPr>
          <w:trHeight w:val="819"/>
        </w:trPr>
        <w:tc>
          <w:tcPr>
            <w:tcW w:w="4020" w:type="dxa"/>
            <w:vAlign w:val="bottom"/>
          </w:tcPr>
          <w:p>
            <w:pPr>
              <w:spacing w:after="0"/>
              <w:rPr>
                <w:sz w:val="24"/>
                <w:szCs w:val="24"/>
                <w:color w:val="auto"/>
              </w:rPr>
            </w:pPr>
          </w:p>
        </w:tc>
        <w:tc>
          <w:tcPr>
            <w:tcW w:w="2820" w:type="dxa"/>
            <w:vAlign w:val="bottom"/>
          </w:tcPr>
          <w:p>
            <w:pPr>
              <w:jc w:val="right"/>
              <w:ind w:right="2575"/>
              <w:spacing w:after="0"/>
              <w:rPr>
                <w:sz w:val="20"/>
                <w:szCs w:val="20"/>
                <w:color w:val="auto"/>
              </w:rPr>
            </w:pPr>
            <w:r>
              <w:rPr>
                <w:rFonts w:ascii="Times New Roman" w:cs="Times New Roman" w:eastAsia="Times New Roman" w:hAnsi="Times New Roman"/>
                <w:sz w:val="17"/>
                <w:szCs w:val="17"/>
                <w:color w:val="auto"/>
              </w:rPr>
              <w:t>3</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67" w:right="1440" w:bottom="1440" w:gutter="0" w:footer="0" w:header="0"/>
        </w:sectPr>
      </w:pPr>
    </w:p>
    <w:bookmarkStart w:id="173" w:name="page174"/>
    <w:bookmarkEnd w:id="173"/>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3420" w:type="dxa"/>
            <w:vAlign w:val="bottom"/>
          </w:tcPr>
          <w:p>
            <w:pPr>
              <w:spacing w:after="0"/>
              <w:rPr>
                <w:sz w:val="17"/>
                <w:szCs w:val="17"/>
                <w:color w:val="auto"/>
              </w:rPr>
            </w:pP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420" w:type="dxa"/>
            <w:vAlign w:val="bottom"/>
            <w:vMerge w:val="restart"/>
          </w:tcPr>
          <w:p>
            <w:pPr>
              <w:ind w:left="2280"/>
              <w:spacing w:after="0"/>
              <w:rPr>
                <w:sz w:val="20"/>
                <w:szCs w:val="20"/>
                <w:color w:val="auto"/>
              </w:rPr>
            </w:pPr>
            <w:r>
              <w:rPr>
                <w:rFonts w:ascii="Times New Roman" w:cs="Times New Roman" w:eastAsia="Times New Roman" w:hAnsi="Times New Roman"/>
                <w:sz w:val="17"/>
                <w:szCs w:val="17"/>
                <w:b w:val="1"/>
                <w:bCs w:val="1"/>
                <w:color w:val="auto"/>
              </w:rPr>
              <w:t>Entity</w:t>
            </w:r>
          </w:p>
        </w:tc>
        <w:tc>
          <w:tcPr>
            <w:tcW w:w="3420" w:type="dxa"/>
            <w:vAlign w:val="bottom"/>
          </w:tcPr>
          <w:p>
            <w:pPr>
              <w:jc w:val="center"/>
              <w:ind w:left="1475"/>
              <w:spacing w:after="0" w:line="172" w:lineRule="exact"/>
              <w:rPr>
                <w:sz w:val="20"/>
                <w:szCs w:val="20"/>
                <w:color w:val="auto"/>
              </w:rPr>
            </w:pPr>
            <w:r>
              <w:rPr>
                <w:rFonts w:ascii="Times New Roman" w:cs="Times New Roman" w:eastAsia="Times New Roman" w:hAnsi="Times New Roman"/>
                <w:sz w:val="17"/>
                <w:szCs w:val="17"/>
                <w:b w:val="1"/>
                <w:bCs w:val="1"/>
                <w:color w:val="auto"/>
                <w:w w:val="99"/>
              </w:rPr>
              <w:t>Incorporation or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auto"/>
            </w:tcBorders>
            <w:vMerge w:val="continue"/>
          </w:tcPr>
          <w:p>
            <w:pPr>
              <w:spacing w:after="0"/>
              <w:rPr>
                <w:sz w:val="19"/>
                <w:szCs w:val="19"/>
                <w:color w:val="auto"/>
              </w:rPr>
            </w:pPr>
          </w:p>
        </w:tc>
        <w:tc>
          <w:tcPr>
            <w:tcW w:w="3420" w:type="dxa"/>
            <w:vAlign w:val="bottom"/>
            <w:tcBorders>
              <w:bottom w:val="single" w:sz="8" w:color="auto"/>
            </w:tcBorders>
          </w:tcPr>
          <w:p>
            <w:pPr>
              <w:jc w:val="center"/>
              <w:ind w:left="1475"/>
              <w:spacing w:after="0"/>
              <w:rPr>
                <w:sz w:val="20"/>
                <w:szCs w:val="20"/>
                <w:color w:val="auto"/>
              </w:rPr>
            </w:pPr>
            <w:r>
              <w:rPr>
                <w:rFonts w:ascii="Times New Roman" w:cs="Times New Roman" w:eastAsia="Times New Roman" w:hAnsi="Times New Roman"/>
                <w:sz w:val="17"/>
                <w:szCs w:val="17"/>
                <w:b w:val="1"/>
                <w:bCs w:val="1"/>
                <w:color w:val="auto"/>
              </w:rPr>
              <w:t>Organization</w:t>
            </w: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Vacation Ownership,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Vacation Realty,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Vacation Services Hawaii,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Hawaii</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 GP,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 Investors, L.P.</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Volt Merger Sub, LLC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Development,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East,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Mexico Portfolio Services,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Myrtle Beach, LLC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w w:val="99"/>
              </w:rPr>
              <w:t>South Carolina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Pacific,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Trademark,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Vistana Villages,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West,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Hospitality Management,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Mountain Villas,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 Group,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 Properties,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Resorts Northstar, LLC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Resorts Vacation Rentals,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Westin Sheraton Vacation Services,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Windward Pointe II, L.L.C.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Worldwide Vacation &amp; Travel,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WVC Rancho Mirage,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Delaware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819"/>
        </w:trPr>
        <w:tc>
          <w:tcPr>
            <w:tcW w:w="3420" w:type="dxa"/>
            <w:vAlign w:val="bottom"/>
          </w:tcPr>
          <w:p>
            <w:pPr>
              <w:spacing w:after="0"/>
              <w:rPr>
                <w:sz w:val="24"/>
                <w:szCs w:val="24"/>
                <w:color w:val="auto"/>
              </w:rPr>
            </w:pPr>
          </w:p>
        </w:tc>
        <w:tc>
          <w:tcPr>
            <w:tcW w:w="3420" w:type="dxa"/>
            <w:vAlign w:val="bottom"/>
          </w:tcPr>
          <w:p>
            <w:pPr>
              <w:jc w:val="right"/>
              <w:ind w:right="2575"/>
              <w:spacing w:after="0"/>
              <w:rPr>
                <w:sz w:val="20"/>
                <w:szCs w:val="20"/>
                <w:color w:val="auto"/>
              </w:rPr>
            </w:pPr>
            <w:r>
              <w:rPr>
                <w:rFonts w:ascii="Times New Roman" w:cs="Times New Roman" w:eastAsia="Times New Roman" w:hAnsi="Times New Roman"/>
                <w:sz w:val="17"/>
                <w:szCs w:val="17"/>
                <w:color w:val="auto"/>
              </w:rPr>
              <w:t>4</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67" w:right="1440"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320" w:lineRule="exact"/>
        <w:rPr>
          <w:sz w:val="20"/>
          <w:szCs w:val="20"/>
          <w:color w:val="auto"/>
        </w:rPr>
      </w:pPr>
    </w:p>
    <w:p>
      <w:pPr>
        <w:ind w:right="3000" w:firstLine="3008"/>
        <w:spacing w:after="0" w:line="475" w:lineRule="auto"/>
        <w:rPr>
          <w:sz w:val="20"/>
          <w:szCs w:val="20"/>
          <w:color w:val="auto"/>
        </w:rPr>
      </w:pPr>
      <w:r>
        <w:rPr>
          <w:rFonts w:ascii="Times New Roman" w:cs="Times New Roman" w:eastAsia="Times New Roman" w:hAnsi="Times New Roman"/>
          <w:sz w:val="20"/>
          <w:szCs w:val="20"/>
          <w:b w:val="1"/>
          <w:bCs w:val="1"/>
          <w:color w:val="auto"/>
        </w:rPr>
        <w:t xml:space="preserve">Consent of Independent Registered Public Accounting Firm </w:t>
      </w:r>
      <w:r>
        <w:rPr>
          <w:rFonts w:ascii="Times New Roman" w:cs="Times New Roman" w:eastAsia="Times New Roman" w:hAnsi="Times New Roman"/>
          <w:sz w:val="20"/>
          <w:szCs w:val="20"/>
          <w:color w:val="auto"/>
        </w:rPr>
        <w:t>We consent to the incorporation by reference in the following Registration Statements:</w:t>
      </w:r>
    </w:p>
    <w:p>
      <w:pPr>
        <w:spacing w:after="0" w:line="2" w:lineRule="exact"/>
        <w:rPr>
          <w:sz w:val="20"/>
          <w:szCs w:val="20"/>
          <w:color w:val="auto"/>
        </w:rPr>
      </w:pPr>
    </w:p>
    <w:p>
      <w:pPr>
        <w:ind w:left="620" w:right="660" w:hanging="311"/>
        <w:spacing w:after="0" w:line="291" w:lineRule="auto"/>
        <w:tabs>
          <w:tab w:leader="none" w:pos="61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333-191765) pertaining to the Marriott Vacations Worldwide Corporation Deferred Compensation Plan,</w:t>
      </w:r>
    </w:p>
    <w:p>
      <w:pPr>
        <w:spacing w:after="0" w:line="133" w:lineRule="exact"/>
        <w:rPr>
          <w:rFonts w:ascii="Times New Roman" w:cs="Times New Roman" w:eastAsia="Times New Roman" w:hAnsi="Times New Roman"/>
          <w:sz w:val="20"/>
          <w:szCs w:val="20"/>
          <w:color w:val="auto"/>
        </w:rPr>
      </w:pPr>
    </w:p>
    <w:p>
      <w:pPr>
        <w:ind w:left="620" w:right="120" w:hanging="311"/>
        <w:spacing w:after="0" w:line="291" w:lineRule="auto"/>
        <w:tabs>
          <w:tab w:leader="none" w:pos="61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333-177798) pertaining to the Marriott Vacations Worldwide Corporation Stock and Cash Incentive Plan,</w:t>
      </w:r>
    </w:p>
    <w:p>
      <w:pPr>
        <w:spacing w:after="0" w:line="133" w:lineRule="exact"/>
        <w:rPr>
          <w:rFonts w:ascii="Times New Roman" w:cs="Times New Roman" w:eastAsia="Times New Roman" w:hAnsi="Times New Roman"/>
          <w:sz w:val="20"/>
          <w:szCs w:val="20"/>
          <w:color w:val="auto"/>
        </w:rPr>
      </w:pPr>
    </w:p>
    <w:p>
      <w:pPr>
        <w:ind w:left="620" w:right="40" w:hanging="311"/>
        <w:spacing w:after="0" w:line="304" w:lineRule="auto"/>
        <w:tabs>
          <w:tab w:leader="none" w:pos="61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333-205808) pertaining to the Marriott Vacations Worldwide Corporation Employee Stock Purchase Plan,</w:t>
      </w:r>
    </w:p>
    <w:p>
      <w:pPr>
        <w:spacing w:after="0" w:line="120" w:lineRule="exact"/>
        <w:rPr>
          <w:rFonts w:ascii="Times New Roman" w:cs="Times New Roman" w:eastAsia="Times New Roman" w:hAnsi="Times New Roman"/>
          <w:sz w:val="20"/>
          <w:szCs w:val="20"/>
          <w:color w:val="auto"/>
        </w:rPr>
      </w:pPr>
    </w:p>
    <w:p>
      <w:pPr>
        <w:ind w:left="620" w:right="660" w:hanging="311"/>
        <w:spacing w:after="0" w:line="291" w:lineRule="auto"/>
        <w:tabs>
          <w:tab w:leader="none" w:pos="61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333-211037) pertaining to the Marriott Vacations Worldwide Corporation Deferred Compensation Plan,</w:t>
      </w:r>
    </w:p>
    <w:p>
      <w:pPr>
        <w:spacing w:after="0" w:line="133" w:lineRule="exact"/>
        <w:rPr>
          <w:rFonts w:ascii="Times New Roman" w:cs="Times New Roman" w:eastAsia="Times New Roman" w:hAnsi="Times New Roman"/>
          <w:sz w:val="20"/>
          <w:szCs w:val="20"/>
          <w:color w:val="auto"/>
        </w:rPr>
      </w:pPr>
    </w:p>
    <w:p>
      <w:pPr>
        <w:ind w:left="620" w:right="260" w:hanging="311"/>
        <w:spacing w:after="0" w:line="291" w:lineRule="auto"/>
        <w:tabs>
          <w:tab w:leader="none" w:pos="61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333-227187) pertaining to the Amended and Restated Interval Leisure Group, Inc. 2013 Stock and Incentive Compensation Plan,</w:t>
      </w:r>
    </w:p>
    <w:p>
      <w:pPr>
        <w:spacing w:after="0" w:line="133" w:lineRule="exact"/>
        <w:rPr>
          <w:rFonts w:ascii="Times New Roman" w:cs="Times New Roman" w:eastAsia="Times New Roman" w:hAnsi="Times New Roman"/>
          <w:sz w:val="20"/>
          <w:szCs w:val="20"/>
          <w:color w:val="auto"/>
        </w:rPr>
      </w:pPr>
    </w:p>
    <w:p>
      <w:pPr>
        <w:ind w:left="620" w:right="380" w:hanging="311"/>
        <w:spacing w:after="0" w:line="304" w:lineRule="auto"/>
        <w:tabs>
          <w:tab w:leader="none" w:pos="61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333-239368) pertaining to the Marriott Vacations Worldwide Corporation 2020 Equity Incentive Plan,</w:t>
      </w:r>
    </w:p>
    <w:p>
      <w:pPr>
        <w:spacing w:after="0" w:line="120" w:lineRule="exact"/>
        <w:rPr>
          <w:rFonts w:ascii="Times New Roman" w:cs="Times New Roman" w:eastAsia="Times New Roman" w:hAnsi="Times New Roman"/>
          <w:sz w:val="20"/>
          <w:szCs w:val="20"/>
          <w:color w:val="auto"/>
        </w:rPr>
      </w:pPr>
    </w:p>
    <w:p>
      <w:pPr>
        <w:ind w:left="620" w:right="660" w:hanging="311"/>
        <w:spacing w:after="0" w:line="291" w:lineRule="auto"/>
        <w:tabs>
          <w:tab w:leader="none" w:pos="61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333-266734) pertaining to the Marriott Vacations Worldwide Corporation Deferred Compensation Plan, and</w:t>
      </w:r>
    </w:p>
    <w:p>
      <w:pPr>
        <w:spacing w:after="0" w:line="133" w:lineRule="exact"/>
        <w:rPr>
          <w:rFonts w:ascii="Times New Roman" w:cs="Times New Roman" w:eastAsia="Times New Roman" w:hAnsi="Times New Roman"/>
          <w:sz w:val="20"/>
          <w:szCs w:val="20"/>
          <w:color w:val="auto"/>
        </w:rPr>
      </w:pPr>
    </w:p>
    <w:p>
      <w:pPr>
        <w:ind w:left="620" w:right="380" w:hanging="311"/>
        <w:spacing w:after="0" w:line="291" w:lineRule="auto"/>
        <w:tabs>
          <w:tab w:leader="none" w:pos="61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333-279656) pertaining to the Marriott Vacations Worldwide Corporation 2020 Equity Incentive Plan;</w:t>
      </w:r>
    </w:p>
    <w:p>
      <w:pPr>
        <w:spacing w:after="0" w:line="146"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20"/>
          <w:szCs w:val="20"/>
          <w:color w:val="auto"/>
        </w:rPr>
        <w:t>of our reports dated February 27, 2026,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year ended December 31, 2025.</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Orlando, Florida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2026</w:t>
      </w:r>
    </w:p>
    <w:p>
      <w:pPr>
        <w:sectPr>
          <w:pgSz w:w="11900" w:h="16838" w:orient="portrait"/>
          <w:cols w:equalWidth="0" w:num="1">
            <w:col w:w="11240"/>
          </w:cols>
          <w:pgMar w:left="320" w:top="73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Matthew E. Avril, certify that:</w:t>
      </w:r>
    </w:p>
    <w:p>
      <w:pPr>
        <w:spacing w:after="0" w:line="112" w:lineRule="exact"/>
        <w:rPr>
          <w:sz w:val="20"/>
          <w:szCs w:val="20"/>
          <w:color w:val="auto"/>
        </w:rPr>
      </w:pPr>
    </w:p>
    <w:p>
      <w:pPr>
        <w:ind w:left="620" w:hanging="311"/>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Marriott Vacations Worldwide Corporation;</w:t>
      </w:r>
    </w:p>
    <w:p>
      <w:pPr>
        <w:spacing w:after="0" w:line="111" w:lineRule="exact"/>
        <w:rPr>
          <w:rFonts w:ascii="Times New Roman" w:cs="Times New Roman" w:eastAsia="Times New Roman" w:hAnsi="Times New Roman"/>
          <w:sz w:val="17"/>
          <w:szCs w:val="17"/>
          <w:color w:val="auto"/>
        </w:rPr>
      </w:pPr>
    </w:p>
    <w:p>
      <w:pPr>
        <w:ind w:left="620" w:right="240" w:hanging="311"/>
        <w:spacing w:after="0" w:line="283" w:lineRule="auto"/>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7"/>
          <w:szCs w:val="17"/>
          <w:color w:val="auto"/>
        </w:rPr>
      </w:pPr>
    </w:p>
    <w:p>
      <w:pPr>
        <w:ind w:left="620" w:right="40" w:hanging="311"/>
        <w:spacing w:after="0" w:line="283" w:lineRule="auto"/>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7"/>
          <w:szCs w:val="17"/>
          <w:color w:val="auto"/>
        </w:rPr>
      </w:pPr>
    </w:p>
    <w:p>
      <w:pPr>
        <w:ind w:left="620" w:hanging="311"/>
        <w:spacing w:after="0" w:line="267" w:lineRule="auto"/>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7"/>
          <w:szCs w:val="17"/>
          <w:color w:val="auto"/>
        </w:rPr>
      </w:pPr>
    </w:p>
    <w:p>
      <w:pPr>
        <w:ind w:left="1300" w:right="260" w:hanging="377"/>
        <w:spacing w:after="0" w:line="267" w:lineRule="auto"/>
        <w:tabs>
          <w:tab w:leader="none" w:pos="1297"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7"/>
          <w:szCs w:val="17"/>
          <w:color w:val="auto"/>
        </w:rPr>
      </w:pPr>
    </w:p>
    <w:p>
      <w:pPr>
        <w:ind w:left="1240" w:right="40" w:hanging="317"/>
        <w:spacing w:after="0" w:line="267" w:lineRule="auto"/>
        <w:tabs>
          <w:tab w:leader="none" w:pos="1234"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7"/>
          <w:szCs w:val="17"/>
          <w:color w:val="auto"/>
        </w:rPr>
      </w:pPr>
    </w:p>
    <w:p>
      <w:pPr>
        <w:jc w:val="both"/>
        <w:ind w:left="1240" w:right="800" w:hanging="317"/>
        <w:spacing w:after="0" w:line="283" w:lineRule="auto"/>
        <w:tabs>
          <w:tab w:leader="none" w:pos="1237"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7"/>
          <w:szCs w:val="17"/>
          <w:color w:val="auto"/>
        </w:rPr>
      </w:pPr>
    </w:p>
    <w:p>
      <w:pPr>
        <w:ind w:left="1240" w:right="60" w:hanging="317"/>
        <w:spacing w:after="0" w:line="267" w:lineRule="auto"/>
        <w:tabs>
          <w:tab w:leader="none" w:pos="1234"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7"/>
          <w:szCs w:val="17"/>
          <w:color w:val="auto"/>
        </w:rPr>
      </w:pPr>
    </w:p>
    <w:p>
      <w:pPr>
        <w:ind w:left="620" w:right="420" w:hanging="311"/>
        <w:spacing w:after="0" w:line="283" w:lineRule="auto"/>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7"/>
          <w:szCs w:val="17"/>
          <w:color w:val="auto"/>
        </w:rPr>
      </w:pPr>
    </w:p>
    <w:p>
      <w:pPr>
        <w:ind w:left="1240" w:right="240" w:hanging="317"/>
        <w:spacing w:after="0" w:line="283" w:lineRule="auto"/>
        <w:tabs>
          <w:tab w:leader="none" w:pos="1237"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7"/>
          <w:szCs w:val="17"/>
          <w:color w:val="auto"/>
        </w:rPr>
      </w:pPr>
    </w:p>
    <w:p>
      <w:pPr>
        <w:ind w:left="1240" w:right="220" w:hanging="317"/>
        <w:spacing w:after="0" w:line="283" w:lineRule="auto"/>
        <w:tabs>
          <w:tab w:leader="none" w:pos="1234"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Matthew E. Avril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Matthew E. Avril</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733"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Jason P. Marino, certify that:</w:t>
      </w:r>
    </w:p>
    <w:p>
      <w:pPr>
        <w:spacing w:after="0" w:line="239" w:lineRule="exact"/>
        <w:rPr>
          <w:sz w:val="20"/>
          <w:szCs w:val="20"/>
          <w:color w:val="auto"/>
        </w:rPr>
      </w:pPr>
    </w:p>
    <w:p>
      <w:pPr>
        <w:ind w:left="620" w:hanging="311"/>
        <w:spacing w:after="0"/>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Marriott Vacations Worldwide Corporation;</w:t>
      </w:r>
    </w:p>
    <w:p>
      <w:pPr>
        <w:spacing w:after="0" w:line="111" w:lineRule="exact"/>
        <w:rPr>
          <w:rFonts w:ascii="Times New Roman" w:cs="Times New Roman" w:eastAsia="Times New Roman" w:hAnsi="Times New Roman"/>
          <w:sz w:val="17"/>
          <w:szCs w:val="17"/>
          <w:color w:val="auto"/>
        </w:rPr>
      </w:pPr>
    </w:p>
    <w:p>
      <w:pPr>
        <w:ind w:left="620" w:right="240" w:hanging="311"/>
        <w:spacing w:after="0" w:line="283"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7"/>
          <w:szCs w:val="17"/>
          <w:color w:val="auto"/>
        </w:rPr>
      </w:pPr>
    </w:p>
    <w:p>
      <w:pPr>
        <w:ind w:left="620" w:right="40" w:hanging="311"/>
        <w:spacing w:after="0" w:line="283"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7"/>
          <w:szCs w:val="17"/>
          <w:color w:val="auto"/>
        </w:rPr>
      </w:pPr>
    </w:p>
    <w:p>
      <w:pPr>
        <w:ind w:left="620" w:hanging="311"/>
        <w:spacing w:after="0" w:line="267"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7"/>
          <w:szCs w:val="17"/>
          <w:color w:val="auto"/>
        </w:rPr>
      </w:pPr>
    </w:p>
    <w:p>
      <w:pPr>
        <w:ind w:left="1240" w:right="340" w:hanging="317"/>
        <w:spacing w:after="0" w:line="267" w:lineRule="auto"/>
        <w:tabs>
          <w:tab w:leader="none" w:pos="1237"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7"/>
          <w:szCs w:val="17"/>
          <w:color w:val="auto"/>
        </w:rPr>
      </w:pPr>
    </w:p>
    <w:p>
      <w:pPr>
        <w:ind w:left="1240" w:right="40" w:hanging="317"/>
        <w:spacing w:after="0" w:line="267" w:lineRule="auto"/>
        <w:tabs>
          <w:tab w:leader="none" w:pos="1234"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7"/>
          <w:szCs w:val="17"/>
          <w:color w:val="auto"/>
        </w:rPr>
      </w:pPr>
    </w:p>
    <w:p>
      <w:pPr>
        <w:jc w:val="both"/>
        <w:ind w:left="1240" w:right="800" w:hanging="317"/>
        <w:spacing w:after="0" w:line="283" w:lineRule="auto"/>
        <w:tabs>
          <w:tab w:leader="none" w:pos="1237"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7"/>
          <w:szCs w:val="17"/>
          <w:color w:val="auto"/>
        </w:rPr>
      </w:pPr>
    </w:p>
    <w:p>
      <w:pPr>
        <w:ind w:left="1240" w:right="60" w:hanging="317"/>
        <w:spacing w:after="0" w:line="267" w:lineRule="auto"/>
        <w:tabs>
          <w:tab w:leader="none" w:pos="1234"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7"/>
          <w:szCs w:val="17"/>
          <w:color w:val="auto"/>
        </w:rPr>
      </w:pPr>
    </w:p>
    <w:p>
      <w:pPr>
        <w:ind w:left="620" w:right="420" w:hanging="311"/>
        <w:spacing w:after="0" w:line="283"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7"/>
          <w:szCs w:val="17"/>
          <w:color w:val="auto"/>
        </w:rPr>
      </w:pPr>
    </w:p>
    <w:p>
      <w:pPr>
        <w:ind w:left="1240" w:right="240" w:hanging="317"/>
        <w:spacing w:after="0" w:line="283" w:lineRule="auto"/>
        <w:tabs>
          <w:tab w:leader="none" w:pos="1237"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7"/>
          <w:szCs w:val="17"/>
          <w:color w:val="auto"/>
        </w:rPr>
      </w:pPr>
    </w:p>
    <w:p>
      <w:pPr>
        <w:ind w:left="1240" w:right="220" w:hanging="317"/>
        <w:spacing w:after="0" w:line="283" w:lineRule="auto"/>
        <w:tabs>
          <w:tab w:leader="none" w:pos="1234"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0745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7">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Jason P. Marino</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733"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Sections 1350(a) and (b))</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Matthew E. Avril, Chief Executive Officer of Marriott Vacations Worldwide Corporation (the “Company”) certify that:</w:t>
      </w:r>
    </w:p>
    <w:p>
      <w:pPr>
        <w:spacing w:after="0" w:line="214" w:lineRule="exact"/>
        <w:rPr>
          <w:sz w:val="20"/>
          <w:szCs w:val="20"/>
          <w:color w:val="auto"/>
        </w:rPr>
      </w:pPr>
    </w:p>
    <w:p>
      <w:pPr>
        <w:ind w:left="620" w:right="60" w:hanging="311"/>
        <w:spacing w:after="0" w:line="283"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period ended December 31, 2025 (the “Annual Report”), fully complies with the requirements of section 13(a) or 15(d) of the Securities Exchange Act of 1934 (15 U.S.C. 78m or 78o(d)); and</w:t>
      </w:r>
    </w:p>
    <w:p>
      <w:pPr>
        <w:spacing w:after="0" w:line="152"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Matthew E. Avril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Matthew E. Avril</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733"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Sections 1350(a) and (b))</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Jason P. Marino, Executive Vice President and Chief Financial Officer of Marriott Vacations Worldwide Corporation (the “Company”) certify that:</w:t>
      </w:r>
    </w:p>
    <w:p>
      <w:pPr>
        <w:spacing w:after="0" w:line="214" w:lineRule="exact"/>
        <w:rPr>
          <w:sz w:val="20"/>
          <w:szCs w:val="20"/>
          <w:color w:val="auto"/>
        </w:rPr>
      </w:pPr>
    </w:p>
    <w:p>
      <w:pPr>
        <w:ind w:left="620" w:right="60" w:hanging="311"/>
        <w:spacing w:after="0" w:line="283"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period ended December 31, 2025 (the “Annual Report”), fully complies with the requirements of section 13(a) or 15(d) of the Securities Exchange Act of 1934 (15 U.S.C. 78m or 78o(d)); and</w:t>
      </w:r>
    </w:p>
    <w:p>
      <w:pPr>
        <w:spacing w:after="0" w:line="152"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Jason P. Marino</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7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1)"/>
      <w:numFmt w:val="decimal"/>
      <w:start w:val="1"/>
    </w:lvl>
  </w:abstractNum>
  <w:abstractNum w:abstractNumId="4">
    <w:nsid w:val="275AC794"/>
    <w:multiLevelType w:val="hybridMultilevel"/>
    <w:lvl w:ilvl="0">
      <w:lvlJc w:val="left"/>
      <w:lvlText w:val="2"/>
      <w:numFmt w:val="bullet"/>
      <w:start w:val="1"/>
    </w:lvl>
  </w:abstractNum>
  <w:abstractNum w:abstractNumId="5">
    <w:nsid w:val="39386575"/>
    <w:multiLevelType w:val="hybridMultilevel"/>
    <w:lvl w:ilvl="0">
      <w:lvlJc w:val="left"/>
      <w:lvlText w:val="3"/>
      <w:numFmt w:val="bullet"/>
      <w:start w:val="1"/>
    </w:lvl>
  </w:abstractNum>
  <w:abstractNum w:abstractNumId="6">
    <w:nsid w:val="1CF10FD8"/>
    <w:multiLevelType w:val="hybridMultilevel"/>
    <w:lvl w:ilvl="0">
      <w:lvlJc w:val="left"/>
      <w:lvlText w:val="1"/>
      <w:numFmt w:val="bullet"/>
      <w:start w:val="1"/>
    </w:lvl>
  </w:abstractNum>
  <w:abstractNum w:abstractNumId="7">
    <w:nsid w:val="180115BE"/>
    <w:multiLevelType w:val="hybridMultilevel"/>
    <w:lvl w:ilvl="0">
      <w:lvlJc w:val="left"/>
      <w:lvlText w:val="2"/>
      <w:numFmt w:val="bullet"/>
      <w:start w:val="1"/>
    </w:lvl>
  </w:abstractNum>
  <w:abstractNum w:abstractNumId="8">
    <w:nsid w:val="235BA861"/>
    <w:multiLevelType w:val="hybridMultilevel"/>
    <w:lvl w:ilvl="0">
      <w:lvlJc w:val="left"/>
      <w:lvlText w:val="4"/>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1)"/>
      <w:numFmt w:val="decimal"/>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lvl w:ilvl="1">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1)"/>
      <w:numFmt w:val="decimal"/>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1)"/>
      <w:numFmt w:val="decimal"/>
      <w:start w:val="1"/>
    </w:lvl>
  </w:abstractNum>
  <w:abstractNum w:abstractNumId="19">
    <w:nsid w:val="579BE4F1"/>
    <w:multiLevelType w:val="hybridMultilevel"/>
    <w:lvl w:ilvl="0">
      <w:lvlJc w:val="left"/>
      <w:lvlText w:val="(%1)"/>
      <w:numFmt w:val="decimal"/>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lvl w:ilvl="1">
      <w:lvlJc w:val="left"/>
      <w:lvlText w:val="•"/>
      <w:numFmt w:val="bullet"/>
      <w:start w:val="1"/>
    </w:lvl>
  </w:abstractNum>
  <w:abstractNum w:abstractNumId="22">
    <w:nsid w:val="2F305DEF"/>
    <w:multiLevelType w:val="hybridMultilevel"/>
    <w:lvl w:ilvl="0">
      <w:lvlJc w:val="left"/>
      <w:lvlText w:val="(%1)"/>
      <w:numFmt w:val="decimal"/>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1)"/>
      <w:numFmt w:val="decimal"/>
      <w:start w:val="1"/>
    </w:lvl>
  </w:abstractNum>
  <w:abstractNum w:abstractNumId="32">
    <w:nsid w:val="5F5E7FD0"/>
    <w:multiLevelType w:val="hybridMultilevel"/>
    <w:lvl w:ilvl="0">
      <w:lvlJc w:val="left"/>
      <w:lvlText w:val="(%1)"/>
      <w:numFmt w:val="decimal"/>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1)"/>
      <w:numFmt w:val="decimal"/>
      <w:start w:val="1"/>
    </w:lvl>
  </w:abstractNum>
  <w:abstractNum w:abstractNumId="35">
    <w:nsid w:val="6B94764"/>
    <w:multiLevelType w:val="hybridMultilevel"/>
    <w:lvl w:ilvl="0">
      <w:lvlJc w:val="left"/>
      <w:lvlText w:val="(%1)"/>
      <w:numFmt w:val="decimal"/>
      <w:start w:val="4"/>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1)"/>
      <w:numFmt w:val="lowerRoman"/>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1)"/>
      <w:numFmt w:val="decimal"/>
      <w:start w:val="10"/>
    </w:lvl>
  </w:abstractNum>
  <w:abstractNum w:abstractNumId="42">
    <w:nsid w:val="7BD3EE7B"/>
    <w:multiLevelType w:val="hybridMultilevel"/>
    <w:lvl w:ilvl="0">
      <w:lvlJc w:val="left"/>
      <w:lvlText w:val="4"/>
      <w:numFmt w:val="bullet"/>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decimal"/>
      <w:start w:val="3"/>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amp;"/>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1)"/>
      <w:numFmt w:val="decimal"/>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1)"/>
      <w:numFmt w:val="decimal"/>
      <w:start w:val="1"/>
    </w:lvl>
  </w:abstractNum>
  <w:abstractNum w:abstractNumId="56">
    <w:nsid w:val="14330624"/>
    <w:multiLevelType w:val="hybridMultilevel"/>
    <w:lvl w:ilvl="0">
      <w:lvlJc w:val="left"/>
      <w:lvlText w:val="(%1)"/>
      <w:numFmt w:val="decimal"/>
      <w:start w:val="1"/>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amp;"/>
      <w:numFmt w:val="bullet"/>
      <w:start w:val="1"/>
    </w:lvl>
  </w:abstractNum>
  <w:abstractNum w:abstractNumId="59">
    <w:nsid w:val="71EA1109"/>
    <w:multiLevelType w:val="hybridMultilevel"/>
    <w:lvl w:ilvl="0">
      <w:lvlJc w:val="left"/>
      <w:lvlText w:val="%1"/>
      <w:numFmt w:val="decimal"/>
      <w:start w:val="101"/>
    </w:lvl>
  </w:abstractNum>
  <w:abstractNum w:abstractNumId="60">
    <w:nsid w:val="100F59DC"/>
    <w:multiLevelType w:val="hybridMultilevel"/>
    <w:lvl w:ilvl="0">
      <w:lvlJc w:val="left"/>
      <w:lvlText w:val="*"/>
      <w:numFmt w:val="bullet"/>
      <w:start w:val="1"/>
    </w:lvl>
    <w:lvl w:ilvl="1">
      <w:lvlJc w:val="left"/>
      <w:lvlText w:val="%2"/>
      <w:numFmt w:val="decimal"/>
      <w:start w:val="104"/>
    </w:lvl>
  </w:abstractNum>
  <w:abstractNum w:abstractNumId="61">
    <w:nsid w:val="7FB7E0AA"/>
    <w:multiLevelType w:val="hybridMultilevel"/>
    <w:lvl w:ilvl="0">
      <w:lvlJc w:val="left"/>
      <w:lvlText w:val="(%1)"/>
      <w:numFmt w:val="decimal"/>
      <w:start w:val="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7"/>
    </w:lvl>
  </w:abstractNum>
  <w:abstractNum w:abstractNumId="64">
    <w:nsid w:val="94211F2"/>
    <w:multiLevelType w:val="hybridMultilevel"/>
    <w:lvl w:ilvl="0">
      <w:lvlJc w:val="left"/>
      <w:lvlText w:val="(%1)"/>
      <w:numFmt w:val="lowerLetter"/>
      <w:start w:val="1"/>
    </w:lvl>
  </w:abstractNum>
  <w:abstractNum w:abstractNumId="65">
    <w:nsid w:val="885E1B"/>
    <w:multiLevelType w:val="hybridMultilevel"/>
    <w:lvl w:ilvl="0">
      <w:lvlJc w:val="left"/>
      <w:lvlText w:val="%1."/>
      <w:numFmt w:val="decimal"/>
      <w:start w:val="8"/>
    </w:lvl>
  </w:abstractNum>
  <w:abstractNum w:abstractNumId="66">
    <w:nsid w:val="76272110"/>
    <w:multiLevelType w:val="hybridMultilevel"/>
    <w:lvl w:ilvl="0">
      <w:lvlJc w:val="left"/>
      <w:lvlText w:val="(%1)"/>
      <w:numFmt w:val="lowerLetter"/>
      <w:start w:val="1"/>
    </w:lvl>
    <w:lvl w:ilvl="1">
      <w:lvlJc w:val="left"/>
      <w:lvlText w:val="%2."/>
      <w:numFmt w:val="decimal"/>
      <w:start w:val="11"/>
    </w:lvl>
  </w:abstractNum>
  <w:abstractNum w:abstractNumId="67">
    <w:nsid w:val="4C04A8AF"/>
    <w:multiLevelType w:val="hybridMultilevel"/>
    <w:lvl w:ilvl="0">
      <w:lvlJc w:val="left"/>
      <w:lvlText w:val="%1"/>
      <w:numFmt w:val="lowerLetter"/>
      <w:start w:val="1"/>
    </w:lvl>
    <w:lvl w:ilvl="1">
      <w:lvlJc w:val="left"/>
      <w:lvlText w:val="%2."/>
      <w:numFmt w:val="decimal"/>
      <w:start w:val="12"/>
    </w:lvl>
  </w:abstractNum>
  <w:abstractNum w:abstractNumId="68">
    <w:nsid w:val="1716703B"/>
    <w:multiLevelType w:val="hybridMultilevel"/>
    <w:lvl w:ilvl="0">
      <w:lvlJc w:val="left"/>
      <w:lvlText w:val="(%1)"/>
      <w:numFmt w:val="lowerLetter"/>
      <w:start w:val="1"/>
    </w:lvl>
    <w:lvl w:ilvl="1">
      <w:lvlJc w:val="left"/>
      <w:lvlText w:val="%2"/>
      <w:numFmt w:val="decimal"/>
      <w:start w:val="1"/>
    </w:lvl>
  </w:abstractNum>
  <w:abstractNum w:abstractNumId="69">
    <w:nsid w:val="14E17E33"/>
    <w:multiLevelType w:val="hybridMultilevel"/>
    <w:lvl w:ilvl="0">
      <w:lvlJc w:val="left"/>
      <w:lvlText w:val="(%1)"/>
      <w:numFmt w:val="lowerLetter"/>
      <w:start w:val="1"/>
    </w:lvl>
  </w:abstractNum>
  <w:abstractNum w:abstractNumId="70">
    <w:nsid w:val="3222E7CD"/>
    <w:multiLevelType w:val="hybridMultilevel"/>
    <w:lvl w:ilvl="0">
      <w:lvlJc w:val="left"/>
      <w:lvlText w:val="%1."/>
      <w:numFmt w:val="decimal"/>
      <w:start w:val="12"/>
    </w:lvl>
  </w:abstractNum>
  <w:abstractNum w:abstractNumId="71">
    <w:nsid w:val="74DE0EE3"/>
    <w:multiLevelType w:val="hybridMultilevel"/>
    <w:lvl w:ilvl="0">
      <w:lvlJc w:val="left"/>
      <w:lvlText w:val="%1."/>
      <w:numFmt w:val="decimal"/>
      <w:start w:val="13"/>
    </w:lvl>
  </w:abstractNum>
  <w:abstractNum w:abstractNumId="72">
    <w:nsid w:val="68EBC550"/>
    <w:multiLevelType w:val="hybridMultilevel"/>
    <w:lvl w:ilvl="0">
      <w:lvlJc w:val="left"/>
      <w:lvlText w:val="%1"/>
      <w:numFmt w:val="lowerLetter"/>
      <w:start w:val="1"/>
    </w:lvl>
    <w:lvl w:ilvl="1">
      <w:lvlJc w:val="left"/>
      <w:lvlText w:val="%2."/>
      <w:numFmt w:val="decimal"/>
      <w:start w:val="1"/>
    </w:lvl>
  </w:abstractNum>
  <w:abstractNum w:abstractNumId="73">
    <w:nsid w:val="2DF6D648"/>
    <w:multiLevelType w:val="hybridMultilevel"/>
    <w:lvl w:ilvl="0">
      <w:lvlJc w:val="left"/>
      <w:lvlText w:val="(%1)"/>
      <w:numFmt w:val="lowerLetter"/>
      <w:start w:val="1"/>
    </w:lvl>
    <w:lvl w:ilvl="1">
      <w:lvlJc w:val="left"/>
      <w:lvlText w:val="%2"/>
      <w:numFmt w:val="decimal"/>
      <w:start w:val="1"/>
    </w:lvl>
  </w:abstractNum>
  <w:abstractNum w:abstractNumId="74">
    <w:nsid w:val="46B7D447"/>
    <w:multiLevelType w:val="hybridMultilevel"/>
    <w:lvl w:ilvl="0">
      <w:lvlJc w:val="left"/>
      <w:lvlText w:val="(%1)"/>
      <w:numFmt w:val="lowerLetter"/>
      <w:start w:val="3"/>
    </w:lvl>
  </w:abstractNum>
  <w:abstractNum w:abstractNumId="75">
    <w:nsid w:val="4A2AC315"/>
    <w:multiLevelType w:val="hybridMultilevel"/>
    <w:lvl w:ilvl="0">
      <w:lvlJc w:val="left"/>
      <w:lvlText w:val="%1."/>
      <w:numFmt w:val="decimal"/>
      <w:start w:val="7"/>
    </w:lvl>
  </w:abstractNum>
  <w:abstractNum w:abstractNumId="76">
    <w:nsid w:val="39EE015C"/>
    <w:multiLevelType w:val="hybridMultilevel"/>
    <w:lvl w:ilvl="0">
      <w:lvlJc w:val="left"/>
      <w:lvlText w:val="(%1)"/>
      <w:numFmt w:val="lowerLetter"/>
      <w:start w:val="1"/>
    </w:lvl>
  </w:abstractNum>
  <w:abstractNum w:abstractNumId="77">
    <w:nsid w:val="57FC4FBB"/>
    <w:multiLevelType w:val="hybridMultilevel"/>
    <w:lvl w:ilvl="0">
      <w:lvlJc w:val="left"/>
      <w:lvlText w:val="%1."/>
      <w:numFmt w:val="decimal"/>
      <w:start w:val="9"/>
    </w:lvl>
  </w:abstractNum>
  <w:abstractNum w:abstractNumId="78">
    <w:nsid w:val="CC1016F"/>
    <w:multiLevelType w:val="hybridMultilevel"/>
    <w:lvl w:ilvl="0">
      <w:lvlJc w:val="left"/>
      <w:lvlText w:val="(%1)"/>
      <w:numFmt w:val="lowerLetter"/>
      <w:start w:val="61"/>
    </w:lvl>
    <w:lvl w:ilvl="1">
      <w:lvlJc w:val="left"/>
      <w:lvlText w:val="(%2)"/>
      <w:numFmt w:val="lowerLetter"/>
      <w:start w:val="1"/>
    </w:lvl>
  </w:abstractNum>
  <w:abstractNum w:abstractNumId="79">
    <w:nsid w:val="43F18422"/>
    <w:multiLevelType w:val="hybridMultilevel"/>
    <w:lvl w:ilvl="0">
      <w:lvlJc w:val="left"/>
      <w:lvlText w:val="(%1)"/>
      <w:numFmt w:val="lowerLetter"/>
      <w:start w:val="1"/>
    </w:lvl>
    <w:lvl w:ilvl="1">
      <w:lvlJc w:val="left"/>
      <w:lvlText w:val="(%2)"/>
      <w:numFmt w:val="lowerLetter"/>
      <w:start w:val="4"/>
    </w:lvl>
  </w:abstractNum>
  <w:abstractNum w:abstractNumId="80">
    <w:nsid w:val="60EF0119"/>
    <w:multiLevelType w:val="hybridMultilevel"/>
    <w:lvl w:ilvl="0">
      <w:lvlJc w:val="left"/>
      <w:lvlText w:val="%1."/>
      <w:numFmt w:val="decimal"/>
      <w:start w:val="12"/>
    </w:lvl>
  </w:abstractNum>
  <w:abstractNum w:abstractNumId="81">
    <w:nsid w:val="26F324BA"/>
    <w:multiLevelType w:val="hybridMultilevel"/>
    <w:lvl w:ilvl="0">
      <w:lvlJc w:val="left"/>
      <w:lvlText w:val="%1."/>
      <w:numFmt w:val="decimal"/>
      <w:start w:val="15"/>
    </w:lvl>
  </w:abstractNum>
  <w:abstractNum w:abstractNumId="82">
    <w:nsid w:val="7F01579B"/>
    <w:multiLevelType w:val="hybridMultilevel"/>
    <w:lvl w:ilvl="0">
      <w:lvlJc w:val="left"/>
      <w:lvlText w:val="%1."/>
      <w:numFmt w:val="decimal"/>
      <w:start w:val="19"/>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
      <w:numFmt w:val="bullet"/>
      <w:start w:val="1"/>
    </w:lvl>
    <w:lvl w:ilvl="1">
      <w:lvlJc w:val="left"/>
      <w:lvlText w:val="•"/>
      <w:numFmt w:val="bullet"/>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lvl w:ilvl="1">
      <w:lvlJc w:val="left"/>
      <w:lvlText w:val="•"/>
      <w:numFmt w:val="bullet"/>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
      <w:numFmt w:val="bullet"/>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1."/>
      <w:numFmt w:val="decimal"/>
      <w:start w:val="1"/>
    </w:lvl>
  </w:abstractNum>
  <w:abstractNum w:abstractNumId="99">
    <w:nsid w:val="14FCE74E"/>
    <w:multiLevelType w:val="hybridMultilevel"/>
    <w:lvl w:ilvl="0">
      <w:lvlJc w:val="left"/>
      <w:lvlText w:val="%1."/>
      <w:numFmt w:val="decimal"/>
      <w:start w:val="1"/>
    </w:lvl>
  </w:abstractNum>
  <w:abstractNum w:abstractNumId="100">
    <w:nsid w:val="6A3DD3E8"/>
    <w:multiLevelType w:val="hybridMultilevel"/>
    <w:lvl w:ilvl="0">
      <w:lvlJc w:val="left"/>
      <w:lvlText w:val="%1."/>
      <w:numFmt w:val="decimal"/>
      <w:start w:val="7"/>
    </w:lvl>
  </w:abstractNum>
  <w:abstractNum w:abstractNumId="101">
    <w:nsid w:val="71C91298"/>
    <w:multiLevelType w:val="hybridMultilevel"/>
    <w:lvl w:ilvl="0">
      <w:lvlJc w:val="left"/>
      <w:lvlText w:val="1"/>
      <w:numFmt w:val="bullet"/>
      <w:start w:val="1"/>
    </w:lvl>
  </w:abstractNum>
  <w:abstractNum w:abstractNumId="102">
    <w:nsid w:val="9DAF632"/>
    <w:multiLevelType w:val="hybridMultilevel"/>
    <w:lvl w:ilvl="0">
      <w:lvlJc w:val="left"/>
      <w:lvlText w:val="%1)"/>
      <w:numFmt w:val="decimal"/>
      <w:start w:val="1"/>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1" Type="http://schemas.openxmlformats.org/officeDocument/2006/relationships/image" Target="media/image171.png"/><Relationship Id="rId184" Type="http://schemas.openxmlformats.org/officeDocument/2006/relationships/image" Target="media/image172.png"/><Relationship Id="rId187" Type="http://schemas.openxmlformats.org/officeDocument/2006/relationships/image" Target="media/image173.png"/><Relationship Id="rId190" Type="http://schemas.openxmlformats.org/officeDocument/2006/relationships/image" Target="media/image174.png"/><Relationship Id="rId192" Type="http://schemas.openxmlformats.org/officeDocument/2006/relationships/image" Target="media/image175.png"/><Relationship Id="rId194" Type="http://schemas.openxmlformats.org/officeDocument/2006/relationships/image" Target="media/image176.png"/><Relationship Id="rId197"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9" Type="http://schemas.openxmlformats.org/officeDocument/2006/relationships/image" Target="media/image184.png"/><Relationship Id="rId212" Type="http://schemas.openxmlformats.org/officeDocument/2006/relationships/image" Target="media/image185.png"/><Relationship Id="rId215" Type="http://schemas.openxmlformats.org/officeDocument/2006/relationships/image" Target="media/image186.png"/><Relationship Id="rId218" Type="http://schemas.openxmlformats.org/officeDocument/2006/relationships/image" Target="media/image187.png"/><Relationship Id="rId220" Type="http://schemas.openxmlformats.org/officeDocument/2006/relationships/image" Target="media/image188.png"/><Relationship Id="rId223" Type="http://schemas.openxmlformats.org/officeDocument/2006/relationships/image" Target="media/image189.png"/><Relationship Id="rId226" Type="http://schemas.openxmlformats.org/officeDocument/2006/relationships/image" Target="media/image190.png"/><Relationship Id="rId229"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8" Type="http://schemas.openxmlformats.org/officeDocument/2006/relationships/image" Target="media/image197.png"/><Relationship Id="rId240" Type="http://schemas.openxmlformats.org/officeDocument/2006/relationships/image" Target="media/image198.png"/><Relationship Id="rId243" Type="http://schemas.openxmlformats.org/officeDocument/2006/relationships/image" Target="media/image199.png"/><Relationship Id="rId247" Type="http://schemas.openxmlformats.org/officeDocument/2006/relationships/image" Target="media/image200.png"/><Relationship Id="rId249" Type="http://schemas.openxmlformats.org/officeDocument/2006/relationships/image" Target="media/image201.png"/><Relationship Id="rId252" Type="http://schemas.openxmlformats.org/officeDocument/2006/relationships/image" Target="media/image202.png"/><Relationship Id="rId255" Type="http://schemas.openxmlformats.org/officeDocument/2006/relationships/image" Target="media/image203.png"/><Relationship Id="rId258" Type="http://schemas.openxmlformats.org/officeDocument/2006/relationships/image" Target="media/image204.png"/><Relationship Id="rId261" Type="http://schemas.openxmlformats.org/officeDocument/2006/relationships/image" Target="media/image205.png"/><Relationship Id="rId263" Type="http://schemas.openxmlformats.org/officeDocument/2006/relationships/image" Target="media/image206.png"/><Relationship Id="rId265" Type="http://schemas.openxmlformats.org/officeDocument/2006/relationships/image" Target="media/image207.png"/><Relationship Id="rId269" Type="http://schemas.openxmlformats.org/officeDocument/2006/relationships/image" Target="media/image208.png"/><Relationship Id="rId283" Type="http://schemas.openxmlformats.org/officeDocument/2006/relationships/image" Target="media/image209.png"/><Relationship Id="rId284" Type="http://schemas.openxmlformats.org/officeDocument/2006/relationships/image" Target="media/image210.png"/><Relationship Id="rId285" Type="http://schemas.openxmlformats.org/officeDocument/2006/relationships/image" Target="media/image211.png"/><Relationship Id="rId288" Type="http://schemas.openxmlformats.org/officeDocument/2006/relationships/image" Target="media/image212.png"/><Relationship Id="rId289" Type="http://schemas.openxmlformats.org/officeDocument/2006/relationships/image" Target="media/image213.png"/><Relationship Id="rId290" Type="http://schemas.openxmlformats.org/officeDocument/2006/relationships/image" Target="media/image214.png"/><Relationship Id="rId291" Type="http://schemas.openxmlformats.org/officeDocument/2006/relationships/image" Target="media/image215.png"/><Relationship Id="rId292" Type="http://schemas.openxmlformats.org/officeDocument/2006/relationships/image" Target="media/image216.png"/><Relationship Id="rId294" Type="http://schemas.openxmlformats.org/officeDocument/2006/relationships/image" Target="media/image217.png"/><Relationship Id="rId295" Type="http://schemas.openxmlformats.org/officeDocument/2006/relationships/image" Target="media/image218.png"/><Relationship Id="rId296" Type="http://schemas.openxmlformats.org/officeDocument/2006/relationships/image" Target="media/image219.png"/><Relationship Id="rId297" Type="http://schemas.openxmlformats.org/officeDocument/2006/relationships/image" Target="media/image220.png"/><Relationship Id="rId298" Type="http://schemas.openxmlformats.org/officeDocument/2006/relationships/image" Target="media/image221.png"/><Relationship Id="rId299" Type="http://schemas.openxmlformats.org/officeDocument/2006/relationships/image" Target="media/image222.png"/><Relationship Id="rId300" Type="http://schemas.openxmlformats.org/officeDocument/2006/relationships/image" Target="media/image223.png"/><Relationship Id="rId301" Type="http://schemas.openxmlformats.org/officeDocument/2006/relationships/image" Target="media/image224.png"/><Relationship Id="rId302" Type="http://schemas.openxmlformats.org/officeDocument/2006/relationships/image" Target="media/image225.png"/><Relationship Id="rId303" Type="http://schemas.openxmlformats.org/officeDocument/2006/relationships/image" Target="media/image226.png"/><Relationship Id="rId304" Type="http://schemas.openxmlformats.org/officeDocument/2006/relationships/image" Target="media/image227.png"/><Relationship Id="rId305" Type="http://schemas.openxmlformats.org/officeDocument/2006/relationships/image" Target="media/image228.png"/><Relationship Id="rId306" Type="http://schemas.openxmlformats.org/officeDocument/2006/relationships/image" Target="media/image229.png"/><Relationship Id="rId307" Type="http://schemas.openxmlformats.org/officeDocument/2006/relationships/image" Target="media/image230.png"/><Relationship Id="rId308" Type="http://schemas.openxmlformats.org/officeDocument/2006/relationships/image" Target="media/image231.png"/><Relationship Id="rId309" Type="http://schemas.openxmlformats.org/officeDocument/2006/relationships/image" Target="media/image232.png"/><Relationship Id="rId310" Type="http://schemas.openxmlformats.org/officeDocument/2006/relationships/image" Target="media/image233.png"/><Relationship Id="rId311" Type="http://schemas.openxmlformats.org/officeDocument/2006/relationships/image" Target="media/image234.jpeg"/><Relationship Id="rId312" Type="http://schemas.openxmlformats.org/officeDocument/2006/relationships/image" Target="media/image235.png"/><Relationship Id="rId313" Type="http://schemas.openxmlformats.org/officeDocument/2006/relationships/image" Target="media/image236.png"/><Relationship Id="rId314" Type="http://schemas.openxmlformats.org/officeDocument/2006/relationships/image" Target="media/image237.png"/><Relationship Id="rId315" Type="http://schemas.openxmlformats.org/officeDocument/2006/relationships/image" Target="media/image238.png"/><Relationship Id="rId316" Type="http://schemas.openxmlformats.org/officeDocument/2006/relationships/image" Target="media/image239.png"/><Relationship Id="rId317" Type="http://schemas.openxmlformats.org/officeDocument/2006/relationships/image" Target="media/image240.png"/><Relationship Id="rId318" Type="http://schemas.openxmlformats.org/officeDocument/2006/relationships/image" Target="media/image241.png"/><Relationship Id="rId319" Type="http://schemas.openxmlformats.org/officeDocument/2006/relationships/image" Target="media/image242.png"/><Relationship Id="rId320" Type="http://schemas.openxmlformats.org/officeDocument/2006/relationships/image" Target="media/image243.png"/><Relationship Id="rId321" Type="http://schemas.openxmlformats.org/officeDocument/2006/relationships/image" Target="media/image244.png"/><Relationship Id="rId322" Type="http://schemas.openxmlformats.org/officeDocument/2006/relationships/image" Target="media/image245.png"/><Relationship Id="rId323" Type="http://schemas.openxmlformats.org/officeDocument/2006/relationships/image" Target="media/image246.png"/><Relationship Id="rId324" Type="http://schemas.openxmlformats.org/officeDocument/2006/relationships/image" Target="media/image247.png"/><Relationship Id="rId325" Type="http://schemas.openxmlformats.org/officeDocument/2006/relationships/image" Target="media/image248.png"/><Relationship Id="rId326" Type="http://schemas.openxmlformats.org/officeDocument/2006/relationships/image" Target="media/image249.png"/><Relationship Id="rId327" Type="http://schemas.openxmlformats.org/officeDocument/2006/relationships/image" Target="media/image250.png"/><Relationship Id="rId328" Type="http://schemas.openxmlformats.org/officeDocument/2006/relationships/image" Target="media/image251.png"/><Relationship Id="rId329" Type="http://schemas.openxmlformats.org/officeDocument/2006/relationships/image" Target="media/image252.png"/><Relationship Id="rId330" Type="http://schemas.openxmlformats.org/officeDocument/2006/relationships/image" Target="media/image253.png"/><Relationship Id="rId331" Type="http://schemas.openxmlformats.org/officeDocument/2006/relationships/image" Target="media/image254.png"/><Relationship Id="rId332" Type="http://schemas.openxmlformats.org/officeDocument/2006/relationships/image" Target="media/image255.png"/><Relationship Id="rId333" Type="http://schemas.openxmlformats.org/officeDocument/2006/relationships/image" Target="media/image256.png"/><Relationship Id="rId334" Type="http://schemas.openxmlformats.org/officeDocument/2006/relationships/image" Target="media/image257.png"/><Relationship Id="rId335" Type="http://schemas.openxmlformats.org/officeDocument/2006/relationships/image" Target="media/image258.png"/><Relationship Id="rId336" Type="http://schemas.openxmlformats.org/officeDocument/2006/relationships/image" Target="media/image259.png"/><Relationship Id="rId337" Type="http://schemas.openxmlformats.org/officeDocument/2006/relationships/image" Target="media/image260.png"/><Relationship Id="rId338" Type="http://schemas.openxmlformats.org/officeDocument/2006/relationships/image" Target="media/image261.png"/><Relationship Id="rId339" Type="http://schemas.openxmlformats.org/officeDocument/2006/relationships/image" Target="media/image262.png"/><Relationship Id="rId66" Type="http://schemas.openxmlformats.org/officeDocument/2006/relationships/hyperlink" Target="https://www.sec.gov/Archives/edgar/data/1524358/000152435825000044/vac-20241231.htm" TargetMode="External"/><Relationship Id="rId174" Type="http://schemas.openxmlformats.org/officeDocument/2006/relationships/hyperlink" Target="https://www.sec.gov/Archives/edgar/data/1524358/000119312511320045/d256766dex21.htm" TargetMode="External"/><Relationship Id="rId180" Type="http://schemas.openxmlformats.org/officeDocument/2006/relationships/hyperlink" Target="https://www.sec.gov/Archives/edgar/data/1524358/000119312518144431/d577638dex21.htm" TargetMode="External"/><Relationship Id="rId182" Type="http://schemas.openxmlformats.org/officeDocument/2006/relationships/hyperlink" Target="https://www.sec.gov/Archives/edgar/data/1524358/000152435821000007/projectchampagne-mergeragr.htm" TargetMode="External"/><Relationship Id="rId183" Type="http://schemas.openxmlformats.org/officeDocument/2006/relationships/hyperlink" Target="https://www.sec.gov/Archives/edgar/data/1524358/000152435823000022/exhibit32secondrestatedcer.htm" TargetMode="External"/><Relationship Id="rId185" Type="http://schemas.openxmlformats.org/officeDocument/2006/relationships/hyperlink" Target="https://www.sec.gov/Archives/edgar/data/1524358/000152435823000031/a2023q2ex33restatedbylawso.htm" TargetMode="External"/><Relationship Id="rId186" Type="http://schemas.openxmlformats.org/officeDocument/2006/relationships/hyperlink" Target="https://www.sec.gov/Archives/edgar/data/1524358/000119312511271851/d197736dex41.htm" TargetMode="External"/><Relationship Id="rId188" Type="http://schemas.openxmlformats.org/officeDocument/2006/relationships/hyperlink" Target="https://www.sec.gov/Archives/edgar/data/1524358/000119312519259964/d812229dex41.htm" TargetMode="External"/><Relationship Id="rId189" Type="http://schemas.openxmlformats.org/officeDocument/2006/relationships/hyperlink" Target="https://www.sec.gov/Archives/edgar/data/1524358/000119312519259964/d812229dex43.htm" TargetMode="External"/><Relationship Id="rId191" Type="http://schemas.openxmlformats.org/officeDocument/2006/relationships/hyperlink" Target="https://www.sec.gov/Archives/edgar/data/1524358/000119312521027303/d41256dex41.htm" TargetMode="External"/><Relationship Id="rId193" Type="http://schemas.openxmlformats.org/officeDocument/2006/relationships/hyperlink" Target="https://www.sec.gov/Archives/edgar/data/1524358/000119312521195243/d158882dex41.htm" TargetMode="External"/><Relationship Id="rId195" Type="http://schemas.openxmlformats.org/officeDocument/2006/relationships/hyperlink" Target="https://www.sec.gov/Archives/edgar/data/1524358/000119312521195243/d158882dex41.htm#tx158882_515" TargetMode="External"/><Relationship Id="rId196" Type="http://schemas.openxmlformats.org/officeDocument/2006/relationships/hyperlink" Target="https://www.sec.gov/Archives/edgar/data/1524358/000119312522301061/d433395dex41.htm" TargetMode="External"/><Relationship Id="rId198" Type="http://schemas.openxmlformats.org/officeDocument/2006/relationships/hyperlink" Target="https://www.sec.gov/Archives/edgar/data/1524358/000119312522301061/d433395dex41.htm#tx433395_1" TargetMode="External"/><Relationship Id="rId199" Type="http://schemas.openxmlformats.org/officeDocument/2006/relationships/hyperlink" Target="https://www.sec.gov/Archives/edgar/data/1524358/000152435820000011/a201910-kex416descript.htm" TargetMode="External"/><Relationship Id="rId200" Type="http://schemas.openxmlformats.org/officeDocument/2006/relationships/hyperlink" Target="https://www.sec.gov/Archives/edgar/data/1524358/000152435825000160/a41indenture.htm" TargetMode="External"/><Relationship Id="rId207" Type="http://schemas.openxmlformats.org/officeDocument/2006/relationships/hyperlink" Target="https://www.sec.gov/Archives/edgar/data/1524358/000152435825000160/a41indenture.htm#i899489c2fdc046ad9daa8541df5cae8b_549755814403" TargetMode="External"/><Relationship Id="rId208" Type="http://schemas.openxmlformats.org/officeDocument/2006/relationships/hyperlink" Target="https://www.sec.gov/Archives/edgar/data/1524358/000152435824000109/a2024q3ex107xamendedrestat.htm" TargetMode="External"/><Relationship Id="rId210" Type="http://schemas.openxmlformats.org/officeDocument/2006/relationships/hyperlink" Target="https://www.sec.gov/Archives/edgar/data/1524358/000119312511320045/d256766dex102.htm" TargetMode="External"/><Relationship Id="rId211" Type="http://schemas.openxmlformats.org/officeDocument/2006/relationships/hyperlink" Target="https://www.sec.gov/Archives/edgar/data/1524358/000152435818000007/mvw201710-kex107.htm" TargetMode="External"/><Relationship Id="rId213" Type="http://schemas.openxmlformats.org/officeDocument/2006/relationships/hyperlink" Target="https://www.sec.gov/Archives/edgar/data/1524358/000119312511320045/d256766dex103.htm" TargetMode="External"/><Relationship Id="rId214" Type="http://schemas.openxmlformats.org/officeDocument/2006/relationships/hyperlink" Target="https://www.sec.gov/Archives/edgar/data/1524358/000119312511320045/d256766dex104.htm" TargetMode="External"/><Relationship Id="rId216" Type="http://schemas.openxmlformats.org/officeDocument/2006/relationships/hyperlink" Target="https://www.sec.gov/Archives/edgar/data/1524358/000119312512426822/d401766dex101.htm" TargetMode="External"/><Relationship Id="rId217" Type="http://schemas.openxmlformats.org/officeDocument/2006/relationships/hyperlink" Target="https://www.sec.gov/Archives/edgar/data/1524358/000152435822000013/a2021ex1014xbonvoyaffiliat.htm" TargetMode="External"/><Relationship Id="rId219" Type="http://schemas.openxmlformats.org/officeDocument/2006/relationships/hyperlink" Target="https://www.sec.gov/Archives/edgar/data/1524358/000152435817000004/ex1014-amendedandrestateds.htm" TargetMode="External"/><Relationship Id="rId221" Type="http://schemas.openxmlformats.org/officeDocument/2006/relationships/hyperlink" Target="https://www.sec.gov/Archives/edgar/data/1524358/000119312511336723/d264428dex101.htm" TargetMode="External"/><Relationship Id="rId222" Type="http://schemas.openxmlformats.org/officeDocument/2006/relationships/hyperlink" Target="https://www.sec.gov/Archives/edgar/data/1524358/000119312511336723/d264428dex102.htm" TargetMode="External"/><Relationship Id="rId224" Type="http://schemas.openxmlformats.org/officeDocument/2006/relationships/hyperlink" Target="https://www.sec.gov/Archives/edgar/data/1524358/000119312512119944/d317362dex101.htm" TargetMode="External"/><Relationship Id="rId225" Type="http://schemas.openxmlformats.org/officeDocument/2006/relationships/hyperlink" Target="https://www.sec.gov/Archives/edgar/data/1524358/000152435823000031/a2023q2ex103xformofnonxemp.htm" TargetMode="External"/><Relationship Id="rId227" Type="http://schemas.openxmlformats.org/officeDocument/2006/relationships/hyperlink" Target="https://www.sec.gov/Archives/edgar/data/1524358/000152435823000031/a2023q1ex104xformofnonxemp.htm" TargetMode="External"/><Relationship Id="rId228" Type="http://schemas.openxmlformats.org/officeDocument/2006/relationships/hyperlink" Target="https://www.sec.gov/Archives/edgar/data/1524358/000152435823000031/a2023q2ex105xformofdirecto.htm" TargetMode="External"/><Relationship Id="rId230" Type="http://schemas.openxmlformats.org/officeDocument/2006/relationships/hyperlink" Target="https://www.sec.gov/Archives/edgar/data/1524358/000152435823000009/a2022ex1022xformofstockapp.htm" TargetMode="External"/><Relationship Id="rId236" Type="http://schemas.openxmlformats.org/officeDocument/2006/relationships/hyperlink" Target="https://www.sec.gov/Archives/edgar/data/1524358/000152435823000009/a2022ex1023xformofrestrict.htm" TargetMode="External"/><Relationship Id="rId237" Type="http://schemas.openxmlformats.org/officeDocument/2006/relationships/hyperlink" Target="https://www.sec.gov/Archives/edgar/data/1524358/000152435823000009/a2022ex1024xformofperforma.htm" TargetMode="External"/><Relationship Id="rId239" Type="http://schemas.openxmlformats.org/officeDocument/2006/relationships/hyperlink" Target="https://www.sec.gov/Archives/edgar/data/1524358/000152435825000044/a2024ex1018changeinctrlsev.htm" TargetMode="External"/><Relationship Id="rId241" Type="http://schemas.openxmlformats.org/officeDocument/2006/relationships/hyperlink" Target="https://www.sec.gov/Archives/edgar/data/1524358/000152435823000009/a2022ex1026xformofparticip.htm" TargetMode="External"/><Relationship Id="rId242" Type="http://schemas.openxmlformats.org/officeDocument/2006/relationships/hyperlink" Target="https://www.sec.gov/Archives/edgar/data/1524358/000152435822000030/a2022q2ex104mvwcdeferredco.htm" TargetMode="External"/><Relationship Id="rId244" Type="http://schemas.openxmlformats.org/officeDocument/2006/relationships/hyperlink" Target="https://www.sec.gov/Archives/edgar/data/1524358/000119312515064836/d843780dex1021.htm" TargetMode="External"/><Relationship Id="rId245" Type="http://schemas.openxmlformats.org/officeDocument/2006/relationships/hyperlink" Target="https://www.sec.gov/Archives/edgar/data/1524358/000119312515220625/d940607dex101.htm" TargetMode="External"/><Relationship Id="rId246" Type="http://schemas.openxmlformats.org/officeDocument/2006/relationships/hyperlink" Target="https://www.sec.gov/Archives/edgar/data/1524358/000119312518266807/d597652dex49.htm" TargetMode="External"/><Relationship Id="rId248" Type="http://schemas.openxmlformats.org/officeDocument/2006/relationships/hyperlink" Target="https://www.sec.gov/Archives/edgar/data/1524358/000152435820000011/a201910-kex1038amendme.htm" TargetMode="External"/><Relationship Id="rId250" Type="http://schemas.openxmlformats.org/officeDocument/2006/relationships/hyperlink" Target="https://www.sec.gov/Archives/edgar/data/1524358/000152435823000031/a2023q2ex102amendmentno2to.htm" TargetMode="External"/><Relationship Id="rId251" Type="http://schemas.openxmlformats.org/officeDocument/2006/relationships/hyperlink" Target="https://www.sec.gov/Archives/edgar/data/1524358/000119312522097501/d303083dex101.htm" TargetMode="External"/><Relationship Id="rId253" Type="http://schemas.openxmlformats.org/officeDocument/2006/relationships/hyperlink" Target="https://www.sec.gov/Archives/edgar/data/1524358/000152435824000035/ex101-incrementalfacilitya.htm" TargetMode="External"/><Relationship Id="rId254" Type="http://schemas.openxmlformats.org/officeDocument/2006/relationships/hyperlink" Target="https://www.sec.gov/Archives/edgar/data/1524358/000152435825000093/ex101-incrementalfacilitya.htm" TargetMode="External"/><Relationship Id="rId256" Type="http://schemas.openxmlformats.org/officeDocument/2006/relationships/hyperlink" Target="https://www.sec.gov/Archives/edgar/data/1524358/000119312518266807/d597652dex410.htm" TargetMode="External"/><Relationship Id="rId257" Type="http://schemas.openxmlformats.org/officeDocument/2006/relationships/hyperlink" Target="https://www.sec.gov/Archives/edgar/data/1434620/000104746908008612/a2187111zex-10_12.htm" TargetMode="External"/><Relationship Id="rId259" Type="http://schemas.openxmlformats.org/officeDocument/2006/relationships/hyperlink" Target="https://www.sec.gov/Archives/edgar/data/1434620/000110465916137604/a16-16129_1ex10d1.htm" TargetMode="External"/><Relationship Id="rId260" Type="http://schemas.openxmlformats.org/officeDocument/2006/relationships/hyperlink" Target="https://www.sec.gov/Archives/edgar/data/1434620/000104746914004700/a2220043zex-10_1.htm" TargetMode="External"/><Relationship Id="rId262" Type="http://schemas.openxmlformats.org/officeDocument/2006/relationships/hyperlink" Target="https://www.sec.gov/Archives/edgar/data/1434620/000110465916120265/a16-11085_1ex10d6.htm" TargetMode="External"/><Relationship Id="rId264" Type="http://schemas.openxmlformats.org/officeDocument/2006/relationships/hyperlink" Target="https://www.sec.gov/Archives/edgar/data/1434620/000110465916120265/a16-11085_1ex10d3.htm" TargetMode="External"/><Relationship Id="rId266" Type="http://schemas.openxmlformats.org/officeDocument/2006/relationships/hyperlink" Target="https://www.sec.gov/Archives/edgar/data/1434620/000155837018003932/ilg-20180331ex1021fc800.htm" TargetMode="External"/><Relationship Id="rId267" Type="http://schemas.openxmlformats.org/officeDocument/2006/relationships/hyperlink" Target="https://www.sec.gov/Archives/edgar/data/1524358/000152435824000006/a2023ex10442020amendedandr.htm" TargetMode="External"/><Relationship Id="rId268" Type="http://schemas.openxmlformats.org/officeDocument/2006/relationships/hyperlink" Target="https://www.sec.gov/Archives/edgar/data/1524358/000152435824000006/a2023ex10452020salaryreduc.htm" TargetMode="External"/><Relationship Id="rId270" Type="http://schemas.openxmlformats.org/officeDocument/2006/relationships/hyperlink" Target="https://www.sec.gov/Archives/edgar/data/1524358/000152435824000076/a2024q2ex106amendedandrest.htm" TargetMode="External"/><Relationship Id="rId271" Type="http://schemas.openxmlformats.org/officeDocument/2006/relationships/hyperlink" Target="https://www.sec.gov/Archives/edgar/data/1524358/000119312521027303/d41256dex101.htm" TargetMode="External"/><Relationship Id="rId272" Type="http://schemas.openxmlformats.org/officeDocument/2006/relationships/hyperlink" Target="https://www.sec.gov/Archives/edgar/data/1524358/000119312521027303/d41256dex102.htm" TargetMode="External"/><Relationship Id="rId273" Type="http://schemas.openxmlformats.org/officeDocument/2006/relationships/hyperlink" Target="https://www.sec.gov/Archives/edgar/data/1524358/000119312522301061/d433395dex101.htm" TargetMode="External"/><Relationship Id="rId274" Type="http://schemas.openxmlformats.org/officeDocument/2006/relationships/hyperlink" Target="https://www.sec.gov/Archives/edgar/data/1524358/000119312522301061/d433395dex102.htm" TargetMode="External"/><Relationship Id="rId275" Type="http://schemas.openxmlformats.org/officeDocument/2006/relationships/hyperlink" Target="https://www.sec.gov/Archives/edgar/data/1524358/000152435824000006/a2023ex1052xformofstockapp.htm" TargetMode="External"/><Relationship Id="rId276" Type="http://schemas.openxmlformats.org/officeDocument/2006/relationships/hyperlink" Target="https://www.sec.gov/Archives/edgar/data/1524358/000152435824000006/a2023ex1053xformofrestrict.htm" TargetMode="External"/><Relationship Id="rId277" Type="http://schemas.openxmlformats.org/officeDocument/2006/relationships/hyperlink" Target="https://www.sec.gov/Archives/edgar/data/1524358/000152435824000006/a2023ex1054xformofperforma.htm" TargetMode="External"/><Relationship Id="rId278" Type="http://schemas.openxmlformats.org/officeDocument/2006/relationships/hyperlink" Target="https://www.sec.gov/Archives/edgar/data/1524358/000152435824000039/a2024q1ex103xformofstockap.htm" TargetMode="External"/><Relationship Id="rId279" Type="http://schemas.openxmlformats.org/officeDocument/2006/relationships/hyperlink" Target="https://www.sec.gov/Archives/edgar/data/1524358/000152435824000039/a2024q1ex104xformofrestric.htm" TargetMode="External"/><Relationship Id="rId280" Type="http://schemas.openxmlformats.org/officeDocument/2006/relationships/hyperlink" Target="https://www.sec.gov/Archives/edgar/data/1524358/000152435824000039/a2024q1ex105xformofperform.htm" TargetMode="External"/><Relationship Id="rId281" Type="http://schemas.openxmlformats.org/officeDocument/2006/relationships/hyperlink" Target="https://www.sec.gov/Archives/edgar/data/1524358/000152435825000126/ex101-supportagreementmay2.htm" TargetMode="External"/><Relationship Id="rId282" Type="http://schemas.openxmlformats.org/officeDocument/2006/relationships/hyperlink" Target="https://www.sec.gov/Archives/edgar/data/1524358/000152435825000168/ex101-separationagreementa.htm" TargetMode="External"/><Relationship Id="rId286" Type="http://schemas.openxmlformats.org/officeDocument/2006/relationships/hyperlink" Target="https://www.sec.gov/Archives/edgar/data/1524358/000152435826000004/exhibit101-ceoemploymentag.htm" TargetMode="External"/><Relationship Id="rId287" Type="http://schemas.openxmlformats.org/officeDocument/2006/relationships/hyperlink" Target="https://www.sec.gov/Archives/edgar/data/1524358/000152435826000004/exhibit102-cooemploymentag.htm" TargetMode="External"/><Relationship Id="rId293" Type="http://schemas.openxmlformats.org/officeDocument/2006/relationships/hyperlink" Target="https://www.sec.gov/Archives/edgar/data/1524358/000152435825000044/a2024ex971xpolicyrelating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2026-03-02T05:20:41Z</dcterms:created>
  <dcterms:modified xsi:type="dcterms:W3CDTF">2026-03-02T05:20:41Z</dcterms:modified>
</cp:coreProperties>
</file>