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MARRIOTT VACATIONS WORLDWIDE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Christian Asmar</w:t>
              <w:br/>
              <w:t>Impactive Capital LP, 450 West 14th Street, 12th Floor</w:t>
              <w:br/>
              <w:t>New York, NY, 10014</w:t>
              <w:br/>
              <w:t>212-218-8810</w:t>
            </w:r>
          </w:p>
          <w:p>
            <w:pPr>
              <w:pStyle w:val="TableContents"/>
              <w:bidi w:val="0"/>
              <w:jc w:val="left"/>
              <w:rPr/>
            </w:pPr>
            <w:r>
              <w:rPr/>
            </w:r>
          </w:p>
          <w:p>
            <w:pPr>
              <w:pStyle w:val="TableContents"/>
              <w:bidi w:val="0"/>
              <w:spacing w:before="0" w:after="0"/>
              <w:jc w:val="center"/>
              <w:rPr>
                <w:b/>
                <w:color w:val="0000FF"/>
              </w:rPr>
            </w:pPr>
            <w:r>
              <w:rPr>
                <w:b/>
                <w:color w:val="0000FF"/>
              </w:rPr>
              <w:t>Lauren Taylor Wolfe</w:t>
              <w:br/>
              <w:t>Impactive Capital LP, 450 West 14th Street, 12th Floor</w:t>
              <w:br/>
              <w:t>New York, NY, 10014</w:t>
              <w:br/>
              <w:t>212-218-8810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Impactive Capital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3,380,818.00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3,380,818.00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3,380,818.00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Impactive Capital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3,380,818.00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3,380,818.00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3,380,818.00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Lauren Taylor Wolfe</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3,380,818.00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3,380,818.00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3,380,818.00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Christian Asmar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3,380,818.00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3,380,818.00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3,380,818.00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MARRIOTT VACATIONS WORLDWIDE Corp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7812 Palm Parkway, Orlando, FLORIDA , 32836.</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4 ("Amendment No. 4") to the Schedule 13D originally filed with the Securities and Exchange Commission (the "SEC") on April 19, 2024 (as amended, the "Schedule 13D"). This Amendment No. 4 amends Items 4 and 5(a)-(c) as set forth below. Capitalized terms used herein and not otherwise defined in this Amendment No. 4 have the meanings set forth in the Schedule 13D.</w:t>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Item 4 is hereby amended to add the following: The sales of the securities reported herein were undertaken for the purposes of effectuating a portfolio rebalancing and are not an indication of the Reporting Persons' view on the future prospects of the Issuer.</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0"/>
              <w:jc w:val="left"/>
              <w:rPr/>
            </w:pPr>
            <w:r>
              <w:rPr/>
              <w:t>Item 5(a) is hereby amended and restated as follows: See rows (11) and (13) of the cover pages to this Schedule 13D for the aggregate number of Shares and percentage of Shares beneficially owned by each Reporting Person. The aggregate percentage of Shares reported to be beneficially owned by each Reporting Person is based upon 34,395,320 Shares outstanding as of July 30, 2026, as disclosed in the Issuer's Quarterly Report on Form 10-Q for the quarterly period ended June 30, 2026, filed with the SEC on August 6, 2026.</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0"/>
              <w:jc w:val="left"/>
              <w:rPr/>
            </w:pPr>
            <w:r>
              <w:rPr/>
              <w:t>Item 5(b) is hereby amended and restated as follows: See rows (7) through (10) of the cover pages to this Schedule 13D for the number of Shares as to which each Reporting Person has the sole or shared power to vote or direct the vote and sole or shared power to dispose or to direct the disposition.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0"/>
              <w:jc w:val="left"/>
              <w:rPr/>
            </w:pPr>
            <w:r>
              <w:rPr/>
              <w:t>Item 5(c) is hereby amended and restated as follows: The transactions in the Shares effected by the Reporting Persons during the past sixty (60) days are set forth on Schedule A attached hereto and incorporated by reference herein.</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86" w:type="dxa"/>
        <w:jc w:val="left"/>
        <w:tblInd w:w="0" w:type="dxa"/>
        <w:tblLayout w:type="fixed"/>
        <w:tblCellMar>
          <w:top w:w="28" w:type="dxa"/>
          <w:left w:w="28" w:type="dxa"/>
          <w:bottom w:w="28" w:type="dxa"/>
          <w:right w:w="28" w:type="dxa"/>
        </w:tblCellMar>
      </w:tblPr>
      <w:tblGrid>
        <w:gridCol w:w="2293"/>
        <w:gridCol w:w="2293"/>
      </w:tblGrid>
      <w:tr>
        <w:trPr/>
        <w:tc>
          <w:tcPr>
            <w:tcW w:w="2293" w:type="dxa"/>
            <w:tcBorders/>
            <w:vAlign w:val="center"/>
          </w:tcPr>
          <w:p>
            <w:pPr>
              <w:pStyle w:val="TableContents"/>
              <w:bidi w:val="0"/>
              <w:spacing w:before="0" w:after="0"/>
              <w:jc w:val="left"/>
              <w:rPr/>
            </w:pPr>
            <w:r>
              <w:rPr/>
              <w:t> </w:t>
            </w:r>
          </w:p>
          <w:tbl>
            <w:tblPr>
              <w:tblW w:w="2176" w:type="dxa"/>
              <w:jc w:val="left"/>
              <w:tblInd w:w="0" w:type="dxa"/>
              <w:tblLayout w:type="fixed"/>
              <w:tblCellMar>
                <w:top w:w="28" w:type="dxa"/>
                <w:left w:w="28" w:type="dxa"/>
                <w:bottom w:w="28" w:type="dxa"/>
                <w:right w:w="28" w:type="dxa"/>
              </w:tblCellMar>
            </w:tblPr>
            <w:tblGrid>
              <w:gridCol w:w="2176"/>
            </w:tblGrid>
            <w:tr>
              <w:trPr/>
              <w:tc>
                <w:tcPr>
                  <w:tcW w:w="2176" w:type="dxa"/>
                  <w:tcBorders/>
                  <w:vAlign w:val="center"/>
                </w:tcPr>
                <w:p>
                  <w:pPr>
                    <w:pStyle w:val="TableContents"/>
                    <w:bidi w:val="0"/>
                    <w:spacing w:before="0" w:after="0"/>
                    <w:jc w:val="left"/>
                    <w:rPr/>
                  </w:pPr>
                  <w:r>
                    <w:rPr/>
                    <w:t>Impactive Capital LP</w:t>
                  </w:r>
                </w:p>
              </w:tc>
            </w:tr>
          </w:tbl>
          <w:p>
            <w:pPr>
              <w:pStyle w:val="TableContents"/>
              <w:bidi w:val="0"/>
              <w:spacing w:before="0" w:after="283"/>
              <w:jc w:val="left"/>
              <w:rPr/>
            </w:pPr>
            <w:r>
              <w:rPr/>
            </w:r>
          </w:p>
        </w:tc>
        <w:tc>
          <w:tcPr>
            <w:tcW w:w="22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Christian Asmar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Impactive Capital LLC, General Partner, By: Christian Asmar,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4926" w:type="dxa"/>
        <w:jc w:val="left"/>
        <w:tblInd w:w="0" w:type="dxa"/>
        <w:tblLayout w:type="fixed"/>
        <w:tblCellMar>
          <w:top w:w="28" w:type="dxa"/>
          <w:left w:w="28" w:type="dxa"/>
          <w:bottom w:w="28" w:type="dxa"/>
          <w:right w:w="28" w:type="dxa"/>
        </w:tblCellMar>
      </w:tblPr>
      <w:tblGrid>
        <w:gridCol w:w="2463"/>
        <w:gridCol w:w="2463"/>
      </w:tblGrid>
      <w:tr>
        <w:trPr/>
        <w:tc>
          <w:tcPr>
            <w:tcW w:w="2463" w:type="dxa"/>
            <w:tcBorders/>
            <w:vAlign w:val="center"/>
          </w:tcPr>
          <w:p>
            <w:pPr>
              <w:pStyle w:val="TableContents"/>
              <w:bidi w:val="0"/>
              <w:spacing w:before="0" w:after="0"/>
              <w:jc w:val="left"/>
              <w:rPr/>
            </w:pPr>
            <w:r>
              <w:rPr/>
              <w:t>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0"/>
                    <w:jc w:val="left"/>
                    <w:rPr/>
                  </w:pPr>
                  <w:r>
                    <w:rPr/>
                    <w:t>Impactive Capital LLC</w:t>
                  </w:r>
                </w:p>
              </w:tc>
            </w:tr>
          </w:tbl>
          <w:p>
            <w:pPr>
              <w:pStyle w:val="TableContents"/>
              <w:bidi w:val="0"/>
              <w:spacing w:before="0" w:after="283"/>
              <w:jc w:val="left"/>
              <w:rPr/>
            </w:pPr>
            <w:r>
              <w:rPr/>
            </w:r>
          </w:p>
        </w:tc>
        <w:tc>
          <w:tcPr>
            <w:tcW w:w="24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Christian Asmar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Christian Asmar,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tbl>
      <w:tblPr>
        <w:tblW w:w="4586" w:type="dxa"/>
        <w:jc w:val="left"/>
        <w:tblInd w:w="0" w:type="dxa"/>
        <w:tblLayout w:type="fixed"/>
        <w:tblCellMar>
          <w:top w:w="28" w:type="dxa"/>
          <w:left w:w="28" w:type="dxa"/>
          <w:bottom w:w="28" w:type="dxa"/>
          <w:right w:w="28" w:type="dxa"/>
        </w:tblCellMar>
      </w:tblPr>
      <w:tblGrid>
        <w:gridCol w:w="2293"/>
        <w:gridCol w:w="2293"/>
      </w:tblGrid>
      <w:tr>
        <w:trPr/>
        <w:tc>
          <w:tcPr>
            <w:tcW w:w="2293" w:type="dxa"/>
            <w:tcBorders/>
            <w:vAlign w:val="center"/>
          </w:tcPr>
          <w:p>
            <w:pPr>
              <w:pStyle w:val="TableContents"/>
              <w:bidi w:val="0"/>
              <w:spacing w:before="0" w:after="0"/>
              <w:jc w:val="left"/>
              <w:rPr/>
            </w:pPr>
            <w:r>
              <w:rPr/>
              <w:t> </w:t>
            </w:r>
          </w:p>
          <w:tbl>
            <w:tblPr>
              <w:tblW w:w="2176" w:type="dxa"/>
              <w:jc w:val="left"/>
              <w:tblInd w:w="0" w:type="dxa"/>
              <w:tblLayout w:type="fixed"/>
              <w:tblCellMar>
                <w:top w:w="28" w:type="dxa"/>
                <w:left w:w="28" w:type="dxa"/>
                <w:bottom w:w="28" w:type="dxa"/>
                <w:right w:w="28" w:type="dxa"/>
              </w:tblCellMar>
            </w:tblPr>
            <w:tblGrid>
              <w:gridCol w:w="2176"/>
            </w:tblGrid>
            <w:tr>
              <w:trPr/>
              <w:tc>
                <w:tcPr>
                  <w:tcW w:w="2176" w:type="dxa"/>
                  <w:tcBorders/>
                  <w:vAlign w:val="center"/>
                </w:tcPr>
                <w:p>
                  <w:pPr>
                    <w:pStyle w:val="TableContents"/>
                    <w:bidi w:val="0"/>
                    <w:spacing w:before="0" w:after="0"/>
                    <w:jc w:val="left"/>
                    <w:rPr/>
                  </w:pPr>
                  <w:r>
                    <w:rPr/>
                    <w:t>Lauren Taylor Wolfe</w:t>
                  </w:r>
                </w:p>
              </w:tc>
            </w:tr>
          </w:tbl>
          <w:p>
            <w:pPr>
              <w:pStyle w:val="TableContents"/>
              <w:bidi w:val="0"/>
              <w:spacing w:before="0" w:after="283"/>
              <w:jc w:val="left"/>
              <w:rPr/>
            </w:pPr>
            <w:r>
              <w:rPr/>
            </w:r>
          </w:p>
        </w:tc>
        <w:tc>
          <w:tcPr>
            <w:tcW w:w="22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Lauren Taylor Wolfe</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Lauren Taylor Wolfe, Individually</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444"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Christian Asmar</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Christian Asmar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Christian Asmar, Individually</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i w:val="false"/>
          <w:caps w:val="false"/>
          <w:smallCaps w:val="false"/>
          <w:sz w:val="22"/>
          <w:u w:val="single"/>
        </w:rPr>
      </w:pPr>
      <w:bookmarkStart w:id="26" w:name="p26-1766ex99.htm"/>
      <w:bookmarkStart w:id="27" w:name="ksp261766ex99"/>
      <w:bookmarkEnd w:id="26"/>
      <w:bookmarkEnd w:id="27"/>
      <w:r>
        <w:rPr>
          <w:rFonts w:ascii="Times New Roman;Times;Serif" w:hAnsi="Times New Roman;Times;Serif"/>
          <w:b/>
          <w:i w:val="false"/>
          <w:caps w:val="false"/>
          <w:smallCaps w:val="false"/>
          <w:sz w:val="22"/>
          <w:u w:val="single"/>
        </w:rPr>
        <w:t>SCHEDULE A</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Transactions in the Shares of the Issuer by the Reporting Persons During the Past Sixty (60) Days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following table sets forth all transactions in the Shares effected during the past sixty (60) days by Impactive Capital through the Impactive Funds. Except as noted below, all such transactions were effected in the open market through brokers and the price per share excludes commissions.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1205"/>
        <w:gridCol w:w="2510"/>
        <w:gridCol w:w="1970"/>
      </w:tblGrid>
      <w:tr>
        <w:trPr/>
        <w:tc>
          <w:tcPr>
            <w:tcW w:w="1205" w:type="dxa"/>
            <w:tcBorders/>
            <w:vAlign w:val="center"/>
          </w:tcPr>
          <w:p>
            <w:pPr>
              <w:pStyle w:val="TableContents"/>
              <w:bidi w:val="0"/>
              <w:spacing w:before="0" w:after="283"/>
              <w:jc w:val="center"/>
              <w:rPr>
                <w:b/>
              </w:rPr>
            </w:pPr>
            <w:r>
              <w:rPr>
                <w:b/>
              </w:rPr>
              <w:t>Trade Date</w:t>
            </w:r>
          </w:p>
        </w:tc>
        <w:tc>
          <w:tcPr>
            <w:tcW w:w="2510" w:type="dxa"/>
            <w:tcBorders/>
            <w:vAlign w:val="center"/>
          </w:tcPr>
          <w:p>
            <w:pPr>
              <w:pStyle w:val="TableContents"/>
              <w:bidi w:val="0"/>
              <w:spacing w:before="0" w:after="283"/>
              <w:jc w:val="center"/>
              <w:rPr>
                <w:b/>
              </w:rPr>
            </w:pPr>
            <w:r>
              <w:rPr>
                <w:b/>
              </w:rPr>
              <w:t>Shares Purchased (Sold)</w:t>
            </w:r>
          </w:p>
        </w:tc>
        <w:tc>
          <w:tcPr>
            <w:tcW w:w="1970" w:type="dxa"/>
            <w:tcBorders/>
            <w:vAlign w:val="center"/>
          </w:tcPr>
          <w:p>
            <w:pPr>
              <w:pStyle w:val="TableContents"/>
              <w:bidi w:val="0"/>
              <w:spacing w:before="0" w:after="283"/>
              <w:jc w:val="center"/>
              <w:rPr>
                <w:b/>
              </w:rPr>
            </w:pPr>
            <w:r>
              <w:rPr>
                <w:b/>
              </w:rPr>
              <w:t>Price Per Share ($)</w:t>
            </w:r>
          </w:p>
        </w:tc>
      </w:tr>
      <w:tr>
        <w:trPr/>
        <w:tc>
          <w:tcPr>
            <w:tcW w:w="1205" w:type="dxa"/>
            <w:tcBorders/>
            <w:vAlign w:val="center"/>
          </w:tcPr>
          <w:p>
            <w:pPr>
              <w:pStyle w:val="TableContents"/>
              <w:bidi w:val="0"/>
              <w:spacing w:before="0" w:after="283"/>
              <w:jc w:val="center"/>
              <w:rPr/>
            </w:pPr>
            <w:r>
              <w:rPr/>
              <w:t> </w:t>
            </w:r>
          </w:p>
        </w:tc>
        <w:tc>
          <w:tcPr>
            <w:tcW w:w="251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 </w:t>
            </w:r>
          </w:p>
        </w:tc>
      </w:tr>
      <w:tr>
        <w:trPr/>
        <w:tc>
          <w:tcPr>
            <w:tcW w:w="1205" w:type="dxa"/>
            <w:tcBorders/>
            <w:vAlign w:val="center"/>
          </w:tcPr>
          <w:p>
            <w:pPr>
              <w:pStyle w:val="TableContents"/>
              <w:bidi w:val="0"/>
              <w:spacing w:before="0" w:after="283"/>
              <w:jc w:val="center"/>
              <w:rPr/>
            </w:pPr>
            <w:r>
              <w:rPr/>
              <w:t>08/19/2026</w:t>
            </w:r>
          </w:p>
        </w:tc>
        <w:tc>
          <w:tcPr>
            <w:tcW w:w="2510" w:type="dxa"/>
            <w:tcBorders/>
            <w:vAlign w:val="center"/>
          </w:tcPr>
          <w:p>
            <w:pPr>
              <w:pStyle w:val="TableContents"/>
              <w:bidi w:val="0"/>
              <w:spacing w:before="0" w:after="283"/>
              <w:jc w:val="center"/>
              <w:rPr/>
            </w:pPr>
            <w:r>
              <w:rPr/>
              <w:t>  </w:t>
            </w:r>
            <w:r>
              <w:rPr/>
              <w:t>(750,000)</w:t>
            </w:r>
          </w:p>
        </w:tc>
        <w:tc>
          <w:tcPr>
            <w:tcW w:w="1970" w:type="dxa"/>
            <w:tcBorders/>
            <w:vAlign w:val="center"/>
          </w:tcPr>
          <w:p>
            <w:pPr>
              <w:pStyle w:val="TableContents"/>
              <w:bidi w:val="0"/>
              <w:spacing w:before="0" w:after="283"/>
              <w:jc w:val="center"/>
              <w:rPr/>
            </w:pPr>
            <w:r>
              <w:rPr/>
              <w:t>111.49</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1255</Words>
  <Characters>6473</Characters>
  <CharactersWithSpaces>7622</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