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2" w:lineRule="exact"/>
        <w:rPr>
          <w:sz w:val="24"/>
          <w:szCs w:val="24"/>
          <w:color w:val="auto"/>
        </w:rPr>
      </w:pPr>
    </w:p>
    <w:p>
      <w:pPr>
        <w:ind w:left="4140" w:right="2580" w:hanging="4105"/>
        <w:spacing w:after="0" w:line="328"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6"/>
          <w:szCs w:val="16"/>
          <w:b w:val="1"/>
          <w:bCs w:val="1"/>
          <w:color w:val="auto"/>
        </w:rPr>
        <w:t>For the Fiscal Year Ended December 31, 2019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080" w:type="dxa"/>
            <w:vAlign w:val="bottom"/>
            <w:gridSpan w:val="2"/>
          </w:tcPr>
          <w:p>
            <w:pPr>
              <w:ind w:left="2220"/>
              <w:spacing w:after="0"/>
              <w:rPr>
                <w:sz w:val="20"/>
                <w:szCs w:val="20"/>
                <w:color w:val="auto"/>
              </w:rPr>
            </w:pPr>
            <w:r>
              <w:rPr>
                <w:rFonts w:ascii="Arial" w:cs="Arial" w:eastAsia="Arial" w:hAnsi="Arial"/>
                <w:sz w:val="14"/>
                <w:szCs w:val="14"/>
                <w:b w:val="1"/>
                <w:bCs w:val="1"/>
                <w:color w:val="auto"/>
                <w:w w:val="93"/>
              </w:rPr>
              <w:t>For the transition period from</w:t>
            </w:r>
          </w:p>
        </w:tc>
        <w:tc>
          <w:tcPr>
            <w:tcW w:w="4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0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6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2"/>
              </w:rPr>
              <w:t>Commission File No. 001-35219</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2040" w:type="dxa"/>
            <w:vAlign w:val="bottom"/>
          </w:tcPr>
          <w:p>
            <w:pPr>
              <w:spacing w:after="0"/>
              <w:rPr>
                <w:sz w:val="24"/>
                <w:szCs w:val="24"/>
                <w:color w:val="auto"/>
              </w:rPr>
            </w:pPr>
          </w:p>
        </w:tc>
        <w:tc>
          <w:tcPr>
            <w:tcW w:w="40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3"/>
        </w:trPr>
        <w:tc>
          <w:tcPr>
            <w:tcW w:w="2040" w:type="dxa"/>
            <w:vAlign w:val="bottom"/>
          </w:tcPr>
          <w:p>
            <w:pPr>
              <w:spacing w:after="0"/>
              <w:rPr>
                <w:sz w:val="24"/>
                <w:szCs w:val="24"/>
                <w:color w:val="auto"/>
              </w:rPr>
            </w:pPr>
          </w:p>
        </w:tc>
        <w:tc>
          <w:tcPr>
            <w:tcW w:w="9380" w:type="dxa"/>
            <w:vAlign w:val="bottom"/>
            <w:gridSpan w:val="9"/>
          </w:tcPr>
          <w:p>
            <w:pPr>
              <w:jc w:val="center"/>
              <w:ind w:right="2040"/>
              <w:spacing w:after="0"/>
              <w:rPr>
                <w:sz w:val="20"/>
                <w:szCs w:val="20"/>
                <w:color w:val="auto"/>
              </w:rPr>
            </w:pPr>
            <w:r>
              <w:rPr>
                <w:rFonts w:ascii="Arial" w:cs="Arial" w:eastAsia="Arial" w:hAnsi="Arial"/>
                <w:sz w:val="32"/>
                <w:szCs w:val="32"/>
                <w:b w:val="1"/>
                <w:bCs w:val="1"/>
                <w:color w:val="auto"/>
                <w:w w:val="94"/>
              </w:rPr>
              <w:t>Marriott Vacations Worldwide Corporation</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5320" w:type="dxa"/>
            <w:vAlign w:val="bottom"/>
            <w:gridSpan w:val="6"/>
          </w:tcPr>
          <w:p>
            <w:pPr>
              <w:jc w:val="center"/>
              <w:ind w:left="193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2"/>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2040" w:type="dxa"/>
            <w:vAlign w:val="bottom"/>
          </w:tcPr>
          <w:p>
            <w:pPr>
              <w:spacing w:after="0"/>
              <w:rPr>
                <w:sz w:val="24"/>
                <w:szCs w:val="24"/>
                <w:color w:val="auto"/>
              </w:rPr>
            </w:pPr>
          </w:p>
        </w:tc>
        <w:tc>
          <w:tcPr>
            <w:tcW w:w="2560" w:type="dxa"/>
            <w:vAlign w:val="bottom"/>
          </w:tcPr>
          <w:p>
            <w:pPr>
              <w:jc w:val="center"/>
              <w:ind w:left="256"/>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jc w:val="right"/>
              <w:ind w:right="897"/>
              <w:spacing w:after="0"/>
              <w:rPr>
                <w:sz w:val="20"/>
                <w:szCs w:val="20"/>
                <w:color w:val="auto"/>
              </w:rPr>
            </w:pPr>
            <w:r>
              <w:rPr>
                <w:rFonts w:ascii="Arial" w:cs="Arial" w:eastAsia="Arial" w:hAnsi="Arial"/>
                <w:sz w:val="18"/>
                <w:szCs w:val="18"/>
                <w:b w:val="1"/>
                <w:bCs w:val="1"/>
                <w:color w:val="auto"/>
              </w:rPr>
              <w:t>45-2598330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2560" w:type="dxa"/>
            <w:vAlign w:val="bottom"/>
          </w:tcPr>
          <w:p>
            <w:pPr>
              <w:jc w:val="center"/>
              <w:ind w:left="276"/>
              <w:spacing w:after="0"/>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2560" w:type="dxa"/>
            <w:vAlign w:val="bottom"/>
          </w:tcPr>
          <w:p>
            <w:pPr>
              <w:jc w:val="center"/>
              <w:ind w:left="276"/>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6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040" w:type="dxa"/>
            <w:vAlign w:val="bottom"/>
          </w:tcPr>
          <w:p>
            <w:pPr>
              <w:spacing w:after="0"/>
              <w:rPr>
                <w:sz w:val="22"/>
                <w:szCs w:val="22"/>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w w:val="96"/>
              </w:rPr>
              <w:t>6649 Westwood Blvd. Orlando</w:t>
            </w: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FL</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1097"/>
              <w:spacing w:after="0"/>
              <w:rPr>
                <w:sz w:val="20"/>
                <w:szCs w:val="20"/>
                <w:color w:val="auto"/>
              </w:rPr>
            </w:pPr>
            <w:r>
              <w:rPr>
                <w:rFonts w:ascii="Arial" w:cs="Arial" w:eastAsia="Arial" w:hAnsi="Arial"/>
                <w:sz w:val="18"/>
                <w:szCs w:val="18"/>
                <w:b w:val="1"/>
                <w:bCs w:val="1"/>
                <w:color w:val="auto"/>
                <w:w w:val="87"/>
              </w:rPr>
              <w:t>32821</w:t>
            </w: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45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546"/>
        </w:trPr>
        <w:tc>
          <w:tcPr>
            <w:tcW w:w="2040" w:type="dxa"/>
            <w:vAlign w:val="bottom"/>
          </w:tcPr>
          <w:p>
            <w:pPr>
              <w:spacing w:after="0"/>
              <w:rPr>
                <w:sz w:val="24"/>
                <w:szCs w:val="24"/>
                <w:color w:val="auto"/>
              </w:rPr>
            </w:pPr>
          </w:p>
        </w:tc>
        <w:tc>
          <w:tcPr>
            <w:tcW w:w="9380" w:type="dxa"/>
            <w:vAlign w:val="bottom"/>
            <w:gridSpan w:val="9"/>
          </w:tcPr>
          <w:p>
            <w:pPr>
              <w:jc w:val="center"/>
              <w:ind w:right="2040"/>
              <w:spacing w:after="0"/>
              <w:rPr>
                <w:sz w:val="20"/>
                <w:szCs w:val="20"/>
                <w:color w:val="auto"/>
              </w:rPr>
            </w:pPr>
            <w:r>
              <w:rPr>
                <w:rFonts w:ascii="Arial" w:cs="Arial" w:eastAsia="Arial" w:hAnsi="Arial"/>
                <w:sz w:val="16"/>
                <w:szCs w:val="16"/>
                <w:b w:val="1"/>
                <w:bCs w:val="1"/>
                <w:color w:val="auto"/>
                <w:w w:val="91"/>
              </w:rPr>
              <w:t>Registrant’s Telephone Number, Including Area Code (407) 206-6000</w:t>
            </w: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7"/>
          </w:tcPr>
          <w:p>
            <w:pPr>
              <w:jc w:val="center"/>
              <w:ind w:left="155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6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600" w:type="dxa"/>
            <w:vAlign w:val="bottom"/>
            <w:gridSpan w:val="2"/>
          </w:tcPr>
          <w:p>
            <w:pPr>
              <w:jc w:val="center"/>
              <w:ind w:left="501"/>
              <w:spacing w:after="0"/>
              <w:rPr>
                <w:sz w:val="20"/>
                <w:szCs w:val="20"/>
                <w:color w:val="auto"/>
              </w:rPr>
            </w:pPr>
            <w:r>
              <w:rPr>
                <w:rFonts w:ascii="Arial" w:cs="Arial" w:eastAsia="Arial" w:hAnsi="Arial"/>
                <w:sz w:val="16"/>
                <w:szCs w:val="16"/>
                <w:b w:val="1"/>
                <w:bCs w:val="1"/>
                <w:color w:val="auto"/>
                <w:w w:val="91"/>
              </w:rPr>
              <w:t>Title of Each Class</w:t>
            </w:r>
          </w:p>
        </w:tc>
        <w:tc>
          <w:tcPr>
            <w:tcW w:w="2760" w:type="dxa"/>
            <w:vAlign w:val="bottom"/>
            <w:gridSpan w:val="5"/>
          </w:tcPr>
          <w:p>
            <w:pPr>
              <w:jc w:val="center"/>
              <w:ind w:left="319"/>
              <w:spacing w:after="0"/>
              <w:rPr>
                <w:sz w:val="20"/>
                <w:szCs w:val="20"/>
                <w:color w:val="auto"/>
              </w:rPr>
            </w:pPr>
            <w:r>
              <w:rPr>
                <w:rFonts w:ascii="Arial" w:cs="Arial" w:eastAsia="Arial" w:hAnsi="Arial"/>
                <w:sz w:val="16"/>
                <w:szCs w:val="16"/>
                <w:b w:val="1"/>
                <w:bCs w:val="1"/>
                <w:color w:val="auto"/>
                <w:w w:val="91"/>
              </w:rPr>
              <w:t>Trading Symbol(s)</w:t>
            </w:r>
          </w:p>
        </w:tc>
        <w:tc>
          <w:tcPr>
            <w:tcW w:w="4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46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gridSpan w:val="2"/>
          </w:tcPr>
          <w:p>
            <w:pPr>
              <w:jc w:val="center"/>
              <w:ind w:left="521"/>
              <w:spacing w:after="0"/>
              <w:rPr>
                <w:sz w:val="20"/>
                <w:szCs w:val="20"/>
                <w:color w:val="auto"/>
              </w:rPr>
            </w:pPr>
            <w:r>
              <w:rPr>
                <w:rFonts w:ascii="Arial" w:cs="Arial" w:eastAsia="Arial" w:hAnsi="Arial"/>
                <w:sz w:val="16"/>
                <w:szCs w:val="16"/>
                <w:color w:val="auto"/>
                <w:w w:val="90"/>
              </w:rPr>
              <w:t>Common Stock, $0.01 Par Value</w:t>
            </w:r>
          </w:p>
        </w:tc>
        <w:tc>
          <w:tcPr>
            <w:tcW w:w="1940" w:type="dxa"/>
            <w:vAlign w:val="bottom"/>
            <w:gridSpan w:val="2"/>
            <w:vMerge w:val="restart"/>
          </w:tcPr>
          <w:p>
            <w:pPr>
              <w:jc w:val="center"/>
              <w:ind w:left="1139"/>
              <w:spacing w:after="0"/>
              <w:rPr>
                <w:sz w:val="20"/>
                <w:szCs w:val="20"/>
                <w:color w:val="auto"/>
              </w:rPr>
            </w:pPr>
            <w:r>
              <w:rPr>
                <w:rFonts w:ascii="Arial" w:cs="Arial" w:eastAsia="Arial" w:hAnsi="Arial"/>
                <w:sz w:val="16"/>
                <w:szCs w:val="16"/>
                <w:color w:val="auto"/>
                <w:w w:val="97"/>
              </w:rPr>
              <w:t>VAC</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gridSpan w:val="2"/>
            <w:vMerge w:val="restart"/>
          </w:tcPr>
          <w:p>
            <w:pPr>
              <w:jc w:val="center"/>
              <w:ind w:right="560"/>
              <w:spacing w:after="0"/>
              <w:rPr>
                <w:sz w:val="20"/>
                <w:szCs w:val="20"/>
                <w:color w:val="auto"/>
              </w:rPr>
            </w:pPr>
            <w:r>
              <w:rPr>
                <w:rFonts w:ascii="Arial" w:cs="Arial" w:eastAsia="Arial" w:hAnsi="Arial"/>
                <w:sz w:val="16"/>
                <w:szCs w:val="16"/>
                <w:color w:val="auto"/>
                <w:w w:val="91"/>
              </w:rPr>
              <w:t>New York Stock Exchange</w:t>
            </w:r>
          </w:p>
        </w:tc>
        <w:tc>
          <w:tcPr>
            <w:tcW w:w="0" w:type="dxa"/>
            <w:vAlign w:val="bottom"/>
          </w:tcPr>
          <w:p>
            <w:pPr>
              <w:spacing w:after="0"/>
              <w:rPr>
                <w:sz w:val="1"/>
                <w:szCs w:val="1"/>
                <w:color w:val="auto"/>
              </w:rPr>
            </w:pPr>
          </w:p>
        </w:tc>
      </w:tr>
      <w:tr>
        <w:trPr>
          <w:trHeight w:val="108"/>
        </w:trPr>
        <w:tc>
          <w:tcPr>
            <w:tcW w:w="4600" w:type="dxa"/>
            <w:vAlign w:val="bottom"/>
            <w:gridSpan w:val="2"/>
            <w:vMerge w:val="restart"/>
          </w:tcPr>
          <w:p>
            <w:pPr>
              <w:ind w:left="840"/>
              <w:spacing w:after="0"/>
              <w:rPr>
                <w:sz w:val="20"/>
                <w:szCs w:val="20"/>
                <w:color w:val="auto"/>
              </w:rPr>
            </w:pPr>
            <w:r>
              <w:rPr>
                <w:rFonts w:ascii="Arial" w:cs="Arial" w:eastAsia="Arial" w:hAnsi="Arial"/>
                <w:sz w:val="14"/>
                <w:szCs w:val="14"/>
                <w:color w:val="auto"/>
              </w:rPr>
              <w:t>41,394,819  shares outstanding as of February 27, 2020</w:t>
            </w:r>
          </w:p>
        </w:tc>
        <w:tc>
          <w:tcPr>
            <w:tcW w:w="19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4600" w:type="dxa"/>
            <w:vAlign w:val="bottom"/>
            <w:gridSpan w:val="2"/>
            <w:vMerge w:val="continue"/>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5720" w:type="dxa"/>
            <w:vAlign w:val="bottom"/>
            <w:gridSpan w:val="7"/>
          </w:tcPr>
          <w:p>
            <w:pPr>
              <w:jc w:val="center"/>
              <w:ind w:left="1556"/>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40" w:type="dxa"/>
            <w:vAlign w:val="bottom"/>
          </w:tcPr>
          <w:p>
            <w:pPr>
              <w:spacing w:after="0"/>
              <w:rPr>
                <w:sz w:val="24"/>
                <w:szCs w:val="24"/>
                <w:color w:val="auto"/>
              </w:rPr>
            </w:pPr>
          </w:p>
        </w:tc>
        <w:tc>
          <w:tcPr>
            <w:tcW w:w="40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7760" w:type="dxa"/>
            <w:vAlign w:val="bottom"/>
            <w:gridSpan w:val="8"/>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66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97"/>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3660" w:type="dxa"/>
            <w:vAlign w:val="bottom"/>
            <w:gridSpan w:val="2"/>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45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45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52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20" w:type="dxa"/>
            <w:vAlign w:val="bottom"/>
            <w:vMerge w:val="restart"/>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4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aggregate market value of shares of common stock held by non-affiliates at June 30, 2019, was $4,155,090,736.</w:t>
      </w:r>
    </w:p>
    <w:p>
      <w:pPr>
        <w:spacing w:after="0" w:line="88"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prepared for the 2020 Annual Meeting of Shareholders are incorporated by reference into Part III of this report.</w:t>
      </w:r>
    </w:p>
    <w:p>
      <w:pPr>
        <w:sectPr>
          <w:pgSz w:w="11900" w:h="16838" w:orient="portrait"/>
          <w:cols w:equalWidth="0" w:num="1">
            <w:col w:w="11420"/>
          </w:cols>
          <w:pgMar w:left="240" w:top="283"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0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40" w:type="dxa"/>
            <w:vAlign w:val="bottom"/>
            <w:gridSpan w:val="2"/>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Part I.</w:t>
              </w:r>
            </w:hyperlink>
          </w:p>
        </w:tc>
        <w:tc>
          <w:tcPr>
            <w:tcW w:w="1040" w:type="dxa"/>
            <w:vAlign w:val="bottom"/>
            <w:gridSpan w:val="7"/>
            <w:vMerge w:val="restart"/>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40" w:type="dxa"/>
            <w:vAlign w:val="bottom"/>
            <w:tcBorders>
              <w:bottom w:val="single" w:sz="8" w:color="0000EE"/>
            </w:tcBorders>
            <w:gridSpan w:val="2"/>
            <w:vMerge w:val="continue"/>
          </w:tcPr>
          <w:p>
            <w:pPr>
              <w:spacing w:after="0"/>
              <w:rPr>
                <w:sz w:val="17"/>
                <w:szCs w:val="17"/>
                <w:color w:val="auto"/>
              </w:rPr>
            </w:pPr>
          </w:p>
        </w:tc>
        <w:tc>
          <w:tcPr>
            <w:tcW w:w="1040" w:type="dxa"/>
            <w:vAlign w:val="bottom"/>
            <w:gridSpan w:val="7"/>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20" w:type="dxa"/>
            <w:vAlign w:val="bottom"/>
            <w:gridSpan w:val="3"/>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Item 1A.</w:t>
              </w:r>
            </w:hyperlink>
          </w:p>
        </w:tc>
        <w:tc>
          <w:tcPr>
            <w:tcW w:w="52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40" w:type="dxa"/>
            <w:vAlign w:val="bottom"/>
            <w:gridSpan w:val="3"/>
          </w:tcPr>
          <w:p>
            <w:pPr>
              <w:jc w:val="center"/>
              <w:ind w:left="29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Item 1B.</w:t>
              </w:r>
            </w:hyperlink>
          </w:p>
        </w:tc>
        <w:tc>
          <w:tcPr>
            <w:tcW w:w="520" w:type="dxa"/>
            <w:vAlign w:val="bottom"/>
          </w:tcPr>
          <w:p>
            <w:pPr>
              <w:spacing w:after="0"/>
              <w:rPr>
                <w:sz w:val="21"/>
                <w:szCs w:val="21"/>
                <w:color w:val="auto"/>
              </w:rPr>
            </w:pPr>
          </w:p>
        </w:tc>
        <w:tc>
          <w:tcPr>
            <w:tcW w:w="886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640" w:type="dxa"/>
            <w:vAlign w:val="bottom"/>
            <w:gridSpan w:val="3"/>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2"/>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Properties</w:t>
              </w:r>
            </w:hyperlink>
          </w:p>
        </w:tc>
        <w:tc>
          <w:tcPr>
            <w:tcW w:w="1300" w:type="dxa"/>
            <w:vAlign w:val="bottom"/>
            <w:gridSpan w:val="7"/>
          </w:tcPr>
          <w:p>
            <w:pPr>
              <w:spacing w:after="0"/>
              <w:rPr>
                <w:sz w:val="21"/>
                <w:szCs w:val="21"/>
                <w:color w:val="auto"/>
              </w:rPr>
            </w:pPr>
          </w:p>
        </w:tc>
        <w:tc>
          <w:tcPr>
            <w:tcW w:w="6820" w:type="dxa"/>
            <w:vAlign w:val="bottom"/>
            <w:gridSpan w:val="11"/>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620" w:type="dxa"/>
            <w:vAlign w:val="bottom"/>
            <w:gridSpan w:val="3"/>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Legal Proceedings</w:t>
              </w:r>
            </w:hyperlink>
          </w:p>
        </w:tc>
        <w:tc>
          <w:tcPr>
            <w:tcW w:w="7540" w:type="dxa"/>
            <w:vAlign w:val="bottom"/>
            <w:gridSpan w:val="1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620" w:type="dxa"/>
            <w:vAlign w:val="bottom"/>
            <w:gridSpan w:val="3"/>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Mine Safety Disclosures</w:t>
              </w:r>
            </w:hyperlink>
          </w:p>
        </w:tc>
        <w:tc>
          <w:tcPr>
            <w:tcW w:w="7080" w:type="dxa"/>
            <w:vAlign w:val="bottom"/>
            <w:gridSpan w:val="13"/>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Part II.</w:t>
              </w:r>
            </w:hyperlink>
          </w:p>
        </w:tc>
        <w:tc>
          <w:tcPr>
            <w:tcW w:w="980" w:type="dxa"/>
            <w:vAlign w:val="bottom"/>
            <w:gridSpan w:val="6"/>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5.</w:t>
              </w:r>
            </w:hyperlink>
          </w:p>
        </w:tc>
        <w:tc>
          <w:tcPr>
            <w:tcW w:w="620" w:type="dxa"/>
            <w:vAlign w:val="bottom"/>
            <w:gridSpan w:val="3"/>
          </w:tcPr>
          <w:p>
            <w:pPr>
              <w:spacing w:after="0"/>
              <w:rPr>
                <w:sz w:val="21"/>
                <w:szCs w:val="21"/>
                <w:color w:val="auto"/>
              </w:rPr>
            </w:pPr>
          </w:p>
        </w:tc>
        <w:tc>
          <w:tcPr>
            <w:tcW w:w="8080" w:type="dxa"/>
            <w:vAlign w:val="bottom"/>
            <w:gridSpan w:val="1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Market for Registrant’s Common Equity, Related Stockholder Matters and Issuer Purchases of Equity Securities</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620" w:type="dxa"/>
            <w:vAlign w:val="bottom"/>
            <w:gridSpan w:val="3"/>
          </w:tcPr>
          <w:p>
            <w:pPr>
              <w:spacing w:after="0"/>
              <w:rPr>
                <w:sz w:val="21"/>
                <w:szCs w:val="21"/>
                <w:color w:val="auto"/>
              </w:rPr>
            </w:pPr>
          </w:p>
        </w:tc>
        <w:tc>
          <w:tcPr>
            <w:tcW w:w="80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780" w:type="dxa"/>
            <w:vAlign w:val="bottom"/>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7.</w:t>
              </w:r>
            </w:hyperlink>
          </w:p>
        </w:tc>
        <w:tc>
          <w:tcPr>
            <w:tcW w:w="620" w:type="dxa"/>
            <w:vAlign w:val="bottom"/>
            <w:gridSpan w:val="3"/>
          </w:tcPr>
          <w:p>
            <w:pPr>
              <w:spacing w:after="0"/>
              <w:rPr>
                <w:sz w:val="21"/>
                <w:szCs w:val="21"/>
                <w:color w:val="auto"/>
              </w:rPr>
            </w:pPr>
          </w:p>
        </w:tc>
        <w:tc>
          <w:tcPr>
            <w:tcW w:w="6460" w:type="dxa"/>
            <w:vAlign w:val="bottom"/>
            <w:gridSpan w:val="1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Item 7A.</w:t>
              </w:r>
            </w:hyperlink>
          </w:p>
        </w:tc>
        <w:tc>
          <w:tcPr>
            <w:tcW w:w="52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Quantitative and Qualitative Disclosures About Market Risk</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68</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Item 8.</w:t>
              </w:r>
            </w:hyperlink>
          </w:p>
        </w:tc>
        <w:tc>
          <w:tcPr>
            <w:tcW w:w="1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6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640" w:type="dxa"/>
            <w:vAlign w:val="bottom"/>
            <w:gridSpan w:val="3"/>
          </w:tcPr>
          <w:p>
            <w:pPr>
              <w:jc w:val="center"/>
              <w:ind w:left="29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Item 9.</w:t>
              </w:r>
            </w:hyperlink>
          </w:p>
        </w:tc>
        <w:tc>
          <w:tcPr>
            <w:tcW w:w="620" w:type="dxa"/>
            <w:vAlign w:val="bottom"/>
            <w:gridSpan w:val="3"/>
          </w:tcPr>
          <w:p>
            <w:pPr>
              <w:spacing w:after="0"/>
              <w:rPr>
                <w:sz w:val="21"/>
                <w:szCs w:val="21"/>
                <w:color w:val="auto"/>
              </w:rPr>
            </w:pPr>
          </w:p>
        </w:tc>
        <w:tc>
          <w:tcPr>
            <w:tcW w:w="6480" w:type="dxa"/>
            <w:vAlign w:val="bottom"/>
            <w:gridSpan w:val="17"/>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135</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Item 9A.</w:t>
              </w:r>
            </w:hyperlink>
          </w:p>
        </w:tc>
        <w:tc>
          <w:tcPr>
            <w:tcW w:w="520" w:type="dxa"/>
            <w:vAlign w:val="bottom"/>
          </w:tcPr>
          <w:p>
            <w:pPr>
              <w:spacing w:after="0"/>
              <w:rPr>
                <w:sz w:val="21"/>
                <w:szCs w:val="21"/>
                <w:color w:val="auto"/>
              </w:rPr>
            </w:pPr>
          </w:p>
        </w:tc>
        <w:tc>
          <w:tcPr>
            <w:tcW w:w="1780" w:type="dxa"/>
            <w:vAlign w:val="bottom"/>
            <w:gridSpan w:val="7"/>
          </w:tcPr>
          <w:p>
            <w:pPr>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Controls and Procedures</w:t>
              </w:r>
            </w:hyperlink>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Item 9B.</w:t>
              </w:r>
            </w:hyperlink>
          </w:p>
        </w:tc>
        <w:tc>
          <w:tcPr>
            <w:tcW w:w="520" w:type="dxa"/>
            <w:vAlign w:val="bottom"/>
          </w:tcPr>
          <w:p>
            <w:pPr>
              <w:spacing w:after="0"/>
              <w:rPr>
                <w:sz w:val="21"/>
                <w:szCs w:val="21"/>
                <w:color w:val="auto"/>
              </w:rPr>
            </w:pPr>
          </w:p>
        </w:tc>
        <w:tc>
          <w:tcPr>
            <w:tcW w:w="1320" w:type="dxa"/>
            <w:vAlign w:val="bottom"/>
            <w:gridSpan w:val="4"/>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080" w:type="dxa"/>
            <w:vAlign w:val="bottom"/>
            <w:gridSpan w:val="13"/>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136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Part III.</w:t>
              </w:r>
            </w:hyperlink>
          </w:p>
        </w:tc>
        <w:tc>
          <w:tcPr>
            <w:tcW w:w="92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140" w:type="dxa"/>
            <w:vAlign w:val="bottom"/>
            <w:gridSpan w:val="8"/>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10.</w:t>
              </w:r>
            </w:hyperlink>
          </w:p>
        </w:tc>
        <w:tc>
          <w:tcPr>
            <w:tcW w:w="8860" w:type="dxa"/>
            <w:vAlign w:val="bottom"/>
            <w:gridSpan w:val="2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Directors, Executive Officers and Corporate Governance</w:t>
              </w:r>
            </w:hyperlink>
          </w:p>
        </w:tc>
        <w:tc>
          <w:tcPr>
            <w:tcW w:w="1020" w:type="dxa"/>
            <w:vAlign w:val="bottom"/>
            <w:gridSpan w:val="4"/>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00" w:type="dxa"/>
            <w:vAlign w:val="bottom"/>
            <w:gridSpan w:val="6"/>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Item 11.</w:t>
              </w:r>
            </w:hyperlink>
          </w:p>
        </w:tc>
        <w:tc>
          <w:tcPr>
            <w:tcW w:w="540" w:type="dxa"/>
            <w:vAlign w:val="bottom"/>
            <w:gridSpan w:val="2"/>
          </w:tcPr>
          <w:p>
            <w:pPr>
              <w:spacing w:after="0"/>
              <w:rPr>
                <w:sz w:val="21"/>
                <w:szCs w:val="21"/>
                <w:color w:val="auto"/>
              </w:rPr>
            </w:pPr>
          </w:p>
        </w:tc>
        <w:tc>
          <w:tcPr>
            <w:tcW w:w="4100" w:type="dxa"/>
            <w:vAlign w:val="bottom"/>
            <w:gridSpan w:val="1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Executive Compensation</w:t>
              </w:r>
            </w:hyperlink>
          </w:p>
        </w:tc>
        <w:tc>
          <w:tcPr>
            <w:tcW w:w="4760" w:type="dxa"/>
            <w:vAlign w:val="bottom"/>
            <w:gridSpan w:val="7"/>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Item 12.</w:t>
              </w:r>
            </w:hyperlink>
          </w:p>
        </w:tc>
        <w:tc>
          <w:tcPr>
            <w:tcW w:w="520" w:type="dxa"/>
            <w:vAlign w:val="bottom"/>
          </w:tcPr>
          <w:p>
            <w:pPr>
              <w:spacing w:after="0"/>
              <w:rPr>
                <w:sz w:val="21"/>
                <w:szCs w:val="21"/>
                <w:color w:val="auto"/>
              </w:rPr>
            </w:pPr>
          </w:p>
        </w:tc>
        <w:tc>
          <w:tcPr>
            <w:tcW w:w="7300" w:type="dxa"/>
            <w:vAlign w:val="bottom"/>
            <w:gridSpan w:val="18"/>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Security Ownership of Certain Beneficial Owners and Management and Related Stockholder Matters</w:t>
              </w:r>
            </w:hyperlink>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Item 13.</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560" w:type="dxa"/>
            <w:vAlign w:val="bottom"/>
            <w:gridSpan w:val="2"/>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Item 14.</w:t>
              </w:r>
            </w:hyperlink>
          </w:p>
        </w:tc>
        <w:tc>
          <w:tcPr>
            <w:tcW w:w="520" w:type="dxa"/>
            <w:vAlign w:val="bottom"/>
          </w:tcPr>
          <w:p>
            <w:pPr>
              <w:spacing w:after="0"/>
              <w:rPr>
                <w:sz w:val="21"/>
                <w:szCs w:val="21"/>
                <w:color w:val="auto"/>
              </w:rPr>
            </w:pPr>
          </w:p>
        </w:tc>
        <w:tc>
          <w:tcPr>
            <w:tcW w:w="5460" w:type="dxa"/>
            <w:vAlign w:val="bottom"/>
            <w:gridSpan w:val="15"/>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Principal Accountant Fees and Services</w:t>
              </w:r>
            </w:hyperlink>
          </w:p>
        </w:tc>
        <w:tc>
          <w:tcPr>
            <w:tcW w:w="3400" w:type="dxa"/>
            <w:vAlign w:val="bottom"/>
            <w:gridSpan w:val="5"/>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9"/>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Part IV.</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Item 15.</w:t>
              </w:r>
            </w:hyperlink>
          </w:p>
        </w:tc>
        <w:tc>
          <w:tcPr>
            <w:tcW w:w="5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Exhibits and Financial Statement Schedules</w:t>
              </w:r>
            </w:hyperlink>
          </w:p>
        </w:tc>
        <w:tc>
          <w:tcPr>
            <w:tcW w:w="5700" w:type="dxa"/>
            <w:vAlign w:val="bottom"/>
            <w:gridSpan w:val="9"/>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Item 16.</w:t>
              </w:r>
            </w:hyperlink>
          </w:p>
        </w:tc>
        <w:tc>
          <w:tcPr>
            <w:tcW w:w="520" w:type="dxa"/>
            <w:vAlign w:val="bottom"/>
          </w:tcPr>
          <w:p>
            <w:pPr>
              <w:spacing w:after="0"/>
              <w:rPr>
                <w:sz w:val="21"/>
                <w:szCs w:val="21"/>
                <w:color w:val="auto"/>
              </w:rPr>
            </w:pPr>
          </w:p>
        </w:tc>
        <w:tc>
          <w:tcPr>
            <w:tcW w:w="3160" w:type="dxa"/>
            <w:vAlign w:val="bottom"/>
            <w:gridSpan w:val="11"/>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Form 10-K Summary</w:t>
              </w:r>
            </w:hyperlink>
          </w:p>
        </w:tc>
        <w:tc>
          <w:tcPr>
            <w:tcW w:w="5700" w:type="dxa"/>
            <w:vAlign w:val="bottom"/>
            <w:gridSpan w:val="9"/>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143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5"/>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Signatures</w:t>
              </w:r>
            </w:hyperlink>
          </w:p>
        </w:tc>
        <w:tc>
          <w:tcPr>
            <w:tcW w:w="7300" w:type="dxa"/>
            <w:vAlign w:val="bottom"/>
            <w:gridSpan w:val="15"/>
          </w:tcPr>
          <w:p>
            <w:pPr>
              <w:spacing w:after="0"/>
              <w:rPr>
                <w:sz w:val="21"/>
                <w:szCs w:val="21"/>
                <w:color w:val="auto"/>
              </w:rPr>
            </w:pPr>
          </w:p>
        </w:tc>
        <w:tc>
          <w:tcPr>
            <w:tcW w:w="1020" w:type="dxa"/>
            <w:vAlign w:val="bottom"/>
            <w:gridSpan w:val="4"/>
          </w:tcPr>
          <w:p>
            <w:pPr>
              <w:jc w:val="center"/>
              <w:spacing w:after="0"/>
              <w:rPr>
                <w:rFonts w:ascii="Arial" w:cs="Arial" w:eastAsia="Arial" w:hAnsi="Arial"/>
                <w:sz w:val="18"/>
                <w:szCs w:val="18"/>
                <w:color w:val="0000EE"/>
                <w:w w:val="86"/>
              </w:rPr>
            </w:pPr>
            <w:hyperlink w:anchor="page146">
              <w:r>
                <w:rPr>
                  <w:rFonts w:ascii="Arial" w:cs="Arial" w:eastAsia="Arial" w:hAnsi="Arial"/>
                  <w:sz w:val="18"/>
                  <w:szCs w:val="18"/>
                  <w:color w:val="0000EE"/>
                  <w:w w:val="86"/>
                </w:rPr>
                <w:t>144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consolidated subsidiaries, as “Marriott Vacations Worldwide,” “MVW,” “we,” “us,” or “the Company.”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Annual Report easier to read, we refer throughout to (i) our Consolidated Financial Statements as our “Financial Statements,”</w:t>
      </w:r>
    </w:p>
    <w:p>
      <w:pPr>
        <w:spacing w:after="0" w:line="46" w:lineRule="exact"/>
        <w:rPr>
          <w:sz w:val="20"/>
          <w:szCs w:val="20"/>
          <w:color w:val="auto"/>
        </w:rPr>
      </w:pPr>
    </w:p>
    <w:p>
      <w:pPr>
        <w:ind w:right="160" w:firstLine="8"/>
        <w:spacing w:after="0" w:line="25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Mexico and the Caribbean as “North America.”</w:t>
      </w:r>
    </w:p>
    <w:p>
      <w:pPr>
        <w:spacing w:after="0" w:line="82" w:lineRule="exact"/>
        <w:rPr>
          <w:sz w:val="20"/>
          <w:szCs w:val="20"/>
          <w:color w:val="auto"/>
        </w:rPr>
      </w:pPr>
    </w:p>
    <w:p>
      <w:pPr>
        <w:ind w:right="40" w:firstLine="662"/>
        <w:spacing w:after="0" w:line="238" w:lineRule="auto"/>
        <w:rPr>
          <w:sz w:val="20"/>
          <w:szCs w:val="20"/>
          <w:color w:val="auto"/>
        </w:rPr>
      </w:pPr>
      <w:r>
        <w:rPr>
          <w:rFonts w:ascii="Arial" w:cs="Arial" w:eastAsia="Arial" w:hAnsi="Arial"/>
          <w:sz w:val="18"/>
          <w:szCs w:val="18"/>
          <w:color w:val="auto"/>
        </w:rPr>
        <w:t xml:space="preserve">Additionally, throughout this Annual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Annual Report may appear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6" w:lineRule="exact"/>
        <w:rPr>
          <w:sz w:val="20"/>
          <w:szCs w:val="20"/>
          <w:color w:val="auto"/>
        </w:rPr>
      </w:pPr>
    </w:p>
    <w:p>
      <w:pPr>
        <w:ind w:right="40" w:firstLine="662"/>
        <w:spacing w:after="0" w:line="236" w:lineRule="auto"/>
        <w:rPr>
          <w:sz w:val="20"/>
          <w:szCs w:val="20"/>
          <w:color w:val="auto"/>
        </w:rPr>
      </w:pPr>
      <w:r>
        <w:rPr>
          <w:rFonts w:ascii="Arial" w:cs="Arial" w:eastAsia="Arial" w:hAnsi="Arial"/>
          <w:sz w:val="16"/>
          <w:szCs w:val="16"/>
          <w:color w:val="auto"/>
        </w:rPr>
        <w:t>Brand names, trademarks, service marks and trade names that we own or license from Marriott International, Inc. or its affiliates (“Marriott International”) include Marriott Vacation Club</w:t>
      </w:r>
      <w:r>
        <w:rPr>
          <w:rFonts w:ascii="Arial" w:cs="Arial" w:eastAsia="Arial" w:hAnsi="Arial"/>
          <w:sz w:val="22"/>
          <w:szCs w:val="22"/>
          <w:color w:val="auto"/>
          <w:vertAlign w:val="superscript"/>
        </w:rPr>
        <w:t>®</w:t>
      </w:r>
      <w:r>
        <w:rPr>
          <w:rFonts w:ascii="Arial" w:cs="Arial" w:eastAsia="Arial" w:hAnsi="Arial"/>
          <w:sz w:val="16"/>
          <w:szCs w:val="16"/>
          <w:color w:val="auto"/>
        </w:rPr>
        <w:t>, Marriott Vacation Club Destinations</w:t>
      </w:r>
      <w:r>
        <w:rPr>
          <w:rFonts w:ascii="Arial" w:cs="Arial" w:eastAsia="Arial" w:hAnsi="Arial"/>
          <w:sz w:val="16"/>
          <w:szCs w:val="16"/>
          <w:color w:val="auto"/>
          <w:vertAlign w:val="superscript"/>
        </w:rPr>
        <w:t>TM</w:t>
      </w:r>
      <w:r>
        <w:rPr>
          <w:rFonts w:ascii="Arial" w:cs="Arial" w:eastAsia="Arial" w:hAnsi="Arial"/>
          <w:sz w:val="13"/>
          <w:szCs w:val="13"/>
          <w:color w:val="auto"/>
        </w:rPr>
        <w:t>,</w:t>
      </w:r>
      <w:r>
        <w:rPr>
          <w:rFonts w:ascii="Arial" w:cs="Arial" w:eastAsia="Arial" w:hAnsi="Arial"/>
          <w:sz w:val="16"/>
          <w:szCs w:val="16"/>
          <w:color w:val="auto"/>
        </w:rPr>
        <w:t xml:space="preserve"> Marriott Vacation Club Pulse</w:t>
      </w:r>
      <w:r>
        <w:rPr>
          <w:rFonts w:ascii="Arial" w:cs="Arial" w:eastAsia="Arial" w:hAnsi="Arial"/>
          <w:sz w:val="16"/>
          <w:szCs w:val="16"/>
          <w:color w:val="auto"/>
          <w:vertAlign w:val="superscript"/>
        </w:rPr>
        <w:t>SM</w:t>
      </w:r>
      <w:r>
        <w:rPr>
          <w:rFonts w:ascii="Arial" w:cs="Arial" w:eastAsia="Arial" w:hAnsi="Arial"/>
          <w:sz w:val="16"/>
          <w:szCs w:val="16"/>
          <w:color w:val="auto"/>
        </w:rPr>
        <w:t>, Marriott Grand Residence Club</w:t>
      </w:r>
      <w:r>
        <w:rPr>
          <w:rFonts w:ascii="Arial" w:cs="Arial" w:eastAsia="Arial" w:hAnsi="Arial"/>
          <w:sz w:val="22"/>
          <w:szCs w:val="22"/>
          <w:color w:val="auto"/>
          <w:vertAlign w:val="superscript"/>
        </w:rPr>
        <w:t>®</w:t>
      </w:r>
      <w:r>
        <w:rPr>
          <w:rFonts w:ascii="Arial" w:cs="Arial" w:eastAsia="Arial" w:hAnsi="Arial"/>
          <w:sz w:val="16"/>
          <w:szCs w:val="16"/>
          <w:color w:val="auto"/>
        </w:rPr>
        <w:t>, Grand Residences by Marriott</w:t>
      </w:r>
      <w:r>
        <w:rPr>
          <w:rFonts w:ascii="Arial" w:cs="Arial" w:eastAsia="Arial" w:hAnsi="Arial"/>
          <w:sz w:val="22"/>
          <w:szCs w:val="22"/>
          <w:color w:val="auto"/>
          <w:vertAlign w:val="superscript"/>
        </w:rPr>
        <w:t>®</w:t>
      </w:r>
      <w:r>
        <w:rPr>
          <w:rFonts w:ascii="Arial" w:cs="Arial" w:eastAsia="Arial" w:hAnsi="Arial"/>
          <w:sz w:val="16"/>
          <w:szCs w:val="16"/>
          <w:color w:val="auto"/>
        </w:rPr>
        <w:t>, The Ritz-Carlton Destination Club</w:t>
      </w:r>
      <w:r>
        <w:rPr>
          <w:rFonts w:ascii="Arial" w:cs="Arial" w:eastAsia="Arial" w:hAnsi="Arial"/>
          <w:sz w:val="22"/>
          <w:szCs w:val="22"/>
          <w:color w:val="auto"/>
          <w:vertAlign w:val="superscript"/>
        </w:rPr>
        <w:t>®</w:t>
      </w:r>
      <w:r>
        <w:rPr>
          <w:rFonts w:ascii="Arial" w:cs="Arial" w:eastAsia="Arial" w:hAnsi="Arial"/>
          <w:sz w:val="16"/>
          <w:szCs w:val="16"/>
          <w:color w:val="auto"/>
        </w:rPr>
        <w:t>, Westin</w:t>
      </w:r>
      <w:r>
        <w:rPr>
          <w:rFonts w:ascii="Arial" w:cs="Arial" w:eastAsia="Arial" w:hAnsi="Arial"/>
          <w:sz w:val="22"/>
          <w:szCs w:val="22"/>
          <w:color w:val="auto"/>
          <w:vertAlign w:val="superscript"/>
        </w:rPr>
        <w:t>®</w:t>
      </w:r>
      <w:r>
        <w:rPr>
          <w:rFonts w:ascii="Arial" w:cs="Arial" w:eastAsia="Arial" w:hAnsi="Arial"/>
          <w:sz w:val="16"/>
          <w:szCs w:val="16"/>
          <w:color w:val="auto"/>
        </w:rPr>
        <w:t>, Sheraton</w:t>
      </w:r>
      <w:r>
        <w:rPr>
          <w:rFonts w:ascii="Arial" w:cs="Arial" w:eastAsia="Arial" w:hAnsi="Arial"/>
          <w:sz w:val="22"/>
          <w:szCs w:val="22"/>
          <w:color w:val="auto"/>
          <w:vertAlign w:val="superscript"/>
        </w:rPr>
        <w:t>®</w:t>
      </w:r>
      <w:r>
        <w:rPr>
          <w:rFonts w:ascii="Arial" w:cs="Arial" w:eastAsia="Arial" w:hAnsi="Arial"/>
          <w:sz w:val="16"/>
          <w:szCs w:val="16"/>
          <w:color w:val="auto"/>
        </w:rPr>
        <w:t>, (and to a limited extent) St. Regis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Luxury Collection</w:t>
      </w:r>
      <w:r>
        <w:rPr>
          <w:rFonts w:ascii="Arial" w:cs="Arial" w:eastAsia="Arial" w:hAnsi="Arial"/>
          <w:sz w:val="22"/>
          <w:szCs w:val="22"/>
          <w:color w:val="auto"/>
          <w:vertAlign w:val="superscript"/>
        </w:rPr>
        <w:t>®</w:t>
      </w:r>
      <w:r>
        <w:rPr>
          <w:rFonts w:ascii="Arial" w:cs="Arial" w:eastAsia="Arial" w:hAnsi="Arial"/>
          <w:sz w:val="16"/>
          <w:szCs w:val="16"/>
          <w:color w:val="auto"/>
        </w:rPr>
        <w:t>. Marriott International’s affiliates include Starwood Hotels and Resorts Worldwide, Inc. (“Starwood”) and The Ritz-Carlton Hotel Company, L.L.C. (“The Ritz-Carlton Hotel Company”). We also refer to Marriott International’s Marriott Bonvoy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customer loyalty program, which replaced the Marriott Rewards</w:t>
      </w:r>
      <w:r>
        <w:rPr>
          <w:rFonts w:ascii="Arial" w:cs="Arial" w:eastAsia="Arial" w:hAnsi="Arial"/>
          <w:sz w:val="22"/>
          <w:szCs w:val="22"/>
          <w:color w:val="auto"/>
          <w:vertAlign w:val="superscript"/>
        </w:rPr>
        <w:t>®</w:t>
      </w:r>
      <w:r>
        <w:rPr>
          <w:rFonts w:ascii="Arial" w:cs="Arial" w:eastAsia="Arial" w:hAnsi="Arial"/>
          <w:sz w:val="16"/>
          <w:szCs w:val="16"/>
          <w:color w:val="auto"/>
        </w:rPr>
        <w:t>, Starwood Preferred Guest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SPG</w:t>
      </w:r>
      <w:r>
        <w:rPr>
          <w:rFonts w:ascii="Arial" w:cs="Arial" w:eastAsia="Arial" w:hAnsi="Arial"/>
          <w:sz w:val="22"/>
          <w:szCs w:val="22"/>
          <w:color w:val="auto"/>
          <w:vertAlign w:val="superscript"/>
        </w:rPr>
        <w:t>®</w:t>
      </w:r>
      <w:r>
        <w:rPr>
          <w:rFonts w:ascii="Arial" w:cs="Arial" w:eastAsia="Arial" w:hAnsi="Arial"/>
          <w:sz w:val="16"/>
          <w:szCs w:val="16"/>
          <w:color w:val="auto"/>
        </w:rPr>
        <w:t>, and The Ritz-Carlton Rewards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customer loyalty programs, as “Marriott Bonvoy.” “Hyatt Vacation Ownership” business refers to our group of businesses using the Hyatt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 the vacation ownership business pursuant to an exclusive, global master license agreement with a subsidiary of Hyatt Hotels Corporation (“Hyatt”). We also refer to Hyatt’s World of Hyatt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customer loyalty program as “World of Hyatt.”</w:t>
      </w:r>
    </w:p>
    <w:p>
      <w:pPr>
        <w:spacing w:after="0" w:line="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September 1, 2018 (the “Acquisition Date”), we completed the acquisition of ILG, LLC, formerly known as ILG, Inc. (“ILG”), through a series of transactions (the “ILG Acquisition”), after which ILG became our indirect wholly-owned subsidiary. The Financial Statements in this report for fiscal year 2018 include ILG’s results of operations from the Acquisition Date through December 31, 2018 and reflect the financial position of our combined company at December 31, 2018. We refer to our business associated with brands that existed prior to the ILG Acquisition as “Legacy-MVW” and to ILG’s business and brands that we acquired as “Legacy-ILG.” See Footnote 3 “Acquisitions and Dispositions” to our Financial Statements for more information on the ILG Acquisition.</w:t>
      </w:r>
    </w:p>
    <w:p>
      <w:pPr>
        <w:spacing w:after="0" w:line="86" w:lineRule="exact"/>
        <w:rPr>
          <w:sz w:val="20"/>
          <w:szCs w:val="20"/>
          <w:color w:val="auto"/>
        </w:rPr>
      </w:pPr>
    </w:p>
    <w:p>
      <w:pPr>
        <w:ind w:right="260" w:firstLine="662"/>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62" w:lineRule="exact"/>
        <w:rPr>
          <w:sz w:val="20"/>
          <w:szCs w:val="20"/>
          <w:color w:val="auto"/>
        </w:rPr>
      </w:pPr>
    </w:p>
    <w:p>
      <w:pPr>
        <w:jc w:val="both"/>
        <w:ind w:right="340" w:firstLine="662"/>
        <w:spacing w:after="0" w:line="286" w:lineRule="auto"/>
        <w:rPr>
          <w:sz w:val="20"/>
          <w:szCs w:val="20"/>
          <w:color w:val="auto"/>
        </w:rPr>
      </w:pPr>
      <w:r>
        <w:rPr>
          <w:rFonts w:ascii="Arial" w:cs="Arial" w:eastAsia="Arial" w:hAnsi="Arial"/>
          <w:sz w:val="17"/>
          <w:szCs w:val="17"/>
          <w:color w:val="auto"/>
        </w:rPr>
        <w:t>Unless otherwise specified, each reference to a particular year means the fiscal year ended on the date shown in the table below, rather than the corresponding calendar year. Beginning with 2017, we changed our financial reporting cycle to a calendar year-end and end-of-month quarterly reporting cycle. Prior to 2017, our fiscal year was a 52 or 53 week fiscal year that ended on the Friday nearest to December 31.</w:t>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Fiscal Year</w:t>
            </w:r>
          </w:p>
        </w:tc>
        <w:tc>
          <w:tcPr>
            <w:tcW w:w="2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Fiscal Year-End Date</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2019</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365</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365</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30, 2016</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364</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1, 2016</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364</w:t>
            </w:r>
          </w:p>
        </w:tc>
      </w:tr>
      <w:tr>
        <w:trPr>
          <w:trHeight w:val="432"/>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jc w:val="right"/>
              <w:ind w:right="12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21" w:lineRule="exact"/>
        <w:rPr>
          <w:sz w:val="20"/>
          <w:szCs w:val="20"/>
          <w:color w:val="auto"/>
        </w:rPr>
      </w:pPr>
    </w:p>
    <w:p>
      <w:pPr>
        <w:ind w:right="100" w:firstLine="662"/>
        <w:spacing w:after="0" w:line="272"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0" w:lineRule="exact"/>
        <w:rPr>
          <w:sz w:val="20"/>
          <w:szCs w:val="20"/>
          <w:color w:val="auto"/>
        </w:rPr>
      </w:pPr>
    </w:p>
    <w:p>
      <w:pPr>
        <w:ind w:firstLine="662"/>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73"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The risk factors discussed in “Risk Factors” in this Annual Report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662"/>
        <w:spacing w:after="0" w:line="293"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of the Marriott Vacation Club brand. We are also the exclusive worldwide developer, marketer and seller of vacation ownership and related products under The Ritz-Carlton Destination Club brand, and have the non-exclusive right to develop, market and sell whole ownership residential products under The Ritz-Carlton Residences brand. We have a license to use the St. Regis brand for specified fractional ownership products.</w:t>
      </w:r>
    </w:p>
    <w:p>
      <w:pPr>
        <w:spacing w:after="0" w:line="57" w:lineRule="exact"/>
        <w:rPr>
          <w:sz w:val="20"/>
          <w:szCs w:val="20"/>
          <w:color w:val="auto"/>
        </w:rPr>
      </w:pPr>
    </w:p>
    <w:p>
      <w:pPr>
        <w:ind w:right="340" w:firstLine="662"/>
        <w:spacing w:after="0" w:line="264" w:lineRule="auto"/>
        <w:rPr>
          <w:sz w:val="20"/>
          <w:szCs w:val="20"/>
          <w:color w:val="auto"/>
        </w:rPr>
      </w:pPr>
      <w:r>
        <w:rPr>
          <w:rFonts w:ascii="Arial" w:cs="Arial" w:eastAsia="Arial" w:hAnsi="Arial"/>
          <w:sz w:val="18"/>
          <w:szCs w:val="18"/>
          <w:color w:val="auto"/>
        </w:rPr>
        <w:t>Our business operates in two reportable segments: Vacation Ownership and Exchange &amp; Third-Party Management. We were incorporated in Delaware in June 2011 and have been an independent public company since our November 2011 spin-off from Marriott International (the “Marriott Spin-Off”).</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206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4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2"/>
                <w:szCs w:val="22"/>
                <w:color w:val="auto"/>
              </w:rPr>
            </w:pPr>
          </w:p>
        </w:tc>
        <w:tc>
          <w:tcPr>
            <w:tcW w:w="228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Segment Revenue</w:t>
            </w:r>
          </w:p>
        </w:tc>
        <w:tc>
          <w:tcPr>
            <w:tcW w:w="2060" w:type="dxa"/>
            <w:vAlign w:val="bottom"/>
          </w:tcPr>
          <w:p>
            <w:pPr>
              <w:ind w:left="120"/>
              <w:spacing w:after="0"/>
              <w:rPr>
                <w:sz w:val="20"/>
                <w:szCs w:val="20"/>
                <w:color w:val="auto"/>
              </w:rPr>
            </w:pPr>
            <w:r>
              <w:rPr>
                <w:rFonts w:ascii="Arial" w:cs="Arial" w:eastAsia="Arial" w:hAnsi="Arial"/>
                <w:sz w:val="16"/>
                <w:szCs w:val="16"/>
                <w:b w:val="1"/>
                <w:bCs w:val="1"/>
                <w:color w:val="auto"/>
              </w:rPr>
              <w:t>% of Segment Revenue</w:t>
            </w:r>
          </w:p>
        </w:tc>
      </w:tr>
      <w:tr>
        <w:trPr>
          <w:trHeight w:val="25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color w:val="auto"/>
                <w:w w:val="88"/>
              </w:rPr>
              <w:t>89%</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Exchange &amp; Third-Party Management</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88"/>
              </w:rPr>
              <w:t>11%</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4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Segment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91"/>
              </w:rPr>
              <w:t>100%</w:t>
            </w: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ILG</w:t>
      </w:r>
    </w:p>
    <w:p>
      <w:pPr>
        <w:spacing w:after="0" w:line="121" w:lineRule="exact"/>
        <w:rPr>
          <w:sz w:val="20"/>
          <w:szCs w:val="20"/>
          <w:color w:val="auto"/>
        </w:rPr>
      </w:pPr>
    </w:p>
    <w:p>
      <w:pPr>
        <w:ind w:right="20" w:firstLine="662"/>
        <w:spacing w:after="0" w:line="302" w:lineRule="auto"/>
        <w:rPr>
          <w:sz w:val="20"/>
          <w:szCs w:val="20"/>
          <w:color w:val="auto"/>
        </w:rPr>
      </w:pPr>
      <w:r>
        <w:rPr>
          <w:rFonts w:ascii="Arial" w:cs="Arial" w:eastAsia="Arial" w:hAnsi="Arial"/>
          <w:sz w:val="16"/>
          <w:szCs w:val="16"/>
          <w:color w:val="auto"/>
        </w:rPr>
        <w:t>On September 1, 2018, we completed the acquisition of ILG. The businesses acquired that are currently operated by the Company as part of its Vacation Ownership business include Hyatt Vacation Ownership (“HVO”) and Vistana Signature Experiences (“Vistana”), which includes vacation ownership products branded as Sheraton or Westin. The businesses acquired that are currently operated by the Company as part of its Exchange &amp; Third-Party Management business include Aqua-Aston Hospitality, Interval International, Trading Places International, and Vacation Resorts International.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80" w:firstLine="662"/>
        <w:spacing w:after="0" w:line="269" w:lineRule="auto"/>
        <w:rPr>
          <w:sz w:val="20"/>
          <w:szCs w:val="20"/>
          <w:color w:val="auto"/>
        </w:rPr>
      </w:pPr>
      <w:r>
        <w:rPr>
          <w:rFonts w:ascii="Arial" w:cs="Arial" w:eastAsia="Arial" w:hAnsi="Arial"/>
          <w:sz w:val="17"/>
          <w:szCs w:val="17"/>
          <w:color w:val="auto"/>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but not limited to, a deeded real estate interest in a specified accommodation unit, an undivided interest in a building or an entire resort, or a beneficial interest in a trust that owns one or more resort properties. By purchasing a vacation ownership interest, owners make a commitment to vacation. For many purchasers, vacation ownership provides an attractive alternative to traditional lodging accommodations (such as hotels, resorts and condominium rentals). In addition to avoiding the volatility in room rates to which traditional lodging customers are subject, vacation ownership purchasers also enjoy accommodations that are, on average, more than twice the size of traditional hotel rooms and typically have more features, such as kitchens and separate living areas. Purchasers who might otherwise buy a second home find vacation ownership a preferable alternative because it is more affordable and reduces maintenance and upkeep concerns.</w:t>
      </w:r>
    </w:p>
    <w:p>
      <w:pPr>
        <w:spacing w:after="0" w:line="75"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Typically, developers sell vacation ownership interests for a fixed purchase price that is paid in full at closing or financed with a loan. Many vacation ownership companies provide financing or facilitate access to third-party bank financing for customers. Vacation ownership resorts are often operated by a nonprofit property owners’ association of which owners of vacation ownership interests are members. Most property owners’ associations are governed by a board of directors that includes owners and which may include representatives of the developer. Some vacation ownership resorts are held through a trust structure in which a trustee holds title and manages the property. The board of the property owners’ association, or trustee, as applicable, typically delegates much of the responsibility for managing the resort to a management company, which is often affiliated with the developer.</w:t>
      </w:r>
    </w:p>
    <w:p>
      <w:pPr>
        <w:spacing w:after="0" w:line="5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70" w:lineRule="exact"/>
        <w:rPr>
          <w:sz w:val="20"/>
          <w:szCs w:val="20"/>
          <w:color w:val="auto"/>
        </w:rPr>
      </w:pPr>
    </w:p>
    <w:p>
      <w:pPr>
        <w:ind w:right="20" w:firstLine="662"/>
        <w:spacing w:after="0" w:line="273"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70" w:lineRule="exact"/>
        <w:rPr>
          <w:sz w:val="20"/>
          <w:szCs w:val="20"/>
          <w:color w:val="auto"/>
        </w:rPr>
      </w:pPr>
    </w:p>
    <w:p>
      <w:pPr>
        <w:ind w:right="300" w:firstLine="662"/>
        <w:spacing w:after="0" w:line="276" w:lineRule="auto"/>
        <w:rPr>
          <w:sz w:val="20"/>
          <w:szCs w:val="20"/>
          <w:color w:val="auto"/>
        </w:rPr>
      </w:pPr>
      <w:r>
        <w:rPr>
          <w:rFonts w:ascii="Arial" w:cs="Arial" w:eastAsia="Arial" w:hAnsi="Arial"/>
          <w:sz w:val="17"/>
          <w:szCs w:val="17"/>
          <w:color w:val="auto"/>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 at other resorts in the exchange service provider’s broader network of properties. The two leading exchange service providers are Interval International, our subsidiary, and RCI, LLC, a subsidiary of Wyndham Destinations, Inc. (“RCI”). Interval International’s network includes nearly 3,200 resorts, and RCI’s network includes over 6,000 affiliated resorts, as identified on RCI’s website.</w:t>
      </w:r>
    </w:p>
    <w:p>
      <w:pPr>
        <w:spacing w:after="0" w:line="64"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2018, the U.S. vacation ownership community was comprised of over 1,500 resorts, representing more than 200,000 units. According to ARDA, sales in the U.S. market were approximately $10.2 billion in 2018. We believe there is considerable potential for further growth in the industry both in the U.S. and globally.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Intellectual Property</w:t>
      </w:r>
    </w:p>
    <w:p>
      <w:pPr>
        <w:spacing w:after="0" w:line="12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connection with the Marriott Spin-Off, we entered into a License, Services, and Development Agreement (the “Marriott License Agreement”) with Marriott International and a License, Services, and Development Agreement (the “Ritz-Carlton License Agreement”) with The Ritz-Carlton Hotel Company, a subsidiary of Marriott International. Under these long-term license agreements that expire between 2090 and 2096,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70"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In connection with our acquisition of ILG, we became the exclusive licensee for the Sheraton and Westin brands in vacation ownership. Our license agreements for these brands grant us the exclusive right, for the terms of the license agreements, to use certain Sheraton and Westin marks and intellectual property in our vacation ownership business, and the right to use the St. Regis brand for specified fractional ownership products. In addition, we assumed a license agreement with Hyatt that grants us the exclusive global use of the Hyatt brand in connection with the Hyatt Vacation Ownership business. Our license agreement with Hyatt was amended and restated effective January 2020.</w:t>
      </w:r>
    </w:p>
    <w:p>
      <w:pPr>
        <w:spacing w:after="0" w:line="80"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operate in a highly competitive industry and our brand names, trademarks, service marks, trade names and logos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Licensor Customer Loyalty Programs</w:t>
      </w:r>
    </w:p>
    <w:p>
      <w:pPr>
        <w:spacing w:after="0" w:line="117" w:lineRule="exact"/>
        <w:rPr>
          <w:sz w:val="20"/>
          <w:szCs w:val="20"/>
          <w:color w:val="auto"/>
        </w:rPr>
      </w:pPr>
    </w:p>
    <w:p>
      <w:pPr>
        <w:jc w:val="both"/>
        <w:ind w:right="380" w:firstLine="662"/>
        <w:spacing w:after="0" w:line="264" w:lineRule="auto"/>
        <w:rPr>
          <w:sz w:val="20"/>
          <w:szCs w:val="20"/>
          <w:color w:val="auto"/>
        </w:rPr>
      </w:pPr>
      <w:r>
        <w:rPr>
          <w:rFonts w:ascii="Arial" w:cs="Arial" w:eastAsia="Arial" w:hAnsi="Arial"/>
          <w:sz w:val="18"/>
          <w:szCs w:val="18"/>
          <w:color w:val="auto"/>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program.</w:t>
      </w:r>
    </w:p>
    <w:p>
      <w:pPr>
        <w:spacing w:after="0" w:line="73" w:lineRule="exact"/>
        <w:rPr>
          <w:sz w:val="20"/>
          <w:szCs w:val="20"/>
          <w:color w:val="auto"/>
        </w:rPr>
      </w:pPr>
    </w:p>
    <w:p>
      <w:pPr>
        <w:jc w:val="both"/>
        <w:ind w:right="320" w:firstLine="662"/>
        <w:spacing w:after="0" w:line="342" w:lineRule="auto"/>
        <w:rPr>
          <w:sz w:val="20"/>
          <w:szCs w:val="20"/>
          <w:color w:val="auto"/>
        </w:rPr>
      </w:pPr>
      <w:r>
        <w:rPr>
          <w:rFonts w:ascii="Arial" w:cs="Arial" w:eastAsia="Arial" w:hAnsi="Arial"/>
          <w:sz w:val="16"/>
          <w:szCs w:val="16"/>
          <w:color w:val="auto"/>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520" w:firstLine="662"/>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Drive profitable revenue growth</w:t>
      </w:r>
    </w:p>
    <w:p>
      <w:pPr>
        <w:spacing w:after="0" w:line="117" w:lineRule="exact"/>
        <w:rPr>
          <w:sz w:val="20"/>
          <w:szCs w:val="20"/>
          <w:color w:val="auto"/>
        </w:rPr>
      </w:pPr>
    </w:p>
    <w:p>
      <w:pPr>
        <w:ind w:right="100" w:firstLine="662"/>
        <w:spacing w:after="0" w:line="272" w:lineRule="auto"/>
        <w:rPr>
          <w:sz w:val="20"/>
          <w:szCs w:val="20"/>
          <w:color w:val="auto"/>
        </w:rPr>
      </w:pPr>
      <w:r>
        <w:rPr>
          <w:rFonts w:ascii="Arial" w:cs="Arial" w:eastAsia="Arial" w:hAnsi="Arial"/>
          <w:sz w:val="17"/>
          <w:szCs w:val="17"/>
          <w:color w:val="auto"/>
        </w:rPr>
        <w:t>We intend to continue to generate growth in vacation ownership sales by leveraging our globally recognized brand names and targeting high-quality inventory that allows us to add desirable new destinations to our systems with new on-site sales locations. We expect to continue to generate growth through our integrated platform that provides exclusive access to the world-class loyalty programs of Marriott International and Hyatt. We will also continue to focus on our over 660,000 owners around the world. We are concentrating on growing our tour flow cost effectively as we seek to grow first-time buyer tours through our strategy that emphasizes new sales locations and new marketing channels, including digital and social media marketing. As the vacation ownership business continues to grow sales and we add new resorts, our vacation ownership revenue streams from consumer financing, management fees, rentals and ancillary services are expected to grow.</w:t>
      </w:r>
    </w:p>
    <w:p>
      <w:pPr>
        <w:spacing w:after="0" w:line="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plan to grow our recurring revenues which tend to be less capital intensive than sales of vacation ownership. Our recurring revenues include management of resorts and owners’ associations as well as membership, club and other revenues in both our Vacation Ownership and Exchange &amp; Third-Party Management segments. These revenues generally are more predictable due to the relatively fixed nature of resort operating expenses and, in the case of management and exchange revenues, contractual agreements that typically span many years and are often automatically renewable.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Maximize cash flow and optimize our capital structure, including by selectively pursuing capital efficient vacation ownership deal structures</w:t>
      </w:r>
    </w:p>
    <w:p>
      <w:pPr>
        <w:spacing w:after="0" w:line="129"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Through the use of our points-based products, we are able to more closely match inventory investment with sales pace and reduce inventory levels, thereby generating strong cash flows over time. Limiting the amount of completed inventory on hand and pursuing capital efficient vacation ownership inventory arrangements enable us to reduce the maintenance fees that we pay on unsold inventory and improve returns on invested capital and liquidity. In addition, we reacquire previously sold vacation ownership interests at lower costs than would be required to develop new inventory which increases margins on our sales of vacation ownership interests.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62"/>
        <w:spacing w:after="0" w:line="276" w:lineRule="auto"/>
        <w:rPr>
          <w:sz w:val="20"/>
          <w:szCs w:val="20"/>
          <w:color w:val="auto"/>
        </w:rPr>
      </w:pPr>
      <w:r>
        <w:rPr>
          <w:rFonts w:ascii="Arial" w:cs="Arial" w:eastAsia="Arial" w:hAnsi="Arial"/>
          <w:sz w:val="17"/>
          <w:szCs w:val="17"/>
          <w:color w:val="auto"/>
        </w:rPr>
        <w:t>We expect to maintain an attractive leverage profile. We intend to meet our ongoing liquidity needs through cash on hand, operating cash flow, our $600 million revolving credit facility (the “Revolving Corporate Credit Facility”), our $350 million non-recourse warehouse credit facility (the “Warehouse Credit Facility”), and continued access to the asset-backed securities (“ABS”) term financing market. We believe this will enable us to maintain a level of liquidity that ensures financial flexibility, giving us the ability to pursue strategic growth opportunities, withstand potential future economic downturns, optimize our cost of capital, and pursue strategies for returning excess capital to shareholders.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Enhance digital capabilities</w:t>
      </w:r>
    </w:p>
    <w:p>
      <w:pPr>
        <w:spacing w:after="0" w:line="117"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A key area of focus for us is the expansion of digital tools to drive more efficient digital marketing and enhance user experience for our owners. We intend to engage in data driven approaches to digital marketing, which we believe will lead to efficiencies in our cost of marketing. We also believe making new and enhanced digital tools available to our owners presents revenue and cost reduction opportunities.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Focus on the satisfaction of our owners and guests as well as the engagement of our associates</w:t>
      </w:r>
    </w:p>
    <w:p>
      <w:pPr>
        <w:spacing w:after="0" w:line="117" w:lineRule="exact"/>
        <w:rPr>
          <w:sz w:val="20"/>
          <w:szCs w:val="20"/>
          <w:color w:val="auto"/>
        </w:rPr>
      </w:pPr>
    </w:p>
    <w:p>
      <w:pPr>
        <w:ind w:right="140" w:firstLine="662"/>
        <w:spacing w:after="0" w:line="273" w:lineRule="auto"/>
        <w:rPr>
          <w:sz w:val="20"/>
          <w:szCs w:val="20"/>
          <w:color w:val="auto"/>
        </w:rPr>
      </w:pPr>
      <w:r>
        <w:rPr>
          <w:rFonts w:ascii="Arial" w:cs="Arial" w:eastAsia="Arial" w:hAnsi="Arial"/>
          <w:sz w:val="17"/>
          <w:szCs w:val="17"/>
          <w:color w:val="auto"/>
        </w:rPr>
        <w:t>We provide high-quality vacation experiences to our owners and guests around the world and we believe that maintaining a high level of engagement across all of our customer groups is key to our success. We intend to maintain and improve their satisfaction with our products and services, which drives incremental sales as customers choose to spend more time at our resorts. Because our owners and guests are our most cost-effective vacation ownership sales channels, we intend to continue to leverage our strong customer satisfaction to drive higher margin sales volumes. We intend to provide innovative offerings in new destinations to meet the needs of current and future customers and intend to develop new offerings to attract the next generation of travelers looking for a greater variety of experiences with the high quality standards expected from brands they trust.</w:t>
      </w:r>
    </w:p>
    <w:p>
      <w:pPr>
        <w:spacing w:after="0" w:line="70" w:lineRule="exact"/>
        <w:rPr>
          <w:sz w:val="20"/>
          <w:szCs w:val="20"/>
          <w:color w:val="auto"/>
        </w:rPr>
      </w:pPr>
    </w:p>
    <w:p>
      <w:pPr>
        <w:ind w:right="40" w:firstLine="662"/>
        <w:spacing w:after="0" w:line="286" w:lineRule="auto"/>
        <w:rPr>
          <w:sz w:val="20"/>
          <w:szCs w:val="20"/>
          <w:color w:val="auto"/>
        </w:rPr>
      </w:pPr>
      <w:r>
        <w:rPr>
          <w:rFonts w:ascii="Arial" w:cs="Arial" w:eastAsia="Arial" w:hAnsi="Arial"/>
          <w:sz w:val="17"/>
          <w:szCs w:val="17"/>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Transform our business in connection with the integration of the ILG Acquisition</w:t>
      </w:r>
    </w:p>
    <w:p>
      <w:pPr>
        <w:spacing w:after="0" w:line="117" w:lineRule="exact"/>
        <w:rPr>
          <w:sz w:val="20"/>
          <w:szCs w:val="20"/>
          <w:color w:val="auto"/>
        </w:rPr>
      </w:pPr>
    </w:p>
    <w:p>
      <w:pPr>
        <w:ind w:right="80" w:firstLine="662"/>
        <w:spacing w:after="0" w:line="276" w:lineRule="auto"/>
        <w:rPr>
          <w:sz w:val="20"/>
          <w:szCs w:val="20"/>
          <w:color w:val="auto"/>
        </w:rPr>
      </w:pPr>
      <w:r>
        <w:rPr>
          <w:rFonts w:ascii="Arial" w:cs="Arial" w:eastAsia="Arial" w:hAnsi="Arial"/>
          <w:sz w:val="17"/>
          <w:szCs w:val="17"/>
          <w:color w:val="auto"/>
        </w:rPr>
        <w:t>As we continue to integrate the ILG businesses, we are simultaneously working to develop new growth channels and streamline our business processes through technology. We are focused on integrating functions, leveraging strengths across our businesses, and pursuing transformational opportunities that can further differentiate us from our competitors. We intend to advance our company analytics to encourage greater points utilization, provide enhanced resort experiences, and create more relevant and high value targeted leads for tour offers and vacation options. This is a multi-year process that is designed to achieve cost savings synergies and increase revenue opportunities.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80" w:firstLine="662"/>
        <w:spacing w:after="0" w:line="302" w:lineRule="auto"/>
        <w:rPr>
          <w:sz w:val="20"/>
          <w:szCs w:val="20"/>
          <w:color w:val="auto"/>
        </w:rPr>
      </w:pPr>
      <w:r>
        <w:rPr>
          <w:rFonts w:ascii="Arial" w:cs="Arial" w:eastAsia="Arial" w:hAnsi="Arial"/>
          <w:sz w:val="16"/>
          <w:szCs w:val="16"/>
          <w:color w:val="auto"/>
        </w:rPr>
        <w:t>We are positioned to explore new business opportunities, such as the continued enhancement of our exchange programs, new management affiliations and acquisitions of existing vacation ownership and related businesses. We intend to selectively pursue these types of opportunities, focusing on those opportunities that drive recurring revenue and profit streams. Prior to entering into any new business opportunity, we will evaluate its strategic fit and assess whether it is complementary to our current business, has strong expected financial returns and complements our existing competencies.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leading global vacation ownership company</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We are one of the world’s largest vacation ownership companies, based on number of owners, members, number of resorts and revenues. We believe our scale and global reach, coupled with our renowned brands and development, marketing, sales, exchange and management expertise, help us achieve operational efficiencies and support future growth 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operational cost savings from our increased scale, and attract talented management and associates. Our Interval International network includes members and resorts from our Marriott, Westin, Sheraton and Hyatt clubs that can attract developers and homeowners associations to affiliate with the network and provide an opportunity for their owners to exchange into our branded resorts.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Marriott Vacation Club Pulse brand extension features unique properties that embrace the spirit and culture of their urban locations, creating an authentic sense of place while delivering easy access to local interests, attractions and transportation.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Premier global brands with access to expansive customer bases</w:t>
      </w:r>
    </w:p>
    <w:p>
      <w:pPr>
        <w:spacing w:after="0" w:line="117"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We believe that our exclusive licenses with Marriott International and Hyatt for premier global brands in the vacation ownership business provide us with a meaningful competitive advantage. Through seven brands that we license from Marriott International for use in vacation ownership, we benefit from exclusive long-term access to the 125 million members in the Marriott Bonvoy loyalty program as of December 31, 2019. Through our relationship with Hyatt, we benefit from access to members of the World of Hyatt loyalty program, which includes over 22 million members as of December 31, 2019. We believe our access to guests with an affinity for our brands aids our marketing efforts and significantly enhances our ability to drive future sales, as we predominantly generate vacation ownership interest sales through brand loyalty-affiliated sales channels. We expect to continue to leverage our exclusive call transfer arrangements, on-site marketing at Marriott branded hotels, and use of certain exclusive marketing rights to increase sales across all of our Marriott-affiliated vacation ownership properties.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160" w:firstLine="662"/>
        <w:spacing w:after="0" w:line="279" w:lineRule="auto"/>
        <w:rPr>
          <w:sz w:val="20"/>
          <w:szCs w:val="20"/>
          <w:color w:val="auto"/>
        </w:rPr>
      </w:pPr>
      <w:r>
        <w:rPr>
          <w:rFonts w:ascii="Arial" w:cs="Arial" w:eastAsia="Arial" w:hAnsi="Arial"/>
          <w:sz w:val="17"/>
          <w:szCs w:val="17"/>
          <w:color w:val="auto"/>
        </w:rPr>
        <w:t>We have a large, highly satisfied customer base. Owner satisfaction is evidenced both by positive survey responses and by the fact that our average resort occupancy for our Vacation Ownership segment was approximately 88 percent in 2019, higher than the overall vacation ownership industry average.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efficient business model providing strong free cash flow and financial flexibility.</w:t>
      </w:r>
    </w:p>
    <w:p>
      <w:pPr>
        <w:spacing w:after="0" w:line="117" w:lineRule="exact"/>
        <w:rPr>
          <w:sz w:val="20"/>
          <w:szCs w:val="20"/>
          <w:color w:val="auto"/>
        </w:rPr>
      </w:pPr>
    </w:p>
    <w:p>
      <w:pPr>
        <w:ind w:right="140" w:firstLine="662"/>
        <w:spacing w:after="0" w:line="257" w:lineRule="auto"/>
        <w:rPr>
          <w:sz w:val="20"/>
          <w:szCs w:val="20"/>
          <w:color w:val="auto"/>
        </w:rPr>
      </w:pPr>
      <w:r>
        <w:rPr>
          <w:rFonts w:ascii="Arial" w:cs="Arial" w:eastAsia="Arial" w:hAnsi="Arial"/>
          <w:sz w:val="18"/>
          <w:szCs w:val="18"/>
          <w:color w:val="auto"/>
        </w:rPr>
        <w:t>We believe that our scale, recurring revenue fee streams and enhanced margin profile will enable us to maintain flexibility for continued organic growth, strategic acquisitions and debt repayment. Following the ILG Acquisition, a higher proportion of our total revenue excluding cost reimbursements derives from sources other than the sale of vacation ownership interests. The addition of our Exchange &amp; Third-Party Management businesses creates ample opportunities to realize recurring higher-margin, fee-based revenue streams with modest required capital expenditures, enhancing our margins and free cash flow generation over time.</w:t>
      </w:r>
    </w:p>
    <w:p>
      <w:pPr>
        <w:spacing w:after="0" w:line="80"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Our points-based vacation ownership products allow us to utilize capital efficient structures and maintain long-term sales locations without the need to construct additional units at each location. We are able to better manage our inventory needs, while achieving top line growth without a need to significantly increase inventory investments. Our disciplined inventory approach and use of capital efficient vacation ownership deal structures, including working with third parties that develop new inventory or convert previously built units that are sold to us close to when such inventory is needed to support sales, is expected to support strong free cash flow generation.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45 years of combined experience at Marriott International and Marriott Vacations Worldwide. William J. Shaw, the Chairman of our Board of Directors, is the former Vice Chairman, President and Chief Operating Officer of Marriott International and spent nearly 37 years with Marriott International. Our eleven executive officers have an average of nearly 30 years of total combined experience at Marriott Vacations Worldwide, our subsidiary companies, and Marriott International.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Engaged associates delivering high levels of customer service driving repeat customers</w:t>
      </w:r>
    </w:p>
    <w:p>
      <w:pPr>
        <w:spacing w:after="0" w:line="11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believe that our associates provide superior customer service and this dedication to serving the customer enhances our competitive position. Approximately 65 percent of our vacation ownership contract sales in 2019 were to existing owners, which enabled them to enjoy longer stays and have greater flexibility in their vacation choices. Sales to existing owners typically have significantly lower sales and marketing costs than sales to new owners. We leverage outstanding associate engagement and strong corporate culture to deliver positive customer experiences in sales, marketing, exchange, management and resort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We survey our associates regularly through an external survey provider to understand their satisfaction and engagement, defined as how passionate employees are about the company’s mission and their willingness to “go the extra mile” to see it succeed. We have historically ranked highly compared to other companies participating in such surveys.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 SEGMENT</w:t>
      </w:r>
    </w:p>
    <w:p>
      <w:pPr>
        <w:spacing w:after="0" w:line="121"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Our Vacation Ownership segment develops, markets, sells,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63" w:lineRule="exact"/>
        <w:rPr>
          <w:sz w:val="20"/>
          <w:szCs w:val="20"/>
          <w:color w:val="auto"/>
        </w:rPr>
      </w:pPr>
    </w:p>
    <w:p>
      <w:pPr>
        <w:ind w:right="580" w:firstLine="662"/>
        <w:spacing w:after="0" w:line="277" w:lineRule="auto"/>
        <w:rPr>
          <w:sz w:val="20"/>
          <w:szCs w:val="20"/>
          <w:color w:val="auto"/>
        </w:rPr>
      </w:pPr>
      <w:r>
        <w:rPr>
          <w:rFonts w:ascii="Arial" w:cs="Arial" w:eastAsia="Arial" w:hAnsi="Arial"/>
          <w:sz w:val="18"/>
          <w:szCs w:val="18"/>
          <w:color w:val="auto"/>
        </w:rPr>
        <w:t>As of December 31, 2019, our Vacation Ownership segment had more than 100 resorts and over 660,000 owners and members. The Vacation Ownership segment represented 89 percent of our consolidated revenue for 2019.</w:t>
      </w:r>
    </w:p>
    <w:p>
      <w:pPr>
        <w:spacing w:after="0" w:line="117" w:lineRule="exact"/>
        <w:rPr>
          <w:sz w:val="20"/>
          <w:szCs w:val="20"/>
          <w:color w:val="auto"/>
        </w:rPr>
      </w:pPr>
    </w:p>
    <w:tbl>
      <w:tblPr>
        <w:tblLayout w:type="fixed"/>
        <w:tblInd w:w="128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2019</w:t>
            </w:r>
          </w:p>
        </w:tc>
      </w:tr>
      <w:tr>
        <w:trPr>
          <w:trHeight w:val="203"/>
        </w:trPr>
        <w:tc>
          <w:tcPr>
            <w:tcW w:w="6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Vacation Ownership</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6"/>
              </w:rPr>
              <w:t>Segment Revenues</w:t>
            </w: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57"/>
        </w:trPr>
        <w:tc>
          <w:tcPr>
            <w:tcW w:w="6640" w:type="dxa"/>
            <w:vAlign w:val="bottom"/>
          </w:tcPr>
          <w:p>
            <w:pPr>
              <w:ind w:left="26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design, build, manage and maintain our properties at upper upscale and luxury levels primarily under the following brands:</w:t>
      </w:r>
    </w:p>
    <w:p>
      <w:pPr>
        <w:spacing w:after="0" w:line="113" w:lineRule="exact"/>
        <w:rPr>
          <w:sz w:val="20"/>
          <w:szCs w:val="20"/>
          <w:color w:val="auto"/>
        </w:rPr>
      </w:pPr>
    </w:p>
    <w:p>
      <w:pPr>
        <w:ind w:right="60" w:firstLine="662"/>
        <w:spacing w:after="0" w:line="274" w:lineRule="auto"/>
        <w:rPr>
          <w:sz w:val="20"/>
          <w:szCs w:val="20"/>
          <w:color w:val="auto"/>
        </w:rPr>
      </w:pPr>
      <w:r>
        <w:rPr>
          <w:rFonts w:ascii="Arial" w:cs="Arial" w:eastAsia="Arial" w:hAnsi="Arial"/>
          <w:sz w:val="17"/>
          <w:szCs w:val="17"/>
          <w:b w:val="1"/>
          <w:bCs w:val="1"/>
          <w:color w:val="auto"/>
        </w:rPr>
        <w:t xml:space="preserve">Marriott Vacation Club </w:t>
      </w:r>
      <w:r>
        <w:rPr>
          <w:rFonts w:ascii="Arial" w:cs="Arial" w:eastAsia="Arial" w:hAnsi="Arial"/>
          <w:sz w:val="17"/>
          <w:szCs w:val="17"/>
          <w:color w:val="auto"/>
        </w:rPr>
        <w:t>is a collection of upper upscale vacation ownership programs with a diverse portfolio of resorts and timeshare villas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accommodations throughout the U.S., Caribbean, Europe, Asia, and Australia. Marriott Vacation Club provides owners and their families with the flexibility to enjoy a wide variety of vacation experiences that are characterized by the consistent high quality and warm hospitality for which the Marriott name has become known. Marriott Vacation Club Pulse, a brand extension of Marriott Vacation Club, offers properties in the heart of vibrant cities, including San Francisco and New York City, among others. Because of their urban locations, Marriott Vacation Club Pulse properties typically offer limited on-site amenities and may include smaller guest rooms without separate living areas and kitchens.</w:t>
      </w:r>
    </w:p>
    <w:p>
      <w:pPr>
        <w:spacing w:after="0" w:line="66" w:lineRule="exact"/>
        <w:rPr>
          <w:sz w:val="20"/>
          <w:szCs w:val="20"/>
          <w:color w:val="auto"/>
        </w:rPr>
      </w:pPr>
    </w:p>
    <w:p>
      <w:pPr>
        <w:ind w:right="380" w:firstLine="662"/>
        <w:spacing w:after="0" w:line="266" w:lineRule="auto"/>
        <w:rPr>
          <w:sz w:val="20"/>
          <w:szCs w:val="20"/>
          <w:color w:val="auto"/>
        </w:rPr>
      </w:pPr>
      <w:r>
        <w:rPr>
          <w:rFonts w:ascii="Arial" w:cs="Arial" w:eastAsia="Arial" w:hAnsi="Arial"/>
          <w:sz w:val="18"/>
          <w:szCs w:val="18"/>
          <w:b w:val="1"/>
          <w:bCs w:val="1"/>
          <w:color w:val="auto"/>
        </w:rPr>
        <w:t xml:space="preserve">Sheraton Vacation Club </w:t>
      </w:r>
      <w:r>
        <w:rPr>
          <w:rFonts w:ascii="Arial" w:cs="Arial" w:eastAsia="Arial" w:hAnsi="Arial"/>
          <w:sz w:val="18"/>
          <w:szCs w:val="18"/>
          <w:color w:val="auto"/>
        </w:rPr>
        <w:t>provides enriching and unexpected vacation experiences in fun family destinations like Florida, South Carolina and</w:t>
      </w:r>
      <w:r>
        <w:rPr>
          <w:rFonts w:ascii="Arial" w:cs="Arial" w:eastAsia="Arial" w:hAnsi="Arial"/>
          <w:sz w:val="18"/>
          <w:szCs w:val="18"/>
          <w:b w:val="1"/>
          <w:bCs w:val="1"/>
          <w:color w:val="auto"/>
        </w:rPr>
        <w:t xml:space="preserve"> </w:t>
      </w:r>
      <w:r>
        <w:rPr>
          <w:rFonts w:ascii="Arial" w:cs="Arial" w:eastAsia="Arial" w:hAnsi="Arial"/>
          <w:sz w:val="18"/>
          <w:szCs w:val="18"/>
          <w:color w:val="auto"/>
        </w:rPr>
        <w:t>Colorado. This collection of Sheraton-branded upper upscale vacation ownership resorts allows owners and guests to relax, play and experience what the world has to offer. Sheraton Vacation Club resorts are part of the Vistana Signature Network.</w:t>
      </w:r>
    </w:p>
    <w:p>
      <w:pPr>
        <w:spacing w:after="0" w:line="68" w:lineRule="exact"/>
        <w:rPr>
          <w:sz w:val="20"/>
          <w:szCs w:val="20"/>
          <w:color w:val="auto"/>
        </w:rPr>
      </w:pPr>
    </w:p>
    <w:p>
      <w:pPr>
        <w:ind w:right="140" w:firstLine="662"/>
        <w:spacing w:after="0" w:line="261" w:lineRule="auto"/>
        <w:rPr>
          <w:sz w:val="20"/>
          <w:szCs w:val="20"/>
          <w:color w:val="auto"/>
        </w:rPr>
      </w:pPr>
      <w:r>
        <w:rPr>
          <w:rFonts w:ascii="Arial" w:cs="Arial" w:eastAsia="Arial" w:hAnsi="Arial"/>
          <w:sz w:val="18"/>
          <w:szCs w:val="18"/>
          <w:b w:val="1"/>
          <w:bCs w:val="1"/>
          <w:color w:val="auto"/>
        </w:rPr>
        <w:t xml:space="preserve">Westin Vacation Club </w:t>
      </w:r>
      <w:r>
        <w:rPr>
          <w:rFonts w:ascii="Arial" w:cs="Arial" w:eastAsia="Arial" w:hAnsi="Arial"/>
          <w:sz w:val="18"/>
          <w:szCs w:val="18"/>
          <w:color w:val="auto"/>
        </w:rPr>
        <w:t>is a collection of Westin-branded upper upscale vacation ownership resorts located in some of the most sought-after</w:t>
      </w:r>
      <w:r>
        <w:rPr>
          <w:rFonts w:ascii="Arial" w:cs="Arial" w:eastAsia="Arial" w:hAnsi="Arial"/>
          <w:sz w:val="18"/>
          <w:szCs w:val="18"/>
          <w:b w:val="1"/>
          <w:bCs w:val="1"/>
          <w:color w:val="auto"/>
        </w:rPr>
        <w:t xml:space="preserve"> </w:t>
      </w:r>
      <w:r>
        <w:rPr>
          <w:rFonts w:ascii="Arial" w:cs="Arial" w:eastAsia="Arial" w:hAnsi="Arial"/>
          <w:sz w:val="18"/>
          <w:szCs w:val="18"/>
          <w:color w:val="auto"/>
        </w:rPr>
        <w:t>destinations and designed with well-being in mind. From the world-renowned Heavenly Bed to an energizing WestinWORKOUT and revitalizing Heavenly Spa treatments, every element of a vacation stay is created to leave owners and guests feeling better than when they arrived. Westin Vacation Club resorts are part of the Vistana Signature Network.</w:t>
      </w:r>
    </w:p>
    <w:p>
      <w:pPr>
        <w:spacing w:after="0" w:line="72" w:lineRule="exact"/>
        <w:rPr>
          <w:sz w:val="20"/>
          <w:szCs w:val="20"/>
          <w:color w:val="auto"/>
        </w:rPr>
      </w:pPr>
    </w:p>
    <w:p>
      <w:pPr>
        <w:ind w:right="160" w:firstLine="662"/>
        <w:spacing w:after="0" w:line="289" w:lineRule="auto"/>
        <w:rPr>
          <w:sz w:val="20"/>
          <w:szCs w:val="20"/>
          <w:color w:val="auto"/>
        </w:rPr>
      </w:pPr>
      <w:r>
        <w:rPr>
          <w:rFonts w:ascii="Arial" w:cs="Arial" w:eastAsia="Arial" w:hAnsi="Arial"/>
          <w:sz w:val="17"/>
          <w:szCs w:val="17"/>
          <w:b w:val="1"/>
          <w:bCs w:val="1"/>
          <w:color w:val="auto"/>
        </w:rPr>
        <w:t xml:space="preserve">Grand Residences by Marriott </w:t>
      </w:r>
      <w:r>
        <w:rPr>
          <w:rFonts w:ascii="Arial" w:cs="Arial" w:eastAsia="Arial" w:hAnsi="Arial"/>
          <w:sz w:val="17"/>
          <w:szCs w:val="17"/>
          <w:color w:val="auto"/>
        </w:rPr>
        <w:t>provides vacation ownership through fractional real estate and whole ownership offerings. Grand Residences by</w:t>
      </w:r>
      <w:r>
        <w:rPr>
          <w:rFonts w:ascii="Arial" w:cs="Arial" w:eastAsia="Arial" w:hAnsi="Arial"/>
          <w:sz w:val="17"/>
          <w:szCs w:val="17"/>
          <w:b w:val="1"/>
          <w:bCs w:val="1"/>
          <w:color w:val="auto"/>
        </w:rPr>
        <w:t xml:space="preserve"> </w:t>
      </w:r>
      <w:r>
        <w:rPr>
          <w:rFonts w:ascii="Arial" w:cs="Arial" w:eastAsia="Arial" w:hAnsi="Arial"/>
          <w:sz w:val="17"/>
          <w:szCs w:val="17"/>
          <w:color w:val="auto"/>
        </w:rPr>
        <w:t>Marriott is dedicated to providing carefree property ownership. The accommodations for this brand are similar to those we offer under the Marriott Vacation Club brand, but the duration of the vacation ownership interest is longer, ranging between three and thirteen weeks.</w:t>
      </w:r>
    </w:p>
    <w:p>
      <w:pPr>
        <w:spacing w:after="0" w:line="50" w:lineRule="exact"/>
        <w:rPr>
          <w:sz w:val="20"/>
          <w:szCs w:val="20"/>
          <w:color w:val="auto"/>
        </w:rPr>
      </w:pPr>
    </w:p>
    <w:p>
      <w:pPr>
        <w:ind w:right="80" w:firstLine="662"/>
        <w:spacing w:after="0" w:line="277" w:lineRule="auto"/>
        <w:rPr>
          <w:sz w:val="20"/>
          <w:szCs w:val="20"/>
          <w:color w:val="auto"/>
        </w:rPr>
      </w:pPr>
      <w:r>
        <w:rPr>
          <w:rFonts w:ascii="Arial" w:cs="Arial" w:eastAsia="Arial" w:hAnsi="Arial"/>
          <w:sz w:val="17"/>
          <w:szCs w:val="17"/>
          <w:b w:val="1"/>
          <w:bCs w:val="1"/>
          <w:color w:val="auto"/>
        </w:rPr>
        <w:t xml:space="preserve">The Ritz-Carlton Destination Club </w:t>
      </w:r>
      <w:r>
        <w:rPr>
          <w:rFonts w:ascii="Arial" w:cs="Arial" w:eastAsia="Arial" w:hAnsi="Arial"/>
          <w:sz w:val="17"/>
          <w:szCs w:val="17"/>
          <w:color w:val="auto"/>
        </w:rPr>
        <w:t>is a vacation ownership program that provides luxurious vacation experiences for members and their families</w:t>
      </w:r>
      <w:r>
        <w:rPr>
          <w:rFonts w:ascii="Arial" w:cs="Arial" w:eastAsia="Arial" w:hAnsi="Arial"/>
          <w:sz w:val="17"/>
          <w:szCs w:val="17"/>
          <w:b w:val="1"/>
          <w:bCs w:val="1"/>
          <w:color w:val="auto"/>
        </w:rPr>
        <w:t xml:space="preserve"> </w:t>
      </w:r>
      <w:r>
        <w:rPr>
          <w:rFonts w:ascii="Arial" w:cs="Arial" w:eastAsia="Arial" w:hAnsi="Arial"/>
          <w:sz w:val="17"/>
          <w:szCs w:val="17"/>
          <w:color w:val="auto"/>
        </w:rPr>
        <w:t>commensurate with the legacy of The Ritz-Carlton brand. The Ritz-Carlton Destination Club resorts include luxury villas and resort amenities that offer inspirational vacation lifestyles tailored to every member’s needs and expectations. The Ritz-Carlton Destination Club resorts typically feature two, three and four bedroom units that usually include marble foyers, walk-in closets, custom kitchen cabinetry and luxury resort amenities such as large feature swimming pools and access to full service restaurants and bars. On-site management and services, which usually include daily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housekeeping service, valet, in-residence dining, and access to fitness facilities as well as spa and sports facilities as appropriate for each destination, are provided by The Ritz-Carlton Hotel Company.</w:t>
      </w:r>
    </w:p>
    <w:p>
      <w:pPr>
        <w:spacing w:after="0" w:line="58" w:lineRule="exact"/>
        <w:rPr>
          <w:sz w:val="20"/>
          <w:szCs w:val="20"/>
          <w:color w:val="auto"/>
        </w:rPr>
      </w:pPr>
    </w:p>
    <w:p>
      <w:pPr>
        <w:ind w:firstLine="662"/>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76" w:lineRule="exact"/>
        <w:rPr>
          <w:sz w:val="20"/>
          <w:szCs w:val="20"/>
          <w:color w:val="auto"/>
        </w:rPr>
      </w:pPr>
    </w:p>
    <w:p>
      <w:pPr>
        <w:ind w:right="160" w:firstLine="662"/>
        <w:spacing w:after="0" w:line="266" w:lineRule="auto"/>
        <w:rPr>
          <w:sz w:val="20"/>
          <w:szCs w:val="20"/>
          <w:color w:val="auto"/>
        </w:rPr>
      </w:pPr>
      <w:r>
        <w:rPr>
          <w:rFonts w:ascii="Arial" w:cs="Arial" w:eastAsia="Arial" w:hAnsi="Arial"/>
          <w:sz w:val="18"/>
          <w:szCs w:val="18"/>
          <w:b w:val="1"/>
          <w:bCs w:val="1"/>
          <w:color w:val="auto"/>
        </w:rPr>
        <w:t xml:space="preserve">St. Regis Residence Club </w:t>
      </w:r>
      <w:r>
        <w:rPr>
          <w:rFonts w:ascii="Arial" w:cs="Arial" w:eastAsia="Arial" w:hAnsi="Arial"/>
          <w:sz w:val="18"/>
          <w:szCs w:val="18"/>
          <w:color w:val="auto"/>
        </w:rPr>
        <w:t>and</w:t>
      </w:r>
      <w:r>
        <w:rPr>
          <w:rFonts w:ascii="Arial" w:cs="Arial" w:eastAsia="Arial" w:hAnsi="Arial"/>
          <w:sz w:val="18"/>
          <w:szCs w:val="18"/>
          <w:b w:val="1"/>
          <w:bCs w:val="1"/>
          <w:color w:val="auto"/>
        </w:rPr>
        <w:t xml:space="preserve"> The Luxury Collection </w:t>
      </w:r>
      <w:r>
        <w:rPr>
          <w:rFonts w:ascii="Arial" w:cs="Arial" w:eastAsia="Arial" w:hAnsi="Arial"/>
          <w:sz w:val="18"/>
          <w:szCs w:val="18"/>
          <w:color w:val="auto"/>
        </w:rPr>
        <w:t>offer luxury real estate and distinctive privileges to members who embrace the art of living</w:t>
      </w:r>
      <w:r>
        <w:rPr>
          <w:rFonts w:ascii="Arial" w:cs="Arial" w:eastAsia="Arial" w:hAnsi="Arial"/>
          <w:sz w:val="18"/>
          <w:szCs w:val="18"/>
          <w:b w:val="1"/>
          <w:bCs w:val="1"/>
          <w:color w:val="auto"/>
        </w:rPr>
        <w:t xml:space="preserve"> </w:t>
      </w:r>
      <w:r>
        <w:rPr>
          <w:rFonts w:ascii="Arial" w:cs="Arial" w:eastAsia="Arial" w:hAnsi="Arial"/>
          <w:sz w:val="18"/>
          <w:szCs w:val="18"/>
          <w:color w:val="auto"/>
        </w:rPr>
        <w:t>in unforgettable destinations. For connoisseurs who desire the finest in luxury living, magnificent residences exude the timeless grandeur and glamour synonymous with the illustrious past of the St. Regis brand</w:t>
      </w:r>
      <w:r>
        <w:rPr>
          <w:rFonts w:ascii="Arial" w:cs="Arial" w:eastAsia="Arial" w:hAnsi="Arial"/>
          <w:sz w:val="18"/>
          <w:szCs w:val="18"/>
          <w:b w:val="1"/>
          <w:bCs w:val="1"/>
          <w:color w:val="auto"/>
        </w:rPr>
        <w:t>.</w:t>
      </w:r>
    </w:p>
    <w:p>
      <w:pPr>
        <w:spacing w:after="0" w:line="68" w:lineRule="exact"/>
        <w:rPr>
          <w:sz w:val="20"/>
          <w:szCs w:val="20"/>
          <w:color w:val="auto"/>
        </w:rPr>
      </w:pPr>
    </w:p>
    <w:p>
      <w:pPr>
        <w:jc w:val="both"/>
        <w:ind w:right="400" w:firstLine="662"/>
        <w:spacing w:after="0" w:line="266" w:lineRule="auto"/>
        <w:rPr>
          <w:sz w:val="20"/>
          <w:szCs w:val="20"/>
          <w:color w:val="auto"/>
        </w:rPr>
      </w:pPr>
      <w:r>
        <w:rPr>
          <w:rFonts w:ascii="Arial" w:cs="Arial" w:eastAsia="Arial" w:hAnsi="Arial"/>
          <w:sz w:val="18"/>
          <w:szCs w:val="18"/>
          <w:b w:val="1"/>
          <w:bCs w:val="1"/>
          <w:color w:val="auto"/>
        </w:rPr>
        <w:t xml:space="preserve">Hyatt Residence Club </w:t>
      </w:r>
      <w:r>
        <w:rPr>
          <w:rFonts w:ascii="Arial" w:cs="Arial" w:eastAsia="Arial" w:hAnsi="Arial"/>
          <w:sz w:val="18"/>
          <w:szCs w:val="18"/>
          <w:color w:val="auto"/>
        </w:rPr>
        <w:t>is a vacation ownership program that provides flexible access to global travel experiences through a diverse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boutique upper upscale residential-style retreats. Set in unique destinations from Maui, Carmel and Aspen to Sedona, San Antonio and Key West, Hyatt Residence Club resorts deliver genuine Hyatt care.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Points-Based Vacation Ownership Products</w:t>
      </w:r>
    </w:p>
    <w:p>
      <w:pPr>
        <w:spacing w:after="0" w:line="117"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We sell the majority of our products through points-based ownership programs, including Marriott Vacation Club, Sheraton Flex, Westin Flex, Westin Aventuras, and the Hyatt Residence Club Portfolio Program.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Members of our points-based programs typically pay annual fees in exchange for the ability to participate in the program. In addition to points-based ownership programs that allow owners to access multiple destinations within a single program, we offer points programs at certain resorts in St. John and Hawaii that allow owners to access that particular single site using points in a similar use fashion to the other points based products.</w:t>
      </w:r>
    </w:p>
    <w:p>
      <w:pPr>
        <w:spacing w:after="0" w:line="70"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Our points programs allow owners to bank and borrow their annual point allotments, access other locations through the applicable internal exchange programs that we operate, and access Interval International’s network of nearly 3,200 affiliated resorts. Owners can also trade their vacation ownership usage rights for Marriott Bonvoy points or World of Hyatt points, as applicable, which can be used to access participating hotels or redeemed for airline miles or other merchandise offered through such customer loyalty program. Our points-based products offer usage in perpetuity or for a term of years, and may consist of real estate interests or a contractual right-to-use.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Weeks-Based Vacation Ownership Products</w:t>
      </w:r>
    </w:p>
    <w:p>
      <w:pPr>
        <w:spacing w:after="0" w:line="117"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We continue to sell Marriott Vacation Club, Westin, Sheraton and Hyatt branded weeks-based vacation ownership products in select markets, including in countries where legal and tax constraints currently limit our ability to include those locations in one of our existing points-based programs. Our products include multi-week vacation ownership interests in specific Grand Residences by Marriott, St. Regis Residence Club, The Luxury Collection Residence Club, and The Ritz-Carlton Destination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in Asia Pacific and Europe.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Global Exchange Opportunities</w:t>
      </w:r>
    </w:p>
    <w:p>
      <w:pPr>
        <w:spacing w:after="0" w:line="117"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We offer our existing Marriott Vacation Club owners who hold weeks-based products the opportunity to participate, on a voluntary basis, in Marriott Vacation Club Destinations (“MVCD”), an exchange program through which many of MVCD’s vacation experiences are offered. All existing owners, whether or not they elect to participate in the MVCD exchange program, retain their existing rights and privileges of vacation ownership. Owners who elect to participate in the exchange program receive the ability to trade their weeks-based interval usage for vacation club points usage each year, typically subject to payment of an initial enrollment fee and annual club dues. As of the end of 2019, approximately 185,000 weeks-based owners have enrolled approximately 292,000 weeks in MVCD’s exchange program since its launch in 2010, with more than 234,000 total owners able to use points.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Vistana Signature Network (“VSN”) provides Westin Vacation Club and Sheraton Vacation Club owners access to its affiliated resorts as well as the opportunity to exchange their points through the new Marriott Bonvoy program to Marriott resorts, through the Interval International network, or for a cruise. Based on the point value of the home resort interest owned, customers can choose other VSN affiliated resorts, the type of villa, the date of travel and the length of stay. VSN members have a four-month period in which they have exclusive occupancy rights at the related resort or points program without competition from other network members. During this home resort period, they can reserve occupancy based on the season and unit type purchased. As of December 31, 2019, VSN included more than 187,000 members.</w:t>
      </w:r>
    </w:p>
    <w:p>
      <w:pPr>
        <w:spacing w:after="0" w:line="8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Hyatt Residence Club provides its owners internal exchange rights among Hyatt Residence Club resorts as well as the opportunity to trade their club points for World of Hyatt points which may be redeemed at participating Hyatt branded properties and exchanged through the Interval International network. Owners will receive Hyatt Residence Club points if they have not reserved at their home resort or through its points program during their allotted preference period or if they elect to convert to points earlier. As of December 31, 2019, this points-based membership exchange system served more than 32,000 owners.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60" w:firstLine="662"/>
        <w:spacing w:after="0" w:line="308" w:lineRule="auto"/>
        <w:rPr>
          <w:sz w:val="20"/>
          <w:szCs w:val="20"/>
          <w:color w:val="auto"/>
        </w:rPr>
      </w:pPr>
      <w:r>
        <w:rPr>
          <w:rFonts w:ascii="Arial" w:cs="Arial" w:eastAsia="Arial" w:hAnsi="Arial"/>
          <w:sz w:val="17"/>
          <w:szCs w:val="17"/>
          <w:color w:val="auto"/>
        </w:rPr>
        <w:t>We generate most of our revenues from four primary sources: selling vacation ownership products; managing vacation ownership resorts, clubs, and owners’ associations; financing consumer purchases of vacation ownership products; and renting vacation ownership inventory.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source of revenue is the sale of vacation ownership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firstLine="662"/>
        <w:spacing w:after="0" w:line="312" w:lineRule="auto"/>
        <w:rPr>
          <w:sz w:val="20"/>
          <w:szCs w:val="20"/>
          <w:color w:val="auto"/>
        </w:rPr>
      </w:pPr>
      <w:r>
        <w:rPr>
          <w:rFonts w:ascii="Arial" w:cs="Arial" w:eastAsia="Arial" w:hAnsi="Arial"/>
          <w:sz w:val="16"/>
          <w:szCs w:val="16"/>
          <w:color w:val="auto"/>
        </w:rPr>
        <w:t>We generate revenue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earn interest income on loans that we provide to purchasers of our vacation ownership interests, as well as loan servicing and other fees.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that may already have an affinity for and loyalty to the Marriott, Ritz-Carlton, Sheraton and Westin brands and introduce them to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40" w:firstLine="662"/>
        <w:spacing w:after="0" w:line="272" w:lineRule="auto"/>
        <w:rPr>
          <w:sz w:val="20"/>
          <w:szCs w:val="20"/>
          <w:color w:val="auto"/>
        </w:rPr>
      </w:pPr>
      <w:r>
        <w:rPr>
          <w:rFonts w:ascii="Arial" w:cs="Arial" w:eastAsia="Arial" w:hAnsi="Arial"/>
          <w:sz w:val="17"/>
          <w:szCs w:val="17"/>
          <w:color w:val="auto"/>
        </w:rPr>
        <w:t>We sell our upper upscale tier vacation ownership products under our brands primarily through our worldwide network of resort-based sales centers and certain off-site sales locations. Our vacation ownership interests are currently marketed for sale throughout the United States and in over 25 countries around the world, targeting customers who vacation regularly with a focus on family, relaxation and recreational activities. In 2019, over 90 percent of our vacation ownership contract sales originated at sales centers that are co-located with one of our resorts. We maintain a range of different off-site sales centers, including our central telesales organization based in Orlando and our network of third-party brokers in Latin America and Europe. We have more than 85 global sales locations focused on the sale of vacation ownership interests. We utilize a number of marketing channels to attract qualified customers to our sales locations, including digital and social media marketing.</w:t>
      </w:r>
    </w:p>
    <w:p>
      <w:pPr>
        <w:spacing w:after="0" w:line="70"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Palm Springs, California. In 2019, approximately 65 percent of our vacation ownership contract sales were to our existing owners. In addition, we are concentrating on growing our tour flow cost effectively as we seek to generate more first-time buyer tours through our strategy that emphasizes adding new sales locations and new marketing channels.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62"/>
        <w:spacing w:after="0" w:line="291" w:lineRule="auto"/>
        <w:rPr>
          <w:sz w:val="20"/>
          <w:szCs w:val="20"/>
          <w:color w:val="auto"/>
        </w:rPr>
      </w:pPr>
      <w:r>
        <w:rPr>
          <w:rFonts w:ascii="Arial" w:cs="Arial" w:eastAsia="Arial" w:hAnsi="Arial"/>
          <w:sz w:val="16"/>
          <w:szCs w:val="16"/>
          <w:color w:val="auto"/>
        </w:rPr>
        <w:t>We also market to existing Marriott and Hyatt customer loyalty program members and travelers who are staying in locations where we have like-branded resorts. We market extensively to guests in Marriott International or Hyatt hotels that are located near one of our sales locations. We also market through call transfer arrangements with Marriott International pursuant to which callers to certain of its reservation centers are asked if they would like to be transferred to one of our representatives that can tell them about our products. In addition, we operate other local marketing venues in various high-traffic areas. A significant part of our direct marketing activities are focused on prospects in the Marriott and Hyatt customer loyalty program databases and our in-house databases of qualified prospects. We offer guests who do not buy a vacation ownership interest during their initial tour the opportunity to purchase a return package for a future stay at our resorts. These return guests are nearly twice as likely to purchase as a first-time visitor.</w:t>
      </w:r>
    </w:p>
    <w:p>
      <w:pPr>
        <w:spacing w:after="0" w:line="59" w:lineRule="exact"/>
        <w:rPr>
          <w:sz w:val="20"/>
          <w:szCs w:val="20"/>
          <w:color w:val="auto"/>
        </w:rPr>
      </w:pPr>
    </w:p>
    <w:p>
      <w:pPr>
        <w:ind w:right="540" w:firstLine="662"/>
        <w:spacing w:after="0" w:line="277" w:lineRule="auto"/>
        <w:rPr>
          <w:sz w:val="20"/>
          <w:szCs w:val="20"/>
          <w:color w:val="auto"/>
        </w:rPr>
      </w:pPr>
      <w:r>
        <w:rPr>
          <w:rFonts w:ascii="Arial" w:cs="Arial" w:eastAsia="Arial" w:hAnsi="Arial"/>
          <w:sz w:val="18"/>
          <w:szCs w:val="18"/>
          <w:color w:val="auto"/>
        </w:rPr>
        <w:t>One of our key areas of focus is expanding our use of social media and digital marketing channels. We are focused on building stronger brand reputation associations via social media audience growth, community engagement, and data driven content marketing.</w:t>
      </w:r>
    </w:p>
    <w:p>
      <w:pPr>
        <w:spacing w:after="0" w:line="62"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Our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85"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We believe consumers place a great deal of trust in the Marriott, Westin, Sheraton, Ritz-Carlton and Hyatt brands and the strength of these brands is important to our ability to attract qualified prospects in the marketplace. We maintain a prominent presence on the www.marriott.com, www.ritzcarlton.com and www.hyatt.com websites. Our proprietary sites include www.marriottvacationsworldwide.com, www.marriottvacationclub.com, www.ritzcarltonclub.com, www.vistana.com, www.theresidenceclub.com, and www.hyattresidenceclub.com.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340" w:firstLine="662"/>
        <w:spacing w:after="0" w:line="257" w:lineRule="auto"/>
        <w:rPr>
          <w:sz w:val="20"/>
          <w:szCs w:val="20"/>
          <w:color w:val="auto"/>
        </w:rPr>
      </w:pPr>
      <w:r>
        <w:rPr>
          <w:rFonts w:ascii="Arial" w:cs="Arial" w:eastAsia="Arial" w:hAnsi="Arial"/>
          <w:sz w:val="18"/>
          <w:szCs w:val="18"/>
          <w:color w:val="auto"/>
        </w:rPr>
        <w:t>We secure inventory by building additional phases at our existing resorts, repurchasing previously sold inventory in the secondary market, repurchasing inventory as a result of owner loan or maintenance fee defaults, or developing or acquiring inventory at resorts in strategic markets. We proactively buy back previously sold vacation ownership interests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80"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We intend to continue to selectively pursue growth opportunities primarily in North America and Asia Pacific by targeting high-quality inventory that allows us to add desirable new destinations to our system with new on-site sales locations in ways that optimize the timing of our capital investments. These capital efficient vacation ownership deal structures may include working with third parties to develop new inventory or to convert previously built units to be sold to us close to when we need such inventory.</w:t>
      </w:r>
    </w:p>
    <w:p>
      <w:pPr>
        <w:spacing w:after="0" w:line="79" w:lineRule="exact"/>
        <w:rPr>
          <w:sz w:val="20"/>
          <w:szCs w:val="20"/>
          <w:color w:val="auto"/>
        </w:rPr>
      </w:pPr>
    </w:p>
    <w:p>
      <w:pPr>
        <w:ind w:right="20" w:firstLine="662"/>
        <w:spacing w:after="0" w:line="272" w:lineRule="auto"/>
        <w:rPr>
          <w:sz w:val="20"/>
          <w:szCs w:val="20"/>
          <w:color w:val="auto"/>
        </w:rPr>
      </w:pPr>
      <w:r>
        <w:rPr>
          <w:rFonts w:ascii="Arial" w:cs="Arial" w:eastAsia="Arial" w:hAnsi="Arial"/>
          <w:sz w:val="17"/>
          <w:szCs w:val="17"/>
          <w:color w:val="auto"/>
        </w:rPr>
        <w:t>Approximately a quarter of our Vacation Ownership segment resorts are co-located with same-branded hotel properties. Co-location of our resorts with same-branded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70" w:lineRule="exact"/>
        <w:rPr>
          <w:sz w:val="20"/>
          <w:szCs w:val="20"/>
          <w:color w:val="auto"/>
        </w:rPr>
      </w:pPr>
    </w:p>
    <w:p>
      <w:pPr>
        <w:ind w:right="40" w:firstLine="662"/>
        <w:spacing w:after="0" w:line="286" w:lineRule="auto"/>
        <w:rPr>
          <w:sz w:val="20"/>
          <w:szCs w:val="20"/>
          <w:color w:val="auto"/>
        </w:rPr>
      </w:pPr>
      <w:r>
        <w:rPr>
          <w:rFonts w:ascii="Arial" w:cs="Arial" w:eastAsia="Arial" w:hAnsi="Arial"/>
          <w:sz w:val="17"/>
          <w:szCs w:val="17"/>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62"/>
        <w:spacing w:after="0" w:line="269" w:lineRule="auto"/>
        <w:rPr>
          <w:sz w:val="20"/>
          <w:szCs w:val="20"/>
          <w:color w:val="auto"/>
        </w:rPr>
      </w:pPr>
      <w:r>
        <w:rPr>
          <w:rFonts w:ascii="Arial" w:cs="Arial" w:eastAsia="Arial" w:hAnsi="Arial"/>
          <w:sz w:val="17"/>
          <w:szCs w:val="17"/>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or a resale on the secondary market,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external exchange service provider, as well as benefits that are incidental to the purchase of the vacation ownership interest. However, the purchaser on the secondary market may not be entitled to receive certain incidental benefits such as full access to our internal exchange programs or the right to trade their usage rights for Marriott Bonvoy points. Additionally, many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Activities</w:t>
      </w:r>
    </w:p>
    <w:p>
      <w:pPr>
        <w:spacing w:after="0" w:line="121"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enter into a management agreement with the property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such resorts or a fixed fee arrangement. We earn these fees regardless of usage or occupancy. We also receive revenues that represent reimbursement for certain costs we incur under our management agreements, which are principally payroll-related costs at the locations where we employ the associates providing on-site services.</w:t>
      </w:r>
    </w:p>
    <w:p>
      <w:pPr>
        <w:spacing w:after="0" w:line="85" w:lineRule="exact"/>
        <w:rPr>
          <w:sz w:val="20"/>
          <w:szCs w:val="20"/>
          <w:color w:val="auto"/>
        </w:rPr>
      </w:pPr>
    </w:p>
    <w:p>
      <w:pPr>
        <w:jc w:val="both"/>
        <w:ind w:right="100" w:firstLine="662"/>
        <w:spacing w:after="0" w:line="257"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the brand and trademarks. The owners at such resorts also lose their ability to trade their vacation ownership usage rights for customer loyalty points and to access other resorts through one of our internal exchange systems.</w:t>
      </w:r>
    </w:p>
    <w:p>
      <w:pPr>
        <w:spacing w:after="0" w:line="80" w:lineRule="exact"/>
        <w:rPr>
          <w:sz w:val="20"/>
          <w:szCs w:val="20"/>
          <w:color w:val="auto"/>
        </w:rPr>
      </w:pPr>
    </w:p>
    <w:p>
      <w:pPr>
        <w:ind w:right="60" w:firstLine="662"/>
        <w:spacing w:after="0" w:line="271" w:lineRule="auto"/>
        <w:rPr>
          <w:sz w:val="20"/>
          <w:szCs w:val="20"/>
          <w:color w:val="auto"/>
        </w:rPr>
      </w:pPr>
      <w:r>
        <w:rPr>
          <w:rFonts w:ascii="Arial" w:cs="Arial" w:eastAsia="Arial" w:hAnsi="Arial"/>
          <w:sz w:val="17"/>
          <w:szCs w:val="17"/>
          <w:color w:val="auto"/>
        </w:rPr>
        <w:t>The Ritz-Carlton Hotel Company manages the on-site operations for The Ritz-Carlton Destination Club and The Ritz-Carlton Residences properties in our portfolio under separate management agreements with us. We provide property owners’ association governance and vacation ownership program management services for The Ritz-Carlton Destination Club and co-located The Ritz-Carlton Residences properties, including preparing association 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1" w:lineRule="exact"/>
        <w:rPr>
          <w:sz w:val="20"/>
          <w:szCs w:val="20"/>
          <w:color w:val="auto"/>
        </w:rPr>
      </w:pPr>
    </w:p>
    <w:p>
      <w:pPr>
        <w:ind w:right="20" w:firstLine="662"/>
        <w:spacing w:after="0" w:line="287" w:lineRule="auto"/>
        <w:rPr>
          <w:sz w:val="20"/>
          <w:szCs w:val="20"/>
          <w:color w:val="auto"/>
        </w:rPr>
      </w:pPr>
      <w:r>
        <w:rPr>
          <w:rFonts w:ascii="Arial" w:cs="Arial" w:eastAsia="Arial" w:hAnsi="Arial"/>
          <w:sz w:val="16"/>
          <w:szCs w:val="16"/>
          <w:color w:val="auto"/>
        </w:rPr>
        <w:t>Each management agreement requires the property owners’ association, trust association or other governing body to provide sufficient funds to pay for the vacation ownership program and operating costs. To satisfy this requirement, owners of vacation ownership interests pay an annual maintenance fee. This fee represents the owner’s allocable share of the costs of operating and maintaining the resorts or interests in the timeshare plan in which they hold a vacation ownership interest,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reasonable level for owners who purchase in the early stages of development.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If an owner defaults in payment of maintenance fees or other assessments, the property owners’ association typically has the right to foreclose on or revoke the defaulting owner’s vacation ownership interest. We have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the volume of our financing activities depending on market conditions. We are not providing financing to buyers of our residential products. We generally do not face competition in our consumer financing business to finance sales of vacation ownership products.</w:t>
      </w:r>
    </w:p>
    <w:p>
      <w:pPr>
        <w:spacing w:after="0" w:line="79"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In 2019, our financing propensity was 63 percent and the average loan originated by us for vacation ownership products totaled approximately $26,800, which represented 76 percent of the average purchase price. We require a minimum down payment of 10 percent of the purchase price, although down payments and interest rates are typically higher for applicants with credit scores below certain levels and for purchasers who do not have credit scores, such as non-U.S. purchasers. The average interest rate for originated loans in 2019 was 13.05 percent and the average term was 11 years. Interest rates are fixed and a loan fully amortizes over the life of the loan. The average monthly mortgage payment for an owner who received a loan in 2019 was $396. We do not impose any prepayment penalties.</w:t>
      </w:r>
    </w:p>
    <w:p>
      <w:pPr>
        <w:spacing w:after="0" w:line="8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2019, approximately 94 percent of our loans were used to finance U.S.-based products. In our North America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2019, the average FICO score of our customers who were U.S. citizens or residents who financed a vacation ownership purchase was 736; 73 percent had a credit score of over 700, 89 percent had a credit score of over 650 and 97 percent had a credit score of over 600.</w:t>
      </w:r>
    </w:p>
    <w:p>
      <w:pPr>
        <w:spacing w:after="0" w:line="59"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62"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 or revocation or place such interests into one of our points-based programs.</w:t>
      </w:r>
    </w:p>
    <w:p>
      <w:pPr>
        <w:spacing w:after="0" w:line="62" w:lineRule="exact"/>
        <w:rPr>
          <w:sz w:val="20"/>
          <w:szCs w:val="20"/>
          <w:color w:val="auto"/>
        </w:rPr>
      </w:pPr>
    </w:p>
    <w:p>
      <w:pPr>
        <w:ind w:right="20" w:firstLine="662"/>
        <w:spacing w:after="0" w:line="269" w:lineRule="auto"/>
        <w:rPr>
          <w:sz w:val="20"/>
          <w:szCs w:val="20"/>
          <w:color w:val="auto"/>
        </w:rPr>
      </w:pPr>
      <w:r>
        <w:rPr>
          <w:rFonts w:ascii="Arial" w:cs="Arial" w:eastAsia="Arial" w:hAnsi="Arial"/>
          <w:sz w:val="17"/>
          <w:szCs w:val="17"/>
          <w:color w:val="auto"/>
        </w:rPr>
        <w:t>We securitize the majority of the consumer loans we originate in support of our vacation ownership business. Historically, we have sold these loans to institutional investors in the ABS market on a non-recourse basis. These vacation ownership notes receivable securitizations provide funding for us at interest rates similar to those available to companies with investment grade credit ratings,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During 2019, we completed three securitization transactions, which are discussed in detail in Footnote 13 “Securitized Debt” to our Financial Statements. On an ongoing basis, we have the ability to use our Warehouse Credit Facility to securitize eligible consumer loans derived from certain branded vacation ownership sales. Those loans may later be transferred to term securitization transactions in the ABS market, which we intend to continue to complete at least once per year. Since 2000, we have issued over $6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Resorts</w:t>
      </w:r>
    </w:p>
    <w:p>
      <w:pPr>
        <w:spacing w:after="0" w:line="117"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As of December 31, 2019, our portfolio consisted of more than 100 properties with over 20,000 vacation ownership villas, also referred to as units, in the following locations.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Mainland U.S. and Hawaii</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380" w:type="dxa"/>
            <w:vAlign w:val="bottom"/>
          </w:tcPr>
          <w:p>
            <w:pPr>
              <w:ind w:left="280"/>
              <w:spacing w:after="0"/>
              <w:rPr>
                <w:sz w:val="20"/>
                <w:szCs w:val="20"/>
                <w:color w:val="auto"/>
              </w:rPr>
            </w:pPr>
            <w:r>
              <w:rPr>
                <w:rFonts w:ascii="Arial" w:cs="Arial" w:eastAsia="Arial" w:hAnsi="Arial"/>
                <w:sz w:val="16"/>
                <w:szCs w:val="16"/>
                <w:b w:val="1"/>
                <w:bCs w:val="1"/>
                <w:color w:val="auto"/>
              </w:rPr>
              <w:t># of Resorts</w:t>
            </w:r>
          </w:p>
        </w:tc>
        <w:tc>
          <w:tcPr>
            <w:tcW w:w="25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c>
          <w:tcPr>
            <w:tcW w:w="2500" w:type="dxa"/>
            <w:vAlign w:val="bottom"/>
          </w:tcPr>
          <w:p>
            <w:pPr>
              <w:spacing w:after="0"/>
              <w:rPr>
                <w:sz w:val="18"/>
                <w:szCs w:val="18"/>
                <w:color w:val="auto"/>
              </w:rPr>
            </w:pPr>
          </w:p>
        </w:tc>
        <w:tc>
          <w:tcPr>
            <w:tcW w:w="1360" w:type="dxa"/>
            <w:vAlign w:val="bottom"/>
          </w:tcPr>
          <w:p>
            <w:pPr>
              <w:ind w:left="260"/>
              <w:spacing w:after="0"/>
              <w:rPr>
                <w:sz w:val="20"/>
                <w:szCs w:val="20"/>
                <w:color w:val="auto"/>
              </w:rPr>
            </w:pPr>
            <w:r>
              <w:rPr>
                <w:rFonts w:ascii="Arial" w:cs="Arial" w:eastAsia="Arial" w:hAnsi="Arial"/>
                <w:sz w:val="16"/>
                <w:szCs w:val="16"/>
                <w:b w:val="1"/>
                <w:bCs w:val="1"/>
                <w:color w:val="auto"/>
              </w:rPr>
              <w:t># of Resorts</w:t>
            </w:r>
          </w:p>
        </w:tc>
      </w:tr>
      <w:tr>
        <w:trPr>
          <w:trHeight w:val="33"/>
        </w:trPr>
        <w:tc>
          <w:tcPr>
            <w:tcW w:w="23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Massachusetts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South Carolina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520" w:type="dxa"/>
            <w:vAlign w:val="bottom"/>
          </w:tcPr>
          <w:p>
            <w:pPr>
              <w:ind w:left="380"/>
              <w:spacing w:after="0"/>
              <w:rPr>
                <w:sz w:val="20"/>
                <w:szCs w:val="20"/>
                <w:color w:val="auto"/>
              </w:rPr>
            </w:pPr>
            <w:r>
              <w:rPr>
                <w:rFonts w:ascii="Arial" w:cs="Arial" w:eastAsia="Arial" w:hAnsi="Arial"/>
                <w:sz w:val="18"/>
                <w:szCs w:val="18"/>
                <w:color w:val="auto"/>
              </w:rPr>
              <w:t>Missouri</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500" w:type="dxa"/>
            <w:vAlign w:val="bottom"/>
          </w:tcPr>
          <w:p>
            <w:pPr>
              <w:ind w:left="360"/>
              <w:spacing w:after="0"/>
              <w:rPr>
                <w:sz w:val="20"/>
                <w:szCs w:val="20"/>
                <w:color w:val="auto"/>
              </w:rPr>
            </w:pPr>
            <w:r>
              <w:rPr>
                <w:rFonts w:ascii="Arial" w:cs="Arial" w:eastAsia="Arial" w:hAnsi="Arial"/>
                <w:sz w:val="18"/>
                <w:szCs w:val="18"/>
                <w:color w:val="auto"/>
              </w:rPr>
              <w:t>Texas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2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Nevada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Utah</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Florida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2520" w:type="dxa"/>
            <w:vAlign w:val="bottom"/>
          </w:tcPr>
          <w:p>
            <w:pPr>
              <w:ind w:left="380"/>
              <w:spacing w:after="0"/>
              <w:rPr>
                <w:sz w:val="20"/>
                <w:szCs w:val="20"/>
                <w:color w:val="auto"/>
              </w:rPr>
            </w:pPr>
            <w:r>
              <w:rPr>
                <w:rFonts w:ascii="Arial" w:cs="Arial" w:eastAsia="Arial" w:hAnsi="Arial"/>
                <w:sz w:val="18"/>
                <w:szCs w:val="18"/>
                <w:color w:val="auto"/>
              </w:rPr>
              <w:t>New Jersey</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500" w:type="dxa"/>
            <w:vAlign w:val="bottom"/>
          </w:tcPr>
          <w:p>
            <w:pPr>
              <w:ind w:left="360"/>
              <w:spacing w:after="0"/>
              <w:rPr>
                <w:sz w:val="20"/>
                <w:szCs w:val="20"/>
                <w:color w:val="auto"/>
              </w:rPr>
            </w:pPr>
            <w:r>
              <w:rPr>
                <w:rFonts w:ascii="Arial" w:cs="Arial" w:eastAsia="Arial" w:hAnsi="Arial"/>
                <w:sz w:val="18"/>
                <w:szCs w:val="18"/>
                <w:color w:val="auto"/>
              </w:rPr>
              <w:t>Virginia</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2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New York</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Washington, D.C.</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2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Caribbean and Mexico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c>
          <w:tcPr>
            <w:tcW w:w="26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r>
      <w:tr>
        <w:trPr>
          <w:trHeight w:val="33"/>
        </w:trPr>
        <w:tc>
          <w:tcPr>
            <w:tcW w:w="2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Aruba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U.S. Virgin Islands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Bahamas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tcPr>
          <w:p>
            <w:pPr>
              <w:ind w:left="400"/>
              <w:spacing w:after="0"/>
              <w:rPr>
                <w:sz w:val="20"/>
                <w:szCs w:val="20"/>
                <w:color w:val="auto"/>
              </w:rPr>
            </w:pPr>
            <w:r>
              <w:rPr>
                <w:rFonts w:ascii="Arial" w:cs="Arial" w:eastAsia="Arial" w:hAnsi="Arial"/>
                <w:sz w:val="18"/>
                <w:szCs w:val="18"/>
                <w:color w:val="auto"/>
              </w:rPr>
              <w:t>West Indies</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2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Puerto Rico</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Mexico</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2180" w:type="dxa"/>
            <w:vAlign w:val="bottom"/>
          </w:tcPr>
          <w:p>
            <w:pPr>
              <w:spacing w:after="0"/>
              <w:rPr>
                <w:sz w:val="20"/>
                <w:szCs w:val="20"/>
                <w:color w:val="auto"/>
              </w:rPr>
            </w:pPr>
            <w:r>
              <w:rPr>
                <w:rFonts w:ascii="Arial" w:cs="Arial" w:eastAsia="Arial" w:hAnsi="Arial"/>
                <w:sz w:val="18"/>
                <w:szCs w:val="18"/>
                <w:i w:val="1"/>
                <w:iCs w:val="1"/>
                <w:color w:val="auto"/>
              </w:rPr>
              <w:t>Europe and Asia Pacific</w:t>
            </w:r>
          </w:p>
        </w:tc>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2"/>
        </w:trPr>
        <w:tc>
          <w:tcPr>
            <w:tcW w:w="2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c>
          <w:tcPr>
            <w:tcW w:w="26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r>
      <w:tr>
        <w:trPr>
          <w:trHeight w:val="33"/>
        </w:trPr>
        <w:tc>
          <w:tcPr>
            <w:tcW w:w="2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Indonesia</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Spain</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20" w:type="dxa"/>
            <w:vAlign w:val="bottom"/>
          </w:tcPr>
          <w:p>
            <w:pPr>
              <w:ind w:left="400"/>
              <w:spacing w:after="0"/>
              <w:rPr>
                <w:sz w:val="20"/>
                <w:szCs w:val="20"/>
                <w:color w:val="auto"/>
              </w:rPr>
            </w:pPr>
            <w:r>
              <w:rPr>
                <w:rFonts w:ascii="Arial" w:cs="Arial" w:eastAsia="Arial" w:hAnsi="Arial"/>
                <w:sz w:val="18"/>
                <w:szCs w:val="18"/>
                <w:color w:val="auto"/>
              </w:rPr>
              <w:t>Thailand</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7"/>
        </w:trPr>
        <w:tc>
          <w:tcPr>
            <w:tcW w:w="2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Australia</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2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88"/>
              </w:rPr>
              <w:t># of Resorts</w:t>
            </w:r>
          </w:p>
        </w:tc>
      </w:tr>
      <w:tr>
        <w:trPr>
          <w:trHeight w:val="33"/>
        </w:trPr>
        <w:tc>
          <w:tcPr>
            <w:tcW w:w="51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Marriott Vacation Club</w:t>
            </w:r>
          </w:p>
        </w:tc>
        <w:tc>
          <w:tcPr>
            <w:tcW w:w="624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9"/>
              </w:rPr>
              <w:t>61</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Sheraton Vacation Club</w:t>
            </w:r>
          </w:p>
        </w:tc>
        <w:tc>
          <w:tcPr>
            <w:tcW w:w="6240" w:type="dxa"/>
            <w:vAlign w:val="bottom"/>
            <w:gridSpan w:val="2"/>
          </w:tcPr>
          <w:p>
            <w:pPr>
              <w:jc w:val="center"/>
              <w:ind w:left="2850"/>
              <w:spacing w:after="0"/>
              <w:rPr>
                <w:sz w:val="20"/>
                <w:szCs w:val="20"/>
                <w:color w:val="auto"/>
              </w:rPr>
            </w:pPr>
            <w:r>
              <w:rPr>
                <w:rFonts w:ascii="Arial" w:cs="Arial" w:eastAsia="Arial" w:hAnsi="Arial"/>
                <w:sz w:val="18"/>
                <w:szCs w:val="18"/>
                <w:color w:val="auto"/>
                <w:w w:val="99"/>
              </w:rPr>
              <w:t>9</w:t>
            </w:r>
          </w:p>
        </w:tc>
      </w:tr>
      <w:tr>
        <w:trPr>
          <w:trHeight w:val="27"/>
        </w:trPr>
        <w:tc>
          <w:tcPr>
            <w:tcW w:w="5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Westin Vacation Club</w:t>
            </w:r>
          </w:p>
        </w:tc>
        <w:tc>
          <w:tcPr>
            <w:tcW w:w="624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9"/>
              </w:rPr>
              <w:t>12</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Grand Residences by Marriott</w:t>
            </w:r>
          </w:p>
        </w:tc>
        <w:tc>
          <w:tcPr>
            <w:tcW w:w="6240" w:type="dxa"/>
            <w:vAlign w:val="bottom"/>
            <w:gridSpan w:val="2"/>
          </w:tcPr>
          <w:p>
            <w:pPr>
              <w:jc w:val="center"/>
              <w:ind w:left="2850"/>
              <w:spacing w:after="0"/>
              <w:rPr>
                <w:sz w:val="20"/>
                <w:szCs w:val="20"/>
                <w:color w:val="auto"/>
              </w:rPr>
            </w:pPr>
            <w:r>
              <w:rPr>
                <w:rFonts w:ascii="Arial" w:cs="Arial" w:eastAsia="Arial" w:hAnsi="Arial"/>
                <w:sz w:val="18"/>
                <w:szCs w:val="18"/>
                <w:color w:val="auto"/>
                <w:w w:val="99"/>
              </w:rPr>
              <w:t>2</w:t>
            </w:r>
          </w:p>
        </w:tc>
      </w:tr>
      <w:tr>
        <w:trPr>
          <w:trHeight w:val="27"/>
        </w:trPr>
        <w:tc>
          <w:tcPr>
            <w:tcW w:w="5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Ritz-Carlton Club</w:t>
            </w:r>
          </w:p>
        </w:tc>
        <w:tc>
          <w:tcPr>
            <w:tcW w:w="624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99"/>
              </w:rPr>
              <w:t>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St. Regis Residence Club and The Luxury Collection</w:t>
            </w:r>
          </w:p>
        </w:tc>
        <w:tc>
          <w:tcPr>
            <w:tcW w:w="6240" w:type="dxa"/>
            <w:vAlign w:val="bottom"/>
            <w:gridSpan w:val="2"/>
          </w:tcPr>
          <w:p>
            <w:pPr>
              <w:jc w:val="center"/>
              <w:ind w:left="2850"/>
              <w:spacing w:after="0"/>
              <w:rPr>
                <w:sz w:val="20"/>
                <w:szCs w:val="20"/>
                <w:color w:val="auto"/>
              </w:rPr>
            </w:pPr>
            <w:r>
              <w:rPr>
                <w:rFonts w:ascii="Arial" w:cs="Arial" w:eastAsia="Arial" w:hAnsi="Arial"/>
                <w:sz w:val="18"/>
                <w:szCs w:val="18"/>
                <w:color w:val="auto"/>
                <w:w w:val="99"/>
              </w:rPr>
              <w:t>3</w:t>
            </w:r>
          </w:p>
        </w:tc>
      </w:tr>
      <w:tr>
        <w:trPr>
          <w:trHeight w:val="27"/>
        </w:trPr>
        <w:tc>
          <w:tcPr>
            <w:tcW w:w="5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Hyatt Residence Club</w:t>
            </w:r>
          </w:p>
        </w:tc>
        <w:tc>
          <w:tcPr>
            <w:tcW w:w="624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9"/>
              </w:rPr>
              <w:t>16</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6240" w:type="dxa"/>
            <w:vAlign w:val="bottom"/>
            <w:gridSpan w:val="2"/>
          </w:tcPr>
          <w:p>
            <w:pPr>
              <w:jc w:val="center"/>
              <w:ind w:left="2850"/>
              <w:spacing w:after="0"/>
              <w:rPr>
                <w:sz w:val="20"/>
                <w:szCs w:val="20"/>
                <w:color w:val="auto"/>
              </w:rPr>
            </w:pPr>
            <w:r>
              <w:rPr>
                <w:rFonts w:ascii="Arial" w:cs="Arial" w:eastAsia="Arial" w:hAnsi="Arial"/>
                <w:sz w:val="18"/>
                <w:szCs w:val="18"/>
                <w:color w:val="auto"/>
                <w:w w:val="99"/>
              </w:rPr>
              <w:t>2</w:t>
            </w:r>
          </w:p>
        </w:tc>
      </w:tr>
      <w:tr>
        <w:trPr>
          <w:trHeight w:val="27"/>
        </w:trPr>
        <w:tc>
          <w:tcPr>
            <w:tcW w:w="51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2"/>
            <w:shd w:val="clear" w:color="auto" w:fill="CCEEFF"/>
          </w:tcPr>
          <w:p>
            <w:pPr>
              <w:jc w:val="center"/>
              <w:ind w:left="2850"/>
              <w:spacing w:after="0"/>
              <w:rPr>
                <w:sz w:val="20"/>
                <w:szCs w:val="20"/>
                <w:color w:val="auto"/>
              </w:rPr>
            </w:pPr>
            <w:r>
              <w:rPr>
                <w:rFonts w:ascii="Arial" w:cs="Arial" w:eastAsia="Arial" w:hAnsi="Arial"/>
                <w:sz w:val="18"/>
                <w:szCs w:val="18"/>
                <w:color w:val="auto"/>
                <w:w w:val="86"/>
              </w:rPr>
              <w:t>110</w:t>
            </w:r>
          </w:p>
        </w:tc>
      </w:tr>
      <w:tr>
        <w:trPr>
          <w:trHeight w:val="432"/>
        </w:trPr>
        <w:tc>
          <w:tcPr>
            <w:tcW w:w="5180" w:type="dxa"/>
            <w:vAlign w:val="bottom"/>
          </w:tcPr>
          <w:p>
            <w:pPr>
              <w:spacing w:after="0"/>
              <w:rPr>
                <w:sz w:val="20"/>
                <w:szCs w:val="20"/>
                <w:color w:val="auto"/>
              </w:rPr>
            </w:pPr>
            <w:r>
              <w:rPr>
                <w:rFonts w:ascii="Arial" w:cs="Arial" w:eastAsia="Arial" w:hAnsi="Arial"/>
                <w:sz w:val="18"/>
                <w:szCs w:val="18"/>
                <w:b w:val="1"/>
                <w:bCs w:val="1"/>
                <w:color w:val="auto"/>
              </w:rPr>
              <w:t>Hotels</w:t>
            </w:r>
          </w:p>
        </w:tc>
        <w:tc>
          <w:tcPr>
            <w:tcW w:w="29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372"/>
        </w:trPr>
        <w:tc>
          <w:tcPr>
            <w:tcW w:w="5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2"/>
              </w:rPr>
              <w:t>Location</w:t>
            </w:r>
          </w:p>
        </w:tc>
      </w:tr>
      <w:tr>
        <w:trPr>
          <w:trHeight w:val="33"/>
        </w:trPr>
        <w:tc>
          <w:tcPr>
            <w:tcW w:w="51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Sheraton Kauai Resort</w:t>
            </w:r>
          </w:p>
        </w:tc>
        <w:tc>
          <w:tcPr>
            <w:tcW w:w="2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Kauai, HI</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The Westin Resort &amp; Spa, Cancun*</w:t>
            </w:r>
          </w:p>
        </w:tc>
        <w:tc>
          <w:tcPr>
            <w:tcW w:w="294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Cancun, Mexico</w:t>
            </w:r>
          </w:p>
        </w:tc>
      </w:tr>
      <w:tr>
        <w:trPr>
          <w:trHeight w:val="27"/>
        </w:trPr>
        <w:tc>
          <w:tcPr>
            <w:tcW w:w="5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Westin Resort &amp; Spa, Puerto Vallarta</w:t>
            </w:r>
          </w:p>
        </w:tc>
        <w:tc>
          <w:tcPr>
            <w:tcW w:w="29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Puerto Vallarta, Mexico</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Hyatt Highlands Inn</w:t>
            </w:r>
          </w:p>
        </w:tc>
        <w:tc>
          <w:tcPr>
            <w:tcW w:w="294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Carmel, CA</w:t>
            </w:r>
          </w:p>
        </w:tc>
      </w:tr>
      <w:tr>
        <w:trPr>
          <w:trHeight w:val="297"/>
        </w:trPr>
        <w:tc>
          <w:tcPr>
            <w:tcW w:w="5180" w:type="dxa"/>
            <w:vAlign w:val="bottom"/>
          </w:tcPr>
          <w:p>
            <w:pPr>
              <w:spacing w:after="0"/>
              <w:rPr>
                <w:sz w:val="20"/>
                <w:szCs w:val="20"/>
                <w:color w:val="auto"/>
              </w:rPr>
            </w:pPr>
            <w:r>
              <w:rPr>
                <w:rFonts w:ascii="Arial" w:cs="Arial" w:eastAsia="Arial" w:hAnsi="Arial"/>
                <w:sz w:val="18"/>
                <w:szCs w:val="18"/>
                <w:color w:val="auto"/>
              </w:rPr>
              <w:t>*A portion of this hotel is comprised of vacation ownership units.</w:t>
            </w:r>
          </w:p>
        </w:tc>
        <w:tc>
          <w:tcPr>
            <w:tcW w:w="29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5180" w:type="dxa"/>
            <w:vAlign w:val="bottom"/>
          </w:tcPr>
          <w:p>
            <w:pPr>
              <w:spacing w:after="0"/>
              <w:rPr>
                <w:sz w:val="24"/>
                <w:szCs w:val="24"/>
                <w:color w:val="auto"/>
              </w:rPr>
            </w:pPr>
          </w:p>
        </w:tc>
        <w:tc>
          <w:tcPr>
            <w:tcW w:w="2940" w:type="dxa"/>
            <w:vAlign w:val="bottom"/>
          </w:tcPr>
          <w:p>
            <w:pPr>
              <w:jc w:val="right"/>
              <w:ind w:right="2230"/>
              <w:spacing w:after="0"/>
              <w:rPr>
                <w:sz w:val="20"/>
                <w:szCs w:val="20"/>
                <w:color w:val="auto"/>
              </w:rPr>
            </w:pPr>
            <w:r>
              <w:rPr>
                <w:rFonts w:ascii="Arial" w:cs="Arial" w:eastAsia="Arial" w:hAnsi="Arial"/>
                <w:sz w:val="18"/>
                <w:szCs w:val="18"/>
                <w:color w:val="auto"/>
              </w:rPr>
              <w:t>13</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 SEGMENT</w:t>
      </w:r>
    </w:p>
    <w:p>
      <w:pPr>
        <w:spacing w:after="0" w:line="12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Exchange &amp; Third-Party Management segment includes exchange networks and membership programs comprised of nearly 3,200 resorts in over 80 nations and nearly two million members, as well as management of over 170 other resorts and lodging properties. We provide these services through a variety of brands including Interval International, Trading Places International, Vacation Resorts International and Aqua-Aston. The segment revenue generally is fee-based and derived from membership, exchange and rental transactions, property and owners’ association management, and other related products and services. The Exchange &amp; Third-Party Management segment represented 10 percent of our consolidated revenue for 2019.</w:t>
      </w:r>
    </w:p>
    <w:p>
      <w:pPr>
        <w:spacing w:after="0" w:line="105"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2019</w:t>
            </w:r>
          </w:p>
        </w:tc>
      </w:tr>
      <w:tr>
        <w:trPr>
          <w:trHeight w:val="203"/>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jc w:val="center"/>
              <w:ind w:right="213"/>
              <w:spacing w:after="0"/>
              <w:rPr>
                <w:sz w:val="20"/>
                <w:szCs w:val="20"/>
                <w:color w:val="auto"/>
              </w:rPr>
            </w:pPr>
            <w:r>
              <w:rPr>
                <w:rFonts w:ascii="Arial" w:cs="Arial" w:eastAsia="Arial" w:hAnsi="Arial"/>
                <w:sz w:val="16"/>
                <w:szCs w:val="16"/>
                <w:b w:val="1"/>
                <w:bCs w:val="1"/>
                <w:color w:val="auto"/>
                <w:w w:val="94"/>
              </w:rPr>
              <w:t>Exchange &amp; Third-Party Management</w:t>
            </w:r>
          </w:p>
        </w:tc>
      </w:tr>
      <w:tr>
        <w:trPr>
          <w:trHeight w:val="23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86"/>
              </w:rPr>
              <w:t>Segment Revenues</w:t>
            </w: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and exchange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Rental</w:t>
            </w:r>
          </w:p>
        </w:tc>
        <w:tc>
          <w:tcPr>
            <w:tcW w:w="32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w:t>
            </w:r>
          </w:p>
        </w:tc>
        <w:tc>
          <w:tcPr>
            <w:tcW w:w="3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Networks and Membership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Interval International</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primary exchange offering is Interval International’s network, a membership-based exchange program which also provides a comprehensive package of value-added products and services to members and developers. Generally, individuals are enrolled by resort developers in connection with their purchase of vacation ownership interests from such resort developers, with initial membership fees being paid on behalf of members by the resort developers. Members may also enroll directly, for instance, when they purchase a vacation ownership interest through resale or owners’ association affiliation at a resort that participates in the Interval International network. Interval International has established multi-year relationships with resort developers, including leading independent developers and our branded vacation ownership programs, under exclusive affiliation agreements, which typically provide for continued resort participation following the agreement’s term.</w:t>
      </w:r>
    </w:p>
    <w:p>
      <w:pPr>
        <w:spacing w:after="0" w:line="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traditional Interval International network members have the option, after their initial membership period ends, to renew their memberships for terms ranging from one to five years and paying their own membership fees directly to us. Alternatively, some resort developers incorporate the Interval International network membership fee into certain annual fees they charge to owners of vacation ownership interests at their resorts or vacation ownership clubs. As a result, membership in the Interval International network and, where applicable, the Interval Gold or Interval Platinum program (as described below), for these corporate members is automatically renewed through the period of their resort’s or club’s participation in the Interval International network. As of December 31, 2019, 55 percent of total Interval International network members were traditional members and 45 percent were corporate members.</w:t>
      </w:r>
    </w:p>
    <w:p>
      <w:pPr>
        <w:spacing w:after="0" w:line="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Interval International recognizes certain of its eligible Interval International network resorts as either a “Select Resort,” a “Select Boutique Resort,” a “Premier Resort,” a “Premier Boutique Resort,” an “Elite Resort” or an “Elite Boutique Resort” based upon the satisfaction of qualifying criteria, inspection, member feedback, and other resort-specific factors. Over 40 percent of Interval International network resorts were recognized as a Select, Select Boutique, Premier, Premier Boutique, Elite or Elite Boutique Resort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w:t>
      </w:r>
    </w:p>
    <w:p>
      <w:pPr>
        <w:spacing w:after="0" w:line="11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Members are offered the ability to exchange usage rights in their vacation ownership interest for accommodations which are generally of comparable trading value to those relinquished, based on factors including location, quality, seasonality, unit attributes and time of relinquishment prior to occupancy.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Getaways</w:t>
      </w:r>
    </w:p>
    <w:p>
      <w:pPr>
        <w:spacing w:after="0" w:line="11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also offer additional vacation rental opportunities to members of the Interval International network and certain other membership or affinity programs at attractive rates through Getaways. Getaways allow members to rent resort accommodations for a fee, plus applicable taxes. Resort accommodations available as Getaways consist of seasonal oversupply of vacation ownership accommodations within the applicable exchange network, as well as resort accommodations we source specifically for use in Getaways.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Interval Gold and Interval Platinum</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Interval International network members may take advantage of one of our two enhanced membership tiers, Interval Gold, or Interval Platinum, each of which provides value-added benefits and services for an additional fee. These benefits and services vary by country of residence, but generally consist of discounts on Getaways, a concierge service, a hotel discount program and Interval Options, a service that allows members to relinquish annual occupancy rights in their vacation ownership interests towards the purchase of various travel products, including hotel, cruise, golf and spa vacations. Members are enrolled in these programs either by resort developers in connection with the initial purchase of their vacation ownership interests or by upgrading their membership directly.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Club Interval</w:t>
      </w:r>
    </w:p>
    <w:p>
      <w:pPr>
        <w:spacing w:after="0" w:line="11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product gives owners of fixed or floating week vacation ownership interests the opportunity to use their resort week as points within the Interval International network. Club Interval members also receive all of the benefits of Interval Gold and can upgrade to Interval Platinum.</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Support for Interval International network resorts</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Resort developers promote membership in our exchange programs and related value-added services as an important benefit of owning a vacation ownership interest. We offer developers a selection of sales and marketing materials. These materials, many of which are available in multiple languages, include brochures, publications, sales-office displays, resort directories and Interval HD, an online video channel featuring resort and destination overviews. In addition, we offer programs, including our Leisure Time Passport program that resort developers use as a trial membership program for potential purchasers of vacation ownership interests.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Operational Support for Interval International network resorts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Interval International also makes available a comprehensive array of back-office servicing solutions to resort developers and resorts. For example, for an additional fee, we provide reservation services and billing and collection of maintenance fees and other amounts due to developers or owners’ associations. In addition, through consulting arrangements, we assist resort developers in the design of tailored vacation programs for owners of vacation ownership interests.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Places International</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Trading Places International provides exchange services to owners at certain of our managed timeshare properties as well as other direct-to-consumer exchanges that do not require a membership fee. For an annual fee, vacation owners may choose to join the upgraded Trading Places Prime program with additional benefits. Exchanges in these Trading Places programs are based on like value and upgrades are available upon payment of additional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exchange businesses maintain corporate and consumer marketing departments that are responsible for implementing marketing strategies. We also develop printed and digital materials to promote membership participation, exchange opportunities and other value-added services to existing members as well as for the Interval International business to secure new relationships with resort developers, owners’ associations and resorts to obtain and retain members.</w:t>
      </w:r>
    </w:p>
    <w:p>
      <w:pPr>
        <w:spacing w:after="0" w:line="7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consumer marketing efforts revolve around the deepening of new and existing customer relationships and increasing engagement and loyalty of members through a number of channels including direct mail, email, telemarketing, and online distribution as well as utilizing social media channels like Facebook and Instagram to inspire vacations, share stories and promote the vacation ownership lifestyle.</w:t>
      </w:r>
    </w:p>
    <w:p>
      <w:pPr>
        <w:spacing w:after="0" w:line="5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Interval International also markets products and services to resort developers and other parties in the vacation ownership industry through a series of business development initiatives. Our sales and services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vacation ownership interests. In addition, we sponsor, participate in and attend numerous industry conferences around the world, to provide potential and existing industry participants opportunities to network and learn more about vacation ownership.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Management</w:t>
      </w:r>
    </w:p>
    <w:p>
      <w:pPr>
        <w:spacing w:after="0" w:line="12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provide resort management services for vacation ownership resorts and other third-party vacation property owners through Vacation Resorts International, Trading Places International and Aqua-Aston. Our services may include day-to-day operations of the resorts, maintenance of the resorts, preparation of reports, budgets, owners’ association administration, quality assurance and employee training. As of December 31, 2019, we provided third-party management services to over 170 resorts.</w:t>
      </w:r>
    </w:p>
    <w:p>
      <w:pPr>
        <w:spacing w:after="0" w:line="7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Vacation Resorts International and Trading Places International provide management services to vacation ownership resorts pursuant to agreements with terms generally ranging from one to ten years, many of which are automatically renewable. Generally, our management fees are paid by the owners’ association and funded from the annual maintenance fees paid by the individual owners to the association. These maintenance fees represent each owner’s allocable share of the costs of operating and maintaining the resorts, which generally includes personnel, property taxes, insurance, a capital asset reserve to fund refurbishment and other related costs. The management fees we earn are highly predictable due to the relatively fixed nature of resort operating expenses. We are reimbursed for the costs incurred to perform our services, principally related to personnel providing on-site services. We also offer vacation rental services to these owners’ associations. These rentals are made online directly to consumers through our websites, www.vriresorts.com, and www.tradingplaces.com, through third-party online travel agencies, and through Interval International’s Getaways program.</w:t>
      </w:r>
    </w:p>
    <w:p>
      <w:pPr>
        <w:spacing w:after="0" w:line="58"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Aqua-Aston provides management and rental services for condominium owners, hotel owners, and owners’ associations. The condominium rental properties are generally investment properties, and, to a lesser extent, second homes, owned by individuals who contract with Aqua</w:t>
      </w:r>
      <w:r>
        <w:rPr>
          <w:rFonts w:ascii="MS PGothic" w:cs="MS PGothic" w:eastAsia="MS PGothic" w:hAnsi="MS PGothic"/>
          <w:sz w:val="17"/>
          <w:szCs w:val="17"/>
          <w:color w:val="auto"/>
        </w:rPr>
        <w:t>‑</w:t>
      </w:r>
      <w:r>
        <w:rPr>
          <w:rFonts w:ascii="Arial" w:cs="Arial" w:eastAsia="Arial" w:hAnsi="Arial"/>
          <w:sz w:val="17"/>
          <w:szCs w:val="17"/>
          <w:color w:val="auto"/>
        </w:rPr>
        <w:t>Aston directly to manage, market and rent their properties, generally pursuant to short</w:t>
      </w:r>
      <w:r>
        <w:rPr>
          <w:rFonts w:ascii="MS PGothic" w:cs="MS PGothic" w:eastAsia="MS PGothic" w:hAnsi="MS PGothic"/>
          <w:sz w:val="17"/>
          <w:szCs w:val="17"/>
          <w:color w:val="auto"/>
        </w:rPr>
        <w:t>‑</w:t>
      </w:r>
      <w:r>
        <w:rPr>
          <w:rFonts w:ascii="Arial" w:cs="Arial" w:eastAsia="Arial" w:hAnsi="Arial"/>
          <w:sz w:val="17"/>
          <w:szCs w:val="17"/>
          <w:color w:val="auto"/>
        </w:rPr>
        <w:t>term agreements. We also offer such owners a comprehensive package of marketing, management and rental services designed to enhance rental income and profitability. Generally, owners’ association management services, including administrative, fiscal and quality assurance services, are provided pursuant to exclusive agreements with terms typically ranging from one to ten years or more, many of which are automatically renewable. Revenue is derived principally from fees for management of the hotel or condominium resort, and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reservations, sales and marketing, property accounting and information technology services.</w:t>
      </w:r>
    </w:p>
    <w:p>
      <w:pPr>
        <w:spacing w:after="0" w:line="94" w:lineRule="exact"/>
        <w:rPr>
          <w:sz w:val="20"/>
          <w:szCs w:val="20"/>
          <w:color w:val="auto"/>
        </w:rPr>
      </w:pPr>
    </w:p>
    <w:p>
      <w:pPr>
        <w:ind w:right="120" w:firstLine="648"/>
        <w:spacing w:after="0" w:line="218" w:lineRule="exact"/>
        <w:rPr>
          <w:sz w:val="20"/>
          <w:szCs w:val="20"/>
          <w:color w:val="auto"/>
        </w:rPr>
      </w:pPr>
      <w:r>
        <w:rPr>
          <w:rFonts w:ascii="Arial" w:cs="Arial" w:eastAsia="Arial" w:hAnsi="Arial"/>
          <w:sz w:val="16"/>
          <w:szCs w:val="16"/>
          <w:color w:val="auto"/>
        </w:rPr>
        <w:t>The success and continued growth of the Aqua-Aston business depends largely on our ability to source vacationers interested in booking vacation properties made available through our rental services. Our sales and marketing team in Honolulu, Hawaii, utilizes a variety of sales, marketing, revenue management and digital marketing initiatives to attract consumers and additional properties to Aqua</w:t>
      </w:r>
      <w:r>
        <w:rPr>
          <w:rFonts w:ascii="MS PGothic" w:cs="MS PGothic" w:eastAsia="MS PGothic" w:hAnsi="MS PGothic"/>
          <w:sz w:val="16"/>
          <w:szCs w:val="16"/>
          <w:color w:val="auto"/>
        </w:rPr>
        <w:t>‑</w:t>
      </w:r>
      <w:r>
        <w:rPr>
          <w:rFonts w:ascii="Arial" w:cs="Arial" w:eastAsia="Arial" w:hAnsi="Arial"/>
          <w:sz w:val="16"/>
          <w:szCs w:val="16"/>
          <w:color w:val="auto"/>
        </w:rPr>
        <w:t>Aston. The team in Hawaii utilizes many channels of distribution including traditional wholesale through tour operators and travel partners, online travel agencies and global distribution systems. In addition, Aqua</w:t>
      </w:r>
      <w:r>
        <w:rPr>
          <w:rFonts w:ascii="MS PGothic" w:cs="MS PGothic" w:eastAsia="MS PGothic" w:hAnsi="MS PGothic"/>
          <w:sz w:val="16"/>
          <w:szCs w:val="16"/>
          <w:color w:val="auto"/>
        </w:rPr>
        <w:t>‑</w:t>
      </w:r>
      <w:r>
        <w:rPr>
          <w:rFonts w:ascii="Arial" w:cs="Arial" w:eastAsia="Arial" w:hAnsi="Arial"/>
          <w:sz w:val="16"/>
          <w:szCs w:val="16"/>
          <w:color w:val="auto"/>
        </w:rPr>
        <w:t>Aston focuses on driving direct business through brand websites and our central reservations office. The sales team covers several market segments from corporate and government/military to travel agents and groups. We offer a variety of leisure accommodations to visitors from around the world through consumer websites such as, www.astonhotels.com, www.aquaresorts.com, www.aquahospitality.com, and www.mauicondo.com.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Corporate and Other consists of results not allocable to the Vacation Ownership or Exchange &amp; Third-Party Management segments, including company-wide general and administrative costs, corporate interest expense, and consolidation of certain owners’ associations under the voting interest model, which are not included in operating segment resource allocation decision-making.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40" w:firstLine="662"/>
        <w:spacing w:after="0" w:line="312" w:lineRule="auto"/>
        <w:rPr>
          <w:sz w:val="20"/>
          <w:szCs w:val="20"/>
          <w:color w:val="auto"/>
        </w:rPr>
      </w:pPr>
      <w:r>
        <w:rPr>
          <w:rFonts w:ascii="Arial" w:cs="Arial" w:eastAsia="Arial" w:hAnsi="Arial"/>
          <w:sz w:val="16"/>
          <w:szCs w:val="16"/>
          <w:color w:val="auto"/>
        </w:rPr>
        <w:t>Our revenue is influenced by the seasonal nature of travel. Within our Vacation Ownership segment, our sales and financing business experiences a modest impact from seasonality, with higher sales volumes during the traditional vacation periods. Our vacation ownership management businesses by and large do not experience significant seasonality, with the exception of our resort operations revenue, which tends to be higher in the first quarter.</w:t>
      </w:r>
    </w:p>
    <w:p>
      <w:pPr>
        <w:spacing w:after="0" w:line="39" w:lineRule="exact"/>
        <w:rPr>
          <w:sz w:val="20"/>
          <w:szCs w:val="20"/>
          <w:color w:val="auto"/>
        </w:rPr>
      </w:pPr>
    </w:p>
    <w:p>
      <w:pPr>
        <w:ind w:right="260" w:firstLine="662"/>
        <w:spacing w:after="0" w:line="342" w:lineRule="auto"/>
        <w:rPr>
          <w:sz w:val="20"/>
          <w:szCs w:val="20"/>
          <w:color w:val="auto"/>
        </w:rPr>
      </w:pPr>
      <w:r>
        <w:rPr>
          <w:rFonts w:ascii="Arial" w:cs="Arial" w:eastAsia="Arial" w:hAnsi="Arial"/>
          <w:sz w:val="16"/>
          <w:szCs w:val="16"/>
          <w:color w:val="auto"/>
        </w:rPr>
        <w:t>Within our Exchange &amp; Third-Party Management segment, we recognize exchange and Getaways revenue based on confirmation of the vacation; revenue is generally higher in the first quarter and lower in the fourth quarter. Remaining rental revenue is recognized based on occupancy.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662"/>
        <w:spacing w:after="0" w:line="253" w:lineRule="auto"/>
        <w:rPr>
          <w:sz w:val="20"/>
          <w:szCs w:val="20"/>
          <w:color w:val="auto"/>
        </w:rPr>
      </w:pPr>
      <w:r>
        <w:rPr>
          <w:rFonts w:ascii="Arial" w:cs="Arial" w:eastAsia="Arial" w:hAnsi="Arial"/>
          <w:sz w:val="18"/>
          <w:szCs w:val="18"/>
          <w:color w:val="auto"/>
        </w:rPr>
        <w:t>Competition in the vacation ownership industry is driven primarily by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pacing w:after="0" w:line="89" w:lineRule="exact"/>
        <w:rPr>
          <w:sz w:val="20"/>
          <w:szCs w:val="20"/>
          <w:color w:val="auto"/>
        </w:rPr>
      </w:pPr>
    </w:p>
    <w:p>
      <w:pPr>
        <w:ind w:right="180" w:firstLine="662"/>
        <w:spacing w:after="0" w:line="271" w:lineRule="auto"/>
        <w:rPr>
          <w:sz w:val="20"/>
          <w:szCs w:val="20"/>
          <w:color w:val="auto"/>
        </w:rPr>
      </w:pPr>
      <w:r>
        <w:rPr>
          <w:rFonts w:ascii="Arial" w:cs="Arial" w:eastAsia="Arial" w:hAnsi="Arial"/>
          <w:sz w:val="17"/>
          <w:szCs w:val="17"/>
          <w:color w:val="auto"/>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 as well as alternative lodging marketplaces such as Airbnb and HomeAway, which offer rentals of homes and condominiums. Innovations that impact the industry may also lead to new products and services that could disrupt our business model and create new and stronger competitors.</w:t>
      </w:r>
    </w:p>
    <w:p>
      <w:pPr>
        <w:spacing w:after="0" w:line="71"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and secondarily from the Europe and North America regions. In Europe, our owner base is derived primarily from the North America, Europe and Middle East regions.</w:t>
      </w:r>
    </w:p>
    <w:p>
      <w:pPr>
        <w:spacing w:after="0" w:line="80"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Recent and potential future consolidation in the highly fragmented vacation ownership industry may increase competition. Consolidation may create competitors that enjoy significant advantages resulting from, among other things, a lower cost of, and greater access to, capital and enhanced operating efficiencies.</w:t>
      </w:r>
    </w:p>
    <w:p>
      <w:pPr>
        <w:spacing w:after="0" w:line="73"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Our Interval International exchange business principally competes for developer and consumer market share with Wyndham Destinations, Inc.’s subsidiary, RCI. Our subsidiary, Trading Places International, and several third parties operate in this industry with a significantly more limited scope of available accommodations. This business also faces increasing competition from points</w:t>
      </w:r>
      <w:r>
        <w:rPr>
          <w:rFonts w:ascii="MS PGothic" w:cs="MS PGothic" w:eastAsia="MS PGothic" w:hAnsi="MS PGothic"/>
          <w:sz w:val="18"/>
          <w:szCs w:val="18"/>
          <w:color w:val="auto"/>
        </w:rPr>
        <w:t>‑</w:t>
      </w:r>
      <w:r>
        <w:rPr>
          <w:rFonts w:ascii="Arial" w:cs="Arial" w:eastAsia="Arial" w:hAnsi="Arial"/>
          <w:sz w:val="18"/>
          <w:szCs w:val="18"/>
          <w:color w:val="auto"/>
        </w:rPr>
        <w:t>based vacation clubs and large resort developers, which operate their own internal exchange systems to facilitate exchanges for owners of vacation ownership interests at their resorts as they increase in size and scope. Increased consolidation in the industry enhances this competition. In addition, vacation clubs and resort developers may have direct exchange relationships with other developers.</w:t>
      </w:r>
    </w:p>
    <w:p>
      <w:pPr>
        <w:spacing w:after="0" w:line="9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0" w:firstLine="662"/>
        <w:spacing w:after="0" w:line="279"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We have proactively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w:t>
      </w:r>
    </w:p>
    <w:p>
      <w:pPr>
        <w:spacing w:after="0" w:line="63"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Some laws, regulations and policies may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customers, as well as the sharing of our customer data with affiliates and third parties, are governed by privacy laws and regulations enacted in the United States, such as the recently enacted California Consumer Privacy Act (“CCPA”) which became effective January 1, 2020, and in other jurisdictions around the world, such as Europe’s General Data Protection Regulation (the “GDPR”). Other laws, regulations and policies primarily affect one of four areas of our business: real estate development activities; marketing and sales activities; lending activities; and resort management activities.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20" w:firstLine="662"/>
        <w:spacing w:after="0" w:line="255"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right="20" w:firstLine="662"/>
        <w:spacing w:after="0" w:line="290" w:lineRule="auto"/>
        <w:rPr>
          <w:sz w:val="20"/>
          <w:szCs w:val="20"/>
          <w:color w:val="auto"/>
        </w:rPr>
      </w:pPr>
      <w:r>
        <w:rPr>
          <w:rFonts w:ascii="Arial" w:cs="Arial" w:eastAsia="Arial" w:hAnsi="Arial"/>
          <w:sz w:val="16"/>
          <w:szCs w:val="16"/>
          <w:color w:val="auto"/>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58" w:lineRule="exact"/>
        <w:rPr>
          <w:sz w:val="20"/>
          <w:szCs w:val="20"/>
          <w:color w:val="auto"/>
        </w:rPr>
      </w:pPr>
    </w:p>
    <w:p>
      <w:pPr>
        <w:ind w:firstLine="662"/>
        <w:spacing w:after="0" w:line="284" w:lineRule="auto"/>
        <w:rPr>
          <w:sz w:val="20"/>
          <w:szCs w:val="20"/>
          <w:color w:val="auto"/>
        </w:rPr>
      </w:pPr>
      <w:r>
        <w:rPr>
          <w:rFonts w:ascii="Arial" w:cs="Arial" w:eastAsia="Arial" w:hAnsi="Arial"/>
          <w:sz w:val="16"/>
          <w:szCs w:val="16"/>
          <w:color w:val="auto"/>
        </w:rPr>
        <w:t>Many jurisdictions, including many jurisdictions in the United States, Asia Pacific and Europe, require that we file detailed registration or offering statements with regulatory authorities disclosing certain information regarding the vacation ownership interests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w:t>
      </w:r>
    </w:p>
    <w:p>
      <w:pPr>
        <w:spacing w:after="0" w:line="5" w:lineRule="exact"/>
        <w:rPr>
          <w:sz w:val="20"/>
          <w:szCs w:val="20"/>
          <w:color w:val="auto"/>
        </w:rPr>
      </w:pPr>
    </w:p>
    <w:p>
      <w:pPr>
        <w:ind w:right="140" w:firstLine="8"/>
        <w:spacing w:after="0" w:line="290"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53" w:lineRule="exact"/>
        <w:rPr>
          <w:sz w:val="20"/>
          <w:szCs w:val="20"/>
          <w:color w:val="auto"/>
        </w:rPr>
      </w:pPr>
    </w:p>
    <w:p>
      <w:pPr>
        <w:ind w:right="180" w:firstLine="662"/>
        <w:spacing w:after="0" w:line="297" w:lineRule="auto"/>
        <w:rPr>
          <w:sz w:val="20"/>
          <w:szCs w:val="20"/>
          <w:color w:val="auto"/>
        </w:rPr>
      </w:pPr>
      <w:r>
        <w:rPr>
          <w:rFonts w:ascii="Arial" w:cs="Arial" w:eastAsia="Arial" w:hAnsi="Arial"/>
          <w:sz w:val="16"/>
          <w:szCs w:val="16"/>
          <w:color w:val="auto"/>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 party brokers.</w:t>
      </w:r>
    </w:p>
    <w:p>
      <w:pPr>
        <w:spacing w:after="0" w:line="50"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73" w:lineRule="exact"/>
        <w:rPr>
          <w:sz w:val="20"/>
          <w:szCs w:val="20"/>
          <w:color w:val="auto"/>
        </w:rPr>
      </w:pPr>
    </w:p>
    <w:p>
      <w:pPr>
        <w:ind w:right="60" w:firstLine="662"/>
        <w:spacing w:after="0" w:line="291" w:lineRule="auto"/>
        <w:rPr>
          <w:sz w:val="20"/>
          <w:szCs w:val="20"/>
          <w:color w:val="auto"/>
        </w:rPr>
      </w:pPr>
      <w:r>
        <w:rPr>
          <w:rFonts w:ascii="Arial" w:cs="Arial" w:eastAsia="Arial" w:hAnsi="Arial"/>
          <w:sz w:val="16"/>
          <w:szCs w:val="16"/>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and reduced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Our lending activities are subject to a number of laws and regulations including those of applicable supervisory, regulatory and enforcement agencies such as, in the United States, the Consumer Financial Protection Bureau,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320" w:firstLine="662"/>
        <w:spacing w:after="0" w:line="255"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5"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Marriott Vacation Club resorts in the U.S.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 (Leadership in Energy &amp; Environmental Design) certification, educating and inspiring associates and guests to support the environment, and embracing innovation.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80" w:firstLine="662"/>
        <w:spacing w:after="0" w:line="317" w:lineRule="auto"/>
        <w:rPr>
          <w:sz w:val="20"/>
          <w:szCs w:val="20"/>
          <w:color w:val="auto"/>
        </w:rPr>
      </w:pPr>
      <w:r>
        <w:rPr>
          <w:rFonts w:ascii="Arial" w:cs="Arial" w:eastAsia="Arial" w:hAnsi="Arial"/>
          <w:sz w:val="16"/>
          <w:szCs w:val="16"/>
          <w:color w:val="auto"/>
        </w:rPr>
        <w:t>We recognize that our industry leadership depends in critical part on our continued ability to recruit, motivate, and retain the talented personnel that make up our global workforce. We maintain a set of programs and initiatives designed to attract, develop, retain and engage our associates that is focused on:</w:t>
      </w: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ensuring competitive, fair, and transparent compensation and benefits offerings;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supporting the overall well-being of our associates from a physical, emotional, and social perspective;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opportunities for associate growth, development, recognition, training, and education; and</w:t>
      </w:r>
    </w:p>
    <w:p>
      <w:pPr>
        <w:spacing w:after="0" w:line="63"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promoting an inclusive and diverse workplace, where all individuals are respected regardless of their age, race, notional origin, gender, religion, disability, or sexual orientation.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we had a global workforce consisting of over 22,000 associates. We believe our relations with our associates are 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Our investor relations website address is www.marriottvacationsworldwide.com/investor-relations.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right="400" w:firstLine="662"/>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25, 2020, except where indicated.</w:t>
      </w:r>
    </w:p>
    <w:p>
      <w:pPr>
        <w:sectPr>
          <w:pgSz w:w="11900" w:h="16838" w:orient="portrait"/>
          <w:cols w:equalWidth="0" w:num="1">
            <w:col w:w="11360"/>
          </w:cols>
          <w:pgMar w:left="240" w:top="125" w:right="299" w:bottom="1440" w:gutter="0" w:footer="0" w:header="0"/>
        </w:sectPr>
      </w:pPr>
    </w:p>
    <w:p>
      <w:pPr>
        <w:spacing w:after="0" w:line="157"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6"/>
          <w:szCs w:val="16"/>
          <w:b w:val="1"/>
          <w:bCs w:val="1"/>
          <w:color w:val="auto"/>
        </w:rPr>
        <w:t>Name and Title</w:t>
      </w:r>
      <w:r>
        <w:rPr>
          <w:sz w:val="20"/>
          <w:szCs w:val="20"/>
          <w:color w:val="auto"/>
        </w:rPr>
        <w:tab/>
      </w:r>
      <w:r>
        <w:rPr>
          <w:rFonts w:ascii="Arial" w:cs="Arial" w:eastAsia="Arial" w:hAnsi="Arial"/>
          <w:sz w:val="14"/>
          <w:szCs w:val="14"/>
          <w:b w:val="1"/>
          <w:bCs w:val="1"/>
          <w:color w:val="auto"/>
        </w:rPr>
        <w: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Stephen P. Weisz</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22"/>
        </w:trPr>
        <w:tc>
          <w:tcPr>
            <w:tcW w:w="3740" w:type="dxa"/>
            <w:vAlign w:val="bottom"/>
            <w:vMerge w:val="restart"/>
          </w:tcPr>
          <w:p>
            <w:pPr>
              <w:spacing w:after="0"/>
              <w:rPr>
                <w:sz w:val="20"/>
                <w:szCs w:val="20"/>
                <w:color w:val="auto"/>
              </w:rPr>
            </w:pPr>
            <w:r>
              <w:rPr>
                <w:rFonts w:ascii="Arial" w:cs="Arial" w:eastAsia="Arial" w:hAnsi="Arial"/>
                <w:sz w:val="18"/>
                <w:szCs w:val="18"/>
                <w:color w:val="auto"/>
              </w:rPr>
              <w:t>President and Chief Executive Officer</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 Lee Cunningham</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Operating Officer -</w:t>
      </w:r>
      <w:r>
        <w:rPr>
          <w:sz w:val="20"/>
          <w:szCs w:val="20"/>
          <w:color w:val="auto"/>
        </w:rPr>
        <w:tab/>
      </w:r>
      <w:r>
        <w:rPr>
          <w:rFonts w:ascii="Arial" w:cs="Arial" w:eastAsia="Arial" w:hAnsi="Arial"/>
          <w:sz w:val="16"/>
          <w:szCs w:val="16"/>
          <w:color w:val="auto"/>
        </w:rPr>
        <w:t>60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Vacation Ownership</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46355</wp:posOffset>
            </wp:positionV>
            <wp:extent cx="7229475" cy="1414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414780"/>
                    </a:xfrm>
                    <a:prstGeom prst="rect">
                      <a:avLst/>
                    </a:prstGeom>
                    <a:noFill/>
                  </pic:spPr>
                </pic:pic>
              </a:graphicData>
            </a:graphic>
          </wp:anchor>
        </w:drawing>
      </w:r>
    </w:p>
    <w:p>
      <w:pPr>
        <w:spacing w:after="0" w:line="18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Stephen P. Weisz has served as our President since 1996 and as our Chief Executive Officer since 2011; he has also been a member of our Board of Directors since 2011. Mr. Weisz joined Marriott International in 1972. Over his 39-year career with Marriott International, he held a number of leadership positions in the Lodging division, including Senior Vice President of Sales and Marketing and Executive Vice President-Lodging Brands. Mr. Weisz is a past Chairman of the Board of Directors of the American Resort Development Association and also a past Chairman of the Board of Trustees of Children’s Miracle Network.</w:t>
      </w:r>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 Lee Cunningham has served as our Executive Vice President and Chief Operating Officer - Vacation Ownership since September 2018. From December 2012 to August 2018 he served as our Executive Vice President and Chief Operating Officer. From 2007 to December 2012, he served as our Executive Vice President and Chief Operating Officer – North America and Caribbean. Mr. Cunningham joined our company in 1997 as Vice President of Revenue Management and Owner Service Operations. Mr. Cunningham joined Marriott International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80010</wp:posOffset>
            </wp:positionV>
            <wp:extent cx="7229475" cy="995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995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440"/>
            <w:col w:w="5960"/>
          </w:cols>
          <w:pgMar w:left="240" w:top="125" w:right="299" w:bottom="1440" w:gutter="0" w:footer="0" w:header="0"/>
          <w:type w:val="continuous"/>
        </w:sect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Clifford M. Delorey</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Resort Experience</w:t>
      </w:r>
      <w:r>
        <w:rPr>
          <w:sz w:val="20"/>
          <w:szCs w:val="20"/>
          <w:color w:val="auto"/>
        </w:rPr>
        <w:tab/>
      </w:r>
      <w:r>
        <w:rPr>
          <w:rFonts w:ascii="Arial" w:cs="Arial" w:eastAsia="Arial" w:hAnsi="Arial"/>
          <w:sz w:val="16"/>
          <w:szCs w:val="16"/>
          <w:color w:val="auto"/>
        </w:rPr>
        <w:t>59</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Financial and</w:t>
      </w:r>
      <w:r>
        <w:rPr>
          <w:sz w:val="20"/>
          <w:szCs w:val="20"/>
          <w:color w:val="auto"/>
        </w:rPr>
        <w:tab/>
      </w:r>
      <w:r>
        <w:rPr>
          <w:rFonts w:ascii="Arial" w:cs="Arial" w:eastAsia="Arial" w:hAnsi="Arial"/>
          <w:sz w:val="16"/>
          <w:szCs w:val="16"/>
          <w:color w:val="auto"/>
        </w:rPr>
        <w:t>52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Officer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Clifford M. Delorey has served as our Executive Vice President and Chief Resort Experience Officer since October 2012. From May 2011 to October 2012,</w:t>
      </w:r>
    </w:p>
    <w:p>
      <w:pPr>
        <w:spacing w:after="0" w:line="254" w:lineRule="auto"/>
        <w:rPr>
          <w:sz w:val="20"/>
          <w:szCs w:val="20"/>
          <w:color w:val="auto"/>
        </w:rPr>
      </w:pPr>
      <w:r>
        <w:rPr>
          <w:rFonts w:ascii="Arial" w:cs="Arial" w:eastAsia="Arial" w:hAnsi="Arial"/>
          <w:sz w:val="18"/>
          <w:szCs w:val="18"/>
          <w:color w:val="auto"/>
        </w:rPr>
        <w:t>Mr. Delorey served as Vice President of Operations for the Middle East and Africa region for Marriott International. From April 2006 to May 2011, he served as our Vice President of Operations for the East region. Mr. Delorey joined Marriott International in 1981.</w:t>
      </w:r>
    </w:p>
    <w:p>
      <w:pPr>
        <w:spacing w:after="0" w:line="24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John E. Geller, Jr. has served as our Executive Vice President and Chief Financial and Administrative Officer since January 2018. From 2009 to December 2017, he served as our Executive Vice President and Chief Financial Officer. Mr. Geller joined Marriott International in 2005 as Senior Vice President and Chief Audit Executive and Information Security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67310</wp:posOffset>
            </wp:positionV>
            <wp:extent cx="722947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720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440"/>
            <w:col w:w="5960"/>
          </w:cols>
          <w:pgMar w:left="240" w:top="125" w:right="299" w:bottom="1440" w:gutter="0" w:footer="0" w:header="0"/>
          <w:type w:val="continuous"/>
        </w:sectPr>
      </w:pP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900" w:type="dxa"/>
            <w:vAlign w:val="bottom"/>
          </w:tcPr>
          <w:p>
            <w:pPr>
              <w:ind w:left="220"/>
              <w:spacing w:after="0"/>
              <w:rPr>
                <w:sz w:val="20"/>
                <w:szCs w:val="20"/>
                <w:color w:val="auto"/>
              </w:rPr>
            </w:pPr>
            <w:r>
              <w:rPr>
                <w:rFonts w:ascii="Arial" w:cs="Arial" w:eastAsia="Arial" w:hAnsi="Arial"/>
                <w:sz w:val="18"/>
                <w:szCs w:val="18"/>
                <w:color w:val="auto"/>
                <w:w w:val="92"/>
              </w:rPr>
              <w:t>James H Hunter, IV has served as our Executive Vice President and General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James H Hunter, IV</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57</w:t>
            </w:r>
          </w:p>
        </w:tc>
        <w:tc>
          <w:tcPr>
            <w:tcW w:w="5900" w:type="dxa"/>
            <w:vAlign w:val="bottom"/>
          </w:tcPr>
          <w:p>
            <w:pPr>
              <w:ind w:left="220"/>
              <w:spacing w:after="0"/>
              <w:rPr>
                <w:sz w:val="20"/>
                <w:szCs w:val="20"/>
                <w:color w:val="auto"/>
              </w:rPr>
            </w:pPr>
            <w:r>
              <w:rPr>
                <w:rFonts w:ascii="Arial" w:cs="Arial" w:eastAsia="Arial" w:hAnsi="Arial"/>
                <w:sz w:val="18"/>
                <w:szCs w:val="18"/>
                <w:color w:val="auto"/>
                <w:w w:val="89"/>
              </w:rPr>
              <w:t>Counsel since November 2011. Prior to that time, he had served as Senior Vice</w:t>
            </w:r>
          </w:p>
        </w:tc>
        <w:tc>
          <w:tcPr>
            <w:tcW w:w="0" w:type="dxa"/>
            <w:vAlign w:val="bottom"/>
          </w:tcPr>
          <w:p>
            <w:pPr>
              <w:spacing w:after="0"/>
              <w:rPr>
                <w:sz w:val="1"/>
                <w:szCs w:val="1"/>
                <w:color w:val="auto"/>
              </w:rPr>
            </w:pPr>
          </w:p>
        </w:tc>
      </w:tr>
      <w:tr>
        <w:trPr>
          <w:trHeight w:val="122"/>
        </w:trPr>
        <w:tc>
          <w:tcPr>
            <w:tcW w:w="4040" w:type="dxa"/>
            <w:vAlign w:val="bottom"/>
            <w:vMerge w:val="restart"/>
          </w:tcPr>
          <w:p>
            <w:pPr>
              <w:spacing w:after="0"/>
              <w:rPr>
                <w:sz w:val="20"/>
                <w:szCs w:val="20"/>
                <w:color w:val="auto"/>
              </w:rPr>
            </w:pPr>
            <w:r>
              <w:rPr>
                <w:rFonts w:ascii="Arial" w:cs="Arial" w:eastAsia="Arial" w:hAnsi="Arial"/>
                <w:sz w:val="18"/>
                <w:szCs w:val="18"/>
                <w:color w:val="auto"/>
              </w:rPr>
              <w:t>Executive Vice President and General Counsel</w:t>
            </w:r>
          </w:p>
        </w:tc>
        <w:tc>
          <w:tcPr>
            <w:tcW w:w="1100" w:type="dxa"/>
            <w:vAlign w:val="bottom"/>
            <w:vMerge w:val="continue"/>
          </w:tcPr>
          <w:p>
            <w:pPr>
              <w:spacing w:after="0"/>
              <w:rPr>
                <w:sz w:val="10"/>
                <w:szCs w:val="10"/>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President and General Counsel since 2006. Mr. Hunter joined Marriott</w:t>
            </w:r>
          </w:p>
        </w:tc>
        <w:tc>
          <w:tcPr>
            <w:tcW w:w="0" w:type="dxa"/>
            <w:vAlign w:val="bottom"/>
          </w:tcPr>
          <w:p>
            <w:pPr>
              <w:spacing w:after="0"/>
              <w:rPr>
                <w:sz w:val="1"/>
                <w:szCs w:val="1"/>
                <w:color w:val="auto"/>
              </w:rPr>
            </w:pPr>
          </w:p>
        </w:tc>
      </w:tr>
      <w:tr>
        <w:trPr>
          <w:trHeight w:val="108"/>
        </w:trPr>
        <w:tc>
          <w:tcPr>
            <w:tcW w:w="4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5400"/>
        <w:spacing w:after="0"/>
        <w:rPr>
          <w:sz w:val="20"/>
          <w:szCs w:val="20"/>
          <w:color w:val="auto"/>
        </w:rPr>
      </w:pPr>
      <w:r>
        <w:rPr>
          <w:rFonts w:ascii="Arial" w:cs="Arial" w:eastAsia="Arial" w:hAnsi="Arial"/>
          <w:sz w:val="18"/>
          <w:szCs w:val="18"/>
          <w:color w:val="auto"/>
        </w:rPr>
        <w:t>International in 1994.</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6"/>
          <w:szCs w:val="16"/>
          <w:b w:val="1"/>
          <w:bCs w:val="1"/>
          <w:color w:val="auto"/>
        </w:rPr>
        <w:t>Name and Title</w:t>
      </w:r>
      <w:r>
        <w:rPr>
          <w:sz w:val="20"/>
          <w:szCs w:val="20"/>
          <w:color w:val="auto"/>
        </w:rPr>
        <w:tab/>
      </w: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3336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Lizabeth Kane-Hanan</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Development and</w:t>
      </w:r>
      <w:r>
        <w:rPr>
          <w:sz w:val="20"/>
          <w:szCs w:val="20"/>
          <w:color w:val="auto"/>
        </w:rPr>
        <w:tab/>
      </w:r>
      <w:r>
        <w:rPr>
          <w:rFonts w:ascii="Arial" w:cs="Arial" w:eastAsia="Arial" w:hAnsi="Arial"/>
          <w:sz w:val="16"/>
          <w:szCs w:val="16"/>
          <w:color w:val="auto"/>
        </w:rPr>
        <w:t>53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Product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Jeanette Marbert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22"/>
        </w:trPr>
        <w:tc>
          <w:tcPr>
            <w:tcW w:w="4180" w:type="dxa"/>
            <w:vAlign w:val="bottom"/>
            <w:vMerge w:val="restart"/>
          </w:tcPr>
          <w:p>
            <w:pPr>
              <w:spacing w:after="0"/>
              <w:rPr>
                <w:sz w:val="20"/>
                <w:szCs w:val="20"/>
                <w:color w:val="auto"/>
              </w:rPr>
            </w:pPr>
            <w:r>
              <w:rPr>
                <w:rFonts w:ascii="Arial" w:cs="Arial" w:eastAsia="Arial" w:hAnsi="Arial"/>
                <w:sz w:val="18"/>
                <w:szCs w:val="18"/>
                <w:color w:val="auto"/>
              </w:rPr>
              <w:t>President, Exchange and Third-Party Management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46355</wp:posOffset>
            </wp:positionV>
            <wp:extent cx="3824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Lizabeth Kane-Hanan has served as our Executive Vice President and Chief Development and Product Officer since September 2018. From November 2011 to August 2018, she served as our Executive Vice President and Chief Growth and Inventory Officer. Prior to that time, she had served as our Senior Vice President, Resort Development and Planning, Inventory and Revenue Management and Product Innovation since 2009. Ms. Kane-Hanan joined our company in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62230</wp:posOffset>
            </wp:positionV>
            <wp:extent cx="7229475" cy="1132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132205"/>
                    </a:xfrm>
                    <a:prstGeom prst="rect">
                      <a:avLst/>
                    </a:prstGeom>
                    <a:noFill/>
                  </pic:spPr>
                </pic:pic>
              </a:graphicData>
            </a:graphic>
          </wp:anchor>
        </w:drawing>
      </w:r>
    </w:p>
    <w:p>
      <w:pPr>
        <w:spacing w:after="0" w:line="19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Jeanette Marbert has served as our President, Exchange and Third-Party Management since October 2018. She served as President and Chief Executive Officer for the Exchange and Rental Segment of ILG, Inc. from November 2017 until September 2018 and as Executive Vice President from June 2009 until November 2017. She was Chief Operating Officer of ILG, Inc. from August 2008 to November 2017 and served as a Director of ILG, Inc. from February 2015 to May 2016. Ms. Marbert joined Interval International in 1984.</w:t>
      </w:r>
    </w:p>
    <w:p>
      <w:pPr>
        <w:spacing w:after="0" w:line="200" w:lineRule="exact"/>
        <w:rPr>
          <w:sz w:val="20"/>
          <w:szCs w:val="20"/>
          <w:color w:val="auto"/>
        </w:rPr>
      </w:pPr>
    </w:p>
    <w:p>
      <w:pPr>
        <w:sectPr>
          <w:pgSz w:w="11900" w:h="16838" w:orient="portrait"/>
          <w:cols w:equalWidth="0" w:num="2">
            <w:col w:w="4960" w:space="440"/>
            <w:col w:w="6020"/>
          </w:cols>
          <w:pgMar w:left="240" w:top="125" w:right="239" w:bottom="1440" w:gutter="0" w:footer="0" w:header="0"/>
        </w:sectPr>
      </w:pP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w w:val="93"/>
              </w:rPr>
              <w:t>Brian E. Miller has served as our Executive Vice President and Chief Marketing,</w:t>
            </w: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color w:val="auto"/>
              </w:rPr>
              <w:t>Brian E. Miller</w:t>
            </w:r>
          </w:p>
        </w:tc>
        <w:tc>
          <w:tcPr>
            <w:tcW w:w="7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w w:val="89"/>
              </w:rPr>
              <w:t>Sales and Service Officer since October 2018. From November 2011 to September</w:t>
            </w: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180" w:type="dxa"/>
            <w:vAlign w:val="bottom"/>
            <w:vMerge w:val="restart"/>
          </w:tcPr>
          <w:p>
            <w:pPr>
              <w:ind w:left="220"/>
              <w:spacing w:after="0"/>
              <w:rPr>
                <w:sz w:val="20"/>
                <w:szCs w:val="20"/>
                <w:color w:val="auto"/>
              </w:rPr>
            </w:pPr>
            <w:r>
              <w:rPr>
                <w:rFonts w:ascii="Arial" w:cs="Arial" w:eastAsia="Arial" w:hAnsi="Arial"/>
                <w:sz w:val="18"/>
                <w:szCs w:val="18"/>
                <w:color w:val="auto"/>
                <w:w w:val="92"/>
              </w:rPr>
              <w:t>2018, he served as our Executive Vice President and Chief Sales and Marketing</w:t>
            </w:r>
          </w:p>
        </w:tc>
        <w:tc>
          <w:tcPr>
            <w:tcW w:w="0" w:type="dxa"/>
            <w:vAlign w:val="bottom"/>
          </w:tcPr>
          <w:p>
            <w:pPr>
              <w:spacing w:after="0"/>
              <w:rPr>
                <w:sz w:val="1"/>
                <w:szCs w:val="1"/>
                <w:color w:val="auto"/>
              </w:rPr>
            </w:pPr>
          </w:p>
        </w:tc>
      </w:tr>
      <w:tr>
        <w:trPr>
          <w:trHeight w:val="108"/>
        </w:trPr>
        <w:tc>
          <w:tcPr>
            <w:tcW w:w="4420" w:type="dxa"/>
            <w:vAlign w:val="bottom"/>
            <w:vMerge w:val="restart"/>
          </w:tcPr>
          <w:p>
            <w:pPr>
              <w:spacing w:after="0"/>
              <w:rPr>
                <w:sz w:val="20"/>
                <w:szCs w:val="20"/>
                <w:color w:val="auto"/>
              </w:rPr>
            </w:pPr>
            <w:r>
              <w:rPr>
                <w:rFonts w:ascii="Arial" w:cs="Arial" w:eastAsia="Arial" w:hAnsi="Arial"/>
                <w:sz w:val="18"/>
                <w:szCs w:val="18"/>
                <w:color w:val="auto"/>
                <w:w w:val="96"/>
              </w:rPr>
              <w:t>Executive Vice President and Chief Marketing, Sales and</w:t>
            </w: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56</w:t>
            </w: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180" w:type="dxa"/>
            <w:vAlign w:val="bottom"/>
            <w:vMerge w:val="restart"/>
          </w:tcPr>
          <w:p>
            <w:pPr>
              <w:ind w:left="220"/>
              <w:spacing w:after="0"/>
              <w:rPr>
                <w:sz w:val="20"/>
                <w:szCs w:val="20"/>
                <w:color w:val="auto"/>
              </w:rPr>
            </w:pPr>
            <w:r>
              <w:rPr>
                <w:rFonts w:ascii="Arial" w:cs="Arial" w:eastAsia="Arial" w:hAnsi="Arial"/>
                <w:sz w:val="18"/>
                <w:szCs w:val="18"/>
                <w:color w:val="auto"/>
                <w:w w:val="92"/>
              </w:rPr>
              <w:t>Officer. Prior to that time, he had served as our Senior Vice President, Sales and</w:t>
            </w:r>
          </w:p>
        </w:tc>
        <w:tc>
          <w:tcPr>
            <w:tcW w:w="0" w:type="dxa"/>
            <w:vAlign w:val="bottom"/>
          </w:tcPr>
          <w:p>
            <w:pPr>
              <w:spacing w:after="0"/>
              <w:rPr>
                <w:sz w:val="1"/>
                <w:szCs w:val="1"/>
                <w:color w:val="auto"/>
              </w:rPr>
            </w:pPr>
          </w:p>
        </w:tc>
      </w:tr>
      <w:tr>
        <w:trPr>
          <w:trHeight w:val="108"/>
        </w:trPr>
        <w:tc>
          <w:tcPr>
            <w:tcW w:w="4420" w:type="dxa"/>
            <w:vAlign w:val="bottom"/>
            <w:vMerge w:val="restart"/>
          </w:tcPr>
          <w:p>
            <w:pPr>
              <w:spacing w:after="0"/>
              <w:rPr>
                <w:sz w:val="20"/>
                <w:szCs w:val="20"/>
                <w:color w:val="auto"/>
              </w:rPr>
            </w:pPr>
            <w:r>
              <w:rPr>
                <w:rFonts w:ascii="Arial" w:cs="Arial" w:eastAsia="Arial" w:hAnsi="Arial"/>
                <w:sz w:val="18"/>
                <w:szCs w:val="18"/>
                <w:color w:val="auto"/>
              </w:rPr>
              <w:t>Service Officer</w:t>
            </w:r>
          </w:p>
        </w:tc>
        <w:tc>
          <w:tcPr>
            <w:tcW w:w="720" w:type="dxa"/>
            <w:vAlign w:val="bottom"/>
          </w:tcPr>
          <w:p>
            <w:pPr>
              <w:spacing w:after="0"/>
              <w:rPr>
                <w:sz w:val="9"/>
                <w:szCs w:val="9"/>
                <w:color w:val="auto"/>
              </w:rPr>
            </w:pP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180" w:type="dxa"/>
            <w:vAlign w:val="bottom"/>
            <w:vMerge w:val="restart"/>
          </w:tcPr>
          <w:p>
            <w:pPr>
              <w:ind w:left="220"/>
              <w:spacing w:after="0"/>
              <w:rPr>
                <w:sz w:val="20"/>
                <w:szCs w:val="20"/>
                <w:color w:val="auto"/>
              </w:rPr>
            </w:pPr>
            <w:r>
              <w:rPr>
                <w:rFonts w:ascii="Arial" w:cs="Arial" w:eastAsia="Arial" w:hAnsi="Arial"/>
                <w:sz w:val="18"/>
                <w:szCs w:val="18"/>
                <w:color w:val="auto"/>
                <w:w w:val="94"/>
              </w:rPr>
              <w:t>Marketing and Service Operations since 2007. Mr. Miller joined our company in</w:t>
            </w:r>
          </w:p>
        </w:tc>
        <w:tc>
          <w:tcPr>
            <w:tcW w:w="0" w:type="dxa"/>
            <w:vAlign w:val="bottom"/>
          </w:tcPr>
          <w:p>
            <w:pPr>
              <w:spacing w:after="0"/>
              <w:rPr>
                <w:sz w:val="1"/>
                <w:szCs w:val="1"/>
                <w:color w:val="auto"/>
              </w:rPr>
            </w:pPr>
          </w:p>
        </w:tc>
      </w:tr>
      <w:tr>
        <w:trPr>
          <w:trHeight w:val="94"/>
        </w:trPr>
        <w:tc>
          <w:tcPr>
            <w:tcW w:w="4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472"/>
        </w:trPr>
        <w:tc>
          <w:tcPr>
            <w:tcW w:w="4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Dwight D. Smith has served as our Executive Vice President and Chief</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Dwight D. Smith</w:t>
            </w:r>
          </w:p>
        </w:tc>
        <w:tc>
          <w:tcPr>
            <w:tcW w:w="720" w:type="dxa"/>
            <w:vAlign w:val="bottom"/>
            <w:vMerge w:val="restart"/>
          </w:tcPr>
          <w:p>
            <w:pPr>
              <w:jc w:val="right"/>
              <w:ind w:right="130"/>
              <w:spacing w:after="0"/>
              <w:rPr>
                <w:sz w:val="20"/>
                <w:szCs w:val="20"/>
                <w:color w:val="auto"/>
              </w:rPr>
            </w:pPr>
            <w:r>
              <w:rPr>
                <w:rFonts w:ascii="Arial" w:cs="Arial" w:eastAsia="Arial" w:hAnsi="Arial"/>
                <w:sz w:val="18"/>
                <w:szCs w:val="18"/>
                <w:color w:val="auto"/>
              </w:rPr>
              <w:t>59</w:t>
            </w:r>
          </w:p>
        </w:tc>
        <w:tc>
          <w:tcPr>
            <w:tcW w:w="6180" w:type="dxa"/>
            <w:vAlign w:val="bottom"/>
          </w:tcPr>
          <w:p>
            <w:pPr>
              <w:ind w:left="220"/>
              <w:spacing w:after="0"/>
              <w:rPr>
                <w:sz w:val="20"/>
                <w:szCs w:val="20"/>
                <w:color w:val="auto"/>
              </w:rPr>
            </w:pPr>
            <w:r>
              <w:rPr>
                <w:rFonts w:ascii="Arial" w:cs="Arial" w:eastAsia="Arial" w:hAnsi="Arial"/>
                <w:sz w:val="18"/>
                <w:szCs w:val="18"/>
                <w:color w:val="auto"/>
                <w:w w:val="96"/>
              </w:rPr>
              <w:t>Information Officer since December 2011. Prior to that time, he served as our</w:t>
            </w:r>
          </w:p>
        </w:tc>
        <w:tc>
          <w:tcPr>
            <w:tcW w:w="0" w:type="dxa"/>
            <w:vAlign w:val="bottom"/>
          </w:tcPr>
          <w:p>
            <w:pPr>
              <w:spacing w:after="0"/>
              <w:rPr>
                <w:sz w:val="1"/>
                <w:szCs w:val="1"/>
                <w:color w:val="auto"/>
              </w:rPr>
            </w:pPr>
          </w:p>
        </w:tc>
      </w:tr>
      <w:tr>
        <w:trPr>
          <w:trHeight w:val="122"/>
        </w:trPr>
        <w:tc>
          <w:tcPr>
            <w:tcW w:w="4420" w:type="dxa"/>
            <w:vAlign w:val="bottom"/>
            <w:vMerge w:val="restart"/>
          </w:tcPr>
          <w:p>
            <w:pPr>
              <w:spacing w:after="0"/>
              <w:rPr>
                <w:sz w:val="20"/>
                <w:szCs w:val="20"/>
                <w:color w:val="auto"/>
              </w:rPr>
            </w:pPr>
            <w:r>
              <w:rPr>
                <w:rFonts w:ascii="Arial" w:cs="Arial" w:eastAsia="Arial" w:hAnsi="Arial"/>
                <w:sz w:val="18"/>
                <w:szCs w:val="18"/>
                <w:color w:val="auto"/>
              </w:rPr>
              <w:t>Executive Vice President and Chief Information Officer</w:t>
            </w:r>
          </w:p>
        </w:tc>
        <w:tc>
          <w:tcPr>
            <w:tcW w:w="720" w:type="dxa"/>
            <w:vAlign w:val="bottom"/>
            <w:vMerge w:val="continue"/>
          </w:tcPr>
          <w:p>
            <w:pPr>
              <w:spacing w:after="0"/>
              <w:rPr>
                <w:sz w:val="10"/>
                <w:szCs w:val="10"/>
                <w:color w:val="auto"/>
              </w:rPr>
            </w:pPr>
          </w:p>
        </w:tc>
        <w:tc>
          <w:tcPr>
            <w:tcW w:w="6180" w:type="dxa"/>
            <w:vAlign w:val="bottom"/>
            <w:vMerge w:val="restart"/>
          </w:tcPr>
          <w:p>
            <w:pPr>
              <w:ind w:left="220"/>
              <w:spacing w:after="0"/>
              <w:rPr>
                <w:sz w:val="20"/>
                <w:szCs w:val="20"/>
                <w:color w:val="auto"/>
              </w:rPr>
            </w:pPr>
            <w:r>
              <w:rPr>
                <w:rFonts w:ascii="Arial" w:cs="Arial" w:eastAsia="Arial" w:hAnsi="Arial"/>
                <w:sz w:val="18"/>
                <w:szCs w:val="18"/>
                <w:color w:val="auto"/>
                <w:w w:val="92"/>
              </w:rPr>
              <w:t>Senior Vice President and Chief Information Officer since 2006. Mr. Smith joined</w:t>
            </w: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29475" cy="720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720090"/>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8"/>
          <w:szCs w:val="18"/>
          <w:color w:val="auto"/>
        </w:rPr>
        <w:t>Marriott International in 1988.</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Ovidio Vitas</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Brand and Digital</w:t>
      </w:r>
      <w:r>
        <w:rPr>
          <w:sz w:val="20"/>
          <w:szCs w:val="20"/>
          <w:color w:val="auto"/>
        </w:rPr>
        <w:tab/>
      </w:r>
      <w:r>
        <w:rPr>
          <w:rFonts w:ascii="Arial" w:cs="Arial" w:eastAsia="Arial" w:hAnsi="Arial"/>
          <w:sz w:val="16"/>
          <w:szCs w:val="16"/>
          <w:color w:val="auto"/>
        </w:rPr>
        <w:t>43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Strategy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E. Yonker</w:t>
      </w:r>
    </w:p>
    <w:p>
      <w:pPr>
        <w:spacing w:after="0" w:line="23" w:lineRule="exact"/>
        <w:rPr>
          <w:sz w:val="20"/>
          <w:szCs w:val="20"/>
          <w:color w:val="auto"/>
        </w:rPr>
      </w:pPr>
    </w:p>
    <w:p>
      <w:pPr>
        <w:ind w:left="40"/>
        <w:spacing w:after="0"/>
        <w:tabs>
          <w:tab w:leader="none" w:pos="4760" w:val="left"/>
        </w:tabs>
        <w:rPr>
          <w:sz w:val="20"/>
          <w:szCs w:val="20"/>
          <w:color w:val="auto"/>
        </w:rPr>
      </w:pPr>
      <w:r>
        <w:rPr>
          <w:rFonts w:ascii="Arial" w:cs="Arial" w:eastAsia="Arial" w:hAnsi="Arial"/>
          <w:sz w:val="18"/>
          <w:szCs w:val="18"/>
          <w:color w:val="auto"/>
        </w:rPr>
        <w:t>Executive Vice President and Chief Human Resources</w:t>
      </w:r>
      <w:r>
        <w:rPr>
          <w:sz w:val="20"/>
          <w:szCs w:val="20"/>
          <w:color w:val="auto"/>
        </w:rPr>
        <w:tab/>
      </w:r>
      <w:r>
        <w:rPr>
          <w:rFonts w:ascii="Arial" w:cs="Arial" w:eastAsia="Arial" w:hAnsi="Arial"/>
          <w:sz w:val="16"/>
          <w:szCs w:val="16"/>
          <w:color w:val="auto"/>
        </w:rPr>
        <w:t>61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Ovidio Vitas has served as our Executive Vice President and Chief Brand and Digital Strategy Officer since February 2019. From September 2018 to February 2019, he served as our Senior Vice President and Chief Brand and Digital Strategy Officer. He joined our company in 2015. From November 2013 to May 2015, Mr. Vitas served as Director, Global Brand Communications at Reebok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80010</wp:posOffset>
            </wp:positionV>
            <wp:extent cx="722947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720090"/>
                    </a:xfrm>
                    <a:prstGeom prst="rect">
                      <a:avLst/>
                    </a:prstGeom>
                    <a:noFill/>
                  </pic:spPr>
                </pic:pic>
              </a:graphicData>
            </a:graphic>
          </wp:anchor>
        </w:drawing>
      </w:r>
    </w:p>
    <w:p>
      <w:pPr>
        <w:spacing w:after="0" w:line="2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Michael E. Yonker has served as our Executive Vice President and Chief Human Resources Officer since December 2011. Prior to that time, he served as our Chief Human Resources Officer since 2010. Mr. Yonker joined Marriott International in 1983.</w:t>
      </w:r>
    </w:p>
    <w:p>
      <w:pPr>
        <w:spacing w:after="0" w:line="200" w:lineRule="exact"/>
        <w:rPr>
          <w:sz w:val="20"/>
          <w:szCs w:val="20"/>
          <w:color w:val="auto"/>
        </w:rPr>
      </w:pPr>
    </w:p>
    <w:p>
      <w:pPr>
        <w:sectPr>
          <w:pgSz w:w="11900" w:h="16838" w:orient="portrait"/>
          <w:cols w:equalWidth="0" w:num="2">
            <w:col w:w="4960" w:space="440"/>
            <w:col w:w="6020"/>
          </w:cols>
          <w:pgMar w:left="240" w:top="125" w:right="239" w:bottom="1440" w:gutter="0" w:footer="0" w:header="0"/>
          <w:type w:val="continuous"/>
        </w:sectPr>
      </w:pPr>
    </w:p>
    <w:p>
      <w:pPr>
        <w:spacing w:after="0" w:line="1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Contraction in the global economy or low levels of economic growth could impact our financial results and growth.</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business and the vacation ownership industry are particularly affected by negative trends in the general economy, and the recovery period in our industry may lag behind overall economic improvement. Demand for vacation ownership industry products and services is linked to a number of factors relating to general global, national and regional economic conditions, including perceived and actual economic conditions, exchange rates, availability of credit and business and personal discretionary spending levels. Weakened consumer confidence and limited availability of consumer credit can cause demand for our vacation ownership products to decline, which may reduce our revenue and profitability. Because a significant portion of our expenses, including personnel costs, interest, property taxes and insurance, are relatively fixed, we may not be able to adjust spending quickly enough to offset revenue decreases. Adverse economic conditions may also cause purchaser defaults on our vacation ownership notes receivable to increase. In addition, adverse global and national economic and political events, as well as significant terrorist attacks, are likely to have a dampening effect on the economy in general, which could negatively affect our financial performance and our stock price.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4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Existing owners have offered, and are expected to continue to offer, their VOIs for sale on the secondary market. The prices at which these interests are sold are typically less than the prices at which we would sell the interests. As a result, these sales can create pricing pressure on our sale of vacation ownership products, which could cause our sales revenues and profits to decline. In addition, if the secondary market for VOIs becomes more organized and liquid than it currently is, the resulting availability of VOIs (particularly where the VOIs are available for sale at lower prices than the prices at which we would sell them) could adversely affect our sales and our sales revenues. Further, unlawful or deceptive third-party VOI resale schemes involving interests in our resorts could damage our reputation and brand value and adversely impact our sales revenues.</w:t>
      </w:r>
    </w:p>
    <w:p>
      <w:pPr>
        <w:spacing w:after="0" w:line="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Development of a more robust secondary market may also cause the volume of VOI inventory that we are able to repurchase to decline, which could adversely impact our development margin, as we utilize this lower cost inventory source to supplement our inventory needs and reduce our cost of vacation ownership products.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Our ability to develop, acquire and repurchase vacation ownership inventory may be impaired if we or third parties with whom we do business, including vacation property developers, are unable to access capital when necessary.</w:t>
      </w:r>
    </w:p>
    <w:p>
      <w:pPr>
        <w:spacing w:after="0" w:line="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in the ABS market the majority of the U.S. dollar denominated consumer loans that we originate, completing transactions at least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our Warehouse Credit Facility, which we must do in order to access funds under that facility after December 2021, on terms favorable to us, or at all. Further, any indebtedness we incur, including indebtedness under the Revolving Corporate Credit Facility or the Warehouse Credit Facility, may adversely affect our ability to obtain additional financing. If we are unable to access these sources of funds on acceptable terms, our ability to acquire additional vacation ownership inventory, repurchase VOIs that our owners propose to sell to third-parties, or make other investments in our business could be impaired. In addition, a slowdown in sales of VOIs decreases the sources of new members for our exchange networks, and developers may seek to extend or adjust payment terms with us.</w:t>
      </w:r>
    </w:p>
    <w:p>
      <w:pPr>
        <w:spacing w:after="0" w:line="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Inability to obtain financing on acceptable terms, or at all, previously caused and may in the future cause insolvency of developers whose resorts are in our exchange networks. This in turn could reduce or stop the flow of new members from their resorts and also could adversely affect the operations and desirability of exchange with those resorts if the developer’s insolvency impacts the management of the resorts. In some cases, a developer in bankruptcy could terminate its existing exchange relationship with us.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Our reliance on capital efficient transactions to satisfy a portion of our future needs for Vacation Ownership segment inventory and additional on-site sales locations may impact our ability to have inventory available for sale when needed</w:t>
      </w:r>
      <w:r>
        <w:rPr>
          <w:rFonts w:ascii="Arial" w:cs="Arial" w:eastAsia="Arial" w:hAnsi="Arial"/>
          <w:sz w:val="18"/>
          <w:szCs w:val="18"/>
          <w:i w:val="1"/>
          <w:iCs w:val="1"/>
          <w:color w:val="auto"/>
        </w:rPr>
        <w:t>.</w:t>
      </w:r>
    </w:p>
    <w:p>
      <w:pPr>
        <w:spacing w:after="0" w:line="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entered into capital efficient transactions in which third parties are responsible for delivering completed units which we expect to purchase at pre-agreed prices in the future. As we continue to execute our strategy to deploy capital efficiently, we will seek to enter into additional transactions to source inventory using similar or new transaction structures. These structures may expose us to additional risk as we will not control development activities or timing of development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completion. If third parties with whom we enter into capital efficient transactions do not fulfill their obligations to us, or if they 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if developers or other third parties are not able to obtain or maintain financing necessary for their operations, we may not be able to enter into capital efficient transactions with third parties. If we are not able to enter into such transactions, we may need to increase inventory investments, which would decrease our financial flexibility.</w:t>
      </w:r>
    </w:p>
    <w:p>
      <w:pPr>
        <w:spacing w:after="0" w:line="181"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integrate Legacy-ILG’s businesses successfully and we may not realize many of the anticipated benefits of the combination.</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Achieving the anticipated benefits of the acquisition of ILG is subject to a number of uncertainties, including whether ILG’s business can be integrated with ours in an efficient and effective manner. The integration process could take longer or be more costly than anticipated and could result in the loss of valuable employees, the disruption of ongoing businesses, processes and systems or inconsistencies in standards, controls, procedures, practices, policies and compensation arrangements, any of which could adversely affect our ability to achieve the anticipated benefits of the combination. We may have difficulty addressing possible differences in corporate cultures and management philosophies. Failure to achieve the anticipated benefits could result in increased costs or decreases in the amount of expected net income and could adversely affect our future business, financial condition, operating results and prospects.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future results will suffer if we do not effectively manage our expanded operations which include the external exchange business.</w:t>
      </w:r>
    </w:p>
    <w:p>
      <w:pPr>
        <w:spacing w:after="0" w:line="1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size of our business increased significantly as a result of the ILG Acquisition. Our future success depends, in part, upon our ability to manage this expanded business, including ILG’s external exchange business, which poses substantial challenges for management, including challenges related to the management and monitoring of new operations and associated increased costs and complexity. We may not be successful or we may not realize the expected operating efficiencies, cost savings and other benefits currently anticipated from the ILG Acquisition.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Insufficient availability of exchange inventory may adversely affect our profits.</w:t>
      </w:r>
    </w:p>
    <w:p>
      <w:pPr>
        <w:spacing w:after="0" w:line="11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exchange networks’ transaction levels are influenced by the supply of inventory in the system and the demand for such available inventory. The availability of exchange inventory in the Interval International network is dependent on it being deposited into the system, directly by a member in support of a current or future exchange request, or by a developer on behalf of its owners to support their anticipated exchanges.</w:t>
      </w:r>
    </w:p>
    <w:p>
      <w:pPr>
        <w:spacing w:after="0" w:line="5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number of factors may impact the supply and demand of inventory. For example, economic conditions may negatively impact our members’ desire to travel, often resulting in an increase in the number of deposits made as a means of preserving the inventory’s value for exchange at a later date when the member is ready to travel, while reducing the demand for inventory which is then available for exchange. Also, destination-specific factors such as regional health and safety concerns, the occurrence or threat of natural disasters and weather may decrease our members’ desire to travel or exchange to a given destination, resulting in an increased supply of, but a decreased demand for, inventory from this destination. Also, inventory may not be as available because owners are choosing to travel to their home resort/vacation club system or otherwise not depositing with the Interval International network. In these instances, the demand for exchange and Getaway inventory may be greater than the inventory available. Where the supply and demand of inventory do not keep pace, transactions may decrease or we may elect to purchase additional inventory to fulfill the demand, both of which could negatively affect our profits and margin.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our vacation ownership business, we provide loans to purchasers to finance their purchase of VOIs. Accordingly, we are subject to the risk that purchasers of our VOIs may default on the financing that we provide. The risk of purchaser defaults may increase due to man-made or natural disasters, which cause financial hardship for purchasers. The risk of purchaser defaults may also increase if we do not evaluate accurately the creditworthiness of the customers to whom we extend financing or due to the influence of timeshare relief firms. Purchaser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ABS market or the Warehouse Credit Facility. If default rates for our borrowers increase, we have been required, and may in the future be required to increase our reserve on vacation ownership notes receivable.</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default rates increase beyond current projections and result in higher than expected foreclosure activity, our results of operations could be adversely affected. Purchaser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or revoked interests in a timely manner or for an attractive price which could result in an adverse impact on our results from operations. If the reclaimed interests have declined in value, we may incur impairment losses that reduce our profits.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purchaser, or if the allowances for losses from such defaults are inadequate, the revenues and profits that we derive from the vacation ownership business could be reduced.</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r>
        <w:rPr>
          <w:rFonts w:ascii="Arial" w:cs="Arial" w:eastAsia="Arial" w:hAnsi="Arial"/>
          <w:sz w:val="18"/>
          <w:szCs w:val="18"/>
          <w:i w:val="1"/>
          <w:iCs w:val="1"/>
          <w:color w:val="auto"/>
        </w:rPr>
        <w:t>.</w:t>
      </w:r>
    </w:p>
    <w:p>
      <w:pPr>
        <w:spacing w:after="0" w:line="6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conduct business globally. International properties and operations expose us to a number of additional challenges and risks, including the following, any of which could reduce our revenues or profits, increase our costs, or disrupt our business:</w:t>
      </w:r>
    </w:p>
    <w:p>
      <w:pPr>
        <w:spacing w:after="0" w:line="8" w:lineRule="exact"/>
        <w:rPr>
          <w:sz w:val="20"/>
          <w:szCs w:val="20"/>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 and changing laws, regulations and policies of governments that may impact our operations, including foreign ownership restrictions, import and export controls, and trade restrictions;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our brands as American brands;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laws that affect the activities of U.S. companies abroad;</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presence and acceptance of varying levels of business corruption in international markets and the effect of various anticorruption and other laws;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impacts and legal restrictions associated with the repatriation of our non-U.S. earnings;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 to the enforceability of contract and intellectual property rights under local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government policy, political or civil unrest, acts of terrorism or the threat of international boycotts or U.S. anti-boycott legislation;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foreign currency exchange rates or currency restructurings and hyperinflation or deflation in the countries in which we operate;</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forced nationalization of resort properties by local, state or national governments;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exposure to local economic risks.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derive revenue from sales to customers from outside the United States that are transacted in United States dollars. As a result, our revenues and profits have been, and may in the future be, negatively affected by factors such as changes in foreign currency exchange rates or weak economic conditions in the markets in which our customers reside. Any hedging transactions we enter into to mitigate currency exchange risks may not be effective or could have a negative effect on our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1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exchange, and property management systems, and technologies we make available to our owners and members. We must refine, update and/or replace these technologies and systems with more advanced systems or upgrades on a regular basis. If we cannot do so as quickly as our competitors or within budgeted costs and time frames, our business could suffer. Projects to refine, update and/or replace these technologies and systems may be extremely complex and require significant internal and external resources. If these resources are not available, our business and operations may be adversely affected. We also may not achieve the benefits that we anticipate from any new technology or system, and a failure to do so could result in higher than anticipated costs or could harm our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b w:val="1"/>
          <w:bCs w:val="1"/>
          <w:i w:val="1"/>
          <w:iCs w:val="1"/>
          <w:color w:val="auto"/>
        </w:rPr>
        <w:t>Failure to maintain the integrity of internal or customer data, or to protect our systems from cyber-attacks and similar incidents, could result in faulty business decisions or operational inefficiencies, damage our reputation and/or subject us to costs, fines or lawsuits.</w:t>
      </w:r>
    </w:p>
    <w:p>
      <w:pPr>
        <w:spacing w:after="0" w:line="3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collect and retain large volumes of internal and customer data, including social security numbers, credit card numbers and other personally identifiable information of our customers in various internal information systems and information systems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information systems and records, including those we maintain with our service providers, may be subject to security breaches, cyber-attack or cyber-intrusion, system failures, viruses, operator error or inadvertent releases of data. Unauthorized parties may also attempt to gain access to our systems or facilities through fraud, trickery or other means of deceiving our associates, owners, customers or other users of our systems. Data breaches and intrusions have increased in recent years as the number, intensity and sophistication of attempted attacks and intrusions have increased. We must continuously monitor and enhance our information security controls to prevent, detect, and/or contain unauthorized activity, access, misuse and malicious software. Because the techniques used to obtain unauthorized access, disable or degrade service, or sabotage systems change frequently and may be difficult to detect for long periods of time, we may be unable to anticipate these techniques or implement adequate preventive measures. Further, even if such measures are implemented and appropriate training is conducted in support of such measures, human errors compromising the efficacy of such measures may still occur. As a result, current or future security measures may not prevent any or all breaches, and we may be required to expend significant capital and other resources to protect against, detect and remedy any potential or existing breaches and their consequences.</w:t>
      </w:r>
    </w:p>
    <w:p>
      <w:pPr>
        <w:spacing w:after="0" w:line="6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Like other companies, we have experienced cyber security threats to our data and systems, our company sensitive information, and our information technology infrastructure, including malware and computer virus attacks, unauthorized access, systems failures and temporary disruptions. For example, in June 2018, we identified forged and fraudulently induced electronic payment disbursements we made to third parties in an aggregate amount of $10 million resulting from unauthorized third-party access to our email system. During 2018, we recovered $6 million of these funds, and during 2019, we received an additional $3 million from our insurance company as final settlement of our claim. In addition, our licensor, Marriott International, announced in November 2018 that it had experienced a data breach that included our customers’ data. A significant cyber-attack or theft, loss, or fraudulent use of customer, employee or company data maintained by us or by a service provider or licensor could adversely impact our reputation and could result in remedial and other expenses, fines or litigation. A breach in the security of our information systems or those of our service providers or licensors could lead to an interruption in the operation of our systems, resulting in operational inefficiencies and a loss of profits.</w:t>
      </w:r>
    </w:p>
    <w:p>
      <w:pPr>
        <w:spacing w:after="0" w:line="7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Routinely, we partner with and use third-party service providers and products that host, manage, or control sensitive data. The policies, contracts and other controls we rely on to cause contractors and subcontractors to maintain reasonable security to ensure that our data is protected from unauthorized use, alteration, access or disclosure may not have the intended results. The failure by the various third-party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our businesses, discourage potential users from trying our products and services, breach certain agreements under which we have obligations with respect to network security, and/or result in fines and/or proceedings by governmental agencies, service providers and/or consumers. Any one or all of the foregoing could materially adversely affect our business, financial condition and results of operations.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social media could impair our competitive position.</w:t>
      </w:r>
    </w:p>
    <w:p>
      <w:pPr>
        <w:spacing w:after="0" w:line="11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proliferation and global reach of social media continues to expand rapidly and could cause us to suffer reputational harm. The continuing evolution of social media presents new challenges and requires us to keep pace with new developments, technology and trends. Negative posts or comments about us, the properties we manage or our brands on any social networking or user-generated review website, including travel and vacation property websites, could affect consumer opinions of us and our products, and we cannot guarantee that we will timely or adequately redress such instances.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r>
        <w:rPr>
          <w:rFonts w:ascii="Arial" w:cs="Arial" w:eastAsia="Arial" w:hAnsi="Arial"/>
          <w:sz w:val="18"/>
          <w:szCs w:val="18"/>
          <w:i w:val="1"/>
          <w:iCs w:val="1"/>
          <w:color w:val="auto"/>
        </w:rPr>
        <w:t>.</w:t>
      </w:r>
    </w:p>
    <w:p>
      <w:pPr>
        <w:spacing w:after="0" w:line="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operations depend on our ability to maintain existing systems and implement new technologies,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acts of war or terrorism and other events. System interruption, delays, loss of critical data and any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is not sufficient for all eventualities. In addition, we may not have adequate insurance coverage to compensate for losses from a major interruption. If our information technology systems are disrupted, subject to a cyber-attack or other unauthorized intrusion, become obsolete or do not adequately support our strategic, operational or compliance needs, our business, financial position, results of operations or cash flows may be adversely affected. In addition to financial consequences, disruptions to our information technology systems may materially impact our disclosure controls and procedures and internal control over financial reporting in future periods.</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Spanish court rulings invalidating timeshare contracts have increased our exposure to litigation and such litigation may materially adversely affect our business and financial condition</w:t>
      </w:r>
      <w:r>
        <w:rPr>
          <w:rFonts w:ascii="Arial" w:cs="Arial" w:eastAsia="Arial" w:hAnsi="Arial"/>
          <w:sz w:val="18"/>
          <w:szCs w:val="18"/>
          <w:i w:val="1"/>
          <w:iCs w:val="1"/>
          <w:color w:val="auto"/>
        </w:rPr>
        <w:t>.</w:t>
      </w:r>
    </w:p>
    <w:p>
      <w:pPr>
        <w:spacing w:after="0" w:line="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series of Spanish court rulings over the past several years invalidating timeshare contracts have increased our exposure to litigation and such litigation may materially adversely affect our business and financial condition. These rulings have invalidated certain timeshare contracts entered into after January 1999 related to certain resorts in Spain if the timeshare structure of those resorts did not meet requirements prescribed by Spanish timeshare laws enacted in 1998, even if the structure was lawful prior to 1998 and adapted to the 1998 laws pursuant to mechanisms specified in the 1998 laws. These rulings have led to an increase in lawsuits by owners seeking to invalidate timeshare contracts in Spain, including a number of such lawsuits filed by owners at certain of our resorts in Spain, some of which have been decided in favor of the owners. If additional owners at our resorts in Spain file similar lawsuits, this may: result in the invalidation of those owners’ timeshare contracts entered into after January 1999; cause us to incur material litigation and other costs, including judgment or settlement payments; and materially adversely affect the results of operation of our Vacation Ownership segment, as well as our business and financial condition. The increased ability for owners of Spanish timeshares to void their contracts is negatively impacting other developers with resorts there which may lead to a significant decrease in the number of resorts located in Spain in the Interval International network and the loss of members that own VOIs at those resorts. Participants in the vacation ownership industry disagree with these rulings and are seeking to introduce legislation that will implement a more balanced approach. However, this new legislation may not be enacted. The timeshare laws, regulations and policies in Spain may continue to change or be subject to different interpretations in the future, including in ways that could negatively impact our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industries in which our businesses operate are competitive, which may impact our ability to compete successfully</w:t>
      </w:r>
      <w:r>
        <w:rPr>
          <w:rFonts w:ascii="Arial" w:cs="Arial" w:eastAsia="Arial" w:hAnsi="Arial"/>
          <w:sz w:val="18"/>
          <w:szCs w:val="18"/>
          <w:i w:val="1"/>
          <w:iCs w:val="1"/>
          <w:color w:val="auto"/>
        </w:rPr>
        <w:t>.</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businesses will be adversely impacted if they cannot compete effectively in their respective industries, each of which is highly competitive. A number of highly competitive companies participate in the vacation ownership industry, including several that are affiliated with branded hotel companies. We believe that competition in the vacation ownership industry is driven primarily by the quality, number and location of vacation ownership resorts, trust in the brand, pricing of product offerings and the availability of program benefits, such as exchange programs and access to affiliated hotel networks. Our brands compete with the vacation ownership brands of major hotel chains in national and international venues, as well as with the vacation rental options (such as hotels, resorts and condominium rentals) offered by the lodging industry.</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Innovations that impact the industry may also lead to new products and services that could disrupt our business model and create new and stronger competitors. Under the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principal exchange network administered by Interval International included nearly 3,200 resorts located in over 80 nations participated as of December 31, 2019. Interval International’s primary competitor, RCI, has a greater number of affiliated resorts than we have. Through the resources of its corporate affiliates, particularly, Wyndham Vacation Ownership, Inc., engaged in vacation ownership sales, RCI may have greater access to a significant segment of new vacation ownership purchasers and a broader platform for participating in industry consolidation. We believe that developers will continue to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networks. The effects on our business are more pronounced as the proportion of vacation club corporate members in the Interval International network increases.</w:t>
      </w:r>
    </w:p>
    <w:p>
      <w:pPr>
        <w:spacing w:after="0" w:line="5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businesses also compete for leisure travelers with other leisure lodging operators, including both independent and branded properties as well as with alternative lodging marketplaces such as Airbnb and HomeAway, which operate websites that market available furnished, privately-owned residential properties in locations throughout the world, including homes and condominiums, which can be rented on a nightly, weekly or monthly basis. Competitive pressures may cause us to reduce our fee structure or potentially modify our business models, which could adversely affect our business, financial condition and results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Vacation Ownership business is dependent on our ability to identify and effectively market the product to prospective purchasers.</w:t>
      </w:r>
    </w:p>
    <w:p>
      <w:pPr>
        <w:spacing w:after="0" w:line="14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identification of prospective purchasers, and the marketing of our products to them, are essential to our success. We incur significant expenses associated with marketing programs in advance of closing sales of VOIs. If our marketing efforts are not successful and we are unable to convert prospects to a sufficient number of sales, we may be unable to recover the expense of our marketing programs and grow our business. This could adversely affect our financial position, results of operations and liquidity.</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If our license agreements with Marriott International or Hyatt are terminated, or if our right to use their trademarks at any properties that do not meet applicable brand standards is terminated, our reputation could be harmed and our ability to market and sell our products at these properties could be impaired.</w:t>
      </w:r>
    </w:p>
    <w:p>
      <w:pPr>
        <w:spacing w:after="0" w:line="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in part, on the maintenance of our relationships with Marriott International and Hyatt. These relationships are governed by a number of agreements, including long-term license agreements that expire between 2090 and 2096, subject to renewal. However, if we breach our obligations under one of the license agreements, the applicable licensor may be entitled to terminate the license agreement and our rights to use their brands in connection with our businesses. In addition, if any of our properties does not meet applicable brand standards, these companies can terminate our right to use the related trademarks at the subject properties.</w:t>
      </w:r>
    </w:p>
    <w:p>
      <w:pPr>
        <w:spacing w:after="0" w:line="8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termination of our license agreements with Marriott International or its affiliates would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Ritz-Carlton, Sheraton and/or Westin brands to attract qualified prospects in the marketplace would likely cause our revenue and profits to decline and our marketing and sales expenses to increase. In addition, we would not be able to use the brand websites as channels through which to rent available inventory, which would cause our rental revenue to decline.</w:t>
      </w:r>
    </w:p>
    <w:p>
      <w:pPr>
        <w:spacing w:after="0" w:line="8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An important component of our direct marketing activities is focused on offering points to members of the loyalty programs associated with the Marriott, Ritz-Carlton, Sheraton, Westin and Hyatt brands. The agreements that we entered into with Marriott International and Hyatt that allow us to offer these points would also terminate upon termination of the license agreements with the applicable licensor, and we would not be able to offer such points to owners and potential owners, which would impair our ability to sell our products and would reduce the flexibility and options available in connection with our products.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the licensors who license their trademarks to us do not consent to the use of their trademarks at new resorts we acquire or develop in the future.</w:t>
      </w:r>
    </w:p>
    <w:p>
      <w:pPr>
        <w:spacing w:after="0" w:line="6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Under the terms of our license agreements with Marriott International and Hyatt, we must obtain the consent of the applicable licensor to use the applicable licensed trademarks in connection with resorts, residences or other accommodations that we acquire or develop in the future. If these licensors do not permit us to use their trademarks in connection with our development or acquisition plans, our ability to expand our business and remain competitive may be materially adversely affected. The requirement to obtain consent to expansion plans, or the need to identify and secure alternative expansion opportunities because we cannot obtain such consent, may delay implementation of our expansion plans and cause us to incur additional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648"/>
        <w:spacing w:after="0" w:line="375" w:lineRule="auto"/>
        <w:rPr>
          <w:sz w:val="20"/>
          <w:szCs w:val="20"/>
          <w:color w:val="auto"/>
        </w:rPr>
      </w:pPr>
      <w:r>
        <w:rPr>
          <w:rFonts w:ascii="Arial" w:cs="Arial" w:eastAsia="Arial" w:hAnsi="Arial"/>
          <w:sz w:val="15"/>
          <w:szCs w:val="15"/>
          <w:b w:val="1"/>
          <w:bCs w:val="1"/>
          <w:i w:val="1"/>
          <w:iCs w:val="1"/>
          <w:color w:val="auto"/>
        </w:rPr>
        <w:t>Our Vacation Ownership business depends on the quality and reputation of the brands associated with our portfolio, and any deterioration in the quality or reputation of these brands could adversely affect our market share, reputation, business, financial condition and results of operations.</w:t>
      </w:r>
    </w:p>
    <w:p>
      <w:pPr>
        <w:spacing w:after="0" w:line="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offer vacation ownership products and services under the Marriott, Sheraton, Westin, The Ritz-Carlton, and Hyatt brands. As a result, our success depends in part on the continued success of Marriott International and Hyatt and their respective brands. Consequently, if market recognition or the positive perception of Marriott International and/or Hyatt is reduced or compromised, the goodwill associated with these brands may be adversely affected, which may adversely affect our business, financial condition or results of operations. Additionally, the positioning and offerings of any of these brands and/or the related customer loyalty programs, could change in a manner that adversely affects our business.</w:t>
      </w:r>
    </w:p>
    <w:p>
      <w:pPr>
        <w:spacing w:after="0" w:line="1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If a branded hotel property with which one of our resorts is co-located ceases to be operated by and/or affiliated with the same brand as our resort or a related brand, our business could be harmed.</w:t>
      </w:r>
    </w:p>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Approximately a quarter of our Vacation Ownership segment resorts are co-located with same-branded hotel properties. If a branded hotel property with which one of our resorts is co-located ceases to be operated by or affiliated with the same brand as our resort,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would also lose our on-site access to hotel customers, including brand customer loyalty program members, at such resorts, which is a cost-effective marketing channel for our vacation ownership products, and our sales may decline.</w:t>
      </w:r>
    </w:p>
    <w:p>
      <w:pPr>
        <w:spacing w:after="0" w:line="16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b w:val="1"/>
          <w:bCs w:val="1"/>
          <w:i w:val="1"/>
          <w:iCs w:val="1"/>
          <w:color w:val="auto"/>
        </w:rPr>
        <w:t>Our Exchange &amp; Third-Party Management business depends on relationships with developers, members and other vacation property owners and any adverse changes in these relationships could adversely affect our business, financial condition and results of operations</w:t>
      </w:r>
      <w:r>
        <w:rPr>
          <w:rFonts w:ascii="Arial" w:cs="Arial" w:eastAsia="Arial" w:hAnsi="Arial"/>
          <w:sz w:val="17"/>
          <w:szCs w:val="17"/>
          <w:i w:val="1"/>
          <w:iCs w:val="1"/>
          <w:color w:val="auto"/>
        </w:rPr>
        <w:t>.</w:t>
      </w:r>
    </w:p>
    <w:p>
      <w:pPr>
        <w:spacing w:after="0" w:line="3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Interval International business is dependent upon vacation ownership developers for new members and upon members and participants to renew their existing memberships and otherwise engage in transactions. Developers and members also supply resort accommodations for use in exchanges and Getaways. Our vacation rental business is dependent upon vacation property and hotel owners for vacation properties to rent to vacationers. The Interval International network has established relationships with numerous developers pursuant to exclusive multi-year affiliation agreements and we believe that relationships with these entities are generally strong, but these historical relationships may not continue in the future. During each year, the affiliation agreements for several of the Interval International’s new member-producing developers are scheduled to renew. The non-renewal of an affiliation agreement will adversely affect our ability to secure new members for our programs from the non-renewing resort or developer, and will result in the loss of existing Interval International members (and their vacation interests) at the end of their current membership, and related revenue to the extent that we do not secure membership renewals directly from such members. For corporate member relationships, where the developer renews Interval International membership fees for all of its active owners, this has a greater effect.</w:t>
      </w:r>
    </w:p>
    <w:p>
      <w:pPr>
        <w:spacing w:after="0" w:line="70"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In addition, we may be unable to negotiate new affiliation agreements with resort developers or secure renewals with existing members in our Interval International network, and our failure to do so would result in decreases in the number of new and/or existing members, the supply of resort accommodations available through our exchange networks and related revenue. The loss or renegotiation on less favorable terms of several of our largest affiliation agreements could materially impact our financial condition and results of operations.</w:t>
      </w:r>
    </w:p>
    <w:p>
      <w:pPr>
        <w:spacing w:after="0" w:line="6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ability to maintain affiliation agreements with resort developers is also impacted by consolidation in the vacation ownership industry. If resort developers who have affiliation agreements choose not to renew at the end of the current term or may only continue on terms less favorable to us than the existing agreements. Consolidation can also lead to larger competitors with greater resources that compete with our vacation ownership business for customers, projects and talent.</w:t>
      </w:r>
    </w:p>
    <w:p>
      <w:pPr>
        <w:spacing w:after="0" w:line="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Similarly, the failure of our third party management businesses to maintain existing or negotiate new management agreements with hotel and vacation property owners or owners associations, as a result of the sale of property to third parties, contract dispute or otherwise, or the failure of vacationers to book vacation rentals through these businesses would result in a decrease in related revenue, which would have an adverse effect on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are not able to maintain relationships with third parties that support our marketing activities or our travel benefits, our business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10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Many of our marketing activities require us to maintain relationships with third parties. For example, we market to our licensors’ existing customer loyalty program members and travelers who are staying in locations where we have resorts. We also market to guests in Marriott International hotels that are located near one of our sales locations and have marketing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partnerships with North American Marriott International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depend on third parties to make certain benefits available to members of the Interval International network and we may not be able to provide these benefits to members if these third-parties won't make these benefits available. The loss of such benefits could result in a decrease in the number of Interval International members, which could materially adversely effect on our business,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success of our business and our profitability depend, in substantial part, upon the health of the worldwide vacation ownership, vacation rental and travel industries, and may be adversely affected by a number of factors that can disrupt or deter travel. A substantial amount of our sales activity occurs at our resorts, and sales volume is impacted by the number of prospective owners who visit our resorts. In the past, fear of exposure to contagious and other diseases, such as the Ebola virus, H1N1 Flu, Avian Flu, the Zika virus and Severe Acute Respiratory Syndrome, or natural or man-made disasters, such as earthquakes, tsunamis, hurricanes, floods, fires, volcanic eruptions, sinkholes, radiation releases, gas leaks and oil spills, has deterred travelers from scheduling sales tours at our resorts or caused them to cancel travel plans. This may occur again in the future, including, for example, due to fear of exposure to coronavirus. Damage to infrastructure, whether caused by natural or man-made disasters or other causes, that impedes travel also has caused, and may in the future cause travelers to delay or cancel plans to tour or visit our resorts.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airlift to vacation destinations decreases, or if general economic conditions decline. Changes in the desirability of the destinations where our branded, managed or exchange resorts are located and changes in vacation and travel patterns may adversely affect our cash flows, revenue and profits. For example, hurricanes in 2017 caused the Westin St. John Resort Villas; the Hyatt Residence Club Dorado, Hacienda del Mar and a number of other Interval International network resorts on affected islands to close for a prolonged period.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reservation channels may negatively affect our rental revenues.</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Some of our rental customers book their stays at our resorts through third-party internet travel intermediaries, such as expedia.com, orbitz.com and booking.com, as well as lesser-known and newly emerging online travel service providers. If the percentage of bookings through these intermediaries increases, they may be able to obtain higher commissions, reduced room rates or other significant contract concessions from us. Moreover, some of these internet travel intermediaries are attempting to commoditize lodging by increasing the importance of price and general indicators of quality (such as “three-star property”) at the expense of brand identification. These intermediaries also generally employ aggressive marketing strategies, including expending significant resources for online and television advertising campaigns to drive consumers to their websites. Additionally, consumers can book stays at our resorts through other distribution channels, including travel agents, travel membership associations and meeting procurement firms. Over time, consumers may develop loyalties to these third-party reservation systems rather than to our booking channels. Our business and profitability could be adversely affected if customer loyalties change significantly, diverting bookings away from our resorts.</w:t>
      </w:r>
    </w:p>
    <w:p>
      <w:pPr>
        <w:spacing w:after="0" w:line="18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r>
        <w:rPr>
          <w:rFonts w:ascii="Arial" w:cs="Arial" w:eastAsia="Arial" w:hAnsi="Arial"/>
          <w:sz w:val="18"/>
          <w:szCs w:val="18"/>
          <w:i w:val="1"/>
          <w:iCs w:val="1"/>
          <w:color w:val="auto"/>
        </w:rPr>
        <w:t>.</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including those specific to the vacation ownership industry, as well as those applicable to businesses generally. For example, the vacation ownership industry is subject to extensive regulations in various jurisdictions in the United States and elsewhere, which generally require vacation ownership resort developers to follow certain procedures in connection with the development, sale and marketing of vacation interests, including the filing of offering statements with relevant governmental authorities for approval and the delivery to prospective purchasers of certain information relating to the terms of the purchase and use, including rescission rights. The preparation of VOI registrations requires time and cost, and in many jurisdictions the exact date of registration approval cannot be accurately predicted. Separately,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Assets Control and the U.S. Foreign Corrupt Practices Act. Other laws, regulations and policies primarily affect our real estate development activities; marketing and sales activities; lending activities; or resort management activities. Additionally, our businesses are subject to laws and regulations associated with hotel and resort management,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including relating to the preparation and sale of food and beverages, liquor service and health, safety and accessibility of managed premises.</w:t>
      </w:r>
    </w:p>
    <w:p>
      <w:pPr>
        <w:spacing w:after="0" w:line="11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may not be successful in maintaining compliance with all laws, regulations and policies to which we are currently subject, and the cost of compliance with such laws, regulations and policies could be significant. While we believe that our operations and practices have been structured in a manner to materially comply with applicable laws, regulations and policies, the relevant regulatory authorities may take a contrary position. The laws, regulations and policies to which we are subject may change or be subject to different interpretation in the future, including in ways that could decrease demand for the services offered by our businesses, increase costs, subject us to additional liabilities and negatively impact our business, including by decreasing demand for the services offered by our businesses, increasing costs and/or subjecting us to additional liabilities.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Data protection laws, such as Europe’s 2016 General Data Protection Regulation (“GDPR”), which became effective on May 25, 2018, and California’s Consumer Protection Act, which became effective on January 2, 2020, impose additional data protection requirements and penalties for non-compliance including administrative fines. Failure to comply with applicable laws could also render sales contracts for our products void or voidable, subject us to fines or other sanctions and increase our exposure to litigation, including claims against us by individuals alleging our failure to comply with laws, regulations or policies to which we are subject. Adverse action by governmental authorities alleging our failure to comply with laws, regulations or policies, or litigation by individuals alleging such failures, could adversely affect our business, financial condition and reputation.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Negative public perception regarding our industry could have an adverse effect on our operations.</w:t>
      </w:r>
    </w:p>
    <w:p>
      <w:pPr>
        <w:spacing w:after="0" w:line="11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Negative public perception regarding our industry resulting from, among other things, consumer complaints regarding sales and marketing practices, consumer financing arrangements, and restrictions on exit, could result in increased regulatory scrutiny, which could result in more onerous laws, regulations, guidelines and enforcement interpretations in jurisdictions in which we operate. These actions may cause operational delays or restrictions, increased operating costs, additional regulatory burdens and increased risk of litigation. For example, the Australian Securities &amp; Investments Commission (“ASIC”), which regulates timeshare offerings as financial products, enacted regulations effective January 1, 2020 that place restrictions on sales commission-based compensation structures. ASIC has announced additional regulations on the timeshare industry to be effective later in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the effective tax rates of most U.S. corporations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corporation, we could be placed at a disadvantage to our non-U.S. competitors if those competitors remain subject to lower local tax rates.</w:t>
      </w:r>
    </w:p>
    <w:p>
      <w:pPr>
        <w:spacing w:after="0" w:line="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H.R. 1, originally known as the “Tax Cuts and Jobs Act,” which significantly reforms the Internal Revenue Code of 1986, as amended (the “Code”). The new legislation, among other things, includes changes to U.S. federal tax rates, imposes significant additional limitations on the deductibility of interest, allows for the expensing of capital expenditures, and shifts from a “worldwide” system of taxation in which U.S. companies are taxed on their global income to a territorial system in which U.S. companies are only taxed on income earned in the United States. During 2018, the Department of the Treasury issued certain guidance in the form of notices and proposed regulations with respect to several provisions of the new legislation. We expect that additional regulations or other guidance may be issued with respect to the Tax Cut and Jobs Act. We continue to examine the impact this tax reform legislation may have on our business. The impact of certain provisions of this tax reform on our financial condition and results of operations could be adverse and such impact could be material. In addition, foreign governments and U.S. state and local jurisdictions may enact tax laws in response to the Tax Cuts and Jobs Act that could result in further changes to global taxation and materially affect our financial position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October 2015, the Organization for Economic Co-Operation and Development (“OECD”) released a final package of suggested measures to be implemented by member nations in response to a 2013 action plan calling for a coordinated multi-jurisdictional approach to “base erosion and profit shifting” by multinational companies. Multiple member jurisdictions, including countries in which we operate, have begun implementing recommended changes such as country by country reporting. These standards require multinationals to disclose certain financial and economic indicators across geographies and are expected to result in increased global tax audit activity. Additional legislative changes are anticipated in upcoming years. Certain countries have adopted unilateral changes increasing the risk of double taxation. Any changes to U.S. or international tax laws or interpretation of current or existing law could impact the tax treatment of our earnings and adversely affect our profitability.</w:t>
      </w:r>
    </w:p>
    <w:p>
      <w:pPr>
        <w:spacing w:after="0" w:line="70"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are also subject to audit in various jurisdictions, and these jurisdictions may assess additional taxes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The final outcome of tax audits, investigations, and any related litigation could be materially different from our historical tax provisions and accruals.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rely on a variety of direct marketing techniques, including telemarketing, email marketing and postal mailings. Adoption of new laws in any of the jurisdictions in which we operate, domestically or internationally, regulating marketing and solicitation or data protection, or changes to existing laws, such as the Telemarketing Sales Rule, the CAN-SPAM Act and the GDPR,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VOIs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Selling VOIs in a system of resorts under a points-based business model increases the risk of temporary inventory depletion. Currently, our VOI sales are made primarily through a limited number of trust entities that issue VOIs. This structure can lead to a temporary depletion of inventory available for sale caused by: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decline in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VOIs.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and the continued financial viability of property owners’ associations, depends on maintenance fees paid by the owners of VOIs.</w:t>
      </w:r>
    </w:p>
    <w:p>
      <w:pPr>
        <w:spacing w:after="0" w:line="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maintenance fees that are levied on owners of our VOIs by property owners’ association boards are used to maintain and refurbish the vacation ownership properties. Property owners’ association boards may not levy sufficient maintenance fees, or owners of VOIs may fail to pay their maintenance fees for reasons such as financial hardship or because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damage to their VOIs from natural disasters such as hurricanes. Many of the third-party properties that we manage do not receive subsidies or resale services for foreclosed inventory from the developer. Once a property owners’ association begins to experience a high default rate, if it is unable to foreclose and resell units to paying owners, the situation worsens as the maintenance fees assessed to remaining owners continually increase to cover expenses. In these circumstances, not only could our management fee revenue be adversely affected, but the vacation ownership properties could fall into disrepair. If the property owners’ associations that we manage are unable to levy and collect sufficient maintenance fees to cover the costs to operate and maintain the resort properties, such properties may be forced to close or file for bankruptcy, which may result in termination of our management agreements.</w:t>
      </w:r>
    </w:p>
    <w:p>
      <w:pPr>
        <w:spacing w:after="0" w:line="5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branded resorts, the maintenance fees are used to keep the properties in compliance with applicable brand standards. If a resort fails to comply with applicable brand standards, the applicable licensor could terminate our rights under the applicable license agreement to use its trademarks at the non-compliant resort, which would result in the loss of management fees, decreased customer satisfaction and impairment of our ability to market and sell our products at the non-compliant locations.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maintenance fees at our resorts are required to be increased, our products could become less attractive and our business could be harmed.</w:t>
      </w:r>
    </w:p>
    <w:p>
      <w:pPr>
        <w:spacing w:after="0" w:line="1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maintenance fees that are levied on owners of our VOIs by property owners’ association boards are subject to increase as the costs to maintain and refurbish the vacation ownership properties and to keep the properties in compliance with brand standards increase. A similar situation may arise with respect to fees imposed on owners of VOIs with respect to new properties added to our portfolio. Increased maintenance fees could make our products less desirable, which could have a negative impact on sales of our products and could also cause an increase in defaults with respect to our vacation ownership notes receivable portfolio.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Disagreements with the owners of VOIs and property owners’ associations may result in litigation and the loss of management contracts.</w:t>
      </w:r>
    </w:p>
    <w:p>
      <w:pPr>
        <w:spacing w:after="0" w:line="14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nature of our relationships with our owners and our responsibilities in managing our vacation ownership properties will from time to time give rise to disagreements with the owners of VOIs and property owners’ associations. Owners of our VOIs have also disagreed, and may in the future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expiration, termination or renegotiation of our management contracts could adversely affect our cash flows, revenues and profits.</w:t>
      </w:r>
    </w:p>
    <w:p>
      <w:pPr>
        <w:spacing w:after="0" w:line="14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enter into a management agreement with the property owners’ association or other governing body at each of the resorts we manage and, when a trust holds interests in resorts, with the trust’s governing body.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we lose the management fee revenue associated with the resort. If a management agreement is terminated or not renewed on favorable terms, our cash flows, revenues and profits could be adversely affected.</w:t>
      </w:r>
    </w:p>
    <w:p>
      <w:pPr>
        <w:spacing w:after="0" w:line="17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Concentration of some of our resorts, sales centers and exchange destinations in particular geographic areas exposes our business to the effects of regional events and occurrences in these areas.</w:t>
      </w:r>
    </w:p>
    <w:p>
      <w:pPr>
        <w:spacing w:after="0" w:line="6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Some of our Vacation Ownership resorts and sales centers are concentrated in particular geographic areas, such as Florida, South Carolina, and Hawaii. Therefore, our business is susceptible to the effects of natural or manmade disasters in these areas, including earthquakes, windstorms, tornadoes, hurricanes, typhoons, tsunamis, volcanic eruptions, floods, drought, fires, oil spills and nuclear incidents. We have been required to close properties in these markets in the past in order to repair and renovate damage caused by disasters. Depending on the severity of disasters in the future, the resulting damage could require closure of all or substantially all of our properties in one or more of these markets for a period of time necessary to complete repairs and renovations. We cannot guarantee that the amount of insurance maintained for these properties would cover all damages caused by any such an event, including the loss of sales of VOIs at sales centers that are not fully operational.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 geographic markets in which we are concentrated. As a result of this geographic concentration of properties, we face a greater risk of a negative effect on our revenues in the event these areas are affected by extreme weather, manmade disasters or adverse economic and competitive conditions.</w:t>
      </w:r>
    </w:p>
    <w:p>
      <w:pPr>
        <w:spacing w:after="0" w:line="6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ongoing ability to successfully process exchange vacations for members, as well as our ability to find purchasers and vacationers for accommodations marketed or managed by us, is largely dependent on the continued desirability of the key vacation destinations in which these properties are concentrated. In addition, the same events that affect demand to one or more of these areas could significantly reduce the number of accommodations available for exchanges, Getaways or rental to vacationers, as well as the need for vacation rental and property management services generally. Any significant shift in travel demand for one or more of these key destinations or any adverse impact on transportation to them, including the factors described above, could have a material adverse effect on our business, financial condition and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possible risks associated with the physical effects of climate change.</w:t>
      </w:r>
    </w:p>
    <w:p>
      <w:pPr>
        <w:spacing w:after="0" w:line="11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are subject to risks associated with the physical effects of climate change, which could include more frequent or severe storms, droughts, hurricanes and flooding, any of which could have a material adverse effect on our resorts, operations, and business. To the extent climate change causes changes in weather patterns, our affiliated properties could experience increases in storm intensity and rising sea levels causing damage to our resorts. Over time, these conditions could result in declining demand for our products or our inability to operate the affected resorts at all. Climate change may also have indirect effects on our business by increasing the cost (or making unavailable) property insurance on terms we find acceptable, as well as increasing the cost of maintenance, renovations, energy, water, and snow removal at our properties. We cannot predict with certainty whether or how climate change will impact our resorts and at what rate, and therefore there can be no assurance that climate change will not have a material adverse effect on us.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VOIs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pursuit of new business opportunities to grow our business may not be successful.</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One of our strategic initiatives is to selectively pursue new business opportunities, such as the continued enhancement of our exchange programs, new management affiliations and acquisitions of existing vacation ownership and related businesses. In addition, in order to support our strategic objectives, we have introduced new products and services and we expect to continue to do so in the future.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products or services. Initial timetables for the introduction and development of new businesses, products or services may not be achieved and price and profitability targets may not prove feasible. External factors, such as compliance with regulations, competitive alternatives and shifting market preferences, may also impact the successful implementation of new businesses and the market acceptance of new products and services. Furthermore, any new business could strain our system of internal controls and diminish its effectiveness. Failure to successfully manage these risks in the development and implementation of new businesses or new products and services could have a material adverse effect on our business, results of operations and financial condition. Additionally, our results of operations from new products and services that we may wish to introduce could have different revenue recognition under GAAP than our strategic objectives.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are subject to certain requirements under applicable environmental laws and regulations and may be subject to potential liabilities.</w:t>
      </w:r>
    </w:p>
    <w:p>
      <w:pPr>
        <w:spacing w:after="0" w:line="14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resorts that we manage and the assets at vacation ownership resorts that are owned by us are all subject to certain requirements and potential liabilities under foreign, national, state, and local laws and regulations that govern the discharge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materials into the environment or otherwise relate to protection of the environment or health and safety. The costs of complying with these requirements are generally covered by the property owners’ associations that operate the affected resort property and are our responsibility for assets we own. To the extent that we hold interests in a particular resort, we would be responsible for their share of losses sustained by such resort as a result of a violation of any such environmental laws and regulations.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1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 We may not be able to locate suitable replacements for any key employees who leave our company, or offer employment to potential replacements on reasonable terms.</w:t>
      </w:r>
    </w:p>
    <w:p>
      <w:pPr>
        <w:spacing w:after="0" w:line="15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b w:val="1"/>
          <w:bCs w:val="1"/>
          <w:i w:val="1"/>
          <w:iCs w:val="1"/>
          <w:color w:val="auto"/>
        </w:rPr>
        <w:t>Goodwill, acquired mortgages receivable and other intangible and long-lived assets associated with businesses we acquire and/or VOI inventory may become impaired which could adversely affect our business, financial condition and results of operations.</w:t>
      </w:r>
    </w:p>
    <w:p>
      <w:pPr>
        <w:spacing w:after="0" w:line="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performance of the businesses that we have acquired or will acquire may not meet the financial projections anticipated at acquisition or may be impacted by one or more unfavorable events or circumstances. This could negatively affect the value of goodwill, acquired mortgages receivable and other intangible assets, as well as long-lived assets, and may require us to test the applicable reporting unit and/or asset for impairment. If following the test, we determine that we should record an impairment charge, our business, financial condition and results of operations may be adversely affected. Additionally, we carry our acquired VOI inventory at estimated fair value, less costs to sell. If the estimates or assumptions used in our evaluation of impairment or fair value change, we may be required to record impairment losses on certain of those assets, which could adversely affect our results of operations.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r>
        <w:rPr>
          <w:rFonts w:ascii="Arial" w:cs="Arial" w:eastAsia="Arial" w:hAnsi="Arial"/>
          <w:sz w:val="18"/>
          <w:szCs w:val="18"/>
          <w:i w:val="1"/>
          <w:iCs w:val="1"/>
          <w:color w:val="auto"/>
        </w:rPr>
        <w:t>.</w:t>
      </w:r>
    </w:p>
    <w:p>
      <w:pPr>
        <w:spacing w:after="0" w:line="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 and reputation.</w:t>
      </w:r>
    </w:p>
    <w:p>
      <w:pPr>
        <w:spacing w:after="0" w:line="11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Many factors influence our reputation and the value of our brands, including the perception held by our owners and prospective owners, business partners, other key stakeholders, and the communities in which we do business. Our business faces increasing scrutiny related to environmental, social, and governance activities and risk of damage to our reputation and the value of our brands if we or our licensors fail to act responsibly in a number of areas, such as diversity and inclusion, environmental stewardship and sustainability, supply chain management, workplace conduct, human rights, philanthropy and support for local communities. Any harm to our or our licensors’ reputation could impact employee engagement and retention and the willingness of customers and partners to do business with us, which could have a material adverse effect on our business, results of operations and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ownership of our common stock</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Our indebtedness may limit our ability to invest in the ongoing needs of our business. If we are unable to comply with the covenants in our Corporate Credit Facility and our indentures, our liquidity and results of operations could be harmed</w:t>
      </w:r>
      <w:r>
        <w:rPr>
          <w:rFonts w:ascii="Arial" w:cs="Arial" w:eastAsia="Arial" w:hAnsi="Arial"/>
          <w:sz w:val="18"/>
          <w:szCs w:val="18"/>
          <w:i w:val="1"/>
          <w:iCs w:val="1"/>
          <w:color w:val="auto"/>
        </w:rPr>
        <w:t>.</w:t>
      </w:r>
    </w:p>
    <w:p>
      <w:pPr>
        <w:spacing w:after="0" w:line="6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the completion of the ILG Acquisition, we significantly increased our level of indebtedness. As of December 31, 2019, we had approximately $2,267 million of total corporate indebtedness outstanding, including (i) $923 million of gross secured indebtedness under the Corporate Credit Facility, (ii) $750 million of 6.500% Senior Notes due 2026 (the “2026 Notes”), (iii) $350 million 4.750% Senior Notes due 2028 (the “2028 Notes”), and (iv) $230 million of 1.50% Convertible Notes due 2022 (the “Convertible Notes”). An additional $567 million was available for borrowing under the Revolving Corporate Credit Facility (reflecting $3 million of outstanding letters of credit) as of December 31, 2019.</w:t>
      </w:r>
    </w:p>
    <w:p>
      <w:pPr>
        <w:spacing w:after="0" w:line="6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agreement that governs the Corporate Credit Facility and the indentures that govern the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All of these covenants and restrictions limit how we conduct our business. In addition, we are required to maintain a specified leverage ratio under the terms of the Corporate Credit Facility.</w:t>
      </w:r>
    </w:p>
    <w:p>
      <w:pPr>
        <w:spacing w:after="0" w:line="5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Failure to comply with the restrictive covenants described above as well as others contained in our debt instruments from time to time could result in an event of default, which, if not cured or waived, could result in an acceleration of our obligations under the Corporate Credit Facility or the indentures. If our obligation to repay debt under the Corporate Credit Facility or the indentures were to be accelerated, we may not have sufficient cash to repay this debt, which would immediately and materially harm our business, results of operations and financial condition.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level of indebtedness could restrict our future operations and impact our ability to meet our payment obligations.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ability to make scheduled cash payments on and to refinance our indebtedness as well as to fund planned capital expenditures will depend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increased level of debt, together with the covenants included in the agreements governing such indebtedness, among other things:</w:t>
      </w:r>
    </w:p>
    <w:p>
      <w:pPr>
        <w:spacing w:after="0" w:line="12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requires us to dedicate a portion of our cash flow from operations to servicing and repayment of debt;</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reduces funds available for strategic initiatives and opportunities, dividends, share repurchases, working capital and other general corporate needs;</w:t>
      </w:r>
    </w:p>
    <w:p>
      <w:pPr>
        <w:spacing w:after="0" w:line="62"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our ability to incur certain kinds or amounts of additional indebtedness, which could restrict our flexibility to react to changes in our businesses, industries and economic conditions and increase borrowing costs;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creates competitive disadvantages relative to other companies with lower debt levels;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our vulnerability to the impact of adverse economic and industry conditions.</w:t>
      </w:r>
    </w:p>
    <w:p>
      <w:pPr>
        <w:spacing w:after="0" w:line="11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substantially more debt. This could exacerbate further the risks associated with our leverage</w:t>
      </w:r>
      <w:r>
        <w:rPr>
          <w:rFonts w:ascii="Arial" w:cs="Arial" w:eastAsia="Arial" w:hAnsi="Arial"/>
          <w:sz w:val="18"/>
          <w:szCs w:val="18"/>
          <w:i w:val="1"/>
          <w:iCs w:val="1"/>
          <w:color w:val="auto"/>
        </w:rPr>
        <w:t>.</w:t>
      </w:r>
    </w:p>
    <w:p>
      <w:pPr>
        <w:spacing w:after="0" w:line="11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and our subsidiaries may incur substantial additional indebtedness in the future, including secured indebtedness. As of December 31, 2019, we had approximately $4,158 million of total gross indebtedness outstanding. In the future, we could increase the amount available for borrowing under the Corporate Credit Facility by up to an amount equal to (i) the greater of $750 million and 100% of our Consolidated EBITDA (as defined in the Corporate Credit Facility) plus (ii) voluntary prepayments of loans and voluntary permanent commitment reductions under the Corporate Credit Facility and certain other reductions of debt plus (iii) additional amounts as long as the incurrence of such additional amounts would not exceed certain leverage ratios, in each case subject to securing additional commitments and certain other conditions.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indentures that govern our various senior notes and our credit agreement for the Corporate Credit Facility permit us to incur significant additional indebtedness. In addition, the indentures governing the senior notes allow us to issue additional notes under certain circumstances, which will also be guaranteed by the guarantors. Furthermore, such agreements and instruments will not prohibit us from incurring obligations that do not constitute indebtedness as defined therein. To the extent that we and our subsidiaries incur additional indebtedness or such other obligations, the risks associated with our substantial indebtedness described above, including our potential inability to service our debt, will increase. In addition, any indebtedness we incur, including indebtedness under the Revolving Corporate Credit Facility or the Warehouse Credit Facility, may adversely affect our ability to obtain additional financing. If we are unable to access these sources of funds on acceptable terms, our ability to acquire additional vacation ownership inventory, repurchase VOIs, or make other investments in our business could be impaired.</w:t>
      </w:r>
    </w:p>
    <w:p>
      <w:pPr>
        <w:spacing w:after="0" w:line="17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vacation ownership notes receivable portfolio performance and securitization program could be adversely affected if a particular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Our ability to sell securities backed by our vacation ownership notes receivable depends on the continued ability and willingness of capital market participants to invest in such securities. Volatility in the credit markets may impact the timing and volume of the vacation ownership notes receivable that we are able to securitize. ABS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Similarly, if other operators of vacation ownership products experience significant financial difficulties, or if the vacation ownership industry, as a whole, contracts, we could experience difficulty in securing funding on acceptable terms. The occurrence of any of the foregoing would decrease our profitability and liquidity, which might require us to adjust our business operations, including by reducing or suspending our provision of financing to purchasers of VOIs. Sales of VOIs may decline if we reduce or suspend the provision of financing to purchasers, which may adversely affect our cash flows, revenues and profits.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4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Although holders of the Convertible Notes are generally not permitted to convert the Convertible Notes until June 15, 2022, in the event the conditional conversion feature of the Convertible Notes is triggered due to the trading price of the Convertible Notes or our common stock, holders of the Convertible Notes will be entitled to convert the Convertible Notes at any time during specified periods at their option. See Footnote 14 “Debt,” to our Financial Statements for additional information. If one or more holders elect to convert their Convertible Notes, we may elect to settle all or a portion of our conversion obligation through the payment of cash, which could adversely affect our liquidity.</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may have a material effect on our reported financial results.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Accounting Standards Codification (“ASC”) Topic 470-20, Debt with Conversion and Other Options (“ASC 470-20”), an entity must separately account for the liability and equity components of certain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shareholders’ equity on our consolidated balance sheet, and the value of the equity component has been treated as original issue discount for purposes of accounting for the debt component 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the market price of our common stock and the trading price of the Convertible Notes.</w:t>
      </w:r>
    </w:p>
    <w:p>
      <w:pPr>
        <w:spacing w:after="0" w:line="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under certain circumstances, convertible debt instruments (such as the Convertible Notes) that may be settled entirely or partly in cash may be accounted for utilizing the treasury stock method if we have the ability and intent to settle in cash, the effect of which is that the shares issuable upon conversion of the Convertible Notes are not included in the calculation of diluted earnings per share except to the extent that the conversion value of the Convertible Notes exceeds their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principal amount. Under the treasury stock method, for diluted earnings per share purposes, the transaction is accounted for as if the number of shares of common stock that would be necessary to settle such excess, if we elected to settle such excess in shares, are issued. In order to continue to account for the Convertible Notes under the treasury stock method, we must be able to continue to demonstrate the ability or intent to settle the Convertible Notes in cash, and the accounting standards in the future must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Convertible Note Hedges and Warrants may affect the value of our common stock.</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Convertible Notes, we entered into privately negotiated convertible note hedges (the “Convertible Note Hedges”) with affiliates of two of the initial purchasers of the Convertible Notes. The Convertible Note Hedges cover, subject to customary anti-dilution adjustments substantially similar to those applicable to the Convertible Notes, the same number of shares of common stock that initially underlay the Convertible Notes. The Convertible Note Hedges are expected generally to reduce potential dilution to our common stock and/or offset cash payments we are required to make in excess of the principal amount, in each case, upon any conversion of Convertible Notes. Concurrently with our entry into the Convertible Note Hedges, we entered into warrant transactions (the “Warrants”) with the hedge counterparties relating to the same number of shares of common stock. The Warrants could separately have a dilutive effect on our shares of common stock to the extent that the market price per share exceeds the applicable strike price of the Warrants on one or more of the applicable expiration dates.</w:t>
      </w:r>
    </w:p>
    <w:p>
      <w:pPr>
        <w:spacing w:after="0" w:line="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concurrently with or shortly after the pricing of the Convertible Notes. The hedge counterparties and/or their respective affiliates may modify their hedge positions by entering into or unwinding various derivatives with respect to our common stock and/or purchasing or selling our common stock in the secondary market. The effect, if any, of these activities on the market price of our common stock or the Convertible Notes will depend in part on market conditions and cannot be ascertained at this time, but any of these activities could cause or prevent an increase or a decline in the market price of our common stock or the Convertible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Hedges.</w:t>
      </w:r>
    </w:p>
    <w:p>
      <w:pPr>
        <w:spacing w:after="0" w:line="11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counterparties to the Convertible Note Hedges are financial institutions, and we are subject to the risk that one or more of the hedge counterparties may default under the Convertible Note Hedges. Our exposure to the credit risk of the hedge counterparties is not secured by any collateral. If any of the hedge counterparties become subject to insolvency proceedings, we will become an unsecured creditor in those proceedings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adversely affected by changes in LIBOR reporting practices or the method by which LIBOR is determined.</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As of December 31, 2019, approximately $939 million of our gross aggregate consolidated indebtedness was indexed to the London Interbank Offered Rate (“LIBOR”). In addition, as of December 31, 2019, we were party to $550 million of derivative instruments indexed to LIBOR. Central banks around the world, including the Federal Reserve, have commissioned working groups of market participants and official sector representatives with the goal of finding suitable replacements for LIBOR based on observable market transactions. It is expected that a transition away from the widespread use</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LIBOR to alternative rates will occur over the course of the next few years. The U.K. Financial Conduct Authority, which regulates LIBOR, has announced that it has commitments from panel banks to continue to contribute to LIBOR through the end of 2021, but that it will not use its powers to compel contributions beyond such date. Accordingly, there is considerable uncertainty regarding the publication of such rates beyond 2021. The Federal Reserve Bank of New York and various other authorities have commenced the publication of reforms and actions relating to alternatives to U.S. dollar LIBOR. Although the full impact of such reforms and actions, together with any transition away from LIBOR, including the potential or actual discontinuance</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of LIBOR publication, remains unclear, these changes may have a material adverse impact on the availability of financing, including LIBOR-based loans, and on our financing costs.</w:t>
      </w:r>
    </w:p>
    <w:p>
      <w:pPr>
        <w:spacing w:after="0" w:line="18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shareholder value and could increase the volatility of the market price of our common stock and diminish our cash reserves.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shareholder value because the market price of our common stock may decline below the prices at which we repurchased shares of stock and short-term stock price fluctuations could reduce the program’s effectiveness.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intend to pay a regular quarterly dividend to our shareholders. However, we may not declare or pay such dividends in the future at any particular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Corporate Credit Facility and the indentures governing the 2026 Notes and the 2028 Notes contain restrictions on our ability and/ or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19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certain agreements to which we are party could delay or prevent a change in control.</w:t>
      </w:r>
    </w:p>
    <w:p>
      <w:pPr>
        <w:spacing w:after="0" w:line="62"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These provisions may also discourage acquisition proposals or delay or prevent a change in control, which could harm our stock price. Delaware law also imposes some restrictions on mergers and other business combinations between any holder of 15 percent or more of our outstanding common stock and us.</w:t>
      </w:r>
    </w:p>
    <w:p>
      <w:pPr>
        <w:spacing w:after="0" w:line="6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In addition, provisions in our agreements with Marriott International may delay or prevent a merger or acquisition that a shareholder may consider favorable. Further, our license agreements with Marriott International and Hyatt include terms that may delay or prevent a change in control.</w:t>
      </w:r>
    </w:p>
    <w:p>
      <w:pPr>
        <w:spacing w:after="0" w:line="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Further, a change in control could result in an acceleration of our obligations under the Corporate Credit Facility or the indentures that govern our senior notes. The threat of our debt being accelerated in connection with a change in control could make it more difficult for us to attract potential buyers or to consummate a change in control transaction that would otherwise be beneficial to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Vistana Spin-Off</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ILG Acquisition could result in material liability if it causes the Vistana Spin-Off to be taxable</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order to preserve the tax-free treatment of the spin-off of Vistana in 2016 to Starwood and its shareholders in connection with its acquisition by ILG (the “Vistana Spin-Off”), the Tax Matters Agreement entered into in connection with the Vistana Spin-Off (the “Tax Matters Agreement”) generally restricts ILG and Vistana from taking or failing to take any action that would cause the Vistana Spin-Off to become taxable. Failure to adhere to these restrictions, including in certain circumstances that may be outside of our control, could result in tax being imposed on Starwood or on Starwood shareholders for which we could bear responsibility and for which we could be obligated to indemnify Starwood. In addition, even if we are not responsible for tax liabilities of Starwood under the Tax Matters Agreement, Vistana nonetheless could be liable under applicable tax law for such liabilities if Starwood were to fail to pay such taxes. In particular, under the Tax Matters Agreement, for the two-year period following the Vistana Spin-Off, Vistana and ILG were prohibited from:</w:t>
      </w:r>
    </w:p>
    <w:p>
      <w:pPr>
        <w:spacing w:after="0" w:line="84" w:lineRule="exact"/>
        <w:rPr>
          <w:sz w:val="20"/>
          <w:szCs w:val="20"/>
          <w:color w:val="auto"/>
        </w:rPr>
      </w:pPr>
    </w:p>
    <w:p>
      <w:pPr>
        <w:ind w:left="980" w:right="3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into any transaction or series of transactions (or any agreement, understanding or arrangement to enter into a transaction or series of transactions) as a result of which one or more persons would (directly or indirectly)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color w:val="auto"/>
        </w:rPr>
        <w:t>acquire, or have the right to acquire a number of shares of Vistana or ILG stock that would, when combined with any other direct or indirect changes in ownership of Vistana or ILG stock pertinent for purposes of Section 355(e) of the Code (including the Vistana acquisition), comprise 50% or more (by vote or value) of the stock of Vistana or ILG;</w:t>
      </w:r>
    </w:p>
    <w:p>
      <w:pPr>
        <w:spacing w:after="0" w:line="73" w:lineRule="exact"/>
        <w:rPr>
          <w:sz w:val="20"/>
          <w:szCs w:val="20"/>
          <w:color w:val="auto"/>
        </w:rPr>
      </w:pPr>
    </w:p>
    <w:p>
      <w:pPr>
        <w:ind w:left="980" w:right="6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selling, transferring or otherwise disposing of assets (or agreeing to sell, transfer or otherwise dispose of assets) that, in the aggregate, constitute more than 25% of the consolidated gross assets, valued as of the distribution date of the Vistana Spin-Off, of Vistana or collectively of Vistana and its subsidiaries that were its subsidiaries immediately after the effective time of the Vistana acquisition; and</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merging or consolidating, with any other person (other than pursuant to the Vistana acquisition).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restrictions relate to the fact that even if the Vistana Spin-Off were otherwise to qualify as a tax free reorganization under Sections 368(a)(1)</w:t>
      </w:r>
    </w:p>
    <w:p>
      <w:pPr>
        <w:spacing w:after="0" w:line="46" w:lineRule="exact"/>
        <w:rPr>
          <w:sz w:val="20"/>
          <w:szCs w:val="20"/>
          <w:color w:val="auto"/>
        </w:rPr>
      </w:pPr>
    </w:p>
    <w:p>
      <w:pPr>
        <w:ind w:firstLine="8"/>
        <w:spacing w:after="0" w:line="268" w:lineRule="auto"/>
        <w:tabs>
          <w:tab w:leader="none" w:pos="2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and 355 of the Code, the Vistana Spin-Off would be taxable to Starwood (but not to Starwood shareholders) pursuant to Section 355(e) of the Code if there is a 50% or greater change in ownership of Vistana, directly or indirectly, as part of a plan or series of related transactions that includes the Vistana Spin-Off. For this purpose, any direct or indirect acquisitions of Vistana stock within the period beginning two years before the Vistana Spin-Off and ending two years after the Vistana Spin-Off are presumed to be part of such a plan, although Starwood may, depending on the facts and circumstances, be able to rebut that presumption. The Vistana acquisition was not expected to violate this rule because Starwood shareholders held more than 50% by vote and value of the stock of ILG (and, thus, indirectly, of Vistana) immediately following the Vistana acquisition. However, the ILG Acquisition resulted in further dilution of indirect ownership of Vistana by its former shareholders below 50%, and the IRS might assert that the ILG Acquisition is part of a plan or series of related transactions that includes the Vistana Spin-Off and the Vistana Acquisition. If such assertion were sustained, the Vistana Spin-Off would be subject to the application of Section 355(e) of the Code, and we would be liable to indemnify Starwood (or Marriott International) for any resulting tax liability pursuant to the Tax Matters Agreement.</w:t>
      </w:r>
    </w:p>
    <w:p>
      <w:pPr>
        <w:spacing w:after="0" w:line="180"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b w:val="1"/>
          <w:bCs w:val="1"/>
          <w:i w:val="1"/>
          <w:iCs w:val="1"/>
          <w:color w:val="auto"/>
        </w:rPr>
        <w:t>In addition, if the Vistana Spin-Off is determined to be taxable, in certain circumstances both Starwood and its shareholders could incur significant tax liabilities, and we would be obligated to indemnify Starwood (or Marriott International) for any resulting tax liability.</w:t>
      </w:r>
    </w:p>
    <w:p>
      <w:pPr>
        <w:spacing w:after="0" w:line="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Tax Matters Agreement permits Vistana to take an otherwise prohibited action described above if Vistana provides Starwood with a tax opinion or Starwood receives a ruling from the IRS that, in each case, is reasonably satisfactory to Starwood to the effect that such action will not affect the tax-free status of the Vistana Spin-Off (or Starwood waives the requirement to obtain such an opinion or ruling). Prior to the signing of the merger agreement with ILG, Starwood agreed in writing to waive those provisions of the Tax Matters Agreement that relate to the signing of the merger agreement and in connection with the consummation of the ILG Acquisition. Such waiver will not relieve us of our obligation to indemnify Starwood (or Marriott International) if the ILG Acquisition causes the Vistana Spin-Off to be taxable.</w:t>
      </w:r>
    </w:p>
    <w:p>
      <w:pPr>
        <w:spacing w:after="0" w:line="8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received an opinion from our tax advisor, KPMG LLP, to the effect that entering into the ILG Acquisition will not affect the tax-free status of the Vistana Spin-Off. Such opinion is not binding on the IRS or any court, and the IRS may assert that the ILG Acquisition caused the Vistana Spin-Off to violate Section 355(e) of the Code and such assertion may ultimately be sustained by any court.</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20" w:firstLine="662"/>
        <w:spacing w:after="0" w:line="279" w:lineRule="auto"/>
        <w:rPr>
          <w:sz w:val="20"/>
          <w:szCs w:val="20"/>
          <w:color w:val="auto"/>
        </w:rPr>
      </w:pPr>
      <w:r>
        <w:rPr>
          <w:rFonts w:ascii="Arial" w:cs="Arial" w:eastAsia="Arial" w:hAnsi="Arial"/>
          <w:sz w:val="17"/>
          <w:szCs w:val="17"/>
          <w:color w:val="auto"/>
        </w:rPr>
        <w:t>As of December 31, 2019, our vacation ownership portfolio consisted of over 100 properties in the United States and twelve other countries and territories. These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63" w:lineRule="exact"/>
        <w:rPr>
          <w:sz w:val="20"/>
          <w:szCs w:val="20"/>
          <w:color w:val="auto"/>
        </w:rPr>
      </w:pPr>
    </w:p>
    <w:p>
      <w:pPr>
        <w:jc w:val="both"/>
        <w:ind w:right="40" w:firstLine="662"/>
        <w:spacing w:after="0" w:line="264" w:lineRule="auto"/>
        <w:rPr>
          <w:sz w:val="20"/>
          <w:szCs w:val="20"/>
          <w:color w:val="auto"/>
        </w:rPr>
      </w:pPr>
      <w:r>
        <w:rPr>
          <w:rFonts w:ascii="Arial" w:cs="Arial" w:eastAsia="Arial" w:hAnsi="Arial"/>
          <w:sz w:val="18"/>
          <w:szCs w:val="18"/>
          <w:color w:val="auto"/>
        </w:rPr>
        <w:t>In addition, we own or lease our regional offices and sales centers, both in the United States and internationally. We lease our corporate headquarters in Orlando, Florida under leases that begin to expire in 2021. In January 2020, we entered into a lease agreement for our new global headquarters in Orlando. The new office building will be developed by a third-party and is expected to be completed in 2021.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under “Loss Contingencies”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4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and Dividends</w:t>
      </w:r>
    </w:p>
    <w:p>
      <w:pPr>
        <w:ind w:right="260" w:firstLine="662"/>
        <w:spacing w:after="0" w:line="272" w:lineRule="auto"/>
        <w:rPr>
          <w:sz w:val="20"/>
          <w:szCs w:val="20"/>
          <w:color w:val="auto"/>
        </w:rPr>
      </w:pPr>
      <w:r>
        <w:rPr>
          <w:rFonts w:ascii="Arial" w:cs="Arial" w:eastAsia="Arial" w:hAnsi="Arial"/>
          <w:sz w:val="17"/>
          <w:szCs w:val="17"/>
          <w:color w:val="auto"/>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4, 2020, there were 26,790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 Be</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Price</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1"/>
              </w:rPr>
              <w:t>Part of Publicly Announced</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17"/>
                <w:szCs w:val="17"/>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Programs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 October 31, 2019</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450,718</w:t>
            </w:r>
          </w:p>
        </w:tc>
        <w:tc>
          <w:tcPr>
            <w:tcW w:w="14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$106.31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450,718</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3,308,186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November 1, 2019 – November 30, 2019</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339,674</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$119.24</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339,674</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2,968,512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 December 31, 2019</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273,609</w:t>
            </w:r>
          </w:p>
        </w:tc>
        <w:tc>
          <w:tcPr>
            <w:tcW w:w="14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$125.90</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273,609</w:t>
            </w:r>
          </w:p>
        </w:tc>
        <w:tc>
          <w:tcPr>
            <w:tcW w:w="2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2,694,903</w:t>
            </w:r>
          </w:p>
        </w:tc>
        <w:tc>
          <w:tcPr>
            <w:tcW w:w="0" w:type="dxa"/>
            <w:vAlign w:val="bottom"/>
          </w:tcPr>
          <w:p>
            <w:pPr>
              <w:spacing w:after="0"/>
              <w:rPr>
                <w:sz w:val="1"/>
                <w:szCs w:val="1"/>
                <w:color w:val="auto"/>
              </w:rPr>
            </w:pPr>
          </w:p>
        </w:tc>
      </w:tr>
      <w:tr>
        <w:trPr>
          <w:trHeight w:val="25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1,064,001</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$115.48</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1,064,001</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2,694,903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vMerge w:val="restart"/>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line="232"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On July 30, 2019, our Board of Directors authorized the extension of the duration of our existing share repurchase program to December 31, 2020, as well as the repurchase of up to 4.5 million additional shares of our common stock. As of December 31, 2019, our Board of Directors had authorized the repurchase of an aggregate of up to 19.4 million shares of our common stock under the share repurchase program since the initiation of the program in October 2013.</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85725</wp:posOffset>
            </wp:positionV>
            <wp:extent cx="5257165"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above graph compares the relative performance of our common stock, the S&amp;P MidCap 400 Index (which has included our common stock since the acquisition of ILG), and the S&amp;P Composite 1500 Hotels, Resorts &amp; Cruise Lines Index. The graph assumes that $100 was invested in our common stock and each index on January 2, 2015. The stock price performance reflected above is not necessarily indicative of future stock price performance. The foregoing performance graph is being furnished as part of this Annual Report solely in accordance with the requirement under Rule 14a-3(b)(9) to furnish our shareholders with such information, and therefore, shall not be deemed to be filed or incorporated by reference into any filings by the Company under the Securities Act of 1933, as amended, or the Exchange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The following table presents a summary of our selected historical consolidated financial data for the periods indicated below. Because this information is only a summary and does not provide all of the information contained in our Financial Statements, including the related notes, it should be read in conjunction with “Item 7—Management’s Discussion and Analysis of Financial Condition and Results of Operations,” and our Financial Statements for each year for more detailed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Fiscal Years</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 and member statistics)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2015</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 net of 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Basic earnings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w w:val="97"/>
              </w:rPr>
              <w:t>Diluted earnings per share attributable to common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9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Securitized debt,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Debt, net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Mandatorily redeemable preferred stock of consolidated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subsidiary,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MVW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Statistics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Vacation Ownership</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2"/>
        </w:trPr>
        <w:tc>
          <w:tcPr>
            <w:tcW w:w="5260" w:type="dxa"/>
            <w:vAlign w:val="bottom"/>
          </w:tcPr>
          <w:p>
            <w:pPr>
              <w:ind w:left="500"/>
              <w:spacing w:after="0"/>
              <w:rPr>
                <w:sz w:val="20"/>
                <w:szCs w:val="20"/>
                <w:color w:val="auto"/>
              </w:rPr>
            </w:pPr>
            <w:r>
              <w:rPr>
                <w:rFonts w:ascii="Arial" w:cs="Arial" w:eastAsia="Arial" w:hAnsi="Arial"/>
                <w:sz w:val="18"/>
                <w:szCs w:val="18"/>
                <w:color w:val="auto"/>
              </w:rPr>
              <w:t>Total contract sales</w:t>
            </w:r>
            <w:r>
              <w:rPr>
                <w:rFonts w:ascii="Arial" w:cs="Arial" w:eastAsia="Arial" w:hAnsi="Arial"/>
                <w:sz w:val="18"/>
                <w:szCs w:val="18"/>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2"/>
                <w:szCs w:val="22"/>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8"/>
        </w:trPr>
        <w:tc>
          <w:tcPr>
            <w:tcW w:w="5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Consolidated contract sales</w:t>
            </w:r>
            <w:r>
              <w:rPr>
                <w:rFonts w:ascii="Arial" w:cs="Arial" w:eastAsia="Arial" w:hAnsi="Arial"/>
                <w:sz w:val="18"/>
                <w:szCs w:val="18"/>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Exchange &amp; Third-Party Management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active members at end of period (000's)</w:t>
            </w:r>
            <w:r>
              <w:rPr>
                <w:rFonts w:ascii="Arial" w:cs="Arial" w:eastAsia="Arial" w:hAnsi="Arial"/>
                <w:sz w:val="18"/>
                <w:szCs w:val="18"/>
                <w:color w:val="auto"/>
                <w:vertAlign w:val="superscript"/>
              </w:rPr>
              <w:t>(4)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4"/>
        </w:trPr>
        <w:tc>
          <w:tcPr>
            <w:tcW w:w="5260" w:type="dxa"/>
            <w:vAlign w:val="bottom"/>
          </w:tcPr>
          <w:p>
            <w:pPr>
              <w:ind w:left="50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2"/>
                <w:szCs w:val="22"/>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2"/>
        </w:trPr>
        <w:tc>
          <w:tcPr>
            <w:tcW w:w="52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 2017, we changed our financial reporting cycle to a calendar year-end reporting cycle. All fiscal years presented before 2017 included 52 weeks.</w:t>
      </w:r>
    </w:p>
    <w:p>
      <w:pPr>
        <w:spacing w:after="0" w:line="55" w:lineRule="exact"/>
        <w:rPr>
          <w:rFonts w:ascii="Arial" w:cs="Arial" w:eastAsia="Arial" w:hAnsi="Arial"/>
          <w:sz w:val="22"/>
          <w:szCs w:val="22"/>
          <w:color w:val="auto"/>
          <w:vertAlign w:val="superscript"/>
        </w:rPr>
      </w:pPr>
    </w:p>
    <w:p>
      <w:pPr>
        <w:ind w:left="660" w:right="240" w:hanging="652"/>
        <w:spacing w:after="0" w:line="208"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Data presented herein has been reclassified to conform to our 2019 financial statement presentation. See Footnote 1 “Basis of Presentation” to our Financial Statements for further information on these reclassifications.</w:t>
      </w:r>
    </w:p>
    <w:p>
      <w:pPr>
        <w:spacing w:after="0" w:line="41" w:lineRule="exact"/>
        <w:rPr>
          <w:rFonts w:ascii="Arial" w:cs="Arial" w:eastAsia="Arial" w:hAnsi="Arial"/>
          <w:sz w:val="25"/>
          <w:szCs w:val="25"/>
          <w:color w:val="auto"/>
          <w:vertAlign w:val="superscript"/>
        </w:rPr>
      </w:pPr>
    </w:p>
    <w:p>
      <w:pPr>
        <w:ind w:left="660" w:hanging="652"/>
        <w:spacing w:after="0" w:line="275"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Contract sales consist of the total amount of vacation ownership product sales under contract signed during the period where we have received a down payment of typically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in our income statements due to the requirements for revenue recognition described in Footnote 2 “Summary of Significant Accounting Policies” to our Financial Statements. We consider contract sales to be an important operating measure because it reflects the pace of sales in our business. Consolidated contract sales excludes contract sales from the sale of vacation ownership products for non-consolidated joint ventures.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Total active members represents the number of Interval International network active members at the end of the applicable period.</w:t>
      </w:r>
    </w:p>
    <w:p>
      <w:pPr>
        <w:spacing w:after="0" w:line="55"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Only includes members of the Interval International exchange network.</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662"/>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5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73"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i w:val="1"/>
          <w:iCs w:val="1"/>
          <w:color w:val="auto"/>
        </w:rPr>
        <w:t>Our discussion and analysis of fiscal year 2019 to fiscal year 2018 is included herein. Our discussion and analysis of fiscal year 2018 to fiscal year 2017 has been omitted from this Form 10-K and can be found in Part II, “Item 7. Management’s Discussion and Analysis of Financial Condition and Results of Operations” of our Annual Report on Form 10-K for the fiscal year ended December 31, 2018, which was filed with the Securities and Exchange Commission on March 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1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September 1, 2018, we completed the ILG Acquisition for approximately $4.2 billion in aggregate consideration. See additional details on the ILG Acquisition in Footnote 3 “Acquisitions and Dispositions” to our Financial Statements.</w:t>
      </w:r>
    </w:p>
    <w:p>
      <w:pPr>
        <w:spacing w:after="0" w:line="6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 Activity</w:t>
      </w:r>
    </w:p>
    <w:p>
      <w:pPr>
        <w:spacing w:after="0" w:line="11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2017, over 20 Legacy-MVW properties and two Legacy-ILG properties were negatively impacted by one or both of Hurricane Irma and Hurricane Maria (collectively, the “2017 Hurricanes”). All of the Legacy-MVW properties reopened prior to the end of 2018. The Legacy-ILG property in St. John partially reopened in the first quarter of 2019 and the Legacy-ILG resort in Puerto Rico is expected to open in 2020.</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received $29 million and $9 million of net insurance proceeds in 2018 and 2019, respectively, related to the settlement of Legacy-MVW business interruption insurance claims arising from the 2017 Hurricanes. We have submitted most of the insurance claims for our Legacy-ILG business interruption losses as well as Legacy-MVW and Legacy-ILG property damage experienced by both us and associated property owners’ associations from these 2017 Hurricanes. In 2018, we received an initial $25 million advance of insurance proceeds related to the business interruption losses at the Legacy-ILG St. John property and we received the final payment of $38 million in 2019. In 2019, we received $7 million of insurance proceeds related to the business interruption losses at the other Legacy-ILG properties and also received advances of $108 million of insurance proceeds related to the Legacy-ILG property damage experienced by the related property owners’ associations. Repairs are underway at the Legacy-ILG resort in Puerto Rico and the related insurance claim is expected to be submitted in 2020 upon the completion of construction. However, we cannot quantify the extent of any additional payments under such claims at this time as the claims would not be higher than our deductible.</w:t>
      </w:r>
    </w:p>
    <w:p>
      <w:pPr>
        <w:spacing w:after="0" w:line="7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During the third quarter of 2018, our Legacy-MVW properties in South Carolina and Florida were negatively impacted by Hurricane Florence and Hurricane Michael, respectively (collectively, the “2018 Hurricanes”). We expect to submit insurance claims for our business interruption losses as well as property damage experienced by both us and associated property owners’ associations from these 2018 Hurricanes. However, we cannot quantify the extent of any payments under such claims at this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During the third quarter of 2019, several properties in our Vacation Ownership segment were negatively impacted by Hurricane Dorian. The physical damage resulting from the hurricane to the resorts and sales centers operated by the Company was minimal. We do not expect to submit insurance claims for our business interruption losses, or for property damage experienced by us or associated property owners’ associations, from this hurricane.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recognize revenues from the sale of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As a result of the revenue recognition requirements included in Accounting Standards Codification (“ASC”)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(“ASC 606”), there may be timing differences between the date of the contract with the customer and when revenue is recognized.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comparing results year-over-year, this timing difference may generate significant variances, which we refer to as the impact of revenue reportability.</w:t>
      </w:r>
    </w:p>
    <w:p>
      <w:pPr>
        <w:spacing w:after="0" w:line="3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received a down payment of typically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3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Arial" w:cs="Arial" w:eastAsia="Arial" w:hAnsi="Arial"/>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743</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approximately ten years. Included within our vacation ownership notes receivable are originated vacation ownership notes receivable and vacation ownership notes receivable acquired in connection with the ILG Acquisition.</w:t>
      </w:r>
    </w:p>
    <w:p>
      <w:pPr>
        <w:spacing w:after="0" w:line="3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Acquired vacation ownership notes receivable are accounted for using the expected cash flow method of recognizing discount accretion based on the expected cash flows. At acquisition, we recorded these vacation ownership notes receivable at a preliminary estimate of fair value, including a credit discount which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6 “Vacation Ownership Notes Receivable” to our Financial Statements for further information regarding the accounting for acquired vacation ownership notes receivable.</w:t>
      </w:r>
    </w:p>
    <w:p>
      <w:pPr>
        <w:spacing w:after="0" w:line="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63 percent in 2019 and 62 percent in 2018. We expect to continue to offer financing incentive programs in 2019 and that interest income will continue to increase as new originations of vacation ownership notes receivable outpace the decline in principal of existing vacation ownership notes receivable.</w:t>
      </w:r>
    </w:p>
    <w:p>
      <w:pPr>
        <w:spacing w:after="0" w:line="5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500"/>
              <w:spacing w:after="0"/>
              <w:rPr>
                <w:sz w:val="20"/>
                <w:szCs w:val="20"/>
                <w:color w:val="auto"/>
              </w:rPr>
            </w:pPr>
            <w:r>
              <w:rPr>
                <w:rFonts w:ascii="Arial" w:cs="Arial" w:eastAsia="Arial" w:hAnsi="Arial"/>
                <w:sz w:val="16"/>
                <w:szCs w:val="16"/>
                <w:b w:val="1"/>
                <w:bCs w:val="1"/>
                <w:color w:val="auto"/>
              </w:rPr>
              <w:t>Fiscal Years</w:t>
            </w:r>
          </w:p>
        </w:tc>
        <w:tc>
          <w:tcPr>
            <w:tcW w:w="182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8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20" w:type="dxa"/>
            <w:vAlign w:val="bottom"/>
          </w:tcPr>
          <w:p>
            <w:pPr>
              <w:jc w:val="right"/>
              <w:ind w:right="65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2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r>
      <w:tr>
        <w:trPr>
          <w:trHeight w:val="33"/>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3.6%</w:t>
            </w:r>
          </w:p>
        </w:tc>
      </w:tr>
      <w:tr>
        <w:trPr>
          <w:trHeight w:val="27"/>
        </w:trPr>
        <w:tc>
          <w:tcPr>
            <w:tcW w:w="57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the Explorer Collection.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7"/>
          <w:szCs w:val="17"/>
          <w:i w:val="1"/>
          <w:iCs w:val="1"/>
          <w:color w:val="auto"/>
        </w:rPr>
        <w:t>Real Estate -</w:t>
      </w:r>
      <w:r>
        <w:rPr>
          <w:rFonts w:ascii="Arial" w:cs="Arial" w:eastAsia="Arial" w:hAnsi="Arial"/>
          <w:sz w:val="17"/>
          <w:szCs w:val="17"/>
          <w:color w:val="auto"/>
        </w:rPr>
        <w:t xml:space="preserve"> </w:t>
      </w:r>
      <w:r>
        <w:rPr>
          <w:rFonts w:ascii="Arial" w:cs="Arial" w:eastAsia="Arial" w:hAnsi="Arial"/>
          <w:sz w:val="17"/>
          <w:szCs w:val="17"/>
          <w:i w:val="1"/>
          <w:iCs w:val="1"/>
          <w:color w:val="auto"/>
        </w:rPr>
        <w:t>Time-Sharing Activities</w:t>
      </w:r>
      <w:r>
        <w:rPr>
          <w:rFonts w:ascii="Arial" w:cs="Arial" w:eastAsia="Arial" w:hAnsi="Arial"/>
          <w:sz w:val="17"/>
          <w:szCs w:val="17"/>
          <w:color w:val="auto"/>
        </w:rPr>
        <w:t>” (“ASC 978”). The rental activity associated with discounted vacation packages requiring a tour (“preview stays”) is not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rental metrics, and because the majority of these preview stays are sourced directly or indirectly from unsold inventory, the associated revenues and expenses are reported net in Marketing and sales expense.</w:t>
      </w:r>
    </w:p>
    <w:p>
      <w:pPr>
        <w:spacing w:after="0" w:line="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620" w:hanging="315"/>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Consolidated contract sales exclude contracts sales from the sale of vacation ownership products for joint ventures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980" w:right="60" w:hanging="324"/>
        <w:spacing w:after="0" w:line="30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46"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active members, which is the number of Interval International network active members at the end of the applicable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2017</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37"/>
        </w:trPr>
        <w:tc>
          <w:tcPr>
            <w:tcW w:w="55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1,937</w:t>
            </w: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5"/>
        </w:trPr>
        <w:tc>
          <w:tcPr>
            <w:tcW w:w="5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 NONCONTROLLING</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41"/>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INTERESTS</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5520" w:type="dxa"/>
            <w:vAlign w:val="bottom"/>
          </w:tcPr>
          <w:p>
            <w:pPr>
              <w:spacing w:after="0"/>
              <w:rPr>
                <w:sz w:val="24"/>
                <w:szCs w:val="2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2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Pr>
          <w:p>
            <w:pPr>
              <w:spacing w:after="0"/>
              <w:rPr>
                <w:sz w:val="20"/>
                <w:szCs w:val="20"/>
                <w:color w:val="auto"/>
              </w:rPr>
            </w:pPr>
          </w:p>
        </w:tc>
        <w:tc>
          <w:tcPr>
            <w:tcW w:w="760" w:type="dxa"/>
            <w:vAlign w:val="bottom"/>
          </w:tcPr>
          <w:p>
            <w:pPr>
              <w:jc w:val="right"/>
              <w:ind w:right="113"/>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50</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76</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7"/>
        </w:trPr>
        <w:tc>
          <w:tcPr>
            <w:tcW w:w="25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Consolidated contract sales $</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50</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76</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r>
      <w:tr>
        <w:trPr>
          <w:trHeight w:val="225"/>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Management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active members at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period (000's)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9"/>
        </w:trPr>
        <w:tc>
          <w:tcPr>
            <w:tcW w:w="2300" w:type="dxa"/>
            <w:vAlign w:val="bottom"/>
          </w:tcPr>
          <w:p>
            <w:pPr>
              <w:ind w:left="280"/>
              <w:spacing w:after="0"/>
              <w:rPr>
                <w:sz w:val="20"/>
                <w:szCs w:val="20"/>
                <w:color w:val="auto"/>
              </w:rPr>
            </w:pPr>
            <w:r>
              <w:rPr>
                <w:rFonts w:ascii="Arial" w:cs="Arial" w:eastAsia="Arial" w:hAnsi="Arial"/>
                <w:sz w:val="18"/>
                <w:szCs w:val="18"/>
                <w:color w:val="auto"/>
              </w:rPr>
              <w:t>Average revenue per</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2"/>
        </w:trPr>
        <w:tc>
          <w:tcPr>
            <w:tcW w:w="2300" w:type="dxa"/>
            <w:vAlign w:val="bottom"/>
          </w:tcPr>
          <w:p>
            <w:pPr>
              <w:ind w:left="280"/>
              <w:spacing w:after="0"/>
              <w:rPr>
                <w:sz w:val="20"/>
                <w:szCs w:val="20"/>
                <w:color w:val="auto"/>
              </w:rPr>
            </w:pPr>
            <w:r>
              <w:rPr>
                <w:rFonts w:ascii="Arial" w:cs="Arial" w:eastAsia="Arial" w:hAnsi="Arial"/>
                <w:sz w:val="18"/>
                <w:szCs w:val="18"/>
                <w:color w:val="auto"/>
              </w:rPr>
              <w:t>member</w:t>
            </w:r>
            <w:r>
              <w:rPr>
                <w:rFonts w:ascii="Arial" w:cs="Arial" w:eastAsia="Arial" w:hAnsi="Arial"/>
                <w:sz w:val="18"/>
                <w:szCs w:val="18"/>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168.73</w:t>
            </w:r>
          </w:p>
        </w:tc>
        <w:tc>
          <w:tcPr>
            <w:tcW w:w="14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2"/>
        </w:trPr>
        <w:tc>
          <w:tcPr>
            <w:tcW w:w="2300" w:type="dxa"/>
            <w:vAlign w:val="bottom"/>
          </w:tcPr>
          <w:p>
            <w:pPr>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Only includes members of the Interval International exchange network.</w:t>
      </w:r>
    </w:p>
    <w:p>
      <w:pPr>
        <w:spacing w:after="0" w:line="56"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NM</w:t>
        <w:tab/>
        <w:t>Not meaningful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presents our revenues for 2019, 2018, and 2017. The results for 2018 only include Legacy-ILG for the months of September through December 2018, following the ILG Acquisition on September 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580"/>
              <w:spacing w:after="0"/>
              <w:rPr>
                <w:sz w:val="20"/>
                <w:szCs w:val="20"/>
                <w:color w:val="auto"/>
              </w:rPr>
            </w:pPr>
            <w:r>
              <w:rPr>
                <w:rFonts w:ascii="Arial" w:cs="Arial" w:eastAsia="Arial" w:hAnsi="Arial"/>
                <w:sz w:val="16"/>
                <w:szCs w:val="16"/>
                <w:b w:val="1"/>
                <w:bCs w:val="1"/>
                <w:color w:val="auto"/>
                <w:w w:val="91"/>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580"/>
              <w:spacing w:after="0"/>
              <w:rPr>
                <w:sz w:val="20"/>
                <w:szCs w:val="20"/>
                <w:color w:val="auto"/>
              </w:rPr>
            </w:pPr>
            <w:r>
              <w:rPr>
                <w:rFonts w:ascii="Arial" w:cs="Arial" w:eastAsia="Arial" w:hAnsi="Arial"/>
                <w:sz w:val="16"/>
                <w:szCs w:val="16"/>
                <w:b w:val="1"/>
                <w:bCs w:val="1"/>
                <w:color w:val="auto"/>
                <w:w w:val="91"/>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rPr>
              <w:t>Change Excluding</w:t>
            </w: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72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Legacy-ILG Impact</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10%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Exchange &amp; Third-Party</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Management</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Consolidated Property</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Owners’ Associations</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4,355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10%</w:t>
            </w: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and expand our business.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evaluate Adjusted EBITDA as an indicator of operating performance because it allows for period-over-period comparisons of our on-going core operations before the impact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excluded items. Adjusted EBITDA also facilitates our comparison of results from our on-going core operations before the impact of these items with results from other vacation companies.</w:t>
      </w:r>
    </w:p>
    <w:p>
      <w:pPr>
        <w:spacing w:after="0" w:line="6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Change 2019 vs. 2018</w:t>
            </w:r>
          </w:p>
        </w:tc>
        <w:tc>
          <w:tcPr>
            <w:tcW w:w="220" w:type="dxa"/>
            <w:vAlign w:val="bottom"/>
          </w:tcPr>
          <w:p>
            <w:pPr>
              <w:spacing w:after="0"/>
              <w:rPr>
                <w:sz w:val="18"/>
                <w:szCs w:val="18"/>
                <w:color w:val="auto"/>
              </w:rPr>
            </w:pPr>
          </w:p>
        </w:tc>
        <w:tc>
          <w:tcPr>
            <w:tcW w:w="216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Change 2018 vs. 2017</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Change</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Excluding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Excluding</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Legacy-ILG</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Impact</w:t>
            </w:r>
          </w:p>
        </w:tc>
        <w:tc>
          <w:tcPr>
            <w:tcW w:w="2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000" w:type="dxa"/>
            <w:vAlign w:val="bottom"/>
          </w:tcPr>
          <w:p>
            <w:pPr>
              <w:jc w:val="center"/>
              <w:ind w:right="53"/>
              <w:spacing w:after="0"/>
              <w:rPr>
                <w:sz w:val="20"/>
                <w:szCs w:val="20"/>
                <w:color w:val="auto"/>
              </w:rPr>
            </w:pPr>
            <w:r>
              <w:rPr>
                <w:rFonts w:ascii="Arial" w:cs="Arial" w:eastAsia="Arial" w:hAnsi="Arial"/>
                <w:sz w:val="16"/>
                <w:szCs w:val="16"/>
                <w:b w:val="1"/>
                <w:bCs w:val="1"/>
                <w:color w:val="auto"/>
                <w:w w:val="96"/>
              </w:rPr>
              <w:t>Impact</w:t>
            </w:r>
          </w:p>
        </w:tc>
      </w:tr>
      <w:tr>
        <w:trPr>
          <w:trHeight w:val="215"/>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common</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1"/>
              </w:rPr>
              <w:t>Share-based compensation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Certain items for 2019 consisted of $119 million of acquisition costs (including $118 million of ILG acquisition-related costs and $1 million of other acquisition costs), $99 million of asset impairment charges, $17 million of unfavorable purchase price adjustments, $7 million of litigation charges, and $1 million of other severance costs, partially offset by $16 million of miscellaneous gains and other income. The $16 million of miscellaneous gains and other income included $19 million of gains and other income related to the disposition of excess land parcels in Cancun, Mexico and Avon, Colorado, $9 million of gains and other income related to net insurance proceeds from the final settlement of Legacy-MVW business interruption insurance claims arising from the 2017 Hurricanes, and $3 million of gains and other income resulting from the recovery of a portion of the fraudulently induced electronic payment disbursements made to third parties, partially offset by $15 million of integration related tax matters and other miscellaneous expenses. These exclusions increased EBITDA by $227 million.</w:t>
      </w:r>
    </w:p>
    <w:p>
      <w:pPr>
        <w:spacing w:after="0" w:line="8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Certain items for 2018 consisted of $127 million of ILG acquisition-related costs, $46 million of litigation charges, $8 million of losses and other expense, $6 million of unfavorable purchase accounting adjustments and $4 million of costs associated with the then anticipated capital efficient acquisitions of operating properties in San Francisco, California and New York, partially offset by $29 million of net insurance proceeds related to the settlement of Legacy-MVW business interruption insurance claims arising from Hurricanes Irma and Maria. These exclusions increased EBITDA by $162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Change 2019 vs. 2018</w:t>
            </w:r>
          </w:p>
        </w:tc>
        <w:tc>
          <w:tcPr>
            <w:tcW w:w="220" w:type="dxa"/>
            <w:vAlign w:val="bottom"/>
          </w:tcPr>
          <w:p>
            <w:pPr>
              <w:spacing w:after="0"/>
              <w:rPr>
                <w:sz w:val="18"/>
                <w:szCs w:val="18"/>
                <w:color w:val="auto"/>
              </w:rPr>
            </w:pPr>
          </w:p>
        </w:tc>
        <w:tc>
          <w:tcPr>
            <w:tcW w:w="216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rPr>
              <w:t>Change 2018 vs. 2017</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Excluding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8"/>
              </w:rPr>
              <w:t>Legacy-ILG</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Impact</w:t>
            </w:r>
          </w:p>
        </w:tc>
        <w:tc>
          <w:tcPr>
            <w:tcW w:w="2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Exchange &amp; Third-Party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Management</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property owners’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associations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Change 2019 vs. 2018</w:t>
            </w:r>
          </w:p>
        </w:tc>
        <w:tc>
          <w:tcPr>
            <w:tcW w:w="220" w:type="dxa"/>
            <w:vAlign w:val="bottom"/>
          </w:tcPr>
          <w:p>
            <w:pPr>
              <w:spacing w:after="0"/>
              <w:rPr>
                <w:sz w:val="18"/>
                <w:szCs w:val="18"/>
                <w:color w:val="auto"/>
              </w:rPr>
            </w:pPr>
          </w:p>
        </w:tc>
        <w:tc>
          <w:tcPr>
            <w:tcW w:w="216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rPr>
              <w:t>Change 2018 vs. 2017</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Excluding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8"/>
              </w:rPr>
              <w:t>Legacy-ILG</w:t>
            </w:r>
          </w:p>
        </w:tc>
      </w:tr>
      <w:tr>
        <w:trPr>
          <w:trHeight w:val="237"/>
        </w:trPr>
        <w:tc>
          <w:tcPr>
            <w:tcW w:w="2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Impact</w:t>
            </w:r>
          </w:p>
        </w:tc>
        <w:tc>
          <w:tcPr>
            <w:tcW w:w="22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00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Certain items in the Vacation Ownership segment for 2019 consisted of $99 million of asset impairment charges, $17 million of unfavorable purchase accounting adjustments, $6 million of litigation charges, and $1 million of acquisition costs, partially offset by $28 million of gains and other income. These exclusions decreased segment financial results by $95 million.</w:t>
      </w:r>
    </w:p>
    <w:p>
      <w:pPr>
        <w:spacing w:after="0" w:line="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Certain items in the Vacation Ownership segment for 2018 consisted of $46 million of litigation charges, $4 million of costs associated with the then anticipated capital efficient vacation ownership acquisitions of operating properties in San Francisco, California and New York, $2 million of unfavorable purchase accounting adjustments and $1 million of miscellaneous losses and other expense, partially offset by $29 million of net insurance proceeds related to the settlement of Legacy-MVW business interruption insurance claims arising from the 2017 Hurricanes. These exclusions decreased segment financial results by $24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 Years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12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2019 vs.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5"/>
              </w:rPr>
              <w:t>2018 vs. 2017</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3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9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2019 consisted of $1 million of miscellaneous gains and other income offset by $1 million of unfavorable purchase accounting adjustments.</w:t>
      </w:r>
    </w:p>
    <w:p>
      <w:pPr>
        <w:spacing w:after="0" w:line="62"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Certain items in the Exchange &amp; Third-Party Management segment for 2018 consisted of $4 million of unfavorable purchase accounting adjustments, partially offset by $1 million of miscellaneous gains and other income. These items decreased segment financial results by $3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18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Fiscal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ind w:right="291"/>
              <w:spacing w:after="0"/>
              <w:rPr>
                <w:sz w:val="20"/>
                <w:szCs w:val="20"/>
                <w:color w:val="auto"/>
              </w:rPr>
            </w:pPr>
            <w:r>
              <w:rPr>
                <w:rFonts w:ascii="Arial" w:cs="Arial" w:eastAsia="Arial" w:hAnsi="Arial"/>
                <w:sz w:val="16"/>
                <w:szCs w:val="16"/>
                <w:b w:val="1"/>
                <w:bCs w:val="1"/>
                <w:color w:val="auto"/>
                <w:w w:val="89"/>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4"/>
          </w:tcPr>
          <w:p>
            <w:pPr>
              <w:ind w:left="280"/>
              <w:spacing w:after="0"/>
              <w:rPr>
                <w:sz w:val="20"/>
                <w:szCs w:val="20"/>
                <w:color w:val="auto"/>
              </w:rPr>
            </w:pPr>
            <w:r>
              <w:rPr>
                <w:rFonts w:ascii="Arial" w:cs="Arial" w:eastAsia="Arial" w:hAnsi="Arial"/>
                <w:sz w:val="18"/>
                <w:szCs w:val="18"/>
                <w:color w:val="auto"/>
              </w:rPr>
              <w:t>Sale of vacation ownership products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4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3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w w:val="97"/>
              </w:rPr>
              <w:t>Resort management and other services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32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w w:val="97"/>
              </w:rPr>
              <w:t>Resort management and other services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w w:val="93"/>
              </w:rPr>
              <w:t>Depreciation and amortization</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8"/>
                <w:szCs w:val="18"/>
                <w:color w:val="auto"/>
                <w:w w:val="88"/>
              </w:rPr>
              <w:t>Gains and other income, net</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5460" w:type="dxa"/>
            <w:vAlign w:val="bottom"/>
            <w:gridSpan w:val="9"/>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BEFORE NONCONTROLLING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INTERESTS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24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600" w:type="dxa"/>
            <w:vAlign w:val="bottom"/>
            <w:gridSpan w:val="10"/>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120" w:type="dxa"/>
            <w:vAlign w:val="bottom"/>
            <w:vMerge w:val="restart"/>
          </w:tcPr>
          <w:p>
            <w:pPr>
              <w:spacing w:after="0"/>
              <w:rPr>
                <w:sz w:val="17"/>
                <w:szCs w:val="17"/>
                <w:color w:val="auto"/>
              </w:rPr>
            </w:pPr>
          </w:p>
        </w:tc>
        <w:tc>
          <w:tcPr>
            <w:tcW w:w="64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top w:val="single" w:sz="8" w:color="auto"/>
            </w:tcBorders>
          </w:tcPr>
          <w:p>
            <w:pPr>
              <w:spacing w:after="0"/>
              <w:rPr>
                <w:sz w:val="17"/>
                <w:szCs w:val="17"/>
                <w:color w:val="auto"/>
              </w:rPr>
            </w:pPr>
          </w:p>
        </w:tc>
        <w:tc>
          <w:tcPr>
            <w:tcW w:w="120" w:type="dxa"/>
            <w:vAlign w:val="bottom"/>
            <w:gridSpan w:val="2"/>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1"/>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7"/>
          </w:tcPr>
          <w:p>
            <w:pPr>
              <w:ind w:left="460"/>
              <w:spacing w:after="0"/>
              <w:rPr>
                <w:sz w:val="20"/>
                <w:szCs w:val="20"/>
                <w:color w:val="auto"/>
              </w:rPr>
            </w:pPr>
            <w:r>
              <w:rPr>
                <w:rFonts w:ascii="Arial" w:cs="Arial" w:eastAsia="Arial" w:hAnsi="Arial"/>
                <w:sz w:val="16"/>
                <w:szCs w:val="16"/>
                <w:b w:val="1"/>
                <w:bCs w:val="1"/>
                <w:color w:val="auto"/>
                <w:w w:val="89"/>
              </w:rPr>
              <w:t>Change 2019 vs. 2018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7"/>
          </w:tcPr>
          <w:p>
            <w:pPr>
              <w:jc w:val="right"/>
              <w:ind w:right="40"/>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6"/>
                <w:szCs w:val="16"/>
                <w:b w:val="1"/>
                <w:bCs w:val="1"/>
                <w:color w:val="auto"/>
              </w:rPr>
              <w:t>Change Excluding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97"/>
              </w:rPr>
              <w:t>Change Excluding</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940" w:type="dxa"/>
            <w:vAlign w:val="bottom"/>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480" w:type="dxa"/>
            <w:vAlign w:val="bottom"/>
            <w:gridSpan w:val="5"/>
          </w:tcPr>
          <w:p>
            <w:pPr>
              <w:jc w:val="right"/>
              <w:spacing w:after="0"/>
              <w:rPr>
                <w:sz w:val="20"/>
                <w:szCs w:val="20"/>
                <w:color w:val="auto"/>
              </w:rPr>
            </w:pPr>
            <w:r>
              <w:rPr>
                <w:rFonts w:ascii="Arial" w:cs="Arial" w:eastAsia="Arial" w:hAnsi="Arial"/>
                <w:sz w:val="16"/>
                <w:szCs w:val="16"/>
                <w:b w:val="1"/>
                <w:bCs w:val="1"/>
                <w:color w:val="auto"/>
              </w:rPr>
              <w:t>Legacy-ILG Impact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Change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97"/>
              </w:rPr>
              <w:t>Legacy-ILG Impact</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contract</w:t>
            </w: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Joint venture contract sales</w:t>
            </w:r>
          </w:p>
        </w:tc>
        <w:tc>
          <w:tcPr>
            <w:tcW w:w="2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1,089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w:t>
            </w:r>
          </w:p>
        </w:tc>
        <w:tc>
          <w:tcPr>
            <w:tcW w:w="50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Total contract sales increased $480 million, driven largely by the ILG Acquisition during the 2018 third quarter. Excluding the impact of the ILG Acquisition, total contract sales increased $50 million or 6 percent.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$50 million increase in Legacy-MVW contract sales reflected a 5 percent increase in the number of tours and a 2 percent increase in VPG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$3,574 in 2019 from $3,521 in 2018. The increase in the number of tours was due to increases in both owner tours and first time buyer tours.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the number of total tours reflected the continued ramp up of newer sales locations as well as an increase in tours from existing sales locations.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VPG resulted from a slight increase in closing efficiency and higher pricing.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580"/>
              <w:spacing w:after="0"/>
              <w:rPr>
                <w:sz w:val="20"/>
                <w:szCs w:val="20"/>
                <w:color w:val="auto"/>
              </w:rPr>
            </w:pPr>
            <w:r>
              <w:rPr>
                <w:rFonts w:ascii="Arial" w:cs="Arial" w:eastAsia="Arial" w:hAnsi="Arial"/>
                <w:sz w:val="16"/>
                <w:szCs w:val="16"/>
                <w:b w:val="1"/>
                <w:bCs w:val="1"/>
                <w:color w:val="auto"/>
                <w:w w:val="93"/>
              </w:rPr>
              <w:t>Change 2019 vs. 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580"/>
              <w:spacing w:after="0"/>
              <w:rPr>
                <w:sz w:val="20"/>
                <w:szCs w:val="20"/>
                <w:color w:val="auto"/>
              </w:rPr>
            </w:pPr>
            <w:r>
              <w:rPr>
                <w:rFonts w:ascii="Arial" w:cs="Arial" w:eastAsia="Arial" w:hAnsi="Arial"/>
                <w:sz w:val="16"/>
                <w:szCs w:val="16"/>
                <w:b w:val="1"/>
                <w:bCs w:val="1"/>
                <w:color w:val="auto"/>
                <w:w w:val="91"/>
              </w:rPr>
              <w:t>Change 2018 vs. 2017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72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joint venture contract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9"/>
              </w:rPr>
              <w:t>Consolidated contract sales,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net of resales</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Settlement revenue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Resales revenue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Revenue recognition</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rPr>
              <w:t>Sale of vacation ownership</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31"/>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18"/>
                <w:szCs w:val="18"/>
                <w:color w:val="auto"/>
              </w:rPr>
            </w:pPr>
          </w:p>
        </w:tc>
        <w:tc>
          <w:tcPr>
            <w:tcW w:w="200" w:type="dxa"/>
            <w:vAlign w:val="bottom"/>
            <w:vMerge w:val="restart"/>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3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11"/>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products</w:t>
            </w:r>
          </w:p>
        </w:tc>
        <w:tc>
          <w:tcPr>
            <w:tcW w:w="2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8890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8890</wp:posOffset>
            </wp:positionV>
            <wp:extent cx="3215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-130175</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93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-130175</wp:posOffset>
            </wp:positionV>
            <wp:extent cx="3215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43" w:lineRule="exact"/>
        <w:rPr>
          <w:sz w:val="20"/>
          <w:szCs w:val="20"/>
          <w:color w:val="auto"/>
        </w:rPr>
      </w:pPr>
    </w:p>
    <w:p>
      <w:pPr>
        <w:ind w:left="660" w:right="40" w:hanging="652"/>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Excluding the impact of the ILG Acquisition, sale of vacation ownership products revenue increased $22 million, driven by the increase in contract sales in 2019, partially offset by an unfavorable year-over-year change in revenue reportability and a higher sales reserve. Revenue reportability had a negative impact in 2019 due to an increase in unclosed contracts during the year while 2018 was positively impacted by a decrease in unclosed contracts during the year. The higher Legacy-MVW sales reserve reflected a higher required reserve due to higher default activity as compared to the prior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580"/>
              <w:spacing w:after="0"/>
              <w:rPr>
                <w:sz w:val="20"/>
                <w:szCs w:val="20"/>
                <w:color w:val="auto"/>
              </w:rPr>
            </w:pPr>
            <w:r>
              <w:rPr>
                <w:rFonts w:ascii="Arial" w:cs="Arial" w:eastAsia="Arial" w:hAnsi="Arial"/>
                <w:sz w:val="16"/>
                <w:szCs w:val="16"/>
                <w:b w:val="1"/>
                <w:bCs w:val="1"/>
                <w:color w:val="auto"/>
                <w:w w:val="91"/>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ind w:left="600"/>
              <w:spacing w:after="0"/>
              <w:rPr>
                <w:sz w:val="20"/>
                <w:szCs w:val="20"/>
                <w:color w:val="auto"/>
              </w:rPr>
            </w:pPr>
            <w:r>
              <w:rPr>
                <w:rFonts w:ascii="Arial" w:cs="Arial" w:eastAsia="Arial" w:hAnsi="Arial"/>
                <w:sz w:val="16"/>
                <w:szCs w:val="16"/>
                <w:b w:val="1"/>
                <w:bCs w:val="1"/>
                <w:color w:val="auto"/>
                <w:w w:val="89"/>
              </w:rPr>
              <w:t>Change 2018 vs. 2017</w:t>
            </w:r>
          </w:p>
        </w:tc>
        <w:tc>
          <w:tcPr>
            <w:tcW w:w="7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20"/>
                <w:szCs w:val="20"/>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20"/>
                <w:szCs w:val="20"/>
                <w:color w:val="auto"/>
              </w:rPr>
            </w:pPr>
          </w:p>
        </w:tc>
        <w:tc>
          <w:tcPr>
            <w:tcW w:w="172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4"/>
              </w:rPr>
              <w:t>10%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Cost of vacation ownership</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660" w:type="dxa"/>
            <w:vAlign w:val="bottom"/>
          </w:tcPr>
          <w:p>
            <w:pPr>
              <w:jc w:val="center"/>
              <w:ind w:right="17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1"/>
              </w:rPr>
              <w:t>(11%)</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1"/>
              </w:rPr>
              <w:t>(11%)</w:t>
            </w:r>
          </w:p>
        </w:tc>
      </w:tr>
      <w:tr>
        <w:trPr>
          <w:trHeight w:val="29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center"/>
              <w:ind w:right="150"/>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jc w:val="center"/>
              <w:ind w:right="130"/>
              <w:spacing w:after="0"/>
              <w:rPr>
                <w:sz w:val="20"/>
                <w:szCs w:val="20"/>
                <w:color w:val="auto"/>
              </w:rPr>
            </w:pPr>
            <w:r>
              <w:rPr>
                <w:rFonts w:ascii="Arial" w:cs="Arial" w:eastAsia="Arial" w:hAnsi="Arial"/>
                <w:sz w:val="18"/>
                <w:szCs w:val="18"/>
                <w:color w:val="auto"/>
                <w:w w:val="92"/>
              </w:rPr>
              <w:t>5%</w:t>
            </w:r>
          </w:p>
        </w:tc>
      </w:tr>
      <w:tr>
        <w:trPr>
          <w:trHeight w:val="189"/>
        </w:trPr>
        <w:tc>
          <w:tcPr>
            <w:tcW w:w="23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Development margin</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percentage</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7"/>
              </w:rPr>
              <w:t>22.7%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23.1%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0.8 pts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(1.2 pts)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
        </w:trPr>
        <w:tc>
          <w:tcPr>
            <w:tcW w:w="2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Excluding the impact of the ILG Acquisition, development margin increased $24 million or 13 percent. The increase in Legacy-MVW development margin reflected $10 million from higher vacation ownership contract sales volume net of the sales reserve and direct variable expenses (i.e., cost of vacation ownership products and marketing and sales), $25 million from more efficient marketing and sales spend, and $12 million from a favorable mix of lower cost inventory being sold, partially offset by a $13 million decline due to unfavorable revenue reportability compared to 2018 and $10 million due to a higher sales reserve rate from higher delinquency and default activity.</w:t>
      </w:r>
    </w:p>
    <w:p>
      <w:pPr>
        <w:spacing w:after="0" w:line="8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increase in the development margin percentage reflected a 2.2 percentage point improvement from Legacy-MVW results, partially offset by a negative 1.4 percentage point impact from the inclusion of Legacy-ILG results post acquisition. The Legacy-MVW results included a 3.0 percentage point improvement in marketing and sales costs due to leveraging fixed costs on the increase in contract sales and a 1.4 percentage point increase due to a favorable mix of lower cost vacation ownership real estate inventory being sold, partially offset by a 1.2 percentage point decline due to the unfavorable revenue reportability and a 1.0 percentage point decline related to higher sales reserve activity.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580"/>
              <w:spacing w:after="0"/>
              <w:rPr>
                <w:sz w:val="20"/>
                <w:szCs w:val="20"/>
                <w:color w:val="auto"/>
              </w:rPr>
            </w:pPr>
            <w:r>
              <w:rPr>
                <w:rFonts w:ascii="Arial" w:cs="Arial" w:eastAsia="Arial" w:hAnsi="Arial"/>
                <w:sz w:val="16"/>
                <w:szCs w:val="16"/>
                <w:b w:val="1"/>
                <w:bCs w:val="1"/>
                <w:color w:val="auto"/>
                <w:w w:val="91"/>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580"/>
              <w:spacing w:after="0"/>
              <w:rPr>
                <w:sz w:val="20"/>
                <w:szCs w:val="20"/>
                <w:color w:val="auto"/>
              </w:rPr>
            </w:pPr>
            <w:r>
              <w:rPr>
                <w:rFonts w:ascii="Arial" w:cs="Arial" w:eastAsia="Arial" w:hAnsi="Arial"/>
                <w:sz w:val="16"/>
                <w:szCs w:val="16"/>
                <w:b w:val="1"/>
                <w:bCs w:val="1"/>
                <w:color w:val="auto"/>
                <w:w w:val="90"/>
              </w:rPr>
              <w:t>Change 2018 vs. 2017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72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680" w:type="dxa"/>
            <w:vAlign w:val="bottom"/>
          </w:tcPr>
          <w:p>
            <w:pPr>
              <w:jc w:val="center"/>
              <w:ind w:right="15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management and</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revenues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1"/>
              </w:rPr>
              <w:t>Resort management and other</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services revenues</w:t>
            </w:r>
          </w:p>
        </w:tc>
        <w:tc>
          <w:tcPr>
            <w:tcW w:w="1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680" w:type="dxa"/>
            <w:vAlign w:val="bottom"/>
          </w:tcPr>
          <w:p>
            <w:pPr>
              <w:jc w:val="center"/>
              <w:ind w:right="15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Resort management and other</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expenses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1"/>
              </w:rPr>
              <w:t>Resort management and other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services margin</w:t>
            </w:r>
          </w:p>
        </w:tc>
        <w:tc>
          <w:tcPr>
            <w:tcW w:w="18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center"/>
              <w:ind w:right="13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189"/>
        </w:trPr>
        <w:tc>
          <w:tcPr>
            <w:tcW w:w="23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Resort management and other</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margin percentage</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7"/>
              </w:rPr>
              <w:t>47.5%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47.4%</w:t>
            </w: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0.4 pts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(0.3 pts)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9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Excluding the impact of the ILG Acquisition, resort management and other services revenues reflected $2 million of higher management fees resulting from the cumulative increase in the number of vacation ownership products sold and higher operating costs across the system, $5 million of higher ancillary revenues from food and beverage and golf offerings at our resorts and $7 million of higher annual club dues and other revenues earned in connection with the MVCD program due to the cumulative increase in owners enrolled in the program as well as an increase in the average club dues charged to enrolled owners, partially offset by $3 million of lower refurbishment and other revenues due to a decrease in the number of refurbishment projects completed in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the resort management and other services margin reflected the increases in revenue, partially offset by $3 million of higher ancillary and other expenses primarily from food and beverage and golf offerings at our resorts in support of the higher revenues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Fiscal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7"/>
          </w:tcPr>
          <w:p>
            <w:pPr>
              <w:ind w:left="560"/>
              <w:spacing w:after="0"/>
              <w:rPr>
                <w:sz w:val="20"/>
                <w:szCs w:val="20"/>
                <w:color w:val="auto"/>
              </w:rPr>
            </w:pPr>
            <w:r>
              <w:rPr>
                <w:rFonts w:ascii="Arial" w:cs="Arial" w:eastAsia="Arial" w:hAnsi="Arial"/>
                <w:sz w:val="16"/>
                <w:szCs w:val="16"/>
                <w:b w:val="1"/>
                <w:bCs w:val="1"/>
                <w:color w:val="auto"/>
                <w:w w:val="93"/>
              </w:rPr>
              <w:t>Change 2019 vs. 2018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0"/>
              </w:rPr>
              <w:t>Change 2018 vs. 2017</w:t>
            </w:r>
          </w:p>
        </w:tc>
        <w:tc>
          <w:tcPr>
            <w:tcW w:w="6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29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6"/>
                <w:szCs w:val="16"/>
                <w:b w:val="1"/>
                <w:bCs w:val="1"/>
                <w:color w:val="auto"/>
              </w:rPr>
              <w:t>Change Excluding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Legacy-ILG Impact</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6"/>
                <w:szCs w:val="16"/>
                <w:b w:val="1"/>
                <w:bCs w:val="1"/>
                <w:color w:val="auto"/>
                <w:w w:val="96"/>
              </w:rPr>
              <w:t>Legacy-ILG Impact</w:t>
            </w: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center"/>
              <w:ind w:left="236"/>
              <w:spacing w:after="0"/>
              <w:rPr>
                <w:sz w:val="20"/>
                <w:szCs w:val="20"/>
                <w:color w:val="auto"/>
              </w:rPr>
            </w:pPr>
            <w:r>
              <w:rPr>
                <w:rFonts w:ascii="Arial" w:cs="Arial" w:eastAsia="Arial" w:hAnsi="Arial"/>
                <w:sz w:val="18"/>
                <w:szCs w:val="18"/>
                <w:color w:val="auto"/>
                <w:w w:val="89"/>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2"/>
              </w:rPr>
              <w:t>8%</w:t>
            </w:r>
          </w:p>
        </w:tc>
      </w:tr>
      <w:tr>
        <w:trPr>
          <w:trHeight w:val="243"/>
        </w:trPr>
        <w:tc>
          <w:tcPr>
            <w:tcW w:w="2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Rental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640" w:type="dxa"/>
            <w:vAlign w:val="bottom"/>
          </w:tcPr>
          <w:p>
            <w:pPr>
              <w:jc w:val="center"/>
              <w:ind w:right="194"/>
              <w:spacing w:after="0"/>
              <w:rPr>
                <w:sz w:val="20"/>
                <w:szCs w:val="20"/>
                <w:color w:val="auto"/>
              </w:rPr>
            </w:pPr>
            <w:r>
              <w:rPr>
                <w:rFonts w:ascii="Arial" w:cs="Arial" w:eastAsia="Arial" w:hAnsi="Arial"/>
                <w:sz w:val="18"/>
                <w:szCs w:val="18"/>
                <w:color w:val="auto"/>
                <w:w w:val="92"/>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center"/>
              <w:ind w:left="236"/>
              <w:spacing w:after="0"/>
              <w:rPr>
                <w:sz w:val="20"/>
                <w:szCs w:val="20"/>
                <w:color w:val="auto"/>
              </w:rPr>
            </w:pPr>
            <w:r>
              <w:rPr>
                <w:rFonts w:ascii="Arial" w:cs="Arial" w:eastAsia="Arial" w:hAnsi="Arial"/>
                <w:sz w:val="18"/>
                <w:szCs w:val="18"/>
                <w:color w:val="auto"/>
                <w:w w:val="93"/>
              </w:rPr>
              <w:t>(56)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1"/>
                <w:szCs w:val="21"/>
                <w:color w:val="auto"/>
              </w:rPr>
            </w:pPr>
          </w:p>
        </w:tc>
        <w:tc>
          <w:tcPr>
            <w:tcW w:w="660" w:type="dxa"/>
            <w:vAlign w:val="bottom"/>
          </w:tcPr>
          <w:p>
            <w:pPr>
              <w:jc w:val="center"/>
              <w:ind w:right="174"/>
              <w:spacing w:after="0"/>
              <w:rPr>
                <w:sz w:val="20"/>
                <w:szCs w:val="20"/>
                <w:color w:val="auto"/>
              </w:rPr>
            </w:pPr>
            <w:r>
              <w:rPr>
                <w:rFonts w:ascii="Arial" w:cs="Arial" w:eastAsia="Arial" w:hAnsi="Arial"/>
                <w:sz w:val="18"/>
                <w:szCs w:val="18"/>
                <w:color w:val="auto"/>
                <w:w w:val="94"/>
              </w:rPr>
              <w:t>(4%)</w:t>
            </w:r>
          </w:p>
        </w:tc>
      </w:tr>
      <w:tr>
        <w:trPr>
          <w:trHeight w:val="27"/>
        </w:trPr>
        <w:tc>
          <w:tcPr>
            <w:tcW w:w="2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4"/>
              </w:rPr>
              <w:t>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9"/>
              </w:rPr>
              <w:t>34</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4"/>
              </w:rPr>
              <w:t>34%</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Rental margin percentage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8"/>
                <w:szCs w:val="18"/>
                <w:color w:val="auto"/>
              </w:rPr>
              <w:t>4.0 pts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6.1 pts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7"/>
              </w:rPr>
              <w:t>Fiscal Years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7"/>
          </w:tcPr>
          <w:p>
            <w:pPr>
              <w:ind w:left="600"/>
              <w:spacing w:after="0"/>
              <w:rPr>
                <w:sz w:val="20"/>
                <w:szCs w:val="20"/>
                <w:color w:val="auto"/>
              </w:rPr>
            </w:pPr>
            <w:r>
              <w:rPr>
                <w:rFonts w:ascii="Arial" w:cs="Arial" w:eastAsia="Arial" w:hAnsi="Arial"/>
                <w:sz w:val="16"/>
                <w:szCs w:val="16"/>
                <w:b w:val="1"/>
                <w:bCs w:val="1"/>
                <w:color w:val="auto"/>
                <w:w w:val="90"/>
              </w:rPr>
              <w:t>Change 2019 vs. 2018</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89"/>
              </w:rPr>
              <w:t>Change 2018 vs. 2017</w:t>
            </w:r>
          </w:p>
        </w:tc>
        <w:tc>
          <w:tcPr>
            <w:tcW w:w="6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29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ind w:left="160"/>
              <w:spacing w:after="0"/>
              <w:rPr>
                <w:sz w:val="20"/>
                <w:szCs w:val="20"/>
                <w:color w:val="auto"/>
              </w:rPr>
            </w:pPr>
            <w:r>
              <w:rPr>
                <w:rFonts w:ascii="Arial" w:cs="Arial" w:eastAsia="Arial" w:hAnsi="Arial"/>
                <w:sz w:val="16"/>
                <w:szCs w:val="16"/>
                <w:b w:val="1"/>
                <w:bCs w:val="1"/>
                <w:color w:val="auto"/>
              </w:rPr>
              <w:t>Change Excluding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0" w:type="dxa"/>
            <w:vAlign w:val="bottom"/>
          </w:tcPr>
          <w:p>
            <w:pPr>
              <w:spacing w:after="0"/>
              <w:rPr>
                <w:sz w:val="20"/>
                <w:szCs w:val="20"/>
                <w:color w:val="auto"/>
              </w:rPr>
            </w:pPr>
          </w:p>
        </w:tc>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(Transient keys in millions)</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27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Legacy-ILG Impact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34"/>
              <w:spacing w:after="0"/>
              <w:rPr>
                <w:sz w:val="20"/>
                <w:szCs w:val="20"/>
                <w:color w:val="auto"/>
              </w:rPr>
            </w:pPr>
            <w:r>
              <w:rPr>
                <w:rFonts w:ascii="Arial" w:cs="Arial" w:eastAsia="Arial" w:hAnsi="Arial"/>
                <w:sz w:val="16"/>
                <w:szCs w:val="16"/>
                <w:b w:val="1"/>
                <w:bCs w:val="1"/>
                <w:color w:val="auto"/>
                <w:w w:val="96"/>
              </w:rPr>
              <w:t>Legacy-ILG Impact</w:t>
            </w:r>
          </w:p>
        </w:tc>
      </w:tr>
      <w:tr>
        <w:trPr>
          <w:trHeight w:val="270"/>
        </w:trPr>
        <w:tc>
          <w:tcPr>
            <w:tcW w:w="20" w:type="dxa"/>
            <w:vAlign w:val="bottom"/>
          </w:tcPr>
          <w:p>
            <w:pPr>
              <w:spacing w:after="0"/>
              <w:rPr>
                <w:sz w:val="23"/>
                <w:szCs w:val="23"/>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8"/>
                <w:szCs w:val="18"/>
                <w:color w:val="auto"/>
                <w:vertAlign w:val="superscript"/>
              </w:rPr>
              <w:t>(1)</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34"/>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256"/>
              <w:spacing w:after="0"/>
              <w:rPr>
                <w:sz w:val="20"/>
                <w:szCs w:val="20"/>
                <w:color w:val="auto"/>
              </w:rPr>
            </w:pPr>
            <w:r>
              <w:rPr>
                <w:rFonts w:ascii="Arial" w:cs="Arial" w:eastAsia="Arial" w:hAnsi="Arial"/>
                <w:sz w:val="16"/>
                <w:szCs w:val="16"/>
                <w:color w:val="auto"/>
                <w:w w:val="89"/>
              </w:rPr>
              <w:t>0.3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center"/>
              <w:ind w:right="154"/>
              <w:spacing w:after="0"/>
              <w:rPr>
                <w:sz w:val="20"/>
                <w:szCs w:val="20"/>
                <w:color w:val="auto"/>
              </w:rPr>
            </w:pPr>
            <w:r>
              <w:rPr>
                <w:rFonts w:ascii="Arial" w:cs="Arial" w:eastAsia="Arial" w:hAnsi="Arial"/>
                <w:sz w:val="16"/>
                <w:szCs w:val="16"/>
                <w:color w:val="auto"/>
                <w:w w:val="94"/>
              </w:rPr>
              <w:t>1%</w:t>
            </w:r>
          </w:p>
        </w:tc>
      </w:tr>
      <w:tr>
        <w:trPr>
          <w:trHeight w:val="243"/>
        </w:trPr>
        <w:tc>
          <w:tcPr>
            <w:tcW w:w="2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w w:val="98"/>
              </w:rPr>
              <w:t xml:space="preserve">Average transient key rate </w:t>
            </w:r>
            <w:r>
              <w:rPr>
                <w:rFonts w:ascii="Arial" w:cs="Arial" w:eastAsia="Arial" w:hAnsi="Arial"/>
                <w:sz w:val="16"/>
                <w:szCs w:val="16"/>
                <w:color w:val="auto"/>
                <w:w w:val="98"/>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34"/>
              <w:spacing w:after="0"/>
              <w:rPr>
                <w:sz w:val="20"/>
                <w:szCs w:val="20"/>
                <w:color w:val="auto"/>
              </w:rPr>
            </w:pPr>
            <w:r>
              <w:rPr>
                <w:rFonts w:ascii="Arial" w:cs="Arial" w:eastAsia="Arial" w:hAnsi="Arial"/>
                <w:sz w:val="16"/>
                <w:szCs w:val="16"/>
                <w:color w:val="auto"/>
                <w:w w:val="85"/>
              </w:rPr>
              <w:t>228.38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6"/>
                <w:szCs w:val="16"/>
                <w:color w:val="auto"/>
              </w:rPr>
              <w:t>222.10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6"/>
                <w:szCs w:val="16"/>
                <w:color w:val="auto"/>
              </w:rPr>
              <w:t>216.29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3.65</w:t>
            </w:r>
          </w:p>
        </w:tc>
        <w:tc>
          <w:tcPr>
            <w:tcW w:w="380" w:type="dxa"/>
            <w:vAlign w:val="bottom"/>
          </w:tcPr>
          <w:p>
            <w:pPr>
              <w:spacing w:after="0"/>
              <w:rPr>
                <w:sz w:val="21"/>
                <w:szCs w:val="21"/>
                <w:color w:val="auto"/>
              </w:rPr>
            </w:pPr>
          </w:p>
        </w:tc>
        <w:tc>
          <w:tcPr>
            <w:tcW w:w="640" w:type="dxa"/>
            <w:vAlign w:val="bottom"/>
          </w:tcPr>
          <w:p>
            <w:pPr>
              <w:jc w:val="right"/>
              <w:ind w:right="234"/>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6"/>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
              <w:spacing w:after="0"/>
              <w:rPr>
                <w:sz w:val="20"/>
                <w:szCs w:val="20"/>
                <w:color w:val="auto"/>
              </w:rPr>
            </w:pPr>
            <w:r>
              <w:rPr>
                <w:rFonts w:ascii="Arial" w:cs="Arial" w:eastAsia="Arial" w:hAnsi="Arial"/>
                <w:sz w:val="16"/>
                <w:szCs w:val="16"/>
                <w:color w:val="auto"/>
              </w:rPr>
              <w:t>5.24</w:t>
            </w:r>
          </w:p>
        </w:tc>
        <w:tc>
          <w:tcPr>
            <w:tcW w:w="360" w:type="dxa"/>
            <w:vAlign w:val="bottom"/>
          </w:tcPr>
          <w:p>
            <w:pPr>
              <w:spacing w:after="0"/>
              <w:rPr>
                <w:sz w:val="21"/>
                <w:szCs w:val="21"/>
                <w:color w:val="auto"/>
              </w:rPr>
            </w:pPr>
          </w:p>
        </w:tc>
        <w:tc>
          <w:tcPr>
            <w:tcW w:w="660" w:type="dxa"/>
            <w:vAlign w:val="bottom"/>
          </w:tcPr>
          <w:p>
            <w:pPr>
              <w:jc w:val="center"/>
              <w:ind w:right="154"/>
              <w:spacing w:after="0"/>
              <w:rPr>
                <w:sz w:val="20"/>
                <w:szCs w:val="20"/>
                <w:color w:val="auto"/>
              </w:rPr>
            </w:pPr>
            <w:r>
              <w:rPr>
                <w:rFonts w:ascii="Arial" w:cs="Arial" w:eastAsia="Arial" w:hAnsi="Arial"/>
                <w:sz w:val="16"/>
                <w:szCs w:val="16"/>
                <w:color w:val="auto"/>
                <w:w w:val="94"/>
              </w:rPr>
              <w:t>2%</w:t>
            </w: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740" w:type="dxa"/>
            <w:vAlign w:val="bottom"/>
            <w:tcBorders>
              <w:bottom w:val="single" w:sz="8" w:color="CCEEFF"/>
            </w:tcBorders>
            <w:gridSpan w:val="3"/>
            <w:shd w:val="clear" w:color="auto" w:fill="CCEEFF"/>
          </w:tcPr>
          <w:p>
            <w:pPr>
              <w:jc w:val="right"/>
              <w:ind w:right="234"/>
              <w:spacing w:after="0"/>
              <w:rPr>
                <w:sz w:val="20"/>
                <w:szCs w:val="20"/>
                <w:color w:val="auto"/>
              </w:rPr>
            </w:pPr>
            <w:r>
              <w:rPr>
                <w:rFonts w:ascii="Arial" w:cs="Arial" w:eastAsia="Arial" w:hAnsi="Arial"/>
                <w:sz w:val="16"/>
                <w:szCs w:val="16"/>
                <w:color w:val="auto"/>
                <w:w w:val="88"/>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center"/>
              <w:ind w:right="34"/>
              <w:spacing w:after="0"/>
              <w:rPr>
                <w:sz w:val="20"/>
                <w:szCs w:val="20"/>
                <w:color w:val="auto"/>
              </w:rPr>
            </w:pPr>
            <w:r>
              <w:rPr>
                <w:rFonts w:ascii="Arial" w:cs="Arial" w:eastAsia="Arial" w:hAnsi="Arial"/>
                <w:sz w:val="16"/>
                <w:szCs w:val="16"/>
                <w:color w:val="auto"/>
                <w:w w:val="92"/>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6"/>
                <w:szCs w:val="16"/>
                <w:color w:val="auto"/>
                <w:w w:val="96"/>
              </w:rPr>
              <w:t>88.7%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(0.4 pts)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0.9 pts</w:t>
            </w: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(0.2 pts)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right="520"/>
              <w:spacing w:after="0"/>
              <w:rPr>
                <w:sz w:val="20"/>
                <w:szCs w:val="20"/>
                <w:color w:val="auto"/>
              </w:rPr>
            </w:pPr>
            <w:r>
              <w:rPr>
                <w:rFonts w:ascii="Arial" w:cs="Arial" w:eastAsia="Arial" w:hAnsi="Arial"/>
                <w:sz w:val="16"/>
                <w:szCs w:val="16"/>
                <w:color w:val="auto"/>
                <w:w w:val="91"/>
              </w:rPr>
              <w:t>2.1 pts</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88"/>
              </w:rPr>
              <w:t>_________________________</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5" w:lineRule="exact"/>
        <w:rPr>
          <w:sz w:val="20"/>
          <w:szCs w:val="20"/>
          <w:color w:val="auto"/>
        </w:rPr>
      </w:pPr>
    </w:p>
    <w:p>
      <w:pPr>
        <w:ind w:left="660" w:right="3960" w:hanging="652"/>
        <w:spacing w:after="0" w:line="406" w:lineRule="auto"/>
        <w:tabs>
          <w:tab w:leader="none" w:pos="646"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 xml:space="preserve">Transient keys rented exclude those obtained through the use of plus points and preview stays. </w:t>
      </w:r>
      <w:r>
        <w:rPr>
          <w:rFonts w:ascii="Arial" w:cs="Arial" w:eastAsia="Arial" w:hAnsi="Arial"/>
          <w:sz w:val="18"/>
          <w:szCs w:val="18"/>
          <w:i w:val="1"/>
          <w:iCs w:val="1"/>
          <w:color w:val="auto"/>
        </w:rPr>
        <w:t>2019 Compared to 2018</w:t>
      </w:r>
    </w:p>
    <w:p>
      <w:pPr>
        <w:spacing w:after="0" w:line="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Excluding the impact of the ILG Acquisition, rental revenue increased $36 million due to a 4 percent increase in transient keys rented ($14 million), higher plus points revenue ($9 million), a 2 percent higher average transient rate ($5 million), and higher other revenues ($8 million).</w:t>
      </w:r>
    </w:p>
    <w:p>
      <w:pPr>
        <w:spacing w:after="0" w:line="3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rental margin reflected the higher rental revenues net of direct variable expenses (such as housekeeping) and the $9 million increase in plus points revenue, partially offset by higher expenses incurred due to owners choosing alternative usage options and higher unsold maintenance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ind w:left="580"/>
              <w:spacing w:after="0"/>
              <w:rPr>
                <w:sz w:val="20"/>
                <w:szCs w:val="20"/>
                <w:color w:val="auto"/>
              </w:rPr>
            </w:pPr>
            <w:r>
              <w:rPr>
                <w:rFonts w:ascii="Arial" w:cs="Arial" w:eastAsia="Arial" w:hAnsi="Arial"/>
                <w:sz w:val="16"/>
                <w:szCs w:val="16"/>
                <w:b w:val="1"/>
                <w:bCs w:val="1"/>
                <w:color w:val="auto"/>
                <w:w w:val="89"/>
              </w:rPr>
              <w:t>Change 2019 vs. 2018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580"/>
              <w:spacing w:after="0"/>
              <w:rPr>
                <w:sz w:val="20"/>
                <w:szCs w:val="20"/>
                <w:color w:val="auto"/>
              </w:rPr>
            </w:pPr>
            <w:r>
              <w:rPr>
                <w:rFonts w:ascii="Arial" w:cs="Arial" w:eastAsia="Arial" w:hAnsi="Arial"/>
                <w:sz w:val="16"/>
                <w:szCs w:val="16"/>
                <w:b w:val="1"/>
                <w:bCs w:val="1"/>
                <w:color w:val="auto"/>
                <w:w w:val="89"/>
              </w:rPr>
              <w:t>Change 2018 vs. 2017</w:t>
            </w:r>
          </w:p>
        </w:tc>
        <w:tc>
          <w:tcPr>
            <w:tcW w:w="70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1720" w:type="dxa"/>
            <w:vAlign w:val="bottom"/>
            <w:gridSpan w:val="3"/>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4"/>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4"/>
              </w:rPr>
              <w:t>10%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r>
      <w:tr>
        <w:trPr>
          <w:trHeight w:val="27"/>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4"/>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4"/>
              </w:rPr>
              <w:t>10%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00" w:type="dxa"/>
            <w:vAlign w:val="bottom"/>
          </w:tcPr>
          <w:p>
            <w:pPr>
              <w:jc w:val="center"/>
              <w:ind w:right="11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00" w:type="dxa"/>
            <w:vAlign w:val="bottom"/>
          </w:tcPr>
          <w:p>
            <w:pPr>
              <w:jc w:val="center"/>
              <w:ind w:right="130"/>
              <w:spacing w:after="0"/>
              <w:rPr>
                <w:sz w:val="20"/>
                <w:szCs w:val="20"/>
                <w:color w:val="auto"/>
              </w:rPr>
            </w:pPr>
            <w:r>
              <w:rPr>
                <w:rFonts w:ascii="Arial" w:cs="Arial" w:eastAsia="Arial" w:hAnsi="Arial"/>
                <w:sz w:val="18"/>
                <w:szCs w:val="18"/>
                <w:color w:val="auto"/>
                <w:w w:val="94"/>
              </w:rPr>
              <w:t>(9%)</w:t>
            </w: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Consumer financing interest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5"/>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5"/>
              </w:rPr>
              <w:t>(26%)</w:t>
            </w:r>
          </w:p>
        </w:tc>
      </w:tr>
      <w:tr>
        <w:trPr>
          <w:trHeight w:val="29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jc w:val="center"/>
              <w:ind w:right="130"/>
              <w:spacing w:after="0"/>
              <w:rPr>
                <w:sz w:val="20"/>
                <w:szCs w:val="20"/>
                <w:color w:val="auto"/>
              </w:rPr>
            </w:pPr>
            <w:r>
              <w:rPr>
                <w:rFonts w:ascii="Arial" w:cs="Arial" w:eastAsia="Arial" w:hAnsi="Arial"/>
                <w:sz w:val="18"/>
                <w:szCs w:val="18"/>
                <w:color w:val="auto"/>
                <w:w w:val="92"/>
              </w:rPr>
              <w:t>5%</w:t>
            </w: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Excluding the impact of the ILG Acquisition, financing revenues increased $32 million due to an increase in the average gross vacation ownership notes receivable balance and lower financing program incentive costs.</w:t>
      </w:r>
    </w:p>
    <w:p>
      <w:pPr>
        <w:spacing w:after="0" w:line="6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financing margin reflected the higher financing revenues, partially offset by higher consumer financing interest expense and higher other expenses. The higher consumer financing interest expense was due to a higher average outstanding debt balance and a higher average interest rate on the outstanding debt</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balance due to the higher interest rate applicable to our most recently completed securitizations of vacation ownership notes receivable. The higher other expenses were due to an increase in variable expenses associated with the increase in the average gross vacation ownership notes receivable balance.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w:t>
            </w:r>
          </w:p>
        </w:tc>
      </w:tr>
      <w:tr>
        <w:trPr>
          <w:trHeight w:val="432"/>
        </w:trPr>
        <w:tc>
          <w:tcPr>
            <w:tcW w:w="2300" w:type="dxa"/>
            <w:vAlign w:val="bottom"/>
          </w:tcPr>
          <w:p>
            <w:pPr>
              <w:spacing w:after="0"/>
              <w:rPr>
                <w:sz w:val="20"/>
                <w:szCs w:val="20"/>
                <w:color w:val="auto"/>
              </w:rPr>
            </w:pPr>
            <w:r>
              <w:rPr>
                <w:rFonts w:ascii="Arial" w:cs="Arial" w:eastAsia="Arial" w:hAnsi="Arial"/>
                <w:sz w:val="18"/>
                <w:szCs w:val="18"/>
                <w:b w:val="1"/>
                <w:bCs w:val="1"/>
                <w:color w:val="auto"/>
              </w:rPr>
              <w:t>Litigation Charges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24"/>
                <w:szCs w:val="24"/>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(40)</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NM</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In 2019, we incurred $6 million of litigation charges, including approximately $4 million related to projects in Europe and approximately $1 million related to projects in California.</w:t>
      </w:r>
    </w:p>
    <w:p>
      <w:pPr>
        <w:spacing w:after="0" w:line="62" w:lineRule="exact"/>
        <w:rPr>
          <w:sz w:val="20"/>
          <w:szCs w:val="20"/>
          <w:color w:val="auto"/>
        </w:rPr>
      </w:pPr>
    </w:p>
    <w:p>
      <w:pPr>
        <w:jc w:val="both"/>
        <w:ind w:right="140" w:firstLine="662"/>
        <w:spacing w:after="0" w:line="264" w:lineRule="auto"/>
        <w:rPr>
          <w:sz w:val="20"/>
          <w:szCs w:val="20"/>
          <w:color w:val="auto"/>
        </w:rPr>
      </w:pPr>
      <w:r>
        <w:rPr>
          <w:rFonts w:ascii="Arial" w:cs="Arial" w:eastAsia="Arial" w:hAnsi="Arial"/>
          <w:sz w:val="18"/>
          <w:szCs w:val="18"/>
          <w:color w:val="auto"/>
        </w:rPr>
        <w:t>In 2018, we incurred $46 million of litigation charges, including $28 million related to a previously managed project in Hawaii, $11 million related to a project in San Francisco, $5 million related to a project in Lake Tahoe, $1 million related to an Asia Pacific tax matter and $1 million related to projects in Europe.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580"/>
              <w:spacing w:after="0"/>
              <w:rPr>
                <w:sz w:val="20"/>
                <w:szCs w:val="20"/>
                <w:color w:val="auto"/>
              </w:rPr>
            </w:pPr>
            <w:r>
              <w:rPr>
                <w:rFonts w:ascii="Arial" w:cs="Arial" w:eastAsia="Arial" w:hAnsi="Arial"/>
                <w:sz w:val="16"/>
                <w:szCs w:val="16"/>
                <w:b w:val="1"/>
                <w:bCs w:val="1"/>
                <w:color w:val="auto"/>
                <w:w w:val="91"/>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Excluding the impact of the ILG Acquisition, Legacy-MVW royalty fee expense remained flat year-over-year due to an increase in the mix of sales of pre-owned inventory, which carry a lower royalty fee as compared to initial sales of our inventory (one percent versus two percent), offset by an increase in the dollar volume of closings and an increase in the fixed portion of the royalty fee. The prior year period benefited from a contractual decrease in the fixed portion of the royalty fee owed to Marriott International as a result of amendments to our license agreements with Marriott International entered into during the first quarter of 2018. This decrease in the fixed portion of the royalty fee terminated upon completion of the ILG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580"/>
              <w:spacing w:after="0"/>
              <w:rPr>
                <w:sz w:val="20"/>
                <w:szCs w:val="20"/>
                <w:color w:val="auto"/>
              </w:rPr>
            </w:pPr>
            <w:r>
              <w:rPr>
                <w:rFonts w:ascii="Arial" w:cs="Arial" w:eastAsia="Arial" w:hAnsi="Arial"/>
                <w:sz w:val="16"/>
                <w:szCs w:val="16"/>
                <w:b w:val="1"/>
                <w:bCs w:val="1"/>
                <w:color w:val="auto"/>
                <w:w w:val="91"/>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6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99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99</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ILG Acquisition, we performed a comprehensive review to evaluate the strategic fit of the land holdings and operating hotels in our Vacation Ownership segment. A key focus of our comprehensive review was to evaluate opportunities to reduce holdings in markets where we have excess supply so that future inventory spend can be focused on markets that create incremental cost-effective sales locations in areas of high customer demand. We evaluated each asset in the context of its current and anticipated product form, our inventory needs and our operating strategy. During the third quarter of 2019, we completed our evaluation and identified several assets for disposition which we believe will generate cash proceeds equivalent to their estimated fair value of $160 million to $220 million over the next several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ind w:right="80" w:firstLine="648"/>
        <w:spacing w:after="0" w:line="297" w:lineRule="auto"/>
        <w:rPr>
          <w:sz w:val="20"/>
          <w:szCs w:val="20"/>
          <w:color w:val="auto"/>
        </w:rPr>
      </w:pPr>
      <w:r>
        <w:rPr>
          <w:rFonts w:ascii="Arial" w:cs="Arial" w:eastAsia="Arial" w:hAnsi="Arial"/>
          <w:sz w:val="16"/>
          <w:szCs w:val="16"/>
          <w:color w:val="auto"/>
        </w:rPr>
        <w:t>As a result of the change in our development strategy, we recorded a non-cash impairment charge of $72 million, of which $61 million related to land and land improvements associated with future phases of three existing resorts, primarily attributable to the fact that the book values of these assets include the historical allocations of common costs incurred when we built the infrastructure of these resorts, $9 million related to a land parcel held for future development and $2 million related to an ancillary business, as the book values of these assets were in excess of the estimated fair values of these assets. We also reviewed the remainder of the assets identified for disposition and determined that no other impairment charges were necessary.</w:t>
      </w:r>
    </w:p>
    <w:p>
      <w:pPr>
        <w:spacing w:after="0" w:line="5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charge of $26 million. The impairment is primarily attributable to the fact that the book value of the assets to be sold exceeds the sales price because the book value includes allocations of common costs incurred when we built the infrastructure for the resort, including future phases. This contract was subsequently terminated.</w:t>
      </w:r>
    </w:p>
    <w:p>
      <w:pPr>
        <w:spacing w:after="0" w:line="8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2019, we also recorded a non-cash impairment charge of $1 million related to an ancillary asset located at a Vacation Ownership segment property in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12%</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Excluding the impact of the ILG Acquisition, cost reimbursements increased $13 million, or 2 percent, over 2018, reflecting $23 million due to additional managed unit weeks in 2019, partially offset by $8 million of lower costs and a $2 million impact from foreign exchange rates at our Legacy-MVW Vacation Ownership resorts in Europe and Asia. The lower costs were due to less refurbishment activity in 2019 and non-recurring hurricane remediation related costs in 2018, partially offset by inflationary wage and operating cost increases.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2"/>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r>
      <w:tr>
        <w:trPr>
          <w:trHeight w:val="27"/>
        </w:trPr>
        <w:tc>
          <w:tcPr>
            <w:tcW w:w="2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we incurred $4 million of acquisition costs associated with operating properties in San Francisco and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 Net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Gains and other income,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4"/>
              </w:rPr>
              <w:t>(6%)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2019, we recorded $28 million of gains and other income, including $19 million of net gains related to the disposition of excess land in Cancun, Mexico and Avon, Colorado, and $9 million of gains and other income related to net insurance proceeds from the settlement of Legacy-MVW business interruption insurance claims arising from the 2017 Hurricanes.</w:t>
      </w:r>
    </w:p>
    <w:p>
      <w:pPr>
        <w:spacing w:after="0" w:line="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2018, we recorded $28 million of gains and other income, including $29 million of net insurance proceeds related to the settlement of Legacy-MVW business interruption insurance claims arising from the 2017 Hurricanes and a $1 million favorable true up of previously recorded Legacy-MVW costs associated with the 2017 Hurricanes, partially offset by $2 million of Legacy-ILG non-operating foreign exchange losses.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4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and Aqua-Aston. These brands were acquired as part of our acquisition of ILG on September 1, 2018 and, consequently, are only included in our results for the periods subsequent to that 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BEFORE NONCONTROLLING</w:t>
            </w: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INTERESTS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140" w:type="dxa"/>
            <w:vAlign w:val="bottom"/>
            <w:vMerge w:val="restart"/>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80" w:type="dxa"/>
            <w:vAlign w:val="bottom"/>
          </w:tcPr>
          <w:p>
            <w:pPr>
              <w:spacing w:after="0"/>
              <w:rPr>
                <w:sz w:val="24"/>
                <w:szCs w:val="24"/>
                <w:color w:val="auto"/>
              </w:rPr>
            </w:pP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w w:val="99"/>
              </w:rPr>
              <w:t>57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Consolidated Property Owners’ Associations revenues and expenses.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 Years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560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ILG acquisition-related costs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FINANCIAL RESULTS BEFORE INCOME TAXES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5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1"/>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560" w:type="dxa"/>
            <w:vAlign w:val="bottom"/>
            <w:gridSpan w:val="2"/>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tcPr>
          <w:p>
            <w:pPr>
              <w:spacing w:after="0"/>
              <w:rPr>
                <w:sz w:val="24"/>
                <w:szCs w:val="24"/>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Fiscal Years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4"/>
          </w:tcPr>
          <w:p>
            <w:pPr>
              <w:ind w:left="280"/>
              <w:spacing w:after="0"/>
              <w:rPr>
                <w:sz w:val="20"/>
                <w:szCs w:val="20"/>
                <w:color w:val="auto"/>
              </w:rPr>
            </w:pPr>
            <w:r>
              <w:rPr>
                <w:rFonts w:ascii="Arial" w:cs="Arial" w:eastAsia="Arial" w:hAnsi="Arial"/>
                <w:sz w:val="18"/>
                <w:szCs w:val="18"/>
                <w:color w:val="auto"/>
                <w:w w:val="97"/>
              </w:rPr>
              <w:t>Resort management and other services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tcPr>
          <w:p>
            <w:pPr>
              <w:ind w:left="280"/>
              <w:spacing w:after="0"/>
              <w:rPr>
                <w:sz w:val="20"/>
                <w:szCs w:val="20"/>
                <w:color w:val="auto"/>
              </w:rPr>
            </w:pPr>
            <w:r>
              <w:rPr>
                <w:rFonts w:ascii="Arial" w:cs="Arial" w:eastAsia="Arial" w:hAnsi="Arial"/>
                <w:sz w:val="18"/>
                <w:szCs w:val="18"/>
                <w:color w:val="auto"/>
              </w:rPr>
              <w:t>Cost reimbursements</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w w:val="97"/>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gridSpan w:val="2"/>
          </w:tcPr>
          <w:p>
            <w:pPr>
              <w:ind w:left="280"/>
              <w:spacing w:after="0"/>
              <w:rPr>
                <w:sz w:val="20"/>
                <w:szCs w:val="20"/>
                <w:color w:val="auto"/>
              </w:rPr>
            </w:pPr>
            <w:r>
              <w:rPr>
                <w:rFonts w:ascii="Arial" w:cs="Arial" w:eastAsia="Arial" w:hAnsi="Arial"/>
                <w:sz w:val="18"/>
                <w:szCs w:val="18"/>
                <w:color w:val="auto"/>
              </w:rPr>
              <w:t>Rental</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2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EXPENSES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gridSpan w:val="3"/>
          </w:tcPr>
          <w:p>
            <w:pPr>
              <w:spacing w:after="0"/>
              <w:rPr>
                <w:sz w:val="2"/>
                <w:szCs w:val="2"/>
                <w:color w:val="auto"/>
              </w:rPr>
            </w:pPr>
          </w:p>
        </w:tc>
        <w:tc>
          <w:tcPr>
            <w:tcW w:w="102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11"/>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7"/>
          </w:tcPr>
          <w:p>
            <w:pPr>
              <w:ind w:left="40"/>
              <w:spacing w:after="0"/>
              <w:rPr>
                <w:sz w:val="20"/>
                <w:szCs w:val="20"/>
                <w:color w:val="auto"/>
              </w:rPr>
            </w:pPr>
            <w:r>
              <w:rPr>
                <w:rFonts w:ascii="Arial" w:cs="Arial" w:eastAsia="Arial" w:hAnsi="Arial"/>
                <w:sz w:val="18"/>
                <w:szCs w:val="18"/>
                <w:color w:val="auto"/>
                <w:w w:val="98"/>
              </w:rPr>
              <w:t>Net (income) loss attributable to noncontrolling interests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CCEEFF"/>
            </w:tcBorders>
            <w:gridSpan w:val="2"/>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60" w:type="dxa"/>
            <w:vAlign w:val="bottom"/>
            <w:gridSpan w:val="8"/>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6"/>
          </w:tcPr>
          <w:p>
            <w:pPr>
              <w:ind w:left="460"/>
              <w:spacing w:after="0"/>
              <w:rPr>
                <w:sz w:val="20"/>
                <w:szCs w:val="20"/>
                <w:color w:val="auto"/>
              </w:rPr>
            </w:pPr>
            <w:r>
              <w:rPr>
                <w:rFonts w:ascii="Arial" w:cs="Arial" w:eastAsia="Arial" w:hAnsi="Arial"/>
                <w:sz w:val="16"/>
                <w:szCs w:val="16"/>
                <w:b w:val="1"/>
                <w:bCs w:val="1"/>
                <w:color w:val="auto"/>
                <w:w w:val="89"/>
              </w:rPr>
              <w:t>Change 2019 vs. 2018</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9"/>
              </w:rPr>
              <w:t>Change 2018 vs. 2017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Excluding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Legacy-ILG Impact</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General and administrative$</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92</w:t>
            </w:r>
          </w:p>
        </w:tc>
        <w:tc>
          <w:tcPr>
            <w:tcW w:w="8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Excluding the impact of the ILG Acquisition, general and administrative expenses increased $15 million due to higher legal and technology costs as well as higher personnel related and other expenses. The higher personnel related and other expenses included annual merit, bonus and inflationary cost increases.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ind w:left="196"/>
              <w:spacing w:after="0"/>
              <w:rPr>
                <w:sz w:val="20"/>
                <w:szCs w:val="20"/>
                <w:color w:val="auto"/>
              </w:rPr>
            </w:pPr>
            <w:r>
              <w:rPr>
                <w:rFonts w:ascii="Arial" w:cs="Arial" w:eastAsia="Arial" w:hAnsi="Arial"/>
                <w:sz w:val="16"/>
                <w:szCs w:val="16"/>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b w:val="1"/>
                <w:bCs w:val="1"/>
                <w:color w:val="auto"/>
                <w:w w:val="96"/>
              </w:rPr>
              <w:t>Gains (Losses) and Other Income (Expense), net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Fiscal Years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24"/>
                <w:szCs w:val="24"/>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ind w:left="196"/>
              <w:spacing w:after="0"/>
              <w:rPr>
                <w:sz w:val="20"/>
                <w:szCs w:val="20"/>
                <w:color w:val="auto"/>
              </w:rPr>
            </w:pPr>
            <w:r>
              <w:rPr>
                <w:rFonts w:ascii="Arial" w:cs="Arial" w:eastAsia="Arial" w:hAnsi="Arial"/>
                <w:sz w:val="16"/>
                <w:szCs w:val="16"/>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Losses and other expense,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1"/>
              </w:rPr>
              <w:t>163%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NM</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2019, we recorded $13 million of losses and other expense primarily related to $10 million of integration related tax matters, $3 million of miscellaneous losses and other expense, and $2 million of losses and other expense resulting from foreign currency translation, partially offset by $3 million of gains and other income resulting from the recovery of a portion of the fraudulently induced electronic payment disbursements made in the second quarter of 2018.</w:t>
      </w:r>
    </w:p>
    <w:p>
      <w:pPr>
        <w:sectPr>
          <w:pgSz w:w="11900" w:h="16838" w:orient="portrait"/>
          <w:cols w:equalWidth="0" w:num="1">
            <w:col w:w="11420"/>
          </w:cols>
          <w:pgMar w:left="240" w:top="553"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53" w:right="239" w:bottom="1440" w:gutter="0" w:footer="0" w:header="0"/>
          <w:type w:val="continuous"/>
        </w:sectPr>
      </w:pPr>
    </w:p>
    <w:bookmarkStart w:id="61" w:name="page62"/>
    <w:bookmarkEnd w:id="61"/>
    <w:p>
      <w:pPr>
        <w:ind w:right="20" w:firstLine="648"/>
        <w:spacing w:after="0" w:line="279" w:lineRule="auto"/>
        <w:rPr>
          <w:sz w:val="20"/>
          <w:szCs w:val="20"/>
          <w:color w:val="auto"/>
        </w:rPr>
      </w:pPr>
      <w:r>
        <w:rPr>
          <w:rFonts w:ascii="Arial" w:cs="Arial" w:eastAsia="Arial" w:hAnsi="Arial"/>
          <w:sz w:val="17"/>
          <w:szCs w:val="17"/>
          <w:color w:val="auto"/>
        </w:rPr>
        <w:t>In 2018, we recorded $4 million of losses and other expenses primarily resulting from fraudulently induced electronic payment disbursements made to third parties, $2 million of other expenses primarily associated with such fraudulently induced electronic payment disbursements and $2 million of Legacy-ILG miscellaneous losses and other expense. See Footnote 11 “Contingencies and Commitments” to our Financial Statements for additional information regarding the fraudulently induced electronic payment disbursements made to third parties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2"/>
              </w:rPr>
              <w:t>Fiscal Years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6"/>
          </w:tcPr>
          <w:p>
            <w:pPr>
              <w:ind w:left="580"/>
              <w:spacing w:after="0"/>
              <w:rPr>
                <w:sz w:val="20"/>
                <w:szCs w:val="20"/>
                <w:color w:val="auto"/>
              </w:rPr>
            </w:pPr>
            <w:r>
              <w:rPr>
                <w:rFonts w:ascii="Arial" w:cs="Arial" w:eastAsia="Arial" w:hAnsi="Arial"/>
                <w:sz w:val="16"/>
                <w:szCs w:val="16"/>
                <w:b w:val="1"/>
                <w:bCs w:val="1"/>
                <w:color w:val="auto"/>
              </w:rPr>
              <w:t>Change 2019 vs. 2018</w:t>
            </w:r>
          </w:p>
        </w:tc>
        <w:tc>
          <w:tcPr>
            <w:tcW w:w="1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(77)</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(42)</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Interest expense increased $78 million due to $73 million of interest expense associated with the new debt issued in the third quarter of 2018 in connection with the ILG Acquisition, $4 million of higher interest expense associated with the Warehouse Credit Facility due to higher usage in 2019, and $4 million of higher interest expense associated with assumed Legacy-ILG debt that was redeemed during the fourth quarter of 2019, as discussed in Footnote 14 “Debt” to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2"/>
              </w:rPr>
              <w:t>Fiscal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spacing w:after="0"/>
              <w:rPr>
                <w:sz w:val="20"/>
                <w:szCs w:val="20"/>
                <w:color w:val="auto"/>
              </w:rPr>
            </w:pPr>
            <w:r>
              <w:rPr>
                <w:rFonts w:ascii="Arial" w:cs="Arial" w:eastAsia="Arial" w:hAnsi="Arial"/>
                <w:sz w:val="16"/>
                <w:szCs w:val="16"/>
                <w:b w:val="1"/>
                <w:bCs w:val="1"/>
                <w:color w:val="auto"/>
              </w:rPr>
              <w:t>Change 2019 vs. 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6"/>
                <w:szCs w:val="16"/>
                <w:b w:val="1"/>
                <w:bCs w:val="1"/>
                <w:color w:val="auto"/>
              </w:rPr>
              <w:t>Change 2018 vs. 2017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Change Excluding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6"/>
              </w:rPr>
              <w:t>Legacy-ILG Impact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ILG acquisition-related costs  $</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0" w:type="dxa"/>
            <w:vAlign w:val="bottom"/>
            <w:tcBorders>
              <w:bottom w:val="single" w:sz="8" w:color="CCEEFF"/>
            </w:tcBorders>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w:t>
            </w:r>
          </w:p>
        </w:tc>
        <w:tc>
          <w:tcPr>
            <w:tcW w:w="6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rPr>
              <w:t>(94)</w:t>
            </w:r>
          </w:p>
        </w:tc>
        <w:tc>
          <w:tcPr>
            <w:tcW w:w="6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Income 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Fiscal Years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center"/>
              <w:ind w:right="474"/>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center"/>
              <w:ind w:right="314"/>
              <w:spacing w:after="0"/>
              <w:rPr>
                <w:sz w:val="20"/>
                <w:szCs w:val="20"/>
                <w:color w:val="auto"/>
              </w:rPr>
            </w:pPr>
            <w:r>
              <w:rPr>
                <w:rFonts w:ascii="Arial" w:cs="Arial" w:eastAsia="Arial" w:hAnsi="Arial"/>
                <w:sz w:val="16"/>
                <w:szCs w:val="16"/>
                <w:b w:val="1"/>
                <w:bCs w:val="1"/>
                <w:color w:val="auto"/>
                <w:w w:val="87"/>
              </w:rPr>
              <w:t>2019 vs. 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2018 vs. 2017</w:t>
            </w:r>
          </w:p>
        </w:tc>
        <w:tc>
          <w:tcPr>
            <w:tcW w:w="180" w:type="dxa"/>
            <w:vAlign w:val="bottom"/>
            <w:tcBorders>
              <w:bottom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year ended December 31, 2019, the provision for income taxes increased $32 million, compared with the same period in 2018. The increase was primarily driven by increases in U.S. and foreign earnings as a result of the ILG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662"/>
        <w:spacing w:after="0" w:line="273" w:lineRule="auto"/>
        <w:rPr>
          <w:sz w:val="20"/>
          <w:szCs w:val="20"/>
          <w:color w:val="auto"/>
        </w:rPr>
      </w:pPr>
      <w:r>
        <w:rPr>
          <w:rFonts w:ascii="Arial" w:cs="Arial" w:eastAsia="Arial" w:hAnsi="Arial"/>
          <w:sz w:val="17"/>
          <w:szCs w:val="17"/>
          <w:color w:val="auto"/>
        </w:rPr>
        <w:t>Our capital needs are supported by cash on hand ($287 million at the end of 2019),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2019, we had $4.2 billion of total gross debt outstanding, which included $1.9 billion of non-recourse securitized debt, $1.1 billion of gross senior unsecured notes, $0.9 billion of gross secured indebtedness under the Corporate Credit Facility, and $0.2 billion of Convertible Notes.</w:t>
      </w:r>
    </w:p>
    <w:p>
      <w:pPr>
        <w:spacing w:after="0" w:line="70"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At the end of 2019, we had $846 million of real estate inventory on hand, comprised of $777 million of finished goods and $69 million of work-in-progress. In addition, we had $55 million of completed vacation ownership units that have been classified as a component of Property and equipment until the time at which they are legally registered for sale as vacation ownership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49"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firstLine="662"/>
        <w:spacing w:after="0" w:line="272"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development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closely align the timing of our real estate inventory acquisitions with the pace of sales of vacation ownership products. We expect to standardize our sales inventory acquisition policies across our portfolio of vacation ownership brands acquired as part of the ILG Acquisition.</w:t>
      </w:r>
    </w:p>
    <w:p>
      <w:pPr>
        <w:spacing w:after="0" w:line="70"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w:t>
      </w:r>
    </w:p>
    <w:p>
      <w:pPr>
        <w:spacing w:after="0" w:line="79" w:lineRule="exact"/>
        <w:rPr>
          <w:sz w:val="20"/>
          <w:szCs w:val="20"/>
          <w:color w:val="auto"/>
        </w:rPr>
      </w:pPr>
    </w:p>
    <w:p>
      <w:pPr>
        <w:ind w:right="80" w:firstLine="662"/>
        <w:spacing w:after="0" w:line="302" w:lineRule="auto"/>
        <w:rPr>
          <w:sz w:val="20"/>
          <w:szCs w:val="20"/>
          <w:color w:val="auto"/>
        </w:rPr>
      </w:pPr>
      <w:r>
        <w:rPr>
          <w:rFonts w:ascii="Arial" w:cs="Arial" w:eastAsia="Arial" w:hAnsi="Arial"/>
          <w:sz w:val="16"/>
          <w:szCs w:val="16"/>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 This segment is expected to be less capital intensive than our Vacation Ownership segment and is expected to be funded with cash generated from segment operations.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99"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37465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provided by (used in):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7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200" w:firstLine="662"/>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and funding our working capital needs.</w:t>
      </w:r>
    </w:p>
    <w:p>
      <w:pPr>
        <w:spacing w:after="0" w:line="80" w:lineRule="exact"/>
        <w:rPr>
          <w:sz w:val="20"/>
          <w:szCs w:val="20"/>
          <w:color w:val="auto"/>
        </w:rPr>
      </w:pPr>
    </w:p>
    <w:p>
      <w:pPr>
        <w:ind w:right="80" w:firstLine="662"/>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60" w:firstLine="662"/>
        <w:spacing w:after="0" w:line="273" w:lineRule="auto"/>
        <w:rPr>
          <w:sz w:val="20"/>
          <w:szCs w:val="20"/>
          <w:color w:val="auto"/>
        </w:rPr>
      </w:pPr>
      <w:r>
        <w:rPr>
          <w:rFonts w:ascii="Arial" w:cs="Arial" w:eastAsia="Arial" w:hAnsi="Arial"/>
          <w:sz w:val="17"/>
          <w:szCs w:val="17"/>
          <w:color w:val="auto"/>
        </w:rPr>
        <w:t>In 2019, we generated $382 million of cash flows from operating activities compared to $97 million in 2018. Excluding the impact of changes in net income and adjustments for non-cash items, the change in cash flows from operations reflected higher originations of vacation ownership notes receivable driven by higher contract sales and slightly higher financing propensity, higher inventory spending, lower ILG acquisition-related costs, and timing of certain annual compensation-related outflows partially offset by higher collections due to an increasing portfolio of outstanding vacation ownership notes receivable. The impact of changes in operating cash flows in 2019 also included $118 million of ILG acquisition-related costs, partially offset by business interruption insurance proceeds of $6 million for Legacy-MVW losses and $38 million for Legacy-ILG losses.</w:t>
      </w:r>
    </w:p>
    <w:p>
      <w:pPr>
        <w:spacing w:after="0" w:line="70"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In 2018, we generated $97 million of cash flows from operating activities compared to $142 million in 2017. Excluding the impact of changes in net income and adjustments for non-cash items, the change in cash flows from operations reflected higher originations driven by higher contract sales and higher real estate inventory spending, partially offset by higher collections due to an increasing portfolio of outstanding vacation ownership notes receivable. The impact of changes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cash flows in 2018 also included $127 million of ILG acquisition-related costs, partially offset by business interruption insurance proceeds of $32 million for Legacy-MVW and $25 million for Legacy-ILG.</w:t>
      </w:r>
    </w:p>
    <w:p>
      <w:pPr>
        <w:spacing w:after="0" w:line="62"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Cost of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costs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37"/>
        </w:trPr>
        <w:tc>
          <w:tcPr>
            <w:tcW w:w="7080" w:type="dxa"/>
            <w:vAlign w:val="bottom"/>
          </w:tcPr>
          <w:p>
            <w:pPr>
              <w:ind w:left="280"/>
              <w:spacing w:after="0"/>
              <w:rPr>
                <w:sz w:val="20"/>
                <w:szCs w:val="20"/>
                <w:color w:val="auto"/>
              </w:rPr>
            </w:pPr>
            <w:r>
              <w:rPr>
                <w:rFonts w:ascii="Arial" w:cs="Arial" w:eastAsia="Arial" w:hAnsi="Arial"/>
                <w:sz w:val="18"/>
                <w:szCs w:val="18"/>
                <w:color w:val="auto"/>
              </w:rPr>
              <w:t>Inventory spending less than cost of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662"/>
        <w:spacing w:after="0" w:line="279" w:lineRule="auto"/>
        <w:rPr>
          <w:sz w:val="20"/>
          <w:szCs w:val="20"/>
          <w:color w:val="auto"/>
        </w:rPr>
      </w:pPr>
      <w:r>
        <w:rPr>
          <w:rFonts w:ascii="Arial" w:cs="Arial" w:eastAsia="Arial" w:hAnsi="Arial"/>
          <w:sz w:val="17"/>
          <w:szCs w:val="17"/>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 Given the significant level of completed real estate inventory on hand, as well as the capital efficiency resulting from our points programs and capital efficient transactions, our spending for real estate inventory remained below the amount of real estate inventory costs in 2019, 2018, and 2017.</w:t>
      </w:r>
    </w:p>
    <w:p>
      <w:pPr>
        <w:spacing w:after="0" w:line="63"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Our inventory spending in 2019 included a payment to satisfy our commitment to purchase 78 vacation ownership units located in San Francisco, California for $48 million. Purchase of vacation ownership units for future transfer to inventory for 2019 included a $20 million advance payment to satisfy a portion of our commitment to purchase 57 vacation ownership units located in New York</w:t>
      </w:r>
      <w:r>
        <w:rPr>
          <w:rFonts w:ascii="Arial" w:cs="Arial" w:eastAsia="Arial" w:hAnsi="Arial"/>
          <w:sz w:val="18"/>
          <w:szCs w:val="18"/>
          <w:color w:val="EE2724"/>
        </w:rPr>
        <w:t>.</w:t>
      </w:r>
    </w:p>
    <w:p>
      <w:pPr>
        <w:spacing w:after="0" w:line="73" w:lineRule="exact"/>
        <w:rPr>
          <w:sz w:val="20"/>
          <w:szCs w:val="20"/>
          <w:color w:val="auto"/>
        </w:rPr>
      </w:pPr>
    </w:p>
    <w:p>
      <w:pPr>
        <w:ind w:right="60" w:firstLine="662"/>
        <w:spacing w:after="0" w:line="264" w:lineRule="auto"/>
        <w:rPr>
          <w:sz w:val="20"/>
          <w:szCs w:val="20"/>
          <w:color w:val="auto"/>
        </w:rPr>
      </w:pPr>
      <w:r>
        <w:rPr>
          <w:rFonts w:ascii="Arial" w:cs="Arial" w:eastAsia="Arial" w:hAnsi="Arial"/>
          <w:sz w:val="18"/>
          <w:szCs w:val="18"/>
          <w:color w:val="auto"/>
        </w:rPr>
        <w:t>Our inventory spending in 2018 included payments to satisfy our then remaining commitments to purchase vacation ownership units located at our resort in Marco Island, Florida. During 2018, we acquired 92 completed vacation ownership units for $83 million and 20 completed vacation ownership units for $24 million in two separate transactions.</w:t>
      </w:r>
    </w:p>
    <w:p>
      <w:pPr>
        <w:spacing w:after="0" w:line="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Footnote 3 “Acquisitions and Dispositions” and Footnote 11 “Contingencies and Commitments” to our Financial Statements for additional information regarding the transactions discussed above.</w:t>
      </w:r>
    </w:p>
    <w:p>
      <w:pPr>
        <w:spacing w:after="0" w:line="62" w:lineRule="exact"/>
        <w:rPr>
          <w:sz w:val="20"/>
          <w:szCs w:val="20"/>
          <w:color w:val="auto"/>
        </w:rPr>
      </w:pPr>
    </w:p>
    <w:p>
      <w:pPr>
        <w:ind w:right="300" w:firstLine="662"/>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7"/>
        </w:trPr>
        <w:tc>
          <w:tcPr>
            <w:tcW w:w="710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in 2019 compared to 2018 due to an increase in the portfolio of outstanding vacation ownership notes receivable, including full-year collections on the portfolio acquired in 2018 as part of the ILG Acquisition. Vacation ownership notes receivable originations in 2019 increased due to higher vacation ownership contract sales combined with a slight increase in financing propensity to 63 percent compared to 62 percent for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Disposition of subsidiary shares to noncontrolling interest holder</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collection of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Dispositions, net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Net cash, cash equivalents and restricted cash provided by (used in) investing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a Business, Net of Cash and Restricted Cash Acquired</w:t>
      </w:r>
    </w:p>
    <w:p>
      <w:pPr>
        <w:spacing w:after="0" w:line="117"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Cash outflows of $1.4 billion in 2018 were due to the ILG Acquisition. See Footnote 3 “Acquisitions and Dispositions” to our Financial Statements for more information.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 of Subsidiary Shares to Noncontrolling Interest</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part of the ILG Acquisition, we acquired a 75.5 percent interest in VRI Europe Limited (“VRI Europe”), a joint venture comprised of a European vacation ownership resort management business, which was consolidated by MVW under the voting interest model. During the fourth quarter of 2018, we sold our interest in VRI Europe to an affiliate of the noncontrolling interest holder for our book value of $63 million, of which $40 million in cash proceeds was received in 2018. In addition, we recorded total receivables of $23 million relating to this transaction, which was received in 2019 and is included in the Proceeds from collection of notes receivable line on our Cash Flows as discussed below.</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2019, we collected $23 million of notes receivable related to the disposition of our interest in VRI Europe during the fourth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also collected a $15 million note receivable acquired in the ILG Acquisition.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3"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In 2019, capital expenditures for property and equipment of $46 million included $32 million to support business operations (including $19 million for ancillary and other operations assets and $13 million for sales locations) and $14 million for technology spending.</w:t>
      </w:r>
    </w:p>
    <w:p>
      <w:pPr>
        <w:spacing w:after="0" w:line="62" w:lineRule="exact"/>
        <w:rPr>
          <w:sz w:val="20"/>
          <w:szCs w:val="20"/>
          <w:color w:val="auto"/>
        </w:rPr>
      </w:pPr>
    </w:p>
    <w:p>
      <w:pPr>
        <w:ind w:right="140" w:firstLine="662"/>
        <w:spacing w:after="0" w:line="277" w:lineRule="auto"/>
        <w:rPr>
          <w:sz w:val="20"/>
          <w:szCs w:val="20"/>
          <w:color w:val="auto"/>
        </w:rPr>
      </w:pPr>
      <w:r>
        <w:rPr>
          <w:rFonts w:ascii="Arial" w:cs="Arial" w:eastAsia="Arial" w:hAnsi="Arial"/>
          <w:sz w:val="18"/>
          <w:szCs w:val="18"/>
          <w:color w:val="auto"/>
        </w:rPr>
        <w:t>In 2018, capital expenditures for property and equipment of $40 million included $29 million to support business operations (including $19 million for ancillary and other operations assets and $10 million for sales locations) and $11 million for technology spending.</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as discussed in Footnote 2 “Summary of Significant Accounting Policies” to our Financial Statements. During 2019 and 2018, we paid $6 million and $14 million, respectively, to acquire these policies.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 net</w:t>
      </w:r>
    </w:p>
    <w:p>
      <w:pPr>
        <w:spacing w:after="0" w:line="117"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Dispositions of $51 million during 2019 related to our dispositions of excess land parcels in Cancun, Mexico and Avon, Colorado as part of our strategic decision to reduce holdings in markets where we have excess supply. See discussion included in Footnote 3 “Acquisitions and Dispositions” to our Financial Statements for additional information.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significant dispositions of property and assets in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Years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securitization transactions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 of debt related to securitization transactions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payment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 of convertible note hedges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Net cash, cash equivalents and restricted cash (used in) provided by financing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40" w:firstLine="662"/>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jc w:val="both"/>
        <w:ind w:right="160" w:firstLine="662"/>
        <w:spacing w:after="0" w:line="264" w:lineRule="auto"/>
        <w:rPr>
          <w:sz w:val="20"/>
          <w:szCs w:val="20"/>
          <w:color w:val="auto"/>
        </w:rPr>
      </w:pPr>
      <w:r>
        <w:rPr>
          <w:rFonts w:ascii="Arial" w:cs="Arial" w:eastAsia="Arial" w:hAnsi="Arial"/>
          <w:sz w:val="18"/>
          <w:szCs w:val="18"/>
          <w:color w:val="auto"/>
        </w:rPr>
        <w:t>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7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During the second quarter of 2019, we completed the securitization of a pool of $459 million of vacation ownership notes receivable. In connection with the securitization, investors purchased in a private placement, $450 million in vacation ownership loan backed notes from MVW 2019-1 LLC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completed two securitization transactions during the fourth quarter of 2019. In October 2019, we completed the securitization of a pool of $315 million of vacation ownership notes receivable. In connection with the securitization, investors purchased in a private placement $309 million in vacation ownership loan backed notes from MVW 2019-2 LLC (the “2019-2 LLC”). Three classes of vacation ownership loan backed notes were issued by the 2019-2 LLC: $232 million of Class A Notes, $54 million of Class B Notes and $23 million of Class C Notes. The Class A Notes have an interest rate of 2.22 percent, the Class B Notes have an interest rate of 2.44 percent and the Class C Notes have an interest rate of 2.68 percent, for an overall weighted average interest rate of 2.29 percent.</w:t>
      </w:r>
    </w:p>
    <w:p>
      <w:pPr>
        <w:spacing w:after="0" w:line="8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Additionally, in December 2019, we completed the securitization of a pool of $90 million of primarily Asia-Pacific vacation ownership notes receivable that we previously classified as not eligible for securitization. In connection with the securitization, an investor purchased in a private placement $65 million in vacation ownership loan backed notes from Vacanza 2019-A LLC with an interest rate of 4.42%.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Revolving Corporate Credit Facility</w:t>
      </w:r>
    </w:p>
    <w:p>
      <w:pPr>
        <w:spacing w:after="0" w:line="11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During 2019, we borrowed $585 million under our Revolving Corporate Credit Facility to facilitate the funding of our short-term working capital needs, of which $555 million was repaid during 2019. As of December 31, 2019, $30 million was outstanding under our Revolving Corporate Credit Facility.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2018, we borrowed $40 million under our Revolving Corporate Credit Facility to facilitate the funding of our short-term working capital needs, all of which was repaid as of December 31, 2018.</w:t>
      </w:r>
    </w:p>
    <w:p>
      <w:pPr>
        <w:spacing w:after="0" w:line="62" w:lineRule="exact"/>
        <w:rPr>
          <w:sz w:val="20"/>
          <w:szCs w:val="20"/>
          <w:color w:val="auto"/>
        </w:rPr>
      </w:pPr>
    </w:p>
    <w:p>
      <w:pPr>
        <w:ind w:left="660" w:right="1400"/>
        <w:spacing w:after="0" w:line="375" w:lineRule="auto"/>
        <w:rPr>
          <w:sz w:val="20"/>
          <w:szCs w:val="20"/>
          <w:color w:val="auto"/>
        </w:rPr>
      </w:pPr>
      <w:r>
        <w:rPr>
          <w:rFonts w:ascii="Arial" w:cs="Arial" w:eastAsia="Arial" w:hAnsi="Arial"/>
          <w:sz w:val="18"/>
          <w:szCs w:val="18"/>
          <w:color w:val="auto"/>
        </w:rPr>
        <w:t xml:space="preserve">See Footnote 14 “Debt” to our Financial Statements for additional information regarding our Revolving Corporate Credit Facility. </w:t>
      </w:r>
      <w:r>
        <w:rPr>
          <w:rFonts w:ascii="Arial" w:cs="Arial" w:eastAsia="Arial" w:hAnsi="Arial"/>
          <w:sz w:val="18"/>
          <w:szCs w:val="18"/>
          <w:i w:val="1"/>
          <w:iCs w:val="1"/>
          <w:u w:val="single" w:color="auto"/>
          <w:color w:val="auto"/>
        </w:rPr>
        <w:t>Proceeds from Senior Unsecured Debt and Term Loan</w:t>
      </w:r>
    </w:p>
    <w:p>
      <w:pPr>
        <w:spacing w:after="0" w:line="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During 2019, we issued $350 million of senior unsecured notes, the 2028 Notes, under an indenture dated October 1, 2019 with The Bank of New York Mellon Trust, as trustee. The net proceeds from the 2028 Notes were used (i) to redeem all of the outstanding IAC Notes, (ii) to redeem all of the outstanding Exchange Notes, (iii) to repay a portion of the outstanding borrowings under our Revolving Corporate Credit Facility, (iv) to pay transaction expenses and fees in connection with each of the foregoing and (v) for general corporate purposes.</w:t>
      </w:r>
    </w:p>
    <w:p>
      <w:pPr>
        <w:spacing w:after="0" w:line="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2018, in connection with the ILG Acquisition, we issued $750 million of senior unsecured notes, the 2026 Notes, and borrowed $900 million under a Term Loan, which was included as part of our Corporate Credit Facility.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14 “Debt” to our Financial Statements for additional information on these transactions.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Repayments of Non-interest Bearing Note Payable</w:t>
      </w:r>
    </w:p>
    <w:p>
      <w:pPr>
        <w:spacing w:after="0" w:line="11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During 2019, we paid the last installment of $31 million on a non-interest bearing note payable related to the acquisition of 112 completed vacation ownership units located on the Big Island of Hawaii in 2017. During 2018, we paid $33 million on this non-interest bearing note payable.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2019, we incurred $20 million of debt issuance costs, which included $12 million associated with the 2019 vacation ownership notes receivable securitizations, $5 million associated with the issuance of Senior Unsecured Notes, $2 million associated with the amendment and extension of the Warehouse Credit Facility, and $1 million related to the amendment of the Revolving Corporate Credit Facility.</w:t>
      </w:r>
    </w:p>
    <w:p>
      <w:pPr>
        <w:spacing w:after="0" w:line="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2018, we incurred $34 million of debt issuance costs, which included $13 million associated with the Term Loan, $9 million associated with the issuance of Senior Unsecured Notes, $6 million associated with the 2018 vacation ownership notes receivable securitizations, $4 million related to the current $600 million Revolving Corporate Credit Facility, $1 million associated with the amendment and extension of the Warehouse Credit Facility and $1 million associated with the issuance of the Exchange Notes.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 of Common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200" w:type="dxa"/>
            <w:vAlign w:val="bottom"/>
          </w:tcPr>
          <w:p>
            <w:pPr>
              <w:spacing w:after="0"/>
              <w:rPr>
                <w:sz w:val="17"/>
                <w:szCs w:val="17"/>
                <w:color w:val="auto"/>
              </w:rPr>
            </w:pPr>
          </w:p>
        </w:tc>
        <w:tc>
          <w:tcPr>
            <w:tcW w:w="1400" w:type="dxa"/>
            <w:vAlign w:val="bottom"/>
          </w:tcPr>
          <w:p>
            <w:pPr>
              <w:jc w:val="right"/>
              <w:ind w:right="234"/>
              <w:spacing w:after="0"/>
              <w:rPr>
                <w:sz w:val="20"/>
                <w:szCs w:val="20"/>
                <w:color w:val="auto"/>
              </w:rPr>
            </w:pPr>
            <w:r>
              <w:rPr>
                <w:rFonts w:ascii="Arial" w:cs="Arial" w:eastAsia="Arial" w:hAnsi="Arial"/>
                <w:sz w:val="16"/>
                <w:szCs w:val="16"/>
                <w:b w:val="1"/>
                <w:bCs w:val="1"/>
                <w:color w:val="auto"/>
                <w:w w:val="99"/>
              </w:rPr>
              <w:t>Average Price</w:t>
            </w:r>
          </w:p>
        </w:tc>
      </w:tr>
      <w:tr>
        <w:trPr>
          <w:trHeight w:val="237"/>
        </w:trPr>
        <w:tc>
          <w:tcPr>
            <w:tcW w:w="6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200" w:type="dxa"/>
            <w:vAlign w:val="bottom"/>
          </w:tcPr>
          <w:p>
            <w:pPr>
              <w:spacing w:after="0"/>
              <w:rPr>
                <w:sz w:val="20"/>
                <w:szCs w:val="20"/>
                <w:color w:val="auto"/>
              </w:rPr>
            </w:pPr>
          </w:p>
        </w:tc>
        <w:tc>
          <w:tcPr>
            <w:tcW w:w="1400" w:type="dxa"/>
            <w:vAlign w:val="bottom"/>
          </w:tcPr>
          <w:p>
            <w:pPr>
              <w:jc w:val="right"/>
              <w:ind w:right="194"/>
              <w:spacing w:after="0"/>
              <w:rPr>
                <w:sz w:val="20"/>
                <w:szCs w:val="20"/>
                <w:color w:val="auto"/>
              </w:rPr>
            </w:pPr>
            <w:r>
              <w:rPr>
                <w:rFonts w:ascii="Arial" w:cs="Arial" w:eastAsia="Arial" w:hAnsi="Arial"/>
                <w:sz w:val="16"/>
                <w:szCs w:val="16"/>
                <w:b w:val="1"/>
                <w:bCs w:val="1"/>
                <w:color w:val="auto"/>
                <w:w w:val="98"/>
              </w:rPr>
              <w:t>Paid per Share</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For the year ended December 31, 2019</w:t>
            </w:r>
          </w:p>
        </w:tc>
        <w:tc>
          <w:tcPr>
            <w:tcW w:w="1840" w:type="dxa"/>
            <w:vAlign w:val="bottom"/>
          </w:tcPr>
          <w:p>
            <w:pPr>
              <w:jc w:val="right"/>
              <w:ind w:right="34"/>
              <w:spacing w:after="0"/>
              <w:rPr>
                <w:sz w:val="20"/>
                <w:szCs w:val="20"/>
                <w:color w:val="auto"/>
              </w:rPr>
            </w:pPr>
            <w:r>
              <w:rPr>
                <w:rFonts w:ascii="Arial" w:cs="Arial" w:eastAsia="Arial" w:hAnsi="Arial"/>
                <w:sz w:val="18"/>
                <w:szCs w:val="18"/>
                <w:color w:val="auto"/>
              </w:rPr>
              <w:t>4,731,176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98.24</w:t>
            </w:r>
          </w:p>
        </w:tc>
      </w:tr>
      <w:tr>
        <w:trPr>
          <w:trHeight w:val="27"/>
        </w:trPr>
        <w:tc>
          <w:tcPr>
            <w:tcW w:w="61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16,418,950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Footnote 15 “Shareholders' Equity” to our Financial Statements for further information related to our 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of Dividends to Common Shareholders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for the year ended December 31, 2019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3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Shareholder Record Date</w:t>
            </w:r>
          </w:p>
        </w:tc>
        <w:tc>
          <w:tcPr>
            <w:tcW w:w="3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Distribution Date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6, 2018</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 2018</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3, 2019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$0.45</w:t>
            </w:r>
          </w:p>
        </w:tc>
      </w:tr>
      <w:tr>
        <w:trPr>
          <w:trHeight w:val="243"/>
        </w:trPr>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15, 2019</w:t>
            </w: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3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14, 2019</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$0.45</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May 9, 2019</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23, 2019</w:t>
            </w:r>
          </w:p>
        </w:tc>
        <w:tc>
          <w:tcPr>
            <w:tcW w:w="3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June 6, 2019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$0.45</w:t>
            </w:r>
          </w:p>
        </w:tc>
      </w:tr>
      <w:tr>
        <w:trPr>
          <w:trHeight w:val="243"/>
        </w:trPr>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5, 2019</w:t>
            </w:r>
          </w:p>
        </w:tc>
        <w:tc>
          <w:tcPr>
            <w:tcW w:w="31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19, 2019</w:t>
            </w:r>
          </w:p>
        </w:tc>
        <w:tc>
          <w:tcPr>
            <w:tcW w:w="32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3, 2019</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$0.45</w:t>
            </w:r>
          </w:p>
        </w:tc>
      </w:tr>
    </w:tbl>
    <w:p>
      <w:pPr>
        <w:spacing w:after="0" w:line="121" w:lineRule="exact"/>
        <w:rPr>
          <w:sz w:val="20"/>
          <w:szCs w:val="20"/>
          <w:color w:val="auto"/>
        </w:rPr>
      </w:pPr>
    </w:p>
    <w:p>
      <w:pPr>
        <w:ind w:right="200" w:firstLine="662"/>
        <w:spacing w:after="0" w:line="264" w:lineRule="auto"/>
        <w:rPr>
          <w:sz w:val="20"/>
          <w:szCs w:val="20"/>
          <w:color w:val="auto"/>
        </w:rPr>
      </w:pPr>
      <w:r>
        <w:rPr>
          <w:rFonts w:ascii="Arial" w:cs="Arial" w:eastAsia="Arial" w:hAnsi="Arial"/>
          <w:sz w:val="18"/>
          <w:szCs w:val="18"/>
          <w:color w:val="auto"/>
        </w:rPr>
        <w:t>On December 9, 2019, our Board of Directors declared a quarterly dividend of $0.54 per share that was paid on January 6, 2020 to shareholders of record as of December 23, 2019. On February 14, 2020, subsequent to the end of 2019, our Board of Directors declared a quarterly dividend of $0.54 per share to be paid on March 12, 2020 to shareholders of record as of February 27,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firstLine="662"/>
        <w:spacing w:after="0" w:line="293" w:lineRule="auto"/>
        <w:rPr>
          <w:sz w:val="20"/>
          <w:szCs w:val="20"/>
          <w:color w:val="auto"/>
        </w:rPr>
      </w:pPr>
      <w:r>
        <w:rPr>
          <w:rFonts w:ascii="Arial" w:cs="Arial" w:eastAsia="Arial" w:hAnsi="Arial"/>
          <w:sz w:val="16"/>
          <w:szCs w:val="16"/>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Less Than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1 Year</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1 - 3 Years</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22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280"/>
              <w:spacing w:after="0"/>
              <w:rPr>
                <w:sz w:val="20"/>
                <w:szCs w:val="20"/>
                <w:color w:val="auto"/>
              </w:rPr>
            </w:pPr>
            <w:r>
              <w:rPr>
                <w:rFonts w:ascii="Arial" w:cs="Arial" w:eastAsia="Arial" w:hAnsi="Arial"/>
                <w:sz w:val="18"/>
                <w:szCs w:val="18"/>
                <w:color w:val="auto"/>
              </w:rPr>
              <w:t>Debt</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21"/>
                <w:szCs w:val="21"/>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40" w:hanging="652"/>
        <w:spacing w:after="0" w:line="232" w:lineRule="auto"/>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1" w:lineRule="exact"/>
        <w:rPr>
          <w:rFonts w:ascii="Arial" w:cs="Arial" w:eastAsia="Arial" w:hAnsi="Arial"/>
          <w:sz w:val="24"/>
          <w:szCs w:val="24"/>
          <w:color w:val="auto"/>
          <w:vertAlign w:val="superscript"/>
        </w:rPr>
      </w:pPr>
    </w:p>
    <w:p>
      <w:pPr>
        <w:ind w:left="660" w:hanging="652"/>
        <w:spacing w:after="0" w:line="225"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56" w:lineRule="exact"/>
        <w:rPr>
          <w:rFonts w:ascii="Arial" w:cs="Arial" w:eastAsia="Arial" w:hAnsi="Arial"/>
          <w:sz w:val="25"/>
          <w:szCs w:val="25"/>
          <w:color w:val="auto"/>
          <w:vertAlign w:val="superscript"/>
        </w:rPr>
      </w:pPr>
    </w:p>
    <w:p>
      <w:pPr>
        <w:ind w:left="660" w:right="80" w:hanging="652"/>
        <w:spacing w:after="0" w:line="208"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96"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on behalf of property owners’ associations to manage the daily operating needs of our resorts. Since we are reimbursed for these commitments from the cash flows of the resorts, these obligations have minimal impact on our net income and cash flow.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240" w:firstLine="662"/>
        <w:spacing w:after="0" w:line="259" w:lineRule="auto"/>
        <w:rPr>
          <w:sz w:val="20"/>
          <w:szCs w:val="20"/>
          <w:color w:val="auto"/>
        </w:rPr>
      </w:pPr>
      <w:r>
        <w:rPr>
          <w:rFonts w:ascii="Arial" w:cs="Arial" w:eastAsia="Arial" w:hAnsi="Arial"/>
          <w:sz w:val="18"/>
          <w:szCs w:val="18"/>
          <w:color w:val="auto"/>
        </w:rPr>
        <w:t>Subsequent to the end of 2019, we entered into a finance lease arrangement for a new corporate office building in Orlando, Florida. The new Orlando corporate office building is expected to be completed in 2021, at which time the lease term will commence and a right-of-use asset and corresponding liability will be recorded on our balance sheet. The initial lease term is approximately 16 years with total lease payments of $129 million for the aforementioned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662"/>
        <w:spacing w:after="0" w:line="277" w:lineRule="auto"/>
        <w:rPr>
          <w:sz w:val="20"/>
          <w:szCs w:val="20"/>
          <w:color w:val="auto"/>
        </w:rPr>
      </w:pPr>
      <w:r>
        <w:rPr>
          <w:rFonts w:ascii="Arial" w:cs="Arial" w:eastAsia="Arial" w:hAnsi="Arial"/>
          <w:sz w:val="18"/>
          <w:szCs w:val="18"/>
          <w:color w:val="auto"/>
        </w:rPr>
        <w:t>See Footnote 2 “Summary of Significant Accounting Policies,” to our Financial Statements for information regarding accounting standards adopted in 2019 and other new accounting standards that were issued but not effective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unforeseen events or otherwise could have a material impact on our consolidated financial position or results of operations.</w:t>
      </w:r>
    </w:p>
    <w:p>
      <w:pPr>
        <w:spacing w:after="0" w:line="117"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color w:val="auto"/>
        </w:rPr>
        <w:t>See Footnote 2 “Summary of Significant Accounting Policies,” to our Financial Statements for further information on accounting policies that we believe to be critical, including our policies on:</w:t>
      </w:r>
    </w:p>
    <w:p>
      <w:pPr>
        <w:spacing w:after="0" w:line="6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including how we recognize revenue under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w:t>
      </w:r>
    </w:p>
    <w:p>
      <w:pPr>
        <w:spacing w:after="0" w:line="62" w:lineRule="exact"/>
        <w:rPr>
          <w:sz w:val="20"/>
          <w:szCs w:val="20"/>
          <w:color w:val="auto"/>
        </w:rPr>
      </w:pPr>
    </w:p>
    <w:p>
      <w:pPr>
        <w:ind w:right="600" w:firstLine="662"/>
        <w:spacing w:after="0" w:line="277" w:lineRule="auto"/>
        <w:rPr>
          <w:sz w:val="20"/>
          <w:szCs w:val="20"/>
          <w:color w:val="auto"/>
        </w:rPr>
      </w:pPr>
      <w:r>
        <w:rPr>
          <w:rFonts w:ascii="Arial" w:cs="Arial" w:eastAsia="Arial" w:hAnsi="Arial"/>
          <w:sz w:val="18"/>
          <w:szCs w:val="18"/>
          <w:i w:val="1"/>
          <w:iCs w:val="1"/>
          <w:color w:val="auto"/>
        </w:rPr>
        <w:t>Purchase price allocations of business combinations</w:t>
      </w:r>
      <w:r>
        <w:rPr>
          <w:rFonts w:ascii="Arial" w:cs="Arial" w:eastAsia="Arial" w:hAnsi="Arial"/>
          <w:sz w:val="18"/>
          <w:szCs w:val="18"/>
          <w:color w:val="auto"/>
        </w:rPr>
        <w:t>, which is also discussed in Footnote 3 “Acquisitions and Dispositions” to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62" w:lineRule="exact"/>
        <w:rPr>
          <w:sz w:val="20"/>
          <w:szCs w:val="20"/>
          <w:color w:val="auto"/>
        </w:rPr>
      </w:pPr>
    </w:p>
    <w:p>
      <w:pPr>
        <w:ind w:firstLine="662"/>
        <w:spacing w:after="0" w:line="286" w:lineRule="auto"/>
        <w:rPr>
          <w:sz w:val="20"/>
          <w:szCs w:val="20"/>
          <w:color w:val="auto"/>
        </w:rPr>
      </w:pPr>
      <w:r>
        <w:rPr>
          <w:rFonts w:ascii="Arial" w:cs="Arial" w:eastAsia="Arial" w:hAnsi="Arial"/>
          <w:sz w:val="17"/>
          <w:szCs w:val="17"/>
          <w:i w:val="1"/>
          <w:iCs w:val="1"/>
          <w:color w:val="auto"/>
        </w:rPr>
        <w:t xml:space="preserve">Inventories and cost of vacation ownership products, </w:t>
      </w:r>
      <w:r>
        <w:rPr>
          <w:rFonts w:ascii="Arial" w:cs="Arial" w:eastAsia="Arial" w:hAnsi="Arial"/>
          <w:sz w:val="17"/>
          <w:szCs w:val="17"/>
          <w:color w:val="auto"/>
        </w:rPr>
        <w:t>which requires estimation of future revenues, including incremental revenues from future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57"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i w:val="1"/>
          <w:iCs w:val="1"/>
          <w:color w:val="auto"/>
        </w:rPr>
        <w:t>Valuation of right-of-use assets and lease liabilities</w:t>
      </w:r>
      <w:r>
        <w:rPr>
          <w:rFonts w:ascii="Arial" w:cs="Arial" w:eastAsia="Arial" w:hAnsi="Arial"/>
          <w:sz w:val="18"/>
          <w:szCs w:val="18"/>
          <w:color w:val="auto"/>
        </w:rPr>
        <w:t>, including determination of lease term which may include options to extend or terminate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when it is reasonably certain that we will exercise that option, as further described in Footnote 2 “Summary of Significant Accounting Policies” to our Financial Statements;</w:t>
      </w:r>
    </w:p>
    <w:p>
      <w:pPr>
        <w:spacing w:after="0" w:line="73" w:lineRule="exact"/>
        <w:rPr>
          <w:sz w:val="20"/>
          <w:szCs w:val="20"/>
          <w:color w:val="auto"/>
        </w:rPr>
      </w:pPr>
    </w:p>
    <w:p>
      <w:pPr>
        <w:ind w:left="660" w:right="4240"/>
        <w:spacing w:after="0" w:line="422" w:lineRule="auto"/>
        <w:rPr>
          <w:sz w:val="20"/>
          <w:szCs w:val="20"/>
          <w:color w:val="auto"/>
        </w:rPr>
      </w:pPr>
      <w:r>
        <w:rPr>
          <w:rFonts w:ascii="Arial" w:cs="Arial" w:eastAsia="Arial" w:hAnsi="Arial"/>
          <w:sz w:val="16"/>
          <w:szCs w:val="16"/>
          <w:i w:val="1"/>
          <w:iCs w:val="1"/>
          <w:color w:val="auto"/>
        </w:rPr>
        <w:t>Valuation of property and equipment</w:t>
      </w:r>
      <w:r>
        <w:rPr>
          <w:rFonts w:ascii="Arial" w:cs="Arial" w:eastAsia="Arial" w:hAnsi="Arial"/>
          <w:sz w:val="16"/>
          <w:szCs w:val="16"/>
          <w:color w:val="auto"/>
        </w:rPr>
        <w:t>, including when we record impairment losses;</w:t>
      </w:r>
      <w:r>
        <w:rPr>
          <w:rFonts w:ascii="Arial" w:cs="Arial" w:eastAsia="Arial" w:hAnsi="Arial"/>
          <w:sz w:val="16"/>
          <w:szCs w:val="16"/>
          <w:i w:val="1"/>
          <w:iCs w:val="1"/>
          <w:color w:val="auto"/>
        </w:rPr>
        <w:t xml:space="preserve"> Valuation of goodwill and intangible assets</w:t>
      </w:r>
      <w:r>
        <w:rPr>
          <w:rFonts w:ascii="Arial" w:cs="Arial" w:eastAsia="Arial" w:hAnsi="Arial"/>
          <w:sz w:val="16"/>
          <w:szCs w:val="16"/>
          <w:color w:val="auto"/>
        </w:rPr>
        <w:t>, including when we record impairment losses;</w:t>
      </w:r>
    </w:p>
    <w:p>
      <w:pPr>
        <w:spacing w:after="0" w:line="1" w:lineRule="exact"/>
        <w:rPr>
          <w:sz w:val="20"/>
          <w:szCs w:val="20"/>
          <w:color w:val="auto"/>
        </w:rPr>
      </w:pPr>
    </w:p>
    <w:p>
      <w:pPr>
        <w:ind w:right="60" w:firstLine="662"/>
        <w:spacing w:after="0" w:line="277" w:lineRule="auto"/>
        <w:rPr>
          <w:sz w:val="20"/>
          <w:szCs w:val="20"/>
          <w:color w:val="auto"/>
        </w:rPr>
      </w:pPr>
      <w:r>
        <w:rPr>
          <w:rFonts w:ascii="Arial" w:cs="Arial" w:eastAsia="Arial" w:hAnsi="Arial"/>
          <w:sz w:val="18"/>
          <w:szCs w:val="18"/>
          <w:i w:val="1"/>
          <w:iCs w:val="1"/>
          <w:color w:val="auto"/>
        </w:rPr>
        <w:t>Accounting for acquired vacation ownership notes receivable</w:t>
      </w:r>
      <w:r>
        <w:rPr>
          <w:rFonts w:ascii="Arial" w:cs="Arial" w:eastAsia="Arial" w:hAnsi="Arial"/>
          <w:sz w:val="18"/>
          <w:szCs w:val="18"/>
          <w:color w:val="auto"/>
        </w:rPr>
        <w:t>, which is also discussed in Footnote 6 “Vacation Ownership Notes Receivable”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contingencies</w:t>
      </w:r>
      <w:r>
        <w:rPr>
          <w:rFonts w:ascii="Arial" w:cs="Arial" w:eastAsia="Arial" w:hAnsi="Arial"/>
          <w:sz w:val="18"/>
          <w:szCs w:val="18"/>
          <w:color w:val="auto"/>
        </w:rPr>
        <w:t>, including information on how we account for loss contingencies; and</w:t>
      </w:r>
    </w:p>
    <w:p>
      <w:pPr>
        <w:spacing w:after="0" w:line="117"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73" w:lineRule="exact"/>
        <w:rPr>
          <w:sz w:val="20"/>
          <w:szCs w:val="20"/>
          <w:color w:val="auto"/>
        </w:rPr>
      </w:pPr>
    </w:p>
    <w:p>
      <w:pPr>
        <w:ind w:right="100" w:firstLine="662"/>
        <w:spacing w:after="0" w:line="312" w:lineRule="auto"/>
        <w:rPr>
          <w:sz w:val="20"/>
          <w:szCs w:val="20"/>
          <w:color w:val="auto"/>
        </w:rPr>
      </w:pPr>
      <w:r>
        <w:rPr>
          <w:rFonts w:ascii="Arial" w:cs="Arial" w:eastAsia="Arial" w:hAnsi="Arial"/>
          <w:sz w:val="16"/>
          <w:szCs w:val="16"/>
          <w:color w:val="auto"/>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notes receivable and our fixed-rate debt.</w:t>
      </w:r>
    </w:p>
    <w:p>
      <w:pPr>
        <w:spacing w:after="0" w:line="39"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year-end 2019 for our financial instruments that are impacted by market risks: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Maturities by Period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9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3"/>
                <w:szCs w:val="13"/>
                <w:color w:val="auto"/>
              </w:rPr>
            </w:pPr>
          </w:p>
        </w:tc>
        <w:tc>
          <w:tcPr>
            <w:tcW w:w="62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6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gridSpan w:val="10"/>
            <w:shd w:val="clear" w:color="auto" w:fill="CCEEFF"/>
          </w:tcPr>
          <w:p>
            <w:pPr>
              <w:ind w:left="280"/>
              <w:spacing w:after="0"/>
              <w:rPr>
                <w:sz w:val="20"/>
                <w:szCs w:val="20"/>
                <w:color w:val="auto"/>
              </w:rPr>
            </w:pPr>
            <w:r>
              <w:rPr>
                <w:rFonts w:ascii="Arial" w:cs="Arial" w:eastAsia="Arial" w:hAnsi="Arial"/>
                <w:sz w:val="16"/>
                <w:szCs w:val="16"/>
                <w:b w:val="1"/>
                <w:bCs w:val="1"/>
                <w:color w:val="auto"/>
                <w:w w:val="90"/>
              </w:rPr>
              <w:t>Assets – Maturities represent expected principal receipts; fair values represent assets</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w w:val="93"/>
              </w:rPr>
              <w:t>Originated vacation ownership notes receivable</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40"/>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98"/>
        </w:trPr>
        <w:tc>
          <w:tcPr>
            <w:tcW w:w="3200" w:type="dxa"/>
            <w:vAlign w:val="bottom"/>
            <w:vMerge w:val="restart"/>
          </w:tcPr>
          <w:p>
            <w:pPr>
              <w:ind w:left="40"/>
              <w:spacing w:after="0"/>
              <w:rPr>
                <w:sz w:val="20"/>
                <w:szCs w:val="20"/>
                <w:color w:val="auto"/>
              </w:rPr>
            </w:pPr>
            <w:r>
              <w:rPr>
                <w:rFonts w:ascii="Arial" w:cs="Arial" w:eastAsia="Arial" w:hAnsi="Arial"/>
                <w:sz w:val="16"/>
                <w:szCs w:val="16"/>
                <w:color w:val="auto"/>
              </w:rPr>
              <w:t>— non-securitized</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Originated vacation ownership notes receivable</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12.6%</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1,378</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98"/>
        </w:trPr>
        <w:tc>
          <w:tcPr>
            <w:tcW w:w="32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00" w:type="dxa"/>
            <w:vAlign w:val="bottom"/>
          </w:tcPr>
          <w:p>
            <w:pPr>
              <w:ind w:left="40"/>
              <w:spacing w:after="0"/>
              <w:rPr>
                <w:sz w:val="20"/>
                <w:szCs w:val="20"/>
                <w:color w:val="auto"/>
              </w:rPr>
            </w:pPr>
            <w:r>
              <w:rPr>
                <w:rFonts w:ascii="Arial" w:cs="Arial" w:eastAsia="Arial" w:hAnsi="Arial"/>
                <w:sz w:val="16"/>
                <w:szCs w:val="16"/>
                <w:color w:val="auto"/>
                <w:w w:val="96"/>
              </w:rPr>
              <w:t>Acquired vacation ownership notes receivable</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2"/>
              </w:rPr>
              <w:t>13.4%</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98"/>
        </w:trPr>
        <w:tc>
          <w:tcPr>
            <w:tcW w:w="3200" w:type="dxa"/>
            <w:vAlign w:val="bottom"/>
            <w:vMerge w:val="restart"/>
          </w:tcPr>
          <w:p>
            <w:pPr>
              <w:ind w:left="40"/>
              <w:spacing w:after="0"/>
              <w:rPr>
                <w:sz w:val="20"/>
                <w:szCs w:val="20"/>
                <w:color w:val="auto"/>
              </w:rPr>
            </w:pPr>
            <w:r>
              <w:rPr>
                <w:rFonts w:ascii="Arial" w:cs="Arial" w:eastAsia="Arial" w:hAnsi="Arial"/>
                <w:sz w:val="16"/>
                <w:szCs w:val="16"/>
                <w:color w:val="auto"/>
              </w:rPr>
              <w:t>— non-securitized</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Acquired vacation ownership notes receivable</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13.5%</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98"/>
        </w:trPr>
        <w:tc>
          <w:tcPr>
            <w:tcW w:w="32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 securitized</w:t>
            </w: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6960" w:type="dxa"/>
            <w:vAlign w:val="bottom"/>
            <w:gridSpan w:val="12"/>
          </w:tcPr>
          <w:p>
            <w:pPr>
              <w:ind w:left="280"/>
              <w:spacing w:after="0"/>
              <w:rPr>
                <w:sz w:val="20"/>
                <w:szCs w:val="20"/>
                <w:color w:val="auto"/>
              </w:rPr>
            </w:pPr>
            <w:r>
              <w:rPr>
                <w:rFonts w:ascii="Arial" w:cs="Arial" w:eastAsia="Arial" w:hAnsi="Arial"/>
                <w:sz w:val="16"/>
                <w:szCs w:val="16"/>
                <w:b w:val="1"/>
                <w:bCs w:val="1"/>
                <w:color w:val="auto"/>
                <w:w w:val="94"/>
              </w:rPr>
              <w:t>Liabilities – Maturities represent expected principal payments; fair values represent liabilities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Securitized debt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Senior Unsecured Notes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2026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6"/>
                <w:szCs w:val="16"/>
                <w:color w:val="auto"/>
              </w:rPr>
              <w:t>2028 Notes</w:t>
            </w: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Revolving Corporate Credit Facility</w:t>
            </w: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currency exchange rate risk through investments in foreign subsidiaries that transact business in a currency other than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and through the revaluation of assets and liabilities denominated in a currency other than the functional currency.</w:t>
      </w:r>
    </w:p>
    <w:p>
      <w:pPr>
        <w:spacing w:after="0" w:line="103"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is included on the pages indicated.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gridSpan w:val="5"/>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3640" w:type="dxa"/>
            <w:vAlign w:val="bottom"/>
            <w:gridSpan w:val="24"/>
            <w:vMerge w:val="restart"/>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Financial Statements and Supplementary Data</w:t>
              </w:r>
            </w:hyperlink>
          </w:p>
        </w:tc>
        <w:tc>
          <w:tcPr>
            <w:tcW w:w="6940" w:type="dxa"/>
            <w:vAlign w:val="bottom"/>
            <w:gridSpan w:val="6"/>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40" w:type="dxa"/>
            <w:vAlign w:val="bottom"/>
            <w:gridSpan w:val="24"/>
            <w:vMerge w:val="continue"/>
          </w:tcPr>
          <w:p>
            <w:pPr>
              <w:spacing w:after="0"/>
              <w:rPr>
                <w:sz w:val="15"/>
                <w:szCs w:val="15"/>
                <w:color w:val="auto"/>
              </w:rPr>
            </w:pPr>
          </w:p>
        </w:tc>
        <w:tc>
          <w:tcPr>
            <w:tcW w:w="6940" w:type="dxa"/>
            <w:vAlign w:val="bottom"/>
            <w:gridSpan w:val="6"/>
            <w:vMerge w:val="continue"/>
          </w:tcPr>
          <w:p>
            <w:pPr>
              <w:spacing w:after="0"/>
              <w:rPr>
                <w:sz w:val="15"/>
                <w:szCs w:val="15"/>
                <w:color w:val="auto"/>
              </w:rPr>
            </w:pPr>
          </w:p>
        </w:tc>
        <w:tc>
          <w:tcPr>
            <w:tcW w:w="500" w:type="dxa"/>
            <w:vAlign w:val="bottom"/>
            <w:gridSpan w:val="3"/>
          </w:tcPr>
          <w:p>
            <w:pPr>
              <w:jc w:val="center"/>
              <w:ind w:left="230"/>
              <w:spacing w:after="0" w:line="170"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69</w:t>
              </w:r>
            </w:hyperlink>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EE"/>
          </w:tcPr>
          <w:p>
            <w:pPr>
              <w:spacing w:after="0"/>
              <w:rPr>
                <w:sz w:val="2"/>
                <w:szCs w:val="2"/>
                <w:color w:val="auto"/>
              </w:rPr>
            </w:pPr>
          </w:p>
        </w:tc>
        <w:tc>
          <w:tcPr>
            <w:tcW w:w="620" w:type="dxa"/>
            <w:vAlign w:val="bottom"/>
            <w:gridSpan w:val="3"/>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40" w:type="dxa"/>
            <w:vAlign w:val="bottom"/>
            <w:gridSpan w:val="2"/>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gridSpan w:val="27"/>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Management’s Report on Internal Control Over Financial Reporting</w:t>
              </w:r>
            </w:hyperlink>
          </w:p>
        </w:tc>
        <w:tc>
          <w:tcPr>
            <w:tcW w:w="5680" w:type="dxa"/>
            <w:vAlign w:val="bottom"/>
            <w:gridSpan w:val="3"/>
          </w:tcPr>
          <w:p>
            <w:pPr>
              <w:spacing w:after="0"/>
              <w:rPr>
                <w:sz w:val="22"/>
                <w:szCs w:val="22"/>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3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 - Internal Control Over Financial Reporting</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gridSpan w:val="2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 - Financial Statements</w:t>
              </w:r>
            </w:hyperlink>
          </w:p>
        </w:tc>
        <w:tc>
          <w:tcPr>
            <w:tcW w:w="3180" w:type="dxa"/>
            <w:vAlign w:val="bottom"/>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gridSpan w:val="8"/>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Financial Statements</w:t>
              </w:r>
            </w:hyperlink>
          </w:p>
        </w:tc>
        <w:tc>
          <w:tcPr>
            <w:tcW w:w="4360" w:type="dxa"/>
            <w:vAlign w:val="bottom"/>
            <w:gridSpan w:val="20"/>
          </w:tcPr>
          <w:p>
            <w:pPr>
              <w:spacing w:after="0"/>
              <w:rPr>
                <w:sz w:val="21"/>
                <w:szCs w:val="21"/>
                <w:color w:val="auto"/>
              </w:rPr>
            </w:pPr>
          </w:p>
        </w:tc>
        <w:tc>
          <w:tcPr>
            <w:tcW w:w="4720" w:type="dxa"/>
            <w:vAlign w:val="bottom"/>
            <w:gridSpan w:val="2"/>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Income</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25"/>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Comprehensive Income</w:t>
              </w:r>
            </w:hyperlink>
          </w:p>
        </w:tc>
        <w:tc>
          <w:tcPr>
            <w:tcW w:w="660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76</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gridSpan w:val="2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Balance Sheets</w:t>
              </w:r>
            </w:hyperlink>
          </w:p>
        </w:tc>
        <w:tc>
          <w:tcPr>
            <w:tcW w:w="6600" w:type="dxa"/>
            <w:vAlign w:val="bottom"/>
            <w:gridSpan w:val="4"/>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78</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Shareholders’ Equity</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80</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3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1.</w:t>
              </w:r>
            </w:hyperlink>
          </w:p>
        </w:tc>
        <w:tc>
          <w:tcPr>
            <w:tcW w:w="2740" w:type="dxa"/>
            <w:vAlign w:val="bottom"/>
            <w:gridSpan w:val="19"/>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Basis of Presentation</w:t>
              </w:r>
            </w:hyperlink>
          </w:p>
        </w:tc>
        <w:tc>
          <w:tcPr>
            <w:tcW w:w="7440" w:type="dxa"/>
            <w:vAlign w:val="bottom"/>
            <w:gridSpan w:val="9"/>
          </w:tcPr>
          <w:p>
            <w:pPr>
              <w:spacing w:after="0"/>
              <w:rPr>
                <w:sz w:val="21"/>
                <w:szCs w:val="21"/>
                <w:color w:val="auto"/>
              </w:rPr>
            </w:pPr>
          </w:p>
        </w:tc>
        <w:tc>
          <w:tcPr>
            <w:tcW w:w="500" w:type="dxa"/>
            <w:vAlign w:val="bottom"/>
            <w:gridSpan w:val="3"/>
          </w:tcPr>
          <w:p>
            <w:pPr>
              <w:jc w:val="center"/>
              <w:ind w:left="23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2.</w:t>
              </w:r>
            </w:hyperlink>
          </w:p>
        </w:tc>
        <w:tc>
          <w:tcPr>
            <w:tcW w:w="10180" w:type="dxa"/>
            <w:vAlign w:val="bottom"/>
            <w:gridSpan w:val="28"/>
          </w:tcPr>
          <w:p>
            <w:pPr>
              <w:ind w:left="20"/>
              <w:spacing w:after="0"/>
              <w:rPr>
                <w:rFonts w:ascii="Arial" w:cs="Arial" w:eastAsia="Arial" w:hAnsi="Arial"/>
                <w:sz w:val="18"/>
                <w:szCs w:val="18"/>
                <w:color w:val="0000EE"/>
              </w:rPr>
            </w:pPr>
            <w:hyperlink w:anchor="page84">
              <w:r>
                <w:rPr>
                  <w:rFonts w:ascii="Arial" w:cs="Arial" w:eastAsia="Arial" w:hAnsi="Arial"/>
                  <w:sz w:val="18"/>
                  <w:szCs w:val="18"/>
                  <w:color w:val="0000EE"/>
                </w:rPr>
                <w:t>Summary of Significant Accounting Policies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3.</w:t>
              </w:r>
            </w:hyperlink>
          </w:p>
        </w:tc>
        <w:tc>
          <w:tcPr>
            <w:tcW w:w="10180" w:type="dxa"/>
            <w:vAlign w:val="bottom"/>
            <w:gridSpan w:val="28"/>
          </w:tcPr>
          <w:p>
            <w:pPr>
              <w:ind w:left="20"/>
              <w:spacing w:after="0"/>
              <w:rPr>
                <w:rFonts w:ascii="Arial" w:cs="Arial" w:eastAsia="Arial" w:hAnsi="Arial"/>
                <w:sz w:val="18"/>
                <w:szCs w:val="18"/>
                <w:color w:val="0000EE"/>
              </w:rPr>
            </w:pPr>
            <w:hyperlink w:anchor="page95">
              <w:r>
                <w:rPr>
                  <w:rFonts w:ascii="Arial" w:cs="Arial" w:eastAsia="Arial" w:hAnsi="Arial"/>
                  <w:sz w:val="18"/>
                  <w:szCs w:val="18"/>
                  <w:color w:val="0000EE"/>
                </w:rPr>
                <w:t>Acquisitions and Dispositions</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4.</w:t>
              </w:r>
            </w:hyperlink>
          </w:p>
        </w:tc>
        <w:tc>
          <w:tcPr>
            <w:tcW w:w="10180" w:type="dxa"/>
            <w:vAlign w:val="bottom"/>
            <w:gridSpan w:val="28"/>
          </w:tcPr>
          <w:p>
            <w:pPr>
              <w:ind w:left="20"/>
              <w:spacing w:after="0"/>
              <w:rPr>
                <w:rFonts w:ascii="Arial" w:cs="Arial" w:eastAsia="Arial" w:hAnsi="Arial"/>
                <w:sz w:val="18"/>
                <w:szCs w:val="18"/>
                <w:color w:val="0000EE"/>
              </w:rPr>
            </w:pPr>
            <w:hyperlink w:anchor="page100">
              <w:r>
                <w:rPr>
                  <w:rFonts w:ascii="Arial" w:cs="Arial" w:eastAsia="Arial" w:hAnsi="Arial"/>
                  <w:sz w:val="18"/>
                  <w:szCs w:val="18"/>
                  <w:color w:val="0000EE"/>
                </w:rPr>
                <w:t>Revenue</w:t>
              </w:r>
            </w:hyperlink>
          </w:p>
        </w:tc>
        <w:tc>
          <w:tcPr>
            <w:tcW w:w="500" w:type="dxa"/>
            <w:vAlign w:val="bottom"/>
            <w:gridSpan w:val="3"/>
          </w:tcPr>
          <w:p>
            <w:pPr>
              <w:jc w:val="center"/>
              <w:ind w:left="230"/>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5.</w:t>
              </w:r>
            </w:hyperlink>
          </w:p>
        </w:tc>
        <w:tc>
          <w:tcPr>
            <w:tcW w:w="10180" w:type="dxa"/>
            <w:vAlign w:val="bottom"/>
            <w:gridSpan w:val="28"/>
          </w:tcPr>
          <w:p>
            <w:pPr>
              <w:ind w:left="20"/>
              <w:spacing w:after="0"/>
              <w:rPr>
                <w:rFonts w:ascii="Arial" w:cs="Arial" w:eastAsia="Arial" w:hAnsi="Arial"/>
                <w:sz w:val="18"/>
                <w:szCs w:val="18"/>
                <w:color w:val="0000EE"/>
              </w:rPr>
            </w:pPr>
            <w:hyperlink w:anchor="page102">
              <w:r>
                <w:rPr>
                  <w:rFonts w:ascii="Arial" w:cs="Arial" w:eastAsia="Arial" w:hAnsi="Arial"/>
                  <w:sz w:val="18"/>
                  <w:szCs w:val="18"/>
                  <w:color w:val="0000EE"/>
                </w:rPr>
                <w:t>Income Taxes</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100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6.</w:t>
              </w:r>
            </w:hyperlink>
          </w:p>
        </w:tc>
        <w:tc>
          <w:tcPr>
            <w:tcW w:w="10180" w:type="dxa"/>
            <w:vAlign w:val="bottom"/>
            <w:gridSpan w:val="28"/>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Vacation Ownership Notes Receivable</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103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10">
              <w:r>
                <w:rPr>
                  <w:rFonts w:ascii="Arial" w:cs="Arial" w:eastAsia="Arial" w:hAnsi="Arial"/>
                  <w:sz w:val="18"/>
                  <w:szCs w:val="18"/>
                  <w:color w:val="0000EE"/>
                  <w:w w:val="92"/>
                </w:rPr>
                <w:t>7.</w:t>
              </w:r>
            </w:hyperlink>
          </w:p>
        </w:tc>
        <w:tc>
          <w:tcPr>
            <w:tcW w:w="10180" w:type="dxa"/>
            <w:vAlign w:val="bottom"/>
            <w:gridSpan w:val="28"/>
          </w:tcPr>
          <w:p>
            <w:pPr>
              <w:ind w:left="20"/>
              <w:spacing w:after="0"/>
              <w:rPr>
                <w:rFonts w:ascii="Arial" w:cs="Arial" w:eastAsia="Arial" w:hAnsi="Arial"/>
                <w:sz w:val="18"/>
                <w:szCs w:val="18"/>
                <w:color w:val="0000EE"/>
              </w:rPr>
            </w:pPr>
            <w:hyperlink w:anchor="page110">
              <w:r>
                <w:rPr>
                  <w:rFonts w:ascii="Arial" w:cs="Arial" w:eastAsia="Arial" w:hAnsi="Arial"/>
                  <w:sz w:val="18"/>
                  <w:szCs w:val="18"/>
                  <w:color w:val="0000EE"/>
                </w:rPr>
                <w:t>Financial Instruments</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108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8.</w:t>
              </w:r>
            </w:hyperlink>
          </w:p>
        </w:tc>
        <w:tc>
          <w:tcPr>
            <w:tcW w:w="10180" w:type="dxa"/>
            <w:vAlign w:val="bottom"/>
            <w:gridSpan w:val="28"/>
          </w:tcPr>
          <w:p>
            <w:pPr>
              <w:ind w:left="20"/>
              <w:spacing w:after="0"/>
              <w:rPr>
                <w:rFonts w:ascii="Arial" w:cs="Arial" w:eastAsia="Arial" w:hAnsi="Arial"/>
                <w:sz w:val="18"/>
                <w:szCs w:val="18"/>
                <w:color w:val="0000EE"/>
              </w:rPr>
            </w:pPr>
            <w:hyperlink w:anchor="page112">
              <w:r>
                <w:rPr>
                  <w:rFonts w:ascii="Arial" w:cs="Arial" w:eastAsia="Arial" w:hAnsi="Arial"/>
                  <w:sz w:val="18"/>
                  <w:szCs w:val="18"/>
                  <w:color w:val="0000EE"/>
                </w:rPr>
                <w:t>Earnings per Share</w:t>
              </w:r>
            </w:hyperlink>
          </w:p>
        </w:tc>
        <w:tc>
          <w:tcPr>
            <w:tcW w:w="520" w:type="dxa"/>
            <w:vAlign w:val="bottom"/>
            <w:gridSpan w:val="4"/>
          </w:tcPr>
          <w:p>
            <w:pPr>
              <w:jc w:val="center"/>
              <w:ind w:left="150"/>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110</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 w:type="dxa"/>
            <w:vAlign w:val="bottom"/>
            <w:gridSpan w:val="2"/>
          </w:tcPr>
          <w:p>
            <w:pPr>
              <w:ind w:left="240"/>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9.</w:t>
              </w:r>
            </w:hyperlink>
          </w:p>
        </w:tc>
        <w:tc>
          <w:tcPr>
            <w:tcW w:w="10180" w:type="dxa"/>
            <w:vAlign w:val="bottom"/>
            <w:gridSpan w:val="28"/>
          </w:tcPr>
          <w:p>
            <w:pPr>
              <w:ind w:left="20"/>
              <w:spacing w:after="0"/>
              <w:rPr>
                <w:rFonts w:ascii="Arial" w:cs="Arial" w:eastAsia="Arial" w:hAnsi="Arial"/>
                <w:sz w:val="18"/>
                <w:szCs w:val="18"/>
                <w:color w:val="0000EE"/>
              </w:rPr>
            </w:pPr>
            <w:hyperlink w:anchor="page113">
              <w:r>
                <w:rPr>
                  <w:rFonts w:ascii="Arial" w:cs="Arial" w:eastAsia="Arial" w:hAnsi="Arial"/>
                  <w:sz w:val="18"/>
                  <w:szCs w:val="18"/>
                  <w:color w:val="0000EE"/>
                </w:rPr>
                <w:t>Inventory</w:t>
              </w:r>
            </w:hyperlink>
          </w:p>
        </w:tc>
        <w:tc>
          <w:tcPr>
            <w:tcW w:w="520" w:type="dxa"/>
            <w:vAlign w:val="bottom"/>
            <w:gridSpan w:val="4"/>
          </w:tcPr>
          <w:p>
            <w:pPr>
              <w:jc w:val="center"/>
              <w:ind w:left="17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10.</w:t>
              </w:r>
            </w:hyperlink>
          </w:p>
        </w:tc>
        <w:tc>
          <w:tcPr>
            <w:tcW w:w="10100" w:type="dxa"/>
            <w:vAlign w:val="bottom"/>
            <w:gridSpan w:val="27"/>
          </w:tcPr>
          <w:p>
            <w:pPr>
              <w:ind w:left="20"/>
              <w:spacing w:after="0"/>
              <w:rPr>
                <w:rFonts w:ascii="Arial" w:cs="Arial" w:eastAsia="Arial" w:hAnsi="Arial"/>
                <w:sz w:val="18"/>
                <w:szCs w:val="18"/>
                <w:color w:val="0000EE"/>
              </w:rPr>
            </w:pPr>
            <w:hyperlink w:anchor="page113">
              <w:r>
                <w:rPr>
                  <w:rFonts w:ascii="Arial" w:cs="Arial" w:eastAsia="Arial" w:hAnsi="Arial"/>
                  <w:sz w:val="18"/>
                  <w:szCs w:val="18"/>
                  <w:color w:val="0000EE"/>
                </w:rPr>
                <w:t>Property and Equipment</w:t>
              </w:r>
            </w:hyperlink>
          </w:p>
        </w:tc>
        <w:tc>
          <w:tcPr>
            <w:tcW w:w="520" w:type="dxa"/>
            <w:vAlign w:val="bottom"/>
            <w:gridSpan w:val="4"/>
          </w:tcPr>
          <w:p>
            <w:pPr>
              <w:jc w:val="center"/>
              <w:ind w:left="17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11. Contingencies and Commitments</w:t>
              </w:r>
            </w:hyperlink>
          </w:p>
        </w:tc>
        <w:tc>
          <w:tcPr>
            <w:tcW w:w="520" w:type="dxa"/>
            <w:vAlign w:val="bottom"/>
            <w:gridSpan w:val="4"/>
          </w:tcPr>
          <w:p>
            <w:pPr>
              <w:jc w:val="center"/>
              <w:ind w:left="150"/>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112</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16">
              <w:r>
                <w:rPr>
                  <w:rFonts w:ascii="Arial" w:cs="Arial" w:eastAsia="Arial" w:hAnsi="Arial"/>
                  <w:sz w:val="18"/>
                  <w:szCs w:val="18"/>
                  <w:color w:val="0000EE"/>
                  <w:w w:val="87"/>
                </w:rPr>
                <w:t>12.</w:t>
              </w:r>
            </w:hyperlink>
          </w:p>
        </w:tc>
        <w:tc>
          <w:tcPr>
            <w:tcW w:w="10100" w:type="dxa"/>
            <w:vAlign w:val="bottom"/>
            <w:gridSpan w:val="27"/>
          </w:tcPr>
          <w:p>
            <w:pPr>
              <w:ind w:left="20"/>
              <w:spacing w:after="0"/>
              <w:rPr>
                <w:rFonts w:ascii="Arial" w:cs="Arial" w:eastAsia="Arial" w:hAnsi="Arial"/>
                <w:sz w:val="18"/>
                <w:szCs w:val="18"/>
                <w:color w:val="0000EE"/>
              </w:rPr>
            </w:pPr>
            <w:hyperlink w:anchor="page116">
              <w:r>
                <w:rPr>
                  <w:rFonts w:ascii="Arial" w:cs="Arial" w:eastAsia="Arial" w:hAnsi="Arial"/>
                  <w:sz w:val="18"/>
                  <w:szCs w:val="18"/>
                  <w:color w:val="0000EE"/>
                </w:rPr>
                <w:t>Leases</w:t>
              </w:r>
            </w:hyperlink>
          </w:p>
        </w:tc>
        <w:tc>
          <w:tcPr>
            <w:tcW w:w="520" w:type="dxa"/>
            <w:vAlign w:val="bottom"/>
            <w:gridSpan w:val="4"/>
          </w:tcPr>
          <w:p>
            <w:pPr>
              <w:jc w:val="center"/>
              <w:ind w:left="150"/>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114</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17">
              <w:r>
                <w:rPr>
                  <w:rFonts w:ascii="Arial" w:cs="Arial" w:eastAsia="Arial" w:hAnsi="Arial"/>
                  <w:sz w:val="18"/>
                  <w:szCs w:val="18"/>
                  <w:color w:val="0000EE"/>
                  <w:w w:val="87"/>
                </w:rPr>
                <w:t>13.</w:t>
              </w:r>
            </w:hyperlink>
          </w:p>
        </w:tc>
        <w:tc>
          <w:tcPr>
            <w:tcW w:w="10100" w:type="dxa"/>
            <w:vAlign w:val="bottom"/>
            <w:gridSpan w:val="27"/>
          </w:tcPr>
          <w:p>
            <w:pPr>
              <w:ind w:left="20"/>
              <w:spacing w:after="0"/>
              <w:rPr>
                <w:rFonts w:ascii="Arial" w:cs="Arial" w:eastAsia="Arial" w:hAnsi="Arial"/>
                <w:sz w:val="18"/>
                <w:szCs w:val="18"/>
                <w:color w:val="0000EE"/>
              </w:rPr>
            </w:pPr>
            <w:hyperlink w:anchor="page117">
              <w:r>
                <w:rPr>
                  <w:rFonts w:ascii="Arial" w:cs="Arial" w:eastAsia="Arial" w:hAnsi="Arial"/>
                  <w:sz w:val="18"/>
                  <w:szCs w:val="18"/>
                  <w:color w:val="0000EE"/>
                </w:rPr>
                <w:t>Securitized Debt</w:t>
              </w:r>
            </w:hyperlink>
          </w:p>
        </w:tc>
        <w:tc>
          <w:tcPr>
            <w:tcW w:w="520" w:type="dxa"/>
            <w:vAlign w:val="bottom"/>
            <w:gridSpan w:val="4"/>
          </w:tcPr>
          <w:p>
            <w:pPr>
              <w:jc w:val="center"/>
              <w:ind w:left="150"/>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115</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20">
              <w:r>
                <w:rPr>
                  <w:rFonts w:ascii="Arial" w:cs="Arial" w:eastAsia="Arial" w:hAnsi="Arial"/>
                  <w:sz w:val="18"/>
                  <w:szCs w:val="18"/>
                  <w:color w:val="0000EE"/>
                  <w:w w:val="87"/>
                </w:rPr>
                <w:t>14.</w:t>
              </w:r>
            </w:hyperlink>
          </w:p>
        </w:tc>
        <w:tc>
          <w:tcPr>
            <w:tcW w:w="10100" w:type="dxa"/>
            <w:vAlign w:val="bottom"/>
            <w:gridSpan w:val="27"/>
          </w:tcPr>
          <w:p>
            <w:pPr>
              <w:ind w:left="20"/>
              <w:spacing w:after="0"/>
              <w:rPr>
                <w:rFonts w:ascii="Arial" w:cs="Arial" w:eastAsia="Arial" w:hAnsi="Arial"/>
                <w:sz w:val="18"/>
                <w:szCs w:val="18"/>
                <w:color w:val="0000EE"/>
              </w:rPr>
            </w:pPr>
            <w:hyperlink w:anchor="page120">
              <w:r>
                <w:rPr>
                  <w:rFonts w:ascii="Arial" w:cs="Arial" w:eastAsia="Arial" w:hAnsi="Arial"/>
                  <w:sz w:val="18"/>
                  <w:szCs w:val="18"/>
                  <w:color w:val="0000EE"/>
                </w:rPr>
                <w:t>Debt</w:t>
              </w:r>
            </w:hyperlink>
          </w:p>
        </w:tc>
        <w:tc>
          <w:tcPr>
            <w:tcW w:w="520" w:type="dxa"/>
            <w:vAlign w:val="bottom"/>
            <w:gridSpan w:val="4"/>
          </w:tcPr>
          <w:p>
            <w:pPr>
              <w:jc w:val="center"/>
              <w:ind w:left="150"/>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118</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24">
              <w:r>
                <w:rPr>
                  <w:rFonts w:ascii="Arial" w:cs="Arial" w:eastAsia="Arial" w:hAnsi="Arial"/>
                  <w:sz w:val="18"/>
                  <w:szCs w:val="18"/>
                  <w:color w:val="0000EE"/>
                  <w:w w:val="87"/>
                </w:rPr>
                <w:t>15.</w:t>
              </w:r>
            </w:hyperlink>
          </w:p>
        </w:tc>
        <w:tc>
          <w:tcPr>
            <w:tcW w:w="10100" w:type="dxa"/>
            <w:vAlign w:val="bottom"/>
            <w:gridSpan w:val="27"/>
          </w:tcPr>
          <w:p>
            <w:pPr>
              <w:ind w:left="20"/>
              <w:spacing w:after="0"/>
              <w:rPr>
                <w:rFonts w:ascii="Arial" w:cs="Arial" w:eastAsia="Arial" w:hAnsi="Arial"/>
                <w:sz w:val="18"/>
                <w:szCs w:val="18"/>
                <w:color w:val="0000EE"/>
              </w:rPr>
            </w:pPr>
            <w:hyperlink w:anchor="page124">
              <w:r>
                <w:rPr>
                  <w:rFonts w:ascii="Arial" w:cs="Arial" w:eastAsia="Arial" w:hAnsi="Arial"/>
                  <w:sz w:val="18"/>
                  <w:szCs w:val="18"/>
                  <w:color w:val="0000EE"/>
                </w:rPr>
                <w:t>Shareholders’ Equity</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122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25">
              <w:r>
                <w:rPr>
                  <w:rFonts w:ascii="Arial" w:cs="Arial" w:eastAsia="Arial" w:hAnsi="Arial"/>
                  <w:sz w:val="18"/>
                  <w:szCs w:val="18"/>
                  <w:color w:val="0000EE"/>
                  <w:w w:val="87"/>
                </w:rPr>
                <w:t>16.</w:t>
              </w:r>
            </w:hyperlink>
          </w:p>
        </w:tc>
        <w:tc>
          <w:tcPr>
            <w:tcW w:w="10100" w:type="dxa"/>
            <w:vAlign w:val="bottom"/>
            <w:gridSpan w:val="27"/>
          </w:tcPr>
          <w:p>
            <w:pPr>
              <w:ind w:left="20"/>
              <w:spacing w:after="0"/>
              <w:rPr>
                <w:rFonts w:ascii="Arial" w:cs="Arial" w:eastAsia="Arial" w:hAnsi="Arial"/>
                <w:sz w:val="18"/>
                <w:szCs w:val="18"/>
                <w:color w:val="0000EE"/>
              </w:rPr>
            </w:pPr>
            <w:hyperlink w:anchor="page125">
              <w:r>
                <w:rPr>
                  <w:rFonts w:ascii="Arial" w:cs="Arial" w:eastAsia="Arial" w:hAnsi="Arial"/>
                  <w:sz w:val="18"/>
                  <w:szCs w:val="18"/>
                  <w:color w:val="0000EE"/>
                </w:rPr>
                <w:t>Share-based Compensation</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123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17.</w:t>
              </w:r>
            </w:hyperlink>
          </w:p>
        </w:tc>
        <w:tc>
          <w:tcPr>
            <w:tcW w:w="10100" w:type="dxa"/>
            <w:vAlign w:val="bottom"/>
            <w:gridSpan w:val="27"/>
          </w:tcPr>
          <w:p>
            <w:pPr>
              <w:ind w:left="20"/>
              <w:spacing w:after="0"/>
              <w:rPr>
                <w:rFonts w:ascii="Arial" w:cs="Arial" w:eastAsia="Arial" w:hAnsi="Arial"/>
                <w:sz w:val="18"/>
                <w:szCs w:val="18"/>
                <w:color w:val="0000EE"/>
              </w:rPr>
            </w:pPr>
            <w:hyperlink w:anchor="page127">
              <w:r>
                <w:rPr>
                  <w:rFonts w:ascii="Arial" w:cs="Arial" w:eastAsia="Arial" w:hAnsi="Arial"/>
                  <w:sz w:val="18"/>
                  <w:szCs w:val="18"/>
                  <w:color w:val="0000EE"/>
                </w:rPr>
                <w:t>Variable Interest Entities</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125</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29">
              <w:r>
                <w:rPr>
                  <w:rFonts w:ascii="Arial" w:cs="Arial" w:eastAsia="Arial" w:hAnsi="Arial"/>
                  <w:sz w:val="18"/>
                  <w:szCs w:val="18"/>
                  <w:color w:val="0000EE"/>
                  <w:w w:val="87"/>
                </w:rPr>
                <w:t>18.</w:t>
              </w:r>
            </w:hyperlink>
          </w:p>
        </w:tc>
        <w:tc>
          <w:tcPr>
            <w:tcW w:w="10100" w:type="dxa"/>
            <w:vAlign w:val="bottom"/>
            <w:gridSpan w:val="27"/>
          </w:tcPr>
          <w:p>
            <w:pPr>
              <w:ind w:left="20"/>
              <w:spacing w:after="0"/>
              <w:rPr>
                <w:rFonts w:ascii="Arial" w:cs="Arial" w:eastAsia="Arial" w:hAnsi="Arial"/>
                <w:sz w:val="18"/>
                <w:szCs w:val="18"/>
                <w:color w:val="0000EE"/>
              </w:rPr>
            </w:pPr>
            <w:hyperlink w:anchor="page129">
              <w:r>
                <w:rPr>
                  <w:rFonts w:ascii="Arial" w:cs="Arial" w:eastAsia="Arial" w:hAnsi="Arial"/>
                  <w:sz w:val="18"/>
                  <w:szCs w:val="18"/>
                  <w:color w:val="0000EE"/>
                </w:rPr>
                <w:t>Business Segments</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127</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31">
              <w:r>
                <w:rPr>
                  <w:rFonts w:ascii="Arial" w:cs="Arial" w:eastAsia="Arial" w:hAnsi="Arial"/>
                  <w:sz w:val="18"/>
                  <w:szCs w:val="18"/>
                  <w:color w:val="0000EE"/>
                  <w:w w:val="87"/>
                </w:rPr>
                <w:t>19.</w:t>
              </w:r>
            </w:hyperlink>
          </w:p>
        </w:tc>
        <w:tc>
          <w:tcPr>
            <w:tcW w:w="10100" w:type="dxa"/>
            <w:vAlign w:val="bottom"/>
            <w:gridSpan w:val="27"/>
          </w:tcPr>
          <w:p>
            <w:pPr>
              <w:ind w:left="20"/>
              <w:spacing w:after="0"/>
              <w:rPr>
                <w:rFonts w:ascii="Arial" w:cs="Arial" w:eastAsia="Arial" w:hAnsi="Arial"/>
                <w:sz w:val="18"/>
                <w:szCs w:val="18"/>
                <w:color w:val="0000EE"/>
              </w:rPr>
            </w:pPr>
            <w:hyperlink w:anchor="page131">
              <w:r>
                <w:rPr>
                  <w:rFonts w:ascii="Arial" w:cs="Arial" w:eastAsia="Arial" w:hAnsi="Arial"/>
                  <w:sz w:val="18"/>
                  <w:szCs w:val="18"/>
                  <w:color w:val="0000EE"/>
                </w:rPr>
                <w:t>Quarterly Results (Unaudited)</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31">
              <w:r>
                <w:rPr>
                  <w:rFonts w:ascii="Arial" w:cs="Arial" w:eastAsia="Arial" w:hAnsi="Arial"/>
                  <w:sz w:val="18"/>
                  <w:szCs w:val="18"/>
                  <w:color w:val="0000EE"/>
                  <w:w w:val="93"/>
                </w:rPr>
                <w:t>129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rFonts w:ascii="Arial" w:cs="Arial" w:eastAsia="Arial" w:hAnsi="Arial"/>
                <w:sz w:val="18"/>
                <w:szCs w:val="18"/>
                <w:color w:val="0000EE"/>
                <w:w w:val="87"/>
              </w:rPr>
            </w:pPr>
            <w:hyperlink w:anchor="page132">
              <w:r>
                <w:rPr>
                  <w:rFonts w:ascii="Arial" w:cs="Arial" w:eastAsia="Arial" w:hAnsi="Arial"/>
                  <w:sz w:val="18"/>
                  <w:szCs w:val="18"/>
                  <w:color w:val="0000EE"/>
                  <w:w w:val="87"/>
                </w:rPr>
                <w:t>20.</w:t>
              </w:r>
            </w:hyperlink>
          </w:p>
        </w:tc>
        <w:tc>
          <w:tcPr>
            <w:tcW w:w="10100" w:type="dxa"/>
            <w:vAlign w:val="bottom"/>
            <w:gridSpan w:val="27"/>
          </w:tcPr>
          <w:p>
            <w:pPr>
              <w:ind w:left="20"/>
              <w:spacing w:after="0"/>
              <w:rPr>
                <w:rFonts w:ascii="Arial" w:cs="Arial" w:eastAsia="Arial" w:hAnsi="Arial"/>
                <w:sz w:val="18"/>
                <w:szCs w:val="18"/>
                <w:color w:val="0000EE"/>
              </w:rPr>
            </w:pPr>
            <w:hyperlink w:anchor="page132">
              <w:r>
                <w:rPr>
                  <w:rFonts w:ascii="Arial" w:cs="Arial" w:eastAsia="Arial" w:hAnsi="Arial"/>
                  <w:sz w:val="18"/>
                  <w:szCs w:val="18"/>
                  <w:color w:val="0000EE"/>
                </w:rPr>
                <w:t>Subsequent Events</w:t>
              </w:r>
            </w:hyperlink>
          </w:p>
        </w:tc>
        <w:tc>
          <w:tcPr>
            <w:tcW w:w="800" w:type="dxa"/>
            <w:vAlign w:val="bottom"/>
            <w:gridSpan w:val="5"/>
          </w:tcPr>
          <w:p>
            <w:pPr>
              <w:jc w:val="center"/>
              <w:spacing w:after="0"/>
              <w:rPr>
                <w:rFonts w:ascii="Arial" w:cs="Arial" w:eastAsia="Arial" w:hAnsi="Arial"/>
                <w:sz w:val="18"/>
                <w:szCs w:val="18"/>
                <w:color w:val="0000EE"/>
                <w:w w:val="93"/>
              </w:rPr>
            </w:pPr>
            <w:hyperlink w:anchor="page132">
              <w:r>
                <w:rPr>
                  <w:rFonts w:ascii="Arial" w:cs="Arial" w:eastAsia="Arial" w:hAnsi="Arial"/>
                  <w:sz w:val="18"/>
                  <w:szCs w:val="18"/>
                  <w:color w:val="0000EE"/>
                  <w:w w:val="93"/>
                </w:rPr>
                <w:t>130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tcPr>
          <w:p>
            <w:pPr>
              <w:ind w:left="240"/>
              <w:spacing w:after="0"/>
              <w:rPr>
                <w:sz w:val="20"/>
                <w:szCs w:val="20"/>
                <w:color w:val="auto"/>
              </w:rPr>
            </w:pPr>
            <w:r>
              <w:rPr>
                <w:rFonts w:ascii="Arial" w:cs="Arial" w:eastAsia="Arial" w:hAnsi="Arial"/>
                <w:sz w:val="18"/>
                <w:szCs w:val="18"/>
                <w:color w:val="0000EE"/>
                <w:w w:val="87"/>
              </w:rPr>
              <w:t>21.</w:t>
            </w:r>
          </w:p>
        </w:tc>
        <w:tc>
          <w:tcPr>
            <w:tcW w:w="10100" w:type="dxa"/>
            <w:vAlign w:val="bottom"/>
            <w:gridSpan w:val="27"/>
          </w:tcPr>
          <w:p>
            <w:pPr>
              <w:ind w:left="20"/>
              <w:spacing w:after="0"/>
              <w:rPr>
                <w:sz w:val="20"/>
                <w:szCs w:val="20"/>
                <w:color w:val="auto"/>
              </w:rPr>
            </w:pPr>
            <w:r>
              <w:rPr>
                <w:rFonts w:ascii="Arial" w:cs="Arial" w:eastAsia="Arial" w:hAnsi="Arial"/>
                <w:sz w:val="18"/>
                <w:szCs w:val="18"/>
                <w:color w:val="0000EE"/>
              </w:rPr>
              <w:t>Supplemental Guarantor Information</w:t>
            </w:r>
          </w:p>
        </w:tc>
        <w:tc>
          <w:tcPr>
            <w:tcW w:w="800" w:type="dxa"/>
            <w:vAlign w:val="bottom"/>
            <w:gridSpan w:val="5"/>
          </w:tcPr>
          <w:p>
            <w:pPr>
              <w:jc w:val="center"/>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131</w:t>
              </w:r>
            </w:hyperlink>
          </w:p>
        </w:tc>
        <w:tc>
          <w:tcPr>
            <w:tcW w:w="0" w:type="dxa"/>
            <w:vAlign w:val="bottom"/>
          </w:tcPr>
          <w:p>
            <w:pPr>
              <w:spacing w:after="0"/>
              <w:rPr>
                <w:sz w:val="1"/>
                <w:szCs w:val="1"/>
                <w:color w:val="auto"/>
              </w:rPr>
            </w:pPr>
          </w:p>
        </w:tc>
      </w:tr>
      <w:tr>
        <w:trPr>
          <w:trHeight w:val="804"/>
        </w:trPr>
        <w:tc>
          <w:tcPr>
            <w:tcW w:w="2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720" w:type="dxa"/>
            <w:vAlign w:val="bottom"/>
            <w:tcBorders>
              <w:top w:val="single" w:sz="8" w:color="0000EE"/>
            </w:tcBorders>
            <w:gridSpan w:val="19"/>
          </w:tcPr>
          <w:p>
            <w:pPr>
              <w:spacing w:after="0"/>
              <w:rPr>
                <w:sz w:val="24"/>
                <w:szCs w:val="24"/>
                <w:color w:val="auto"/>
              </w:rPr>
            </w:pPr>
          </w:p>
        </w:tc>
        <w:tc>
          <w:tcPr>
            <w:tcW w:w="2660" w:type="dxa"/>
            <w:vAlign w:val="bottom"/>
            <w:gridSpan w:val="6"/>
          </w:tcPr>
          <w:p>
            <w:pPr>
              <w:jc w:val="right"/>
              <w:ind w:right="100"/>
              <w:spacing w:after="0"/>
              <w:rPr>
                <w:sz w:val="20"/>
                <w:szCs w:val="20"/>
                <w:color w:val="auto"/>
              </w:rPr>
            </w:pPr>
            <w:r>
              <w:rPr>
                <w:rFonts w:ascii="Arial" w:cs="Arial" w:eastAsia="Arial" w:hAnsi="Arial"/>
                <w:sz w:val="18"/>
                <w:szCs w:val="18"/>
                <w:color w:val="auto"/>
              </w:rPr>
              <w:t>69</w:t>
            </w:r>
          </w:p>
        </w:tc>
        <w:tc>
          <w:tcPr>
            <w:tcW w:w="1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62"/>
        <w:spacing w:after="0" w:line="312"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31, 2019, based on criteria established in Internal Control-Integrated Framework issued by the Committee of Sponsoring Organizations of the Treadway Commission (2013 framework) (the “COSO criteria”).</w:t>
      </w:r>
    </w:p>
    <w:p>
      <w:pPr>
        <w:spacing w:after="0" w:line="147" w:lineRule="exact"/>
        <w:rPr>
          <w:sz w:val="20"/>
          <w:szCs w:val="20"/>
          <w:color w:val="auto"/>
        </w:rPr>
      </w:pPr>
    </w:p>
    <w:p>
      <w:pPr>
        <w:jc w:val="both"/>
        <w:ind w:right="220" w:firstLine="662"/>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December 31, 2019,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December 31, 2019,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2019, based on the COSO criteria.</w:t>
      </w:r>
    </w:p>
    <w:p>
      <w:pPr>
        <w:spacing w:after="0" w:line="79"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2019 and December 31, 2018, the related consolidated statements of income, comprehensive income, shareholders’ equity and cash flows for each of the three fiscal years in the period ended December 31, 2019, and the related notes and our report dated March 2, 2020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20" w:firstLine="662"/>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60" w:firstLine="662"/>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8" w:lineRule="exact"/>
        <w:rPr>
          <w:sz w:val="20"/>
          <w:szCs w:val="20"/>
          <w:color w:val="auto"/>
        </w:rPr>
      </w:pPr>
    </w:p>
    <w:p>
      <w:pPr>
        <w:jc w:val="both"/>
        <w:ind w:right="80" w:firstLine="662"/>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firstLine="66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20" w:firstLine="6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5"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Marriott Vacations Worldwide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(the Company) as of December 31, 2019 and December 31, 2018, the related consolidated statements of income, comprehensive income, shareholders’ equity and cash flows for each of the three fiscal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December 31, 2018, and the results of its operations and its cash flows for each of the three fiscal years in the period ended December 31, 2019, in conformity with U.S. generally accepted accounting principles.</w:t>
      </w:r>
    </w:p>
    <w:p>
      <w:pPr>
        <w:spacing w:after="0" w:line="193" w:lineRule="exact"/>
        <w:rPr>
          <w:sz w:val="20"/>
          <w:szCs w:val="20"/>
          <w:color w:val="auto"/>
        </w:rPr>
      </w:pPr>
    </w:p>
    <w:p>
      <w:pPr>
        <w:ind w:right="20" w:firstLine="66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firstLine="662"/>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firstLine="662"/>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Goodwill assigned to Exchange &amp; Third-Party Management Reporting Unit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Description of the </w:t>
      </w:r>
      <w:r>
        <w:rPr>
          <w:rFonts w:ascii="Arial" w:cs="Arial" w:eastAsia="Arial" w:hAnsi="Arial"/>
          <w:sz w:val="16"/>
          <w:szCs w:val="16"/>
          <w:color w:val="auto"/>
        </w:rPr>
        <w:t>At December 31, 2019, the Company’s goodwill assigned to the Exchange &amp; Third-Party Management reporting unit was $447 million.</w:t>
      </w:r>
    </w:p>
    <w:p>
      <w:pPr>
        <w:spacing w:after="0" w:line="46" w:lineRule="exact"/>
        <w:rPr>
          <w:sz w:val="20"/>
          <w:szCs w:val="20"/>
          <w:color w:val="auto"/>
        </w:rPr>
      </w:pPr>
    </w:p>
    <w:p>
      <w:pPr>
        <w:ind w:left="1420" w:right="280" w:hanging="1379"/>
        <w:spacing w:after="0" w:line="261" w:lineRule="auto"/>
        <w:tabs>
          <w:tab w:leader="none" w:pos="14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As discussed in Note 2 to the consolidated financial statements, goodwill is tested for impairment at least annually at the reporting unit level.</w:t>
      </w:r>
    </w:p>
    <w:p>
      <w:pPr>
        <w:spacing w:after="0" w:line="76" w:lineRule="exact"/>
        <w:rPr>
          <w:sz w:val="20"/>
          <w:szCs w:val="20"/>
          <w:color w:val="auto"/>
        </w:rPr>
      </w:pPr>
    </w:p>
    <w:p>
      <w:pPr>
        <w:ind w:left="1420" w:right="220"/>
        <w:spacing w:after="0" w:line="257" w:lineRule="auto"/>
        <w:rPr>
          <w:sz w:val="20"/>
          <w:szCs w:val="20"/>
          <w:color w:val="auto"/>
        </w:rPr>
      </w:pPr>
      <w:r>
        <w:rPr>
          <w:rFonts w:ascii="Arial" w:cs="Arial" w:eastAsia="Arial" w:hAnsi="Arial"/>
          <w:sz w:val="18"/>
          <w:szCs w:val="18"/>
          <w:color w:val="auto"/>
        </w:rPr>
        <w:t xml:space="preserve">Auditing management’s annual goodwill impairment test for the Exchange &amp; Third-Party Management reporting unit was complex and highly judgmental due to the significant estimation required to determine the fair value of the reporting unit. In particular, the fair value estimate was sensitive to changes in significant assumptions, which include projections </w:t>
      </w:r>
      <w:r>
        <w:rPr>
          <w:rFonts w:ascii="Arial" w:cs="Arial" w:eastAsia="Arial" w:hAnsi="Arial"/>
          <w:sz w:val="18"/>
          <w:szCs w:val="18"/>
          <w:color w:val="24282D"/>
        </w:rPr>
        <w:t>of revenues, expenses, expected future</w:t>
      </w:r>
      <w:r>
        <w:rPr>
          <w:rFonts w:ascii="Arial" w:cs="Arial" w:eastAsia="Arial" w:hAnsi="Arial"/>
          <w:sz w:val="18"/>
          <w:szCs w:val="18"/>
          <w:color w:val="auto"/>
        </w:rPr>
        <w:t xml:space="preserve"> </w:t>
      </w:r>
      <w:r>
        <w:rPr>
          <w:rFonts w:ascii="Arial" w:cs="Arial" w:eastAsia="Arial" w:hAnsi="Arial"/>
          <w:sz w:val="18"/>
          <w:szCs w:val="18"/>
          <w:color w:val="24282D"/>
        </w:rPr>
        <w:t>investments and the discount rate. These significant assumptions are affected by expectations about future industry performance and market and economic conditions.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Valuation of Goodwill assigned to Exchange &amp; Third-Party Management Reporting Unit</w:t>
      </w:r>
    </w:p>
    <w:p>
      <w:pPr>
        <w:sectPr>
          <w:pgSz w:w="11900" w:h="16838" w:orient="portrait"/>
          <w:cols w:equalWidth="0" w:num="1">
            <w:col w:w="11380"/>
          </w:cols>
          <w:pgMar w:left="240" w:top="125" w:right="279" w:bottom="1440" w:gutter="0" w:footer="0" w:header="0"/>
        </w:sectPr>
      </w:pPr>
    </w:p>
    <w:p>
      <w:pPr>
        <w:spacing w:after="0" w:line="90" w:lineRule="exact"/>
        <w:rPr>
          <w:sz w:val="20"/>
          <w:szCs w:val="20"/>
          <w:color w:val="auto"/>
        </w:rPr>
      </w:pPr>
    </w:p>
    <w:p>
      <w:pPr>
        <w:ind w:left="4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goodwill impairment review process, including controls over management’s review of the significant assumptions described above.</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test the estimated fair value of the reporting unit, we performed audit procedures that included, among others, assessing the methodologies utilized by the Company and testing the significant assumptions discussed above and the underlying data used by the Company in its analysis. We assessed the historical accuracy of management’s estimates, compared the significant assumptions used by the Company to historical operating results and cash flows as well as current industry and economic trends and evaluated whether changes in the Company’s business model and other factors would materially affect the significant assumptions. We also performed sensitivity analyses on the significant assumptions to evaluate the changes in the fair value of the reporting unit that would result from changes in the assumptions. We involved our valuation specialists to assist in the evaluation of the Company’s methodologies and certain significant assumptions, such as the projections of revenue and the discount rate.</w:t>
      </w:r>
    </w:p>
    <w:p>
      <w:pPr>
        <w:spacing w:after="0" w:line="200" w:lineRule="exact"/>
        <w:rPr>
          <w:sz w:val="20"/>
          <w:szCs w:val="20"/>
          <w:color w:val="auto"/>
        </w:rPr>
      </w:pPr>
    </w:p>
    <w:p>
      <w:pPr>
        <w:sectPr>
          <w:pgSz w:w="11900" w:h="16838" w:orient="portrait"/>
          <w:cols w:equalWidth="0" w:num="2">
            <w:col w:w="1040" w:space="380"/>
            <w:col w:w="9960"/>
          </w:cols>
          <w:pgMar w:left="240" w:top="125" w:right="27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Cost of Vacation Ownership Products</w:t>
      </w:r>
    </w:p>
    <w:p>
      <w:pPr>
        <w:sectPr>
          <w:pgSz w:w="11900" w:h="16838" w:orient="portrait"/>
          <w:cols w:equalWidth="0" w:num="1">
            <w:col w:w="11380"/>
          </w:cols>
          <w:pgMar w:left="240" w:top="125" w:right="279" w:bottom="1440" w:gutter="0" w:footer="0" w:header="0"/>
          <w:type w:val="continuous"/>
        </w:sectPr>
      </w:pPr>
    </w:p>
    <w:p>
      <w:pPr>
        <w:spacing w:after="0" w:line="9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right="30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Company’s cost of vacation ownership products was $356 million for the year ended December 31, 2019.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certain estimates, such as estimated future revenue from sale of vacation ownership products, which are affected by expectations about future market and economic conditions.</w:t>
      </w:r>
    </w:p>
    <w:p>
      <w:pPr>
        <w:spacing w:after="0" w:line="25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 from sale of vacation ownership products.</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evaluated the estimates used in the calculations, such as estimated future revenue from sale of vacation ownership products, utilizing historical operating results and relevant market information available. We involved real estate subject matter resources on our team because the application of the relative sales value method is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960"/>
          </w:cols>
          <w:pgMar w:left="240" w:top="125" w:right="279" w:bottom="1440" w:gutter="0" w:footer="0" w:header="0"/>
          <w:type w:val="continuous"/>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80"/>
          </w:cols>
          <w:pgMar w:left="240" w:top="125" w:right="27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Valuation of Originated and Acquired Vacation Ownership Notes Receivable</w:t>
      </w:r>
    </w:p>
    <w:p>
      <w:pPr>
        <w:sectPr>
          <w:pgSz w:w="11900" w:h="16838" w:orient="portrait"/>
          <w:cols w:equalWidth="0" w:num="1">
            <w:col w:w="11360"/>
          </w:cols>
          <w:pgMar w:left="240" w:top="125" w:right="299" w:bottom="1440" w:gutter="0" w:footer="0" w:header="0"/>
        </w:sectPr>
      </w:pPr>
    </w:p>
    <w:p>
      <w:pPr>
        <w:spacing w:after="0" w:line="9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right="300"/>
        <w:spacing w:after="0" w:line="25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December 31, 2019, the Company’s vacation ownership notes receivable was $2,233 million of which $1,794 million related to originated vacation ownership notes receivable and $439 million related to acquired vacation ownership notes receivable. As discussed in Note 2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vacation ownership notes receivable. The estimates of the variable consideration are based on default rates that are an output of the Company’s static pool analyses. The Company’s acquired vacation ownership notes receivable are accounted for using the expected cash flow method of recognizing discount accretion (interest income) based on the expected cash flows from the acquired vacation ownership notes receivable which consider certain assumptions, including default rates. The cash flows from the acquired vacation ownership notes receivable are remeasured at each reporting period with corresponding adjustments made to the interest income expected to be earned in the future.</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Auditing the Company’s valuation of originated and acquired vacation ownership notes receivable was challenging due to the nature and extent of audit effort required as the static pool analyses are complex and contain a significant volume of data. Furthermore, the valuation of originated and acquired vacation ownership notes receivable was sensitive to assumptions about future market and economic conditions which are used to determine the default rates.</w:t>
      </w:r>
    </w:p>
    <w:p>
      <w:pPr>
        <w:spacing w:after="0" w:line="1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vacation ownership notes receivable process. For example, we tested controls over management’s review of the static pool analyses, including the significant inputs to the analysis and evaluation of the resulting default rates.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test the valuation of originated and acquired vacation ownership notes receivable, we performed audit procedures that included, among others, assessing the methodologies used, evaluating the significant assumptions discussed above and testing the completeness and accuracy of the data used by the Company in its analysis. For example, we compared inputs to the static pool analysis to historical data and we compared the default rates from the static pool analyses to the Company’s historical and current default rates by customer class. We involved real estate subject matter resources on our team because the static pool analyses are unique to companies in the real estate time-sharing industry.</w:t>
      </w:r>
    </w:p>
    <w:p>
      <w:pPr>
        <w:spacing w:after="0" w:line="200" w:lineRule="exact"/>
        <w:rPr>
          <w:sz w:val="20"/>
          <w:szCs w:val="20"/>
          <w:color w:val="auto"/>
        </w:rPr>
      </w:pPr>
    </w:p>
    <w:p>
      <w:pPr>
        <w:sectPr>
          <w:pgSz w:w="11900" w:h="16838" w:orient="portrait"/>
          <w:cols w:equalWidth="0" w:num="2">
            <w:col w:w="1340" w:space="80"/>
            <w:col w:w="9940"/>
          </w:cols>
          <w:pgMar w:left="240" w:top="125" w:right="2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60"/>
          </w:cols>
          <w:pgMar w:left="240" w:top="125" w:right="2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757</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Rental</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Rental</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1,937</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5"/>
        </w:trPr>
        <w:tc>
          <w:tcPr>
            <w:tcW w:w="60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 NONCONTROLLING</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ATTRIBUTABLE TO COMMON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Basic</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324"/>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682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rPr>
              <w:t>MARRIOTT VACATIONS WORLDWIDE CORPORATION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00" w:type="dxa"/>
            <w:vAlign w:val="bottom"/>
            <w:gridSpan w:val="4"/>
          </w:tcPr>
          <w:p>
            <w:pPr>
              <w:jc w:val="center"/>
              <w:ind w:left="14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58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Fiscal Years 2019, 2018 and 2017</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color w:val="auto"/>
                <w:w w:val="97"/>
              </w:rPr>
              <w:t>(In millions)</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324"/>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10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31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10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70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 ATTRIBUTABLE TO NONCONTROLLING</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61"/>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INTERESTS</w:t>
            </w: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COMMON SHAREHOLDERS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0"/>
        </w:trPr>
        <w:tc>
          <w:tcPr>
            <w:tcW w:w="1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51"/>
        </w:trPr>
        <w:tc>
          <w:tcPr>
            <w:tcW w:w="1280" w:type="dxa"/>
            <w:vAlign w:val="bottom"/>
          </w:tcPr>
          <w:p>
            <w:pPr>
              <w:spacing w:after="0"/>
              <w:rPr>
                <w:sz w:val="24"/>
                <w:szCs w:val="24"/>
                <w:color w:val="auto"/>
              </w:rPr>
            </w:pPr>
          </w:p>
        </w:tc>
        <w:tc>
          <w:tcPr>
            <w:tcW w:w="6820" w:type="dxa"/>
            <w:vAlign w:val="bottom"/>
            <w:gridSpan w:val="2"/>
          </w:tcPr>
          <w:p>
            <w:pPr>
              <w:jc w:val="center"/>
              <w:ind w:left="1970"/>
              <w:spacing w:after="0"/>
              <w:rPr>
                <w:sz w:val="20"/>
                <w:szCs w:val="20"/>
                <w:color w:val="auto"/>
              </w:rPr>
            </w:pPr>
            <w:r>
              <w:rPr>
                <w:rFonts w:ascii="Arial" w:cs="Arial" w:eastAsia="Arial" w:hAnsi="Arial"/>
                <w:sz w:val="18"/>
                <w:szCs w:val="18"/>
                <w:b w:val="1"/>
                <w:bCs w:val="1"/>
                <w:color w:val="auto"/>
                <w:w w:val="88"/>
              </w:rPr>
              <w:t>See Notes to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88"/>
        </w:trPr>
        <w:tc>
          <w:tcPr>
            <w:tcW w:w="7080" w:type="dxa"/>
            <w:vAlign w:val="bottom"/>
            <w:gridSpan w:val="2"/>
          </w:tcPr>
          <w:p>
            <w:pPr>
              <w:jc w:val="center"/>
              <w:ind w:left="4250"/>
              <w:spacing w:after="0"/>
              <w:rPr>
                <w:sz w:val="20"/>
                <w:szCs w:val="20"/>
                <w:color w:val="auto"/>
              </w:rPr>
            </w:pPr>
            <w:r>
              <w:rPr>
                <w:rFonts w:ascii="Arial" w:cs="Arial" w:eastAsia="Arial" w:hAnsi="Arial"/>
                <w:sz w:val="18"/>
                <w:szCs w:val="18"/>
                <w:color w:val="auto"/>
                <w:w w:val="89"/>
              </w:rPr>
              <w:t>76</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34"/>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572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rPr>
              <w:t>MARRIOTT VACATIONS WORLDWIDE CORPORATION</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CONSOLIDATED BALANCE SHEETS</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2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Fiscal Year-End 2019 and 2018</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20" w:type="dxa"/>
            <w:vAlign w:val="bottom"/>
          </w:tcPr>
          <w:p>
            <w:pPr>
              <w:jc w:val="center"/>
              <w:ind w:left="410"/>
              <w:spacing w:after="0"/>
              <w:rPr>
                <w:sz w:val="20"/>
                <w:szCs w:val="20"/>
                <w:color w:val="auto"/>
              </w:rPr>
            </w:pPr>
            <w:r>
              <w:rPr>
                <w:rFonts w:ascii="Arial" w:cs="Arial" w:eastAsia="Arial" w:hAnsi="Arial"/>
                <w:sz w:val="18"/>
                <w:szCs w:val="18"/>
                <w:color w:val="auto"/>
                <w:w w:val="89"/>
              </w:rPr>
              <w:t>(In millions, except share and per share data)</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Restricted cash (including $64 and $69 from VIEs, respectively)</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Accounts receivable, net (including $13 and $11 from VIEs, respectively)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Vacation ownership notes receivable, net (including $1,750 and $1,627 from VIEs, respectively)</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Inventory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Property and equipment</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2,828</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Intangibles, net</w:t>
            </w:r>
          </w:p>
        </w:tc>
        <w:tc>
          <w:tcPr>
            <w:tcW w:w="18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Other (including $39 and $26 from VIEs, respectively)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9,018</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Advance deposits</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Accrued liabilities (including $2 and $2 from VIEs, respectively)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Deferred revenue</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Payroll and benefits liability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Deferred compensation liability</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Securitized debt, net (including $1,871 and $1,706 from VIEs, respectively)</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Debt, net</w:t>
            </w:r>
          </w:p>
        </w:tc>
        <w:tc>
          <w:tcPr>
            <w:tcW w:w="18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Deferred taxes</w:t>
            </w:r>
          </w:p>
        </w:tc>
        <w:tc>
          <w:tcPr>
            <w:tcW w:w="1880" w:type="dxa"/>
            <w:vAlign w:val="bottom"/>
            <w:tcBorders>
              <w:bottom w:val="single" w:sz="8" w:color="CCEEFF"/>
            </w:tcBorders>
            <w:shd w:val="clear" w:color="auto" w:fill="CCEEFF"/>
          </w:tcPr>
          <w:p>
            <w:pPr>
              <w:spacing w:after="0"/>
              <w:rPr>
                <w:sz w:val="23"/>
                <w:szCs w:val="23"/>
                <w:color w:val="auto"/>
              </w:rPr>
            </w:pPr>
          </w:p>
        </w:tc>
        <w:tc>
          <w:tcPr>
            <w:tcW w:w="4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LIABILITIES</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6,183</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5,552</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Contingencies and Commitments (Note 11)</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10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Common stock — $.01 par value; 100,000,000 shares authorized; 75,020,272 and 57,626,462 shares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issued, respectively</w:t>
            </w:r>
          </w:p>
        </w:tc>
        <w:tc>
          <w:tcPr>
            <w:tcW w:w="46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Treasury stock — at cost; 33,438,176 and 11,633,731 shares, respectively</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Additional paid-in capital</w:t>
            </w:r>
          </w:p>
        </w:tc>
        <w:tc>
          <w:tcPr>
            <w:tcW w:w="4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w:t>
            </w:r>
          </w:p>
        </w:tc>
      </w:tr>
      <w:tr>
        <w:trPr>
          <w:trHeight w:val="243"/>
        </w:trPr>
        <w:tc>
          <w:tcPr>
            <w:tcW w:w="7780" w:type="dxa"/>
            <w:vAlign w:val="bottom"/>
            <w:gridSpan w:val="4"/>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Retained earnings</w:t>
            </w:r>
          </w:p>
        </w:tc>
        <w:tc>
          <w:tcPr>
            <w:tcW w:w="4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MVW SHAREHOLDERS' EQUITY</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4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EQUITY</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3,466</w:t>
            </w: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 LIABILITIES AND EQUITY</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9,018</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08"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Adjustments to reconcile net income to net cash, cash equivalents and restricted cash provided by</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 of intangibles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disposal of property and equipment, net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Payroll and benefit liabilities</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compensation liability</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 of subsidiary shares to noncontrolling interest holder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collection of notes receivable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Dispositions, net</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w w:val="91"/>
              </w:rPr>
              <w:t>Net cash, cash equivalents and restricted cash provided by (used in) investing activities</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debt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Finance lease payment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convertible note hedges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Proceeds from issuance of warrants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dividends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w w:val="91"/>
              </w:rPr>
              <w:t>Net cash, cash equivalents and restricted cash (used in) provided by financing activities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r>
      <w:tr>
        <w:trPr>
          <w:trHeight w:val="311"/>
        </w:trPr>
        <w:tc>
          <w:tcPr>
            <w:tcW w:w="70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5"/>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ACTIVITIES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Non-cash issuance of debt in connection with acquisition of vacation ownership units</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Non-cash issuance of note receivable in connection with disposition to noncontrolling interest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Non-cash issuance of stock in connection with ILG Acquisition</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transfer from property and equipment to inventory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Non-cash issuance of treasury stock for employee purchase plan</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acquired via capital lease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Interest paid, net of amounts capitalized</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7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Years 2019, 2018 and 2017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6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Common</w:t>
            </w: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Total MVW</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6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Stock</w:t>
            </w:r>
          </w:p>
        </w:tc>
        <w:tc>
          <w:tcPr>
            <w:tcW w:w="3440" w:type="dxa"/>
            <w:vAlign w:val="bottom"/>
          </w:tcPr>
          <w:p>
            <w:pPr>
              <w:spacing w:after="0"/>
              <w:rPr>
                <w:sz w:val="14"/>
                <w:szCs w:val="14"/>
                <w:color w:val="auto"/>
              </w:rPr>
            </w:pPr>
          </w:p>
        </w:tc>
        <w:tc>
          <w:tcPr>
            <w:tcW w:w="76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Common</w:t>
            </w:r>
          </w:p>
        </w:tc>
        <w:tc>
          <w:tcPr>
            <w:tcW w:w="7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Treasury</w:t>
            </w:r>
          </w:p>
        </w:tc>
        <w:tc>
          <w:tcPr>
            <w:tcW w:w="120" w:type="dxa"/>
            <w:vAlign w:val="bottom"/>
          </w:tcPr>
          <w:p>
            <w:pPr>
              <w:spacing w:after="0"/>
              <w:rPr>
                <w:sz w:val="14"/>
                <w:szCs w:val="14"/>
                <w:color w:val="auto"/>
              </w:rPr>
            </w:pPr>
          </w:p>
        </w:tc>
        <w:tc>
          <w:tcPr>
            <w:tcW w:w="78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Paid-In</w:t>
            </w:r>
          </w:p>
        </w:tc>
        <w:tc>
          <w:tcPr>
            <w:tcW w:w="12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Comprehensive</w:t>
            </w:r>
          </w:p>
        </w:tc>
        <w:tc>
          <w:tcPr>
            <w:tcW w:w="840" w:type="dxa"/>
            <w:vAlign w:val="bottom"/>
            <w:gridSpan w:val="3"/>
          </w:tcPr>
          <w:p>
            <w:pPr>
              <w:ind w:left="80"/>
              <w:spacing w:after="0" w:line="162" w:lineRule="exact"/>
              <w:rPr>
                <w:sz w:val="20"/>
                <w:szCs w:val="20"/>
                <w:color w:val="auto"/>
              </w:rPr>
            </w:pPr>
            <w:r>
              <w:rPr>
                <w:rFonts w:ascii="Arial" w:cs="Arial" w:eastAsia="Arial" w:hAnsi="Arial"/>
                <w:sz w:val="15"/>
                <w:szCs w:val="15"/>
                <w:b w:val="1"/>
                <w:bCs w:val="1"/>
                <w:color w:val="auto"/>
              </w:rPr>
              <w:t>Retained</w:t>
            </w:r>
          </w:p>
        </w:tc>
        <w:tc>
          <w:tcPr>
            <w:tcW w:w="112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Shareholders'</w:t>
            </w:r>
          </w:p>
        </w:tc>
        <w:tc>
          <w:tcPr>
            <w:tcW w:w="11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Noncontrolling</w:t>
            </w:r>
          </w:p>
        </w:tc>
        <w:tc>
          <w:tcPr>
            <w:tcW w:w="100" w:type="dxa"/>
            <w:vAlign w:val="bottom"/>
          </w:tcPr>
          <w:p>
            <w:pPr>
              <w:spacing w:after="0"/>
              <w:rPr>
                <w:sz w:val="14"/>
                <w:szCs w:val="14"/>
                <w:color w:val="auto"/>
              </w:rPr>
            </w:pPr>
          </w:p>
        </w:tc>
        <w:tc>
          <w:tcPr>
            <w:tcW w:w="480" w:type="dxa"/>
            <w:vAlign w:val="bottom"/>
          </w:tcPr>
          <w:p>
            <w:pPr>
              <w:jc w:val="right"/>
              <w:ind w:right="39"/>
              <w:spacing w:after="0" w:line="162" w:lineRule="exact"/>
              <w:rPr>
                <w:sz w:val="20"/>
                <w:szCs w:val="20"/>
                <w:color w:val="auto"/>
              </w:rPr>
            </w:pPr>
            <w:r>
              <w:rPr>
                <w:rFonts w:ascii="Arial" w:cs="Arial" w:eastAsia="Arial" w:hAnsi="Arial"/>
                <w:sz w:val="15"/>
                <w:szCs w:val="15"/>
                <w:b w:val="1"/>
                <w:bCs w:val="1"/>
                <w:color w:val="auto"/>
                <w:w w:val="94"/>
              </w:rPr>
              <w:t>Total</w:t>
            </w:r>
          </w:p>
        </w:tc>
      </w:tr>
      <w:tr>
        <w:trPr>
          <w:trHeight w:val="20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Issued</w:t>
            </w:r>
          </w:p>
        </w:tc>
        <w:tc>
          <w:tcPr>
            <w:tcW w:w="34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5"/>
                <w:szCs w:val="15"/>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5"/>
                <w:szCs w:val="15"/>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w w:val="98"/>
              </w:rPr>
              <w:t>Income</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Equity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5"/>
                <w:szCs w:val="15"/>
                <w:b w:val="1"/>
                <w:bCs w:val="1"/>
                <w:color w:val="auto"/>
                <w:w w:val="95"/>
              </w:rPr>
              <w:t>Interests</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Equity</w:t>
            </w:r>
          </w:p>
        </w:tc>
      </w:tr>
      <w:tr>
        <w:trPr>
          <w:trHeight w:val="234"/>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36.6</w:t>
            </w:r>
          </w:p>
        </w:tc>
        <w:tc>
          <w:tcPr>
            <w:tcW w:w="3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b w:val="1"/>
                <w:bCs w:val="1"/>
                <w:color w:val="auto"/>
              </w:rPr>
              <w:t>BALANCE AT YEAR-END 2016</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20"/>
        </w:trPr>
        <w:tc>
          <w:tcPr>
            <w:tcW w:w="66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6"/>
                <w:szCs w:val="16"/>
                <w:color w:val="auto"/>
              </w:rPr>
              <w:t>Amounts related to share-based</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6"/>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0.3</w:t>
            </w:r>
          </w:p>
        </w:tc>
        <w:tc>
          <w:tcPr>
            <w:tcW w:w="3440" w:type="dxa"/>
            <w:vAlign w:val="bottom"/>
          </w:tcPr>
          <w:p>
            <w:pPr>
              <w:ind w:left="380"/>
              <w:spacing w:after="0"/>
              <w:rPr>
                <w:sz w:val="20"/>
                <w:szCs w:val="20"/>
                <w:color w:val="auto"/>
              </w:rPr>
            </w:pPr>
            <w:r>
              <w:rPr>
                <w:rFonts w:ascii="Arial" w:cs="Arial" w:eastAsia="Arial" w:hAnsi="Arial"/>
                <w:sz w:val="16"/>
                <w:szCs w:val="16"/>
                <w:color w:val="auto"/>
              </w:rPr>
              <w:t>compensation</w:t>
            </w:r>
          </w:p>
        </w:tc>
        <w:tc>
          <w:tcPr>
            <w:tcW w:w="26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Dividends</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0"/>
        </w:trPr>
        <w:tc>
          <w:tcPr>
            <w:tcW w:w="660" w:type="dxa"/>
            <w:vAlign w:val="bottom"/>
            <w:shd w:val="clear" w:color="auto" w:fill="CCEEFF"/>
          </w:tcPr>
          <w:p>
            <w:pPr>
              <w:spacing w:after="0"/>
              <w:rPr>
                <w:sz w:val="19"/>
                <w:szCs w:val="19"/>
                <w:color w:val="auto"/>
              </w:rPr>
            </w:pPr>
          </w:p>
        </w:tc>
        <w:tc>
          <w:tcPr>
            <w:tcW w:w="3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component of convertible notes, net</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of issuance costs</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Purchase of convertible note hedges</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Issuance of warrants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60" w:type="dxa"/>
            <w:vAlign w:val="bottom"/>
            <w:tcBorders>
              <w:bottom w:val="single" w:sz="8" w:color="auto"/>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36.9</w:t>
            </w:r>
          </w:p>
        </w:tc>
        <w:tc>
          <w:tcPr>
            <w:tcW w:w="3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b w:val="1"/>
                <w:bCs w:val="1"/>
                <w:color w:val="auto"/>
              </w:rPr>
              <w:t>BALANCE AT YEAR-END 2017</w:t>
            </w: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1,041</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20.5</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ILG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2,438</w:t>
            </w:r>
          </w:p>
        </w:tc>
      </w:tr>
      <w:tr>
        <w:trPr>
          <w:trHeight w:val="220"/>
        </w:trPr>
        <w:tc>
          <w:tcPr>
            <w:tcW w:w="66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6"/>
                <w:szCs w:val="16"/>
                <w:color w:val="auto"/>
              </w:rPr>
              <w:t>Disposition of subsidiary shares to</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6"/>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noncontrolling interest holder</w:t>
            </w:r>
          </w:p>
        </w:tc>
        <w:tc>
          <w:tcPr>
            <w:tcW w:w="26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0"/>
        </w:trPr>
        <w:tc>
          <w:tcPr>
            <w:tcW w:w="660" w:type="dxa"/>
            <w:vAlign w:val="bottom"/>
            <w:shd w:val="clear" w:color="auto" w:fill="CCEEFF"/>
          </w:tcPr>
          <w:p>
            <w:pPr>
              <w:spacing w:after="0"/>
              <w:rPr>
                <w:sz w:val="19"/>
                <w:szCs w:val="19"/>
                <w:color w:val="auto"/>
              </w:rPr>
            </w:pPr>
          </w:p>
        </w:tc>
        <w:tc>
          <w:tcPr>
            <w:tcW w:w="3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Amounts related to share-based</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compensation</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6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57.6</w:t>
            </w:r>
          </w:p>
        </w:tc>
        <w:tc>
          <w:tcPr>
            <w:tcW w:w="3440" w:type="dxa"/>
            <w:vAlign w:val="bottom"/>
          </w:tcPr>
          <w:p>
            <w:pPr>
              <w:ind w:left="1000"/>
              <w:spacing w:after="0"/>
              <w:rPr>
                <w:sz w:val="20"/>
                <w:szCs w:val="20"/>
                <w:color w:val="auto"/>
              </w:rPr>
            </w:pPr>
            <w:r>
              <w:rPr>
                <w:rFonts w:ascii="Arial" w:cs="Arial" w:eastAsia="Arial" w:hAnsi="Arial"/>
                <w:sz w:val="16"/>
                <w:szCs w:val="16"/>
                <w:b w:val="1"/>
                <w:bCs w:val="1"/>
                <w:color w:val="auto"/>
              </w:rPr>
              <w:t>BALANCE AT YEAR-END 2018</w:t>
            </w: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3,466</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Impact of adoption of ASU 2016-02</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6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57.6</w:t>
            </w:r>
          </w:p>
        </w:tc>
        <w:tc>
          <w:tcPr>
            <w:tcW w:w="3440" w:type="dxa"/>
            <w:vAlign w:val="bottom"/>
          </w:tcPr>
          <w:p>
            <w:pPr>
              <w:ind w:left="140"/>
              <w:spacing w:after="0"/>
              <w:rPr>
                <w:sz w:val="20"/>
                <w:szCs w:val="20"/>
                <w:color w:val="auto"/>
              </w:rPr>
            </w:pPr>
            <w:r>
              <w:rPr>
                <w:rFonts w:ascii="Arial" w:cs="Arial" w:eastAsia="Arial" w:hAnsi="Arial"/>
                <w:sz w:val="16"/>
                <w:szCs w:val="16"/>
                <w:b w:val="1"/>
                <w:bCs w:val="1"/>
                <w:color w:val="auto"/>
              </w:rPr>
              <w:t>OPENING BALANCE 2019</w:t>
            </w: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3,458</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20"/>
        </w:trPr>
        <w:tc>
          <w:tcPr>
            <w:tcW w:w="660" w:type="dxa"/>
            <w:vAlign w:val="bottom"/>
          </w:tcPr>
          <w:p>
            <w:pPr>
              <w:spacing w:after="0"/>
              <w:rPr>
                <w:sz w:val="19"/>
                <w:szCs w:val="19"/>
                <w:color w:val="auto"/>
              </w:rPr>
            </w:pPr>
          </w:p>
        </w:tc>
        <w:tc>
          <w:tcPr>
            <w:tcW w:w="3440" w:type="dxa"/>
            <w:vAlign w:val="bottom"/>
          </w:tcPr>
          <w:p>
            <w:pPr>
              <w:ind w:left="380"/>
              <w:spacing w:after="0"/>
              <w:rPr>
                <w:sz w:val="20"/>
                <w:szCs w:val="20"/>
                <w:color w:val="auto"/>
              </w:rPr>
            </w:pPr>
            <w:r>
              <w:rPr>
                <w:rFonts w:ascii="Arial" w:cs="Arial" w:eastAsia="Arial" w:hAnsi="Arial"/>
                <w:sz w:val="16"/>
                <w:szCs w:val="16"/>
                <w:color w:val="auto"/>
              </w:rPr>
              <w:t>ILG Acquisition purchase accounting</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6"/>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adjustment</w:t>
            </w:r>
          </w:p>
        </w:tc>
        <w:tc>
          <w:tcPr>
            <w:tcW w:w="26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0"/>
        </w:trPr>
        <w:tc>
          <w:tcPr>
            <w:tcW w:w="660" w:type="dxa"/>
            <w:vAlign w:val="bottom"/>
            <w:shd w:val="clear" w:color="auto" w:fill="CCEEFF"/>
          </w:tcPr>
          <w:p>
            <w:pPr>
              <w:spacing w:after="0"/>
              <w:rPr>
                <w:sz w:val="19"/>
                <w:szCs w:val="19"/>
                <w:color w:val="auto"/>
              </w:rPr>
            </w:pPr>
          </w:p>
        </w:tc>
        <w:tc>
          <w:tcPr>
            <w:tcW w:w="3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Amounts related to share-based</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19"/>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0.3</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compensation</w:t>
            </w: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7"/>
        </w:trPr>
        <w:tc>
          <w:tcPr>
            <w:tcW w:w="660" w:type="dxa"/>
            <w:vAlign w:val="bottom"/>
          </w:tcPr>
          <w:p>
            <w:pPr>
              <w:jc w:val="right"/>
              <w:ind w:right="239"/>
              <w:spacing w:after="0"/>
              <w:rPr>
                <w:sz w:val="20"/>
                <w:szCs w:val="20"/>
                <w:color w:val="auto"/>
              </w:rPr>
            </w:pPr>
            <w:r>
              <w:rPr>
                <w:rFonts w:ascii="Arial" w:cs="Arial" w:eastAsia="Arial" w:hAnsi="Arial"/>
                <w:sz w:val="16"/>
                <w:szCs w:val="16"/>
                <w:color w:val="auto"/>
              </w:rPr>
              <w:t>17.1</w:t>
            </w:r>
          </w:p>
        </w:tc>
        <w:tc>
          <w:tcPr>
            <w:tcW w:w="3440" w:type="dxa"/>
            <w:vAlign w:val="bottom"/>
          </w:tcPr>
          <w:p>
            <w:pPr>
              <w:ind w:left="380"/>
              <w:spacing w:after="0"/>
              <w:rPr>
                <w:sz w:val="20"/>
                <w:szCs w:val="20"/>
                <w:color w:val="auto"/>
              </w:rPr>
            </w:pPr>
            <w:r>
              <w:rPr>
                <w:rFonts w:ascii="Arial" w:cs="Arial" w:eastAsia="Arial" w:hAnsi="Arial"/>
                <w:sz w:val="16"/>
                <w:szCs w:val="16"/>
                <w:color w:val="auto"/>
              </w:rPr>
              <w:t>Tax restructuring transaction</w:t>
            </w:r>
          </w:p>
        </w:tc>
        <w:tc>
          <w:tcPr>
            <w:tcW w:w="26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6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plan issuance</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44"/>
        </w:trPr>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75.0</w:t>
            </w:r>
          </w:p>
        </w:tc>
        <w:tc>
          <w:tcPr>
            <w:tcW w:w="3440" w:type="dxa"/>
            <w:vAlign w:val="bottom"/>
          </w:tcPr>
          <w:p>
            <w:pPr>
              <w:ind w:left="1000"/>
              <w:spacing w:after="0"/>
              <w:rPr>
                <w:sz w:val="20"/>
                <w:szCs w:val="20"/>
                <w:color w:val="auto"/>
              </w:rPr>
            </w:pPr>
            <w:r>
              <w:rPr>
                <w:rFonts w:ascii="Arial" w:cs="Arial" w:eastAsia="Arial" w:hAnsi="Arial"/>
                <w:sz w:val="16"/>
                <w:szCs w:val="16"/>
                <w:b w:val="1"/>
                <w:bCs w:val="1"/>
                <w:color w:val="auto"/>
              </w:rPr>
              <w:t>BALANCE AT YEAR-END 2019</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(1,253)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3,031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firstLine="662"/>
        <w:spacing w:after="0" w:line="253" w:lineRule="auto"/>
        <w:rPr>
          <w:sz w:val="20"/>
          <w:szCs w:val="20"/>
          <w:color w:val="auto"/>
        </w:rPr>
      </w:pPr>
      <w:r>
        <w:rPr>
          <w:rFonts w:ascii="Arial" w:cs="Arial" w:eastAsia="Arial" w:hAnsi="Arial"/>
          <w:sz w:val="18"/>
          <w:szCs w:val="18"/>
          <w:color w:val="auto"/>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 We also refer to Marriott International, Inc. as “Marriott International” and Marriott International’s Marriott Bonvoy customer loyalty program as “Marriott Bonvoy.” We use certain other terms that are defined within these Financial Statements.</w:t>
      </w:r>
    </w:p>
    <w:p>
      <w:pPr>
        <w:spacing w:after="0" w:line="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Accordingly, actual amounts may differ from these estimated amounts.</w:t>
      </w:r>
    </w:p>
    <w:p>
      <w:pPr>
        <w:spacing w:after="0" w:line="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Unless otherwise specified, each reference to a particular year in these Financial Statements means the fiscal year ended on the date shown in the following table, rather than the corresponding calendar year. Beginning with our 2017 fiscal year, we changed our financial reporting cycle to a calendar year-end and end-of-month quarterly reporting cycle.</w:t>
      </w:r>
    </w:p>
    <w:p>
      <w:pPr>
        <w:spacing w:after="0" w:line="128"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Fiscal Year</w:t>
            </w:r>
          </w:p>
        </w:tc>
        <w:tc>
          <w:tcPr>
            <w:tcW w:w="2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Fiscal Year-End Date</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Days</w:t>
            </w:r>
          </w:p>
        </w:tc>
      </w:tr>
      <w:tr>
        <w:trPr>
          <w:trHeight w:val="47"/>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244"/>
        </w:trPr>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2019</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365</w:t>
            </w:r>
          </w:p>
        </w:tc>
      </w:tr>
      <w:tr>
        <w:trPr>
          <w:trHeight w:val="243"/>
        </w:trPr>
        <w:tc>
          <w:tcPr>
            <w:tcW w:w="27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2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2018</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365</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43"/>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2017</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366</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ILG</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September 1, 2018 (the “Acquisition Date”),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See Footnote 3 “Acquisitions and Dispositions” for more information on the ILG Acquisition.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revenue to Management and exchange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expense to Management and exchange expense;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Consumer financing interest expense into Financing expense;</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Reclassified $53 million from Accrued liabilities to Accounts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Reclassified $58 million from Accrued liabilities to Advance deposits;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Reclassified $64 million from Accrued liabilities to Deferred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Reclassified $2 million from Accrued liabilities to Payroll and benefits liability;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Reclassified $3 million from Payroll and benefits liability to Accounts payable;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Reclassified $20 million of other debt from Debt, net to Securitized debt, net.</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account for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Sale of Vacation Ownership Products</w:t>
      </w:r>
    </w:p>
    <w:p>
      <w:pPr>
        <w:spacing w:after="0" w:line="117" w:lineRule="exact"/>
        <w:rPr>
          <w:sz w:val="20"/>
          <w:szCs w:val="20"/>
          <w:color w:val="auto"/>
        </w:rPr>
      </w:pPr>
    </w:p>
    <w:p>
      <w:pPr>
        <w:jc w:val="both"/>
        <w:ind w:right="640" w:firstLine="662"/>
        <w:spacing w:after="0" w:line="286" w:lineRule="auto"/>
        <w:rPr>
          <w:sz w:val="20"/>
          <w:szCs w:val="20"/>
          <w:color w:val="auto"/>
        </w:rPr>
      </w:pPr>
      <w:r>
        <w:rPr>
          <w:rFonts w:ascii="Arial" w:cs="Arial" w:eastAsia="Arial" w:hAnsi="Arial"/>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57"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and, in certain cases, membership in a brand affiliated club. Non-cash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80" w:lineRule="exact"/>
        <w:rPr>
          <w:sz w:val="20"/>
          <w:szCs w:val="20"/>
          <w:color w:val="auto"/>
        </w:rPr>
      </w:pPr>
    </w:p>
    <w:p>
      <w:pPr>
        <w:ind w:right="100" w:firstLine="662"/>
        <w:spacing w:after="0" w:line="302"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6" w:lineRule="exact"/>
        <w:rPr>
          <w:sz w:val="20"/>
          <w:szCs w:val="20"/>
          <w:color w:val="auto"/>
        </w:rPr>
      </w:pPr>
    </w:p>
    <w:p>
      <w:pPr>
        <w:ind w:right="20" w:firstLine="662"/>
        <w:spacing w:after="0" w:line="269" w:lineRule="auto"/>
        <w:rPr>
          <w:sz w:val="20"/>
          <w:szCs w:val="20"/>
          <w:color w:val="auto"/>
        </w:rPr>
      </w:pPr>
      <w:r>
        <w:rPr>
          <w:rFonts w:ascii="Arial" w:cs="Arial" w:eastAsia="Arial" w:hAnsi="Arial"/>
          <w:sz w:val="17"/>
          <w:szCs w:val="17"/>
          <w:color w:val="auto"/>
        </w:rPr>
        <w:t>Our assessment of collectibility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rely on historical payment data by customer class as described in “</w:t>
      </w:r>
      <w:r>
        <w:rPr>
          <w:rFonts w:ascii="Arial" w:cs="Arial" w:eastAsia="Arial" w:hAnsi="Arial"/>
          <w:sz w:val="17"/>
          <w:szCs w:val="17"/>
          <w:i w:val="1"/>
          <w:iCs w:val="1"/>
          <w:color w:val="auto"/>
        </w:rPr>
        <w:t>Loan Loss Reserves</w:t>
      </w:r>
      <w:r>
        <w:rPr>
          <w:rFonts w:ascii="Arial" w:cs="Arial" w:eastAsia="Arial" w:hAnsi="Arial"/>
          <w:sz w:val="17"/>
          <w:szCs w:val="17"/>
          <w:color w:val="auto"/>
        </w:rPr>
        <w:t>” below. Variable consideration which has not been included within the transaction price is presented as a reserve on vacation ownership notes receivable. Revisions to estimates of variable consideration from the sale of vacation ownership products impact the reserve on vacation ownership notes receivable and can increase or decrease revenue. Revenues were reduced during 2019 by $13 million due to changes in our estimate of variable consideration for performance obligations that were satisfied in prior periods. In addition, we account for cash incentives provided to customers as a reduction of the transaction price. Refer to “</w:t>
      </w:r>
      <w:r>
        <w:rPr>
          <w:rFonts w:ascii="Arial" w:cs="Arial" w:eastAsia="Arial" w:hAnsi="Arial"/>
          <w:sz w:val="17"/>
          <w:szCs w:val="17"/>
          <w:i w:val="1"/>
          <w:iCs w:val="1"/>
          <w:color w:val="auto"/>
        </w:rPr>
        <w:t>Arrangements with Multiple Performance Obligations</w:t>
      </w:r>
      <w:r>
        <w:rPr>
          <w:rFonts w:ascii="Arial" w:cs="Arial" w:eastAsia="Arial" w:hAnsi="Arial"/>
          <w:sz w:val="17"/>
          <w:szCs w:val="17"/>
          <w:color w:val="auto"/>
        </w:rPr>
        <w:t>” below for a description of our methods of allocating transaction price to each performance obligation.</w:t>
      </w:r>
    </w:p>
    <w:p>
      <w:pPr>
        <w:spacing w:after="0" w:line="75" w:lineRule="exact"/>
        <w:rPr>
          <w:sz w:val="20"/>
          <w:szCs w:val="20"/>
          <w:color w:val="auto"/>
        </w:rPr>
      </w:pPr>
    </w:p>
    <w:p>
      <w:pPr>
        <w:ind w:right="20" w:firstLine="662"/>
        <w:spacing w:after="0" w:line="276" w:lineRule="auto"/>
        <w:rPr>
          <w:sz w:val="20"/>
          <w:szCs w:val="20"/>
          <w:color w:val="auto"/>
        </w:rPr>
      </w:pPr>
      <w:r>
        <w:rPr>
          <w:rFonts w:ascii="Arial" w:cs="Arial" w:eastAsia="Arial" w:hAnsi="Arial"/>
          <w:sz w:val="17"/>
          <w:szCs w:val="17"/>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we transfer control of the vacation ownership product at different times for Legacy-MVW and Legacy-ILG. We recognize revenue on the sale of Legacy-MVW vacation ownership products at closing. We recognize revenue on the sale of Legacy-ILG vacation ownership products upon expiration of the rescission period.</w:t>
      </w:r>
    </w:p>
    <w:p>
      <w:pPr>
        <w:spacing w:after="0" w:line="64" w:lineRule="exact"/>
        <w:rPr>
          <w:sz w:val="20"/>
          <w:szCs w:val="20"/>
          <w:color w:val="auto"/>
        </w:rPr>
      </w:pPr>
    </w:p>
    <w:p>
      <w:pPr>
        <w:ind w:firstLine="662"/>
        <w:spacing w:after="0" w:line="276" w:lineRule="auto"/>
        <w:rPr>
          <w:sz w:val="20"/>
          <w:szCs w:val="20"/>
          <w:color w:val="auto"/>
        </w:rPr>
      </w:pPr>
      <w:r>
        <w:rPr>
          <w:rFonts w:ascii="Arial" w:cs="Arial" w:eastAsia="Arial" w:hAnsi="Arial"/>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Bonvoy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Management and Exchange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Ancillary Revenues</w:t>
      </w:r>
    </w:p>
    <w:p>
      <w:pPr>
        <w:spacing w:after="0" w:line="117" w:lineRule="exact"/>
        <w:rPr>
          <w:sz w:val="20"/>
          <w:szCs w:val="20"/>
          <w:color w:val="auto"/>
        </w:rPr>
      </w:pPr>
    </w:p>
    <w:p>
      <w:pPr>
        <w:ind w:right="380" w:firstLine="662"/>
        <w:spacing w:after="0" w:line="276"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Fee Revenues and Cost Reimbursements Revenues</w:t>
      </w:r>
    </w:p>
    <w:p>
      <w:pPr>
        <w:spacing w:after="0" w:line="117" w:lineRule="exact"/>
        <w:rPr>
          <w:sz w:val="20"/>
          <w:szCs w:val="20"/>
          <w:color w:val="auto"/>
        </w:rPr>
      </w:pPr>
    </w:p>
    <w:p>
      <w:pPr>
        <w:ind w:right="780" w:firstLine="662"/>
        <w:spacing w:after="0" w:line="277"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condominium owners and hotels.</w:t>
      </w:r>
    </w:p>
    <w:p>
      <w:pPr>
        <w:spacing w:after="0" w:line="62" w:lineRule="exact"/>
        <w:rPr>
          <w:sz w:val="20"/>
          <w:szCs w:val="20"/>
          <w:color w:val="auto"/>
        </w:rPr>
      </w:pPr>
    </w:p>
    <w:p>
      <w:pPr>
        <w:ind w:right="100" w:firstLine="662"/>
        <w:spacing w:after="0" w:line="270" w:lineRule="auto"/>
        <w:rPr>
          <w:sz w:val="20"/>
          <w:szCs w:val="20"/>
          <w:color w:val="auto"/>
        </w:rPr>
      </w:pPr>
      <w:r>
        <w:rPr>
          <w:rFonts w:ascii="Arial" w:cs="Arial" w:eastAsia="Arial" w:hAnsi="Arial"/>
          <w:sz w:val="17"/>
          <w:szCs w:val="17"/>
          <w:color w:val="auto"/>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property owners’ associations related to maintenance fees for unsold vacation ownership products, as we have concluded that such payments are consideration payable to a customer.</w:t>
      </w:r>
    </w:p>
    <w:p>
      <w:pPr>
        <w:spacing w:after="0" w:line="74" w:lineRule="exact"/>
        <w:rPr>
          <w:sz w:val="20"/>
          <w:szCs w:val="20"/>
          <w:color w:val="auto"/>
        </w:rPr>
      </w:pPr>
    </w:p>
    <w:p>
      <w:pPr>
        <w:jc w:val="both"/>
        <w:ind w:right="60" w:firstLine="662"/>
        <w:spacing w:after="0" w:line="264" w:lineRule="auto"/>
        <w:rPr>
          <w:sz w:val="20"/>
          <w:szCs w:val="20"/>
          <w:color w:val="auto"/>
        </w:rPr>
      </w:pPr>
      <w:r>
        <w:rPr>
          <w:rFonts w:ascii="Arial" w:cs="Arial" w:eastAsia="Arial" w:hAnsi="Arial"/>
          <w:sz w:val="18"/>
          <w:szCs w:val="18"/>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73" w:lineRule="exact"/>
        <w:rPr>
          <w:sz w:val="20"/>
          <w:szCs w:val="20"/>
          <w:color w:val="auto"/>
        </w:rPr>
      </w:pPr>
    </w:p>
    <w:p>
      <w:pPr>
        <w:ind w:right="100" w:firstLine="662"/>
        <w:spacing w:after="0" w:line="276" w:lineRule="auto"/>
        <w:rPr>
          <w:sz w:val="20"/>
          <w:szCs w:val="20"/>
          <w:color w:val="auto"/>
        </w:rPr>
      </w:pPr>
      <w:r>
        <w:rPr>
          <w:rFonts w:ascii="Arial" w:cs="Arial" w:eastAsia="Arial" w:hAnsi="Arial"/>
          <w:sz w:val="17"/>
          <w:szCs w:val="17"/>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64" w:lineRule="exact"/>
        <w:rPr>
          <w:sz w:val="20"/>
          <w:szCs w:val="20"/>
          <w:color w:val="auto"/>
        </w:rPr>
      </w:pPr>
    </w:p>
    <w:p>
      <w:pPr>
        <w:jc w:val="both"/>
        <w:ind w:firstLine="662"/>
        <w:spacing w:after="0" w:line="342" w:lineRule="auto"/>
        <w:rPr>
          <w:sz w:val="20"/>
          <w:szCs w:val="20"/>
          <w:color w:val="auto"/>
        </w:rPr>
      </w:pPr>
      <w:r>
        <w:rPr>
          <w:rFonts w:ascii="Arial" w:cs="Arial" w:eastAsia="Arial" w:hAnsi="Arial"/>
          <w:sz w:val="16"/>
          <w:szCs w:val="16"/>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 Revenues</w:t>
      </w:r>
    </w:p>
    <w:p>
      <w:pPr>
        <w:spacing w:after="0" w:line="117" w:lineRule="exact"/>
        <w:rPr>
          <w:sz w:val="20"/>
          <w:szCs w:val="20"/>
          <w:color w:val="auto"/>
        </w:rPr>
      </w:pPr>
    </w:p>
    <w:p>
      <w:pPr>
        <w:ind w:firstLine="662"/>
        <w:spacing w:after="0" w:line="257" w:lineRule="auto"/>
        <w:rPr>
          <w:sz w:val="20"/>
          <w:szCs w:val="20"/>
          <w:color w:val="auto"/>
        </w:rPr>
      </w:pPr>
      <w:r>
        <w:rPr>
          <w:rFonts w:ascii="Arial" w:cs="Arial" w:eastAsia="Arial" w:hAnsi="Arial"/>
          <w:sz w:val="18"/>
          <w:szCs w:val="18"/>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cancelable and refundable on a pro-rata basis, with the exception of the Interval International network’s Platinum tier which is non-refundable. Transaction-based fees are typically collected at a point in time.</w:t>
      </w:r>
    </w:p>
    <w:p>
      <w:pPr>
        <w:spacing w:after="0" w:line="80" w:lineRule="exact"/>
        <w:rPr>
          <w:sz w:val="20"/>
          <w:szCs w:val="20"/>
          <w:color w:val="auto"/>
        </w:rPr>
      </w:pPr>
    </w:p>
    <w:p>
      <w:pPr>
        <w:ind w:right="260" w:firstLine="662"/>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9" w:lineRule="exact"/>
        <w:rPr>
          <w:sz w:val="20"/>
          <w:szCs w:val="20"/>
          <w:color w:val="auto"/>
        </w:rPr>
      </w:pPr>
    </w:p>
    <w:p>
      <w:pPr>
        <w:ind w:right="360" w:firstLine="662"/>
        <w:spacing w:after="0" w:line="259" w:lineRule="auto"/>
        <w:rPr>
          <w:sz w:val="20"/>
          <w:szCs w:val="20"/>
          <w:color w:val="auto"/>
        </w:rPr>
      </w:pPr>
      <w:r>
        <w:rPr>
          <w:rFonts w:ascii="Arial" w:cs="Arial" w:eastAsia="Arial" w:hAnsi="Arial"/>
          <w:sz w:val="18"/>
          <w:szCs w:val="18"/>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rendered. For transactions where we do not control the goods or services prior to delivery, the related revenue is recorded net of the related cost upon recognition.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w:t>
      </w:r>
    </w:p>
    <w:p>
      <w:pPr>
        <w:spacing w:after="0" w:line="70" w:lineRule="exact"/>
        <w:rPr>
          <w:sz w:val="20"/>
          <w:szCs w:val="20"/>
          <w:color w:val="auto"/>
        </w:rPr>
      </w:pPr>
    </w:p>
    <w:p>
      <w:pPr>
        <w:ind w:right="160" w:firstLine="662"/>
        <w:spacing w:after="0" w:line="342" w:lineRule="auto"/>
        <w:rPr>
          <w:sz w:val="20"/>
          <w:szCs w:val="20"/>
          <w:color w:val="auto"/>
        </w:rPr>
      </w:pPr>
      <w:r>
        <w:rPr>
          <w:rFonts w:ascii="Arial" w:cs="Arial" w:eastAsia="Arial" w:hAnsi="Arial"/>
          <w:sz w:val="16"/>
          <w:szCs w:val="16"/>
          <w:color w:val="auto"/>
        </w:rPr>
        <w:t>In addition, we recognize interest income related to our acquired vacation ownership notes receivable using the level yield method. See Footnote 6 “Vacation Ownership Notes Receivable” for additional information related to the accounting for our acquired vacation ownership notes receivable.</w:t>
      </w:r>
    </w:p>
    <w:p>
      <w:pPr>
        <w:spacing w:after="0" w:line="16"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Financing revenues include transaction-based fees we charge to owners and other third parties for services. We recognize fee revenues when services have been rendered.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117"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International network and certain other membership programs from seasonal oversupply or underutilized space, as well as sourced resort accommodations.</w:t>
      </w:r>
    </w:p>
    <w:p>
      <w:pPr>
        <w:spacing w:after="0" w:line="80"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We receive payments for rentals primarily through credit card charges. We generally recognize rental revenues when occupancy has occurred, which is consistent with the period in which the customer benefits from such service. For certain rental revenues associated with our Exchange &amp; Third-Party Management segment, revenue is recognized when confirmation of the transaction is provided as we concluded we are an agent for these transactions. We recognize rental revenue from the utilization of plus points issued in connection with the sale of vacation ownership products as described in “</w:t>
      </w:r>
      <w:r>
        <w:rPr>
          <w:rFonts w:ascii="Arial" w:cs="Arial" w:eastAsia="Arial" w:hAnsi="Arial"/>
          <w:sz w:val="18"/>
          <w:szCs w:val="18"/>
          <w:i w:val="1"/>
          <w:iCs w:val="1"/>
          <w:color w:val="auto"/>
        </w:rPr>
        <w:t>Sale of</w:t>
      </w:r>
      <w:r>
        <w:rPr>
          <w:rFonts w:ascii="Arial" w:cs="Arial" w:eastAsia="Arial" w:hAnsi="Arial"/>
          <w:sz w:val="18"/>
          <w:szCs w:val="18"/>
          <w:color w:val="auto"/>
        </w:rPr>
        <w:t xml:space="preserve"> </w:t>
      </w:r>
      <w:r>
        <w:rPr>
          <w:rFonts w:ascii="Arial" w:cs="Arial" w:eastAsia="Arial" w:hAnsi="Arial"/>
          <w:sz w:val="18"/>
          <w:szCs w:val="18"/>
          <w:i w:val="1"/>
          <w:iCs w:val="1"/>
          <w:color w:val="auto"/>
        </w:rPr>
        <w:t>Vacation Ownership Products</w:t>
      </w:r>
      <w:r>
        <w:rPr>
          <w:rFonts w:ascii="Arial" w:cs="Arial" w:eastAsia="Arial" w:hAnsi="Arial"/>
          <w:sz w:val="18"/>
          <w:szCs w:val="18"/>
          <w:color w:val="auto"/>
        </w:rPr>
        <w:t>” above.</w:t>
      </w:r>
    </w:p>
    <w:p>
      <w:pPr>
        <w:spacing w:after="0" w:line="80"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 </w:t>
      </w:r>
      <w:r>
        <w:rPr>
          <w:rFonts w:ascii="Arial" w:cs="Arial" w:eastAsia="Arial" w:hAnsi="Arial"/>
          <w:sz w:val="18"/>
          <w:szCs w:val="18"/>
          <w:i w:val="1"/>
          <w:iCs w:val="1"/>
          <w:color w:val="auto"/>
        </w:rPr>
        <w:t>Time-Sharing Activities</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Arrangements with Multiple Performance Obligations</w:t>
      </w:r>
    </w:p>
    <w:p>
      <w:pPr>
        <w:spacing w:after="0" w:line="117" w:lineRule="exact"/>
        <w:rPr>
          <w:sz w:val="20"/>
          <w:szCs w:val="20"/>
          <w:color w:val="auto"/>
        </w:rPr>
      </w:pPr>
    </w:p>
    <w:p>
      <w:pPr>
        <w:ind w:right="220" w:firstLine="662"/>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40"/>
        <w:spacing w:after="0"/>
        <w:rPr>
          <w:sz w:val="20"/>
          <w:szCs w:val="20"/>
          <w:color w:val="auto"/>
        </w:rPr>
      </w:pPr>
      <w:r>
        <w:rPr>
          <w:rFonts w:ascii="Arial" w:cs="Arial" w:eastAsia="Arial" w:hAnsi="Arial"/>
          <w:sz w:val="18"/>
          <w:szCs w:val="18"/>
          <w:i w:val="1"/>
          <w:iCs w:val="1"/>
          <w:u w:val="single" w:color="auto"/>
          <w:color w:val="auto"/>
        </w:rPr>
        <w:t>Receivables, Contract Assets &amp; Contract Liabilities</w:t>
      </w:r>
    </w:p>
    <w:p>
      <w:pPr>
        <w:spacing w:after="0" w:line="117" w:lineRule="exact"/>
        <w:rPr>
          <w:sz w:val="20"/>
          <w:szCs w:val="20"/>
          <w:color w:val="auto"/>
        </w:rPr>
      </w:pPr>
    </w:p>
    <w:p>
      <w:pPr>
        <w:ind w:right="40" w:firstLine="662"/>
        <w:spacing w:after="0" w:line="293" w:lineRule="auto"/>
        <w:rPr>
          <w:sz w:val="20"/>
          <w:szCs w:val="20"/>
          <w:color w:val="auto"/>
        </w:rPr>
      </w:pPr>
      <w:r>
        <w:rPr>
          <w:rFonts w:ascii="Arial" w:cs="Arial" w:eastAsia="Arial" w:hAnsi="Arial"/>
          <w:sz w:val="16"/>
          <w:szCs w:val="16"/>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4 “Revenue” for additional information related to our receivables, contract assets and contract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charge marketing and sales costs we incur to sell vacation ownership products to expense when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Attributable to Common Shareholders</w:t>
      </w:r>
    </w:p>
    <w:p>
      <w:pPr>
        <w:spacing w:after="0" w:line="117" w:lineRule="exact"/>
        <w:rPr>
          <w:sz w:val="20"/>
          <w:szCs w:val="20"/>
          <w:color w:val="auto"/>
        </w:rPr>
      </w:pPr>
    </w:p>
    <w:p>
      <w:pPr>
        <w:ind w:right="120" w:firstLine="662"/>
        <w:spacing w:after="0" w:line="302" w:lineRule="auto"/>
        <w:rPr>
          <w:sz w:val="20"/>
          <w:szCs w:val="20"/>
          <w:color w:val="auto"/>
        </w:rPr>
      </w:pPr>
      <w:r>
        <w:rPr>
          <w:rFonts w:ascii="Arial" w:cs="Arial" w:eastAsia="Arial" w:hAnsi="Arial"/>
          <w:sz w:val="16"/>
          <w:szCs w:val="16"/>
          <w:color w:val="auto"/>
        </w:rPr>
        <w:t>Basic earnings per share attributable to common shareholders is calculated by dividing the earnings available to common shareholders by the weighted average number of common shares outstanding for the period. Diluted earnings per share attributable to common shareholders is calculated to give effect to all potentially dilutive common shares that were outstanding during the reporting period. The dilutive effect of outstanding equity-based compensation awards is reflected in diluted earnings per share attributable to common shareholders by application of the treasury stock method.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 See Footnote 3 “Acquisitions and Dispositions” for additional information.</w:t>
      </w:r>
    </w:p>
    <w:p>
      <w:pPr>
        <w:spacing w:after="0" w:line="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our accounting for business combinations we are required to determine the useful lives of identifiable intangible assets recognized separately from goodwill. The useful life of an intangible asset is the period over which the asset is expected to contribute directly or indirectly to the future cash flows of the acquired business. An intangible asset with a finite useful life shall be amortized; an intangible asset with an indefinite useful life shall not be amortized. We base the estimate of the useful life of an intangible asset on an analysis of all pertinent factors, in particular, all of the following factors with no one factor being more presumptive than the other:</w:t>
      </w:r>
    </w:p>
    <w:p>
      <w:pPr>
        <w:spacing w:after="0" w:line="2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use of the asset.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useful life of another asset or a group of assets to which the useful life of the intangible asset may relate.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legal, regulatory, or contractual provisions that may limit the useful life.</w:t>
      </w:r>
    </w:p>
    <w:p>
      <w:pPr>
        <w:spacing w:after="0" w:line="63"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own historical experience in renewing or extending similar arrangements, consistent with our intended use of the asset, regardless of whether those arrangements have explicit renewal or extension provisions.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obsolescence, demand, competition, and other economic factors.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maintenance expenditures required to obtain the expected future cash flows from the asset.</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no legal, regulatory, contractual, competitive, economic, or other factors limit the useful life of an intangible asset to the reporting entity, the useful life of the asset shall be considered to be indefinite. The term indefinite does not mean the same as infinite or indeterminate. The useful life of an intangible asset is indefinite if that life extends beyond the foreseeable horizon; that is, there is no foreseeable limit on the period of time over which it is expected to contribute to the cash flows of the acquired business.</w:t>
      </w:r>
    </w:p>
    <w:p>
      <w:pPr>
        <w:spacing w:after="0" w:line="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we believe the assumptions and estimates we have made have been reasonable and appropriate, they are based in part on historical experience and information obtained from the management of the acquired entity and are inherently uncertain. Examples of critical estimates in accounting for acquisitions include but are not limited to future expected cash flows from sales of products and services and related contracts and agreements and discount and long-term growth rates.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Unanticipated events and circumstances may occur which could affect the accuracy or validity of our assumptions, estimates or actual results.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when acquiring a company who has recorded deferred revenue in its historical, pre-acquisition financial statements, we are required as part of purchase accounting to re-measure the deferred revenue as of the acquisition date. Deferred revenue is re-measured to represent solely the cost that relates to the associated legal performance obligation which we assumed as part of the acquisition, plus a normal profit margin representing the level of effort or risk assumed. Legal performance obligations that simply relate to the passage of time would not result in recognized deferred revenue as there is little to no associated cost. This purchase accounting treatment typically results in lower amounts of revenue recognized in a reporting period following the acquisition than would have otherwise been recognized on a historical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120" w:firstLine="662"/>
        <w:spacing w:after="0" w:line="255" w:lineRule="auto"/>
        <w:rPr>
          <w:sz w:val="20"/>
          <w:szCs w:val="20"/>
          <w:color w:val="auto"/>
        </w:rPr>
      </w:pPr>
      <w:r>
        <w:rPr>
          <w:rFonts w:ascii="Arial" w:cs="Arial" w:eastAsia="Arial" w:hAnsi="Arial"/>
          <w:sz w:val="18"/>
          <w:szCs w:val="18"/>
          <w:color w:val="auto"/>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300" w:firstLine="662"/>
        <w:spacing w:after="0" w:line="264" w:lineRule="auto"/>
        <w:rPr>
          <w:sz w:val="20"/>
          <w:szCs w:val="20"/>
          <w:color w:val="auto"/>
        </w:rPr>
      </w:pPr>
      <w:r>
        <w:rPr>
          <w:rFonts w:ascii="Arial" w:cs="Arial" w:eastAsia="Arial" w:hAnsi="Arial"/>
          <w:sz w:val="18"/>
          <w:szCs w:val="18"/>
          <w:color w:val="auto"/>
        </w:rPr>
        <w:t>We have few financial instruments that we must measure at fair value on a recurring basis. See Footnote 7 “Financial Instruments” for further information. We also apply the provisions of fair value measurement to various non-recurring measurements for our financial and non-financial assets and liabilities.</w:t>
      </w:r>
    </w:p>
    <w:p>
      <w:pPr>
        <w:spacing w:after="0" w:line="73" w:lineRule="exact"/>
        <w:rPr>
          <w:sz w:val="20"/>
          <w:szCs w:val="20"/>
          <w:color w:val="auto"/>
        </w:rPr>
      </w:pPr>
    </w:p>
    <w:p>
      <w:pPr>
        <w:ind w:right="160" w:firstLine="662"/>
        <w:spacing w:after="0" w:line="264"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3" w:lineRule="exact"/>
        <w:rPr>
          <w:sz w:val="20"/>
          <w:szCs w:val="20"/>
          <w:color w:val="auto"/>
        </w:rPr>
      </w:pPr>
    </w:p>
    <w:p>
      <w:pPr>
        <w:ind w:left="980" w:right="8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 that we have the ability to access at the measurement date.</w:t>
      </w:r>
    </w:p>
    <w:p>
      <w:pPr>
        <w:spacing w:after="0" w:line="62" w:lineRule="exact"/>
        <w:rPr>
          <w:rFonts w:ascii="Arial" w:cs="Arial" w:eastAsia="Arial" w:hAnsi="Arial"/>
          <w:sz w:val="18"/>
          <w:szCs w:val="18"/>
          <w:color w:val="auto"/>
        </w:rPr>
      </w:pPr>
    </w:p>
    <w:p>
      <w:pPr>
        <w:ind w:left="980" w:right="18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8"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consider all highly liquid investments with an initial purchase maturity of three months or less at the date of purchase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Restricted cash primarily consists of cash restricted for use by consolidated property owners’ associations which is designated for resort operations and other specific uses, such as reserves, cash held in a reserve account related to vacation ownership notes receivable securitizations, cash collected for maintenance fees to be remitted to property owners’ associations, and deposits received and held in escrow, primarily associated with the sale of vacation ownership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Accounts receivable are stated at amounts due from customers, principally resort developers, members and managed properties, net of an allowance for doubtful accounts. Accounts receivable outstanding longer than the contractual payment terms are considered past due. We determine our allowance for accounts receivables by considering a number of factors, including the length of time accounts receivable are past due, previous loss history, our judgment as to the specific customer’s current ability to pay its obligation and the condition of the general economy. Our policy for determining our allowance for doubtful accounts consists of both general and specific reserves. The general reserve methodology is distinct for each business based on its historical collection experience and past practice. Predominantly, receivables greater than 120 days past due 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applied a general reserve factor, while receivables 180 days or more past due are fully reserved. The determination of when to apply a specific reserve requires judgment and is directly related to the particular customer collection issue identified, such as known liquidity constraints, insolvency concerns or litigation. We write off accounts receivable when they become uncollectible once we have exhausted all means of collection. Accounts receivable is presented net of allowances of $12 million and $4 million at December 31, 2019 and December 31,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Originated Vacation Ownership Notes Receivable Reserve</w:t>
      </w:r>
    </w:p>
    <w:p>
      <w:pPr>
        <w:spacing w:after="0" w:line="117"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We record the difference between the vacation ownership note receivable and the variable consideration included in the transaction price for the sale of the related vacation ownership product as a reserve on our originated vacation ownership notes receivable. See “Financing Revenues” above for further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40" w:firstLine="662"/>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7.04 percent and 7.01 percent as of December 31, 2019 and December 31, 2018, respectively. A 0.5 percentage point increase in the estimated default rate would have resulted in an increase in the related vacation ownership notes receivable reserve of $8 million and $7 million as of December 31, 2019 and December 31, 2018, respectively.</w:t>
      </w:r>
    </w:p>
    <w:p>
      <w:pPr>
        <w:spacing w:after="0" w:line="61" w:lineRule="exact"/>
        <w:rPr>
          <w:sz w:val="20"/>
          <w:szCs w:val="20"/>
          <w:color w:val="auto"/>
        </w:rPr>
      </w:pPr>
    </w:p>
    <w:p>
      <w:pPr>
        <w:ind w:right="100" w:firstLine="662"/>
        <w:spacing w:after="0" w:line="277" w:lineRule="auto"/>
        <w:rPr>
          <w:sz w:val="20"/>
          <w:szCs w:val="20"/>
          <w:color w:val="auto"/>
        </w:rPr>
      </w:pPr>
      <w:r>
        <w:rPr>
          <w:rFonts w:ascii="Arial" w:cs="Arial" w:eastAsia="Arial" w:hAnsi="Arial"/>
          <w:sz w:val="18"/>
          <w:szCs w:val="18"/>
          <w:color w:val="auto"/>
        </w:rPr>
        <w:t>For additional information on our Legacy-MVW vacation ownership notes receivable, including information on the related reserves, see Footnote 6 “Vacation Ownership Notes Receivable.”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an ongoing basis, we monitor the credit quality of our Legacy-ILG vacation ownership notes receivable portfolio based on payment activity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right="6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 The vacation ownership note receivable is in good standing as payments and reporting are current per the terms contractually stipulated in the agreement.</w:t>
      </w:r>
    </w:p>
    <w:p>
      <w:pPr>
        <w:spacing w:after="0" w:line="62"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Delinquent — We consider a vacation ownership note receivable to be delinquent based on the contractual terms of each individual financing agreement.</w:t>
      </w:r>
    </w:p>
    <w:p>
      <w:pPr>
        <w:spacing w:after="0" w:line="62" w:lineRule="exact"/>
        <w:rPr>
          <w:rFonts w:ascii="Arial" w:cs="Arial" w:eastAsia="Arial" w:hAnsi="Arial"/>
          <w:sz w:val="18"/>
          <w:szCs w:val="18"/>
          <w:color w:val="auto"/>
        </w:rPr>
      </w:pPr>
    </w:p>
    <w:p>
      <w:pPr>
        <w:ind w:left="980" w:right="220" w:hanging="324"/>
        <w:spacing w:after="0" w:line="30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Non-performing — Our vacation ownership notes receivable are generally considered non-performing if interest or principal is more than 30 days past due. All non-performing vacation ownership notes receivable are placed on non-accrual status when they are over 90 days past due. We resume accruing interest when vacation ownership notes receivable are less than 90 days past due. We apply payments we receive for vacation ownership notes receivable on non-performing status first to interest, then to principal, and any remainder to fees.</w:t>
      </w:r>
    </w:p>
    <w:p>
      <w:pPr>
        <w:spacing w:after="0" w:line="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consider vacation ownership notes receivable to be in default upon reaching 120 days outstanding. We use the origination of the vacation ownership notes receivable by brand (Westin, Sheraton, Hyatt)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property they have acquired, supplemented by the FICO scores of the customers.</w:t>
      </w:r>
    </w:p>
    <w:p>
      <w:pPr>
        <w:spacing w:after="0" w:line="6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At December 31, 2019 and December 31, 2018, the weighted average FICO score within our consolidated Legacy-ILG vacation ownership notes receivable pools was 712 and 710, respectively, based upon the outstanding vacation ownership notes receivable balance at time of origination. The average estimated rate for all future defaults for our Legacy-ILG consolidated outstanding pool of vacation ownership notes receivable as of December 31, 2019 and December 31, 2018 was 12.65 percent and 12.37 percent, respectively. A 0.5 percentage point increase in the estimated default rate on the Legacy-ILG originated vacation ownership notes receivable would have resulted in an increase in the related vacation ownership notes receivable reserve of $2 million and $1 million as of December 31, 2019 and December 31, 2018, respectively.</w:t>
      </w:r>
    </w:p>
    <w:p>
      <w:pPr>
        <w:spacing w:after="0" w:line="70" w:lineRule="exact"/>
        <w:rPr>
          <w:sz w:val="20"/>
          <w:szCs w:val="20"/>
          <w:color w:val="auto"/>
        </w:rPr>
      </w:pPr>
    </w:p>
    <w:p>
      <w:pPr>
        <w:ind w:right="260" w:firstLine="662"/>
        <w:spacing w:after="0" w:line="277" w:lineRule="auto"/>
        <w:rPr>
          <w:sz w:val="20"/>
          <w:szCs w:val="20"/>
          <w:color w:val="auto"/>
        </w:rPr>
      </w:pPr>
      <w:r>
        <w:rPr>
          <w:rFonts w:ascii="Arial" w:cs="Arial" w:eastAsia="Arial" w:hAnsi="Arial"/>
          <w:sz w:val="18"/>
          <w:szCs w:val="18"/>
          <w:color w:val="auto"/>
        </w:rPr>
        <w:t>For additional information on our Legacy-ILG vacation ownership notes receivable, including information on the related reserves, see Footnote 6 “Vacation Ownership Notes Receivable.”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and vacation ownership products under construction.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79" w:lineRule="exact"/>
        <w:rPr>
          <w:sz w:val="20"/>
          <w:szCs w:val="20"/>
          <w:color w:val="auto"/>
        </w:rPr>
      </w:pPr>
    </w:p>
    <w:p>
      <w:pPr>
        <w:ind w:firstLine="662"/>
        <w:spacing w:after="0" w:line="270" w:lineRule="auto"/>
        <w:rPr>
          <w:sz w:val="20"/>
          <w:szCs w:val="20"/>
          <w:color w:val="auto"/>
        </w:rPr>
      </w:pPr>
      <w:r>
        <w:rPr>
          <w:rFonts w:ascii="Arial" w:cs="Arial" w:eastAsia="Arial" w:hAnsi="Arial"/>
          <w:sz w:val="17"/>
          <w:szCs w:val="17"/>
          <w:color w:val="auto"/>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variable consideration which has not been included within the transaction price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 activity, and are recorded in Cost of vacation ownership product expenses on the Income Statements to retrospectively adjust the margin previously recorded subject to those estimates. For 2019, 2018 and 2017, product cost true-up activity relating to vacation ownership products increased carrying values of inventory by $8 million, $6 million and less than $1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Property and equipment includes our sales centers, golf courses, information technology, including internally developed capitalized software,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vacation ownership interests are classified as property and equipment until they are registered for sale. We record property and equipment at cost, including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5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also capitalize certain qualified costs incurred in connection with the development of internal use software. Capitalization of internal use software costs begins when the preliminary project stage is completed, management with the relevant authority authorizes and commits to the funding of the software project, and it is probable that the project will be completed and the software will be used to perform the function intended.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500" w:firstLine="662"/>
        <w:spacing w:after="0" w:line="277" w:lineRule="auto"/>
        <w:rPr>
          <w:sz w:val="20"/>
          <w:szCs w:val="20"/>
          <w:color w:val="auto"/>
        </w:rPr>
      </w:pPr>
      <w:r>
        <w:rPr>
          <w:rFonts w:ascii="Arial" w:cs="Arial" w:eastAsia="Arial" w:hAnsi="Arial"/>
          <w:sz w:val="18"/>
          <w:szCs w:val="18"/>
          <w:color w:val="auto"/>
        </w:rPr>
        <w:t>We account for leases in accordance with ASC 842, as defined herein, which we adopted on January 1, 2019, using the modified retrospective method. See “New Accounting Standards” below for further discussion of the adoption.</w:t>
      </w:r>
    </w:p>
    <w:p>
      <w:pPr>
        <w:spacing w:after="0" w:line="62" w:lineRule="exact"/>
        <w:rPr>
          <w:sz w:val="20"/>
          <w:szCs w:val="20"/>
          <w:color w:val="auto"/>
        </w:rPr>
      </w:pPr>
    </w:p>
    <w:p>
      <w:pPr>
        <w:jc w:val="both"/>
        <w:ind w:right="60" w:firstLine="662"/>
        <w:spacing w:after="0" w:line="259" w:lineRule="auto"/>
        <w:rPr>
          <w:sz w:val="20"/>
          <w:szCs w:val="20"/>
          <w:color w:val="auto"/>
        </w:rPr>
      </w:pPr>
      <w:r>
        <w:rPr>
          <w:rFonts w:ascii="Arial" w:cs="Arial" w:eastAsia="Arial" w:hAnsi="Arial"/>
          <w:sz w:val="18"/>
          <w:szCs w:val="18"/>
          <w:color w:val="auto"/>
        </w:rPr>
        <w:t>Operating leases include lease arrangements for various land, corporate facilities, real estate and equipment. We also have a long-term land lease for land underlying an operating hotel. Corporate facilities leases are for office space, including our corporate headquarters in Orlando, Florida. Other operating leases are primarily for office, off-site sales centers and retail space, as well as various equipment supporting our operations, with varying terms and renewal option periods.</w:t>
      </w:r>
    </w:p>
    <w:p>
      <w:pPr>
        <w:spacing w:after="0" w:line="79" w:lineRule="exact"/>
        <w:rPr>
          <w:sz w:val="20"/>
          <w:szCs w:val="20"/>
          <w:color w:val="auto"/>
        </w:rPr>
      </w:pPr>
    </w:p>
    <w:p>
      <w:pPr>
        <w:ind w:right="240" w:firstLine="662"/>
        <w:spacing w:after="0" w:line="302" w:lineRule="auto"/>
        <w:rPr>
          <w:sz w:val="20"/>
          <w:szCs w:val="20"/>
          <w:color w:val="auto"/>
        </w:rPr>
      </w:pPr>
      <w:r>
        <w:rPr>
          <w:rFonts w:ascii="Arial" w:cs="Arial" w:eastAsia="Arial" w:hAnsi="Arial"/>
          <w:sz w:val="16"/>
          <w:szCs w:val="16"/>
          <w:color w:val="auto"/>
        </w:rPr>
        <w:t>Finance leases include lease arrangements for ancillary and operations space for which we have the commitment to purchase the associated operating property, including that leased space. See Footnote 11 “Contingencies and Commitments” for additional information. In addition, we also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Other Intangible Assets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 See Footnote 3 “Acquisitions and Dispositions” for additional information on the impairment charge we recorded in 2019 related to our change in development strategy and Footnote 10 “Property and Equipment” for impairment losses we recorded associated with long-lived assets. We had no impairment charges for other intangible assets during the year ended December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perform an annual review for the potential impairment of the carrying value of goodwill,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8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6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third-party appraisals, industry projections, micro and macro general economic condition projections, and our expectations.</w:t>
      </w:r>
    </w:p>
    <w:p>
      <w:pPr>
        <w:spacing w:after="0" w:line="5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performed our annual goodwill impairment test as of October 1, 2019 and determined that the qualitative assessment was not conclusive for the Exchange &amp; Third-Party Management reporting unit, and as such we performed a quantitative impairment analysis on this reporting unit, which indicated that the carrying value of the Exchange and Third-Party reporting unit did not exceed the estimated fair value. We had no goodwill impairment charges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accounting for the 1.50% Convertible Senior Notes due 2022 (the “Convertible Notes”), we bifurcated the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Convertible Notes. The excess of the principal amount of the liability over its carrying amount is amortized to interest expense over the term of the Convertible Notes using the effective interest method. The equity component is not remeasured as long as it continues to meet the conditions for equity classification. In accounting for the issuance costs related to the Convertible Notes, we allocated the total amount incurred to the liability and equity components based on their relative values. Issuance costs attributable to the liability component are amortized to interest expense over the term of the Convertible Notes, and issuance costs attributable to the equity component are included along with the equity component in additional paid-in capital within shareholders’ equity. See Footnote 14 “Debt” 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360" w:firstLine="662"/>
        <w:spacing w:after="0" w:line="259"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$19 million in 2019, $11 million in 2018 and $10 million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20" w:firstLine="662"/>
        <w:spacing w:after="0" w:line="279" w:lineRule="auto"/>
        <w:rPr>
          <w:sz w:val="20"/>
          <w:szCs w:val="20"/>
          <w:color w:val="auto"/>
        </w:rPr>
      </w:pPr>
      <w:r>
        <w:rPr>
          <w:rFonts w:ascii="Arial" w:cs="Arial" w:eastAsia="Arial" w:hAnsi="Arial"/>
          <w:sz w:val="17"/>
          <w:szCs w:val="17"/>
          <w:color w:val="auto"/>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63" w:lineRule="exact"/>
        <w:rPr>
          <w:sz w:val="20"/>
          <w:szCs w:val="20"/>
          <w:color w:val="auto"/>
        </w:rPr>
      </w:pPr>
    </w:p>
    <w:p>
      <w:pPr>
        <w:ind w:firstLine="662"/>
        <w:spacing w:after="0" w:line="259" w:lineRule="auto"/>
        <w:rPr>
          <w:sz w:val="20"/>
          <w:szCs w:val="20"/>
          <w:color w:val="auto"/>
        </w:rPr>
      </w:pPr>
      <w:r>
        <w:rPr>
          <w:rFonts w:ascii="Arial" w:cs="Arial" w:eastAsia="Arial" w:hAnsi="Arial"/>
          <w:sz w:val="18"/>
          <w:szCs w:val="18"/>
          <w:color w:val="auto"/>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that were employees of Marriott Vacations Worldwide at the time of the Marriott Spin-Off including earnings thereon.</w:t>
      </w:r>
    </w:p>
    <w:p>
      <w:pPr>
        <w:spacing w:after="0" w:line="7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2019 and 2018, participants were able to select a rate of return based on market-based investment alternatives for up to 100 percent of their contributions and existing balances, with one of those options being a fixed rate of return of 3.5 percent.</w:t>
      </w:r>
    </w:p>
    <w:p>
      <w:pPr>
        <w:spacing w:after="0" w:line="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consolidate the liabilities of the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December 31, 2019, the value of the assets held in the rabbi trust was $39 million, which is included in the Other line within assets on our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117" w:lineRule="exact"/>
        <w:rPr>
          <w:sz w:val="20"/>
          <w:szCs w:val="20"/>
          <w:color w:val="auto"/>
        </w:rPr>
      </w:pPr>
    </w:p>
    <w:p>
      <w:pPr>
        <w:ind w:right="180" w:firstLine="662"/>
        <w:spacing w:after="0" w:line="342" w:lineRule="auto"/>
        <w:rPr>
          <w:sz w:val="20"/>
          <w:szCs w:val="20"/>
          <w:color w:val="auto"/>
        </w:rPr>
      </w:pPr>
      <w:r>
        <w:rPr>
          <w:rFonts w:ascii="Arial" w:cs="Arial" w:eastAsia="Arial" w:hAnsi="Arial"/>
          <w:sz w:val="16"/>
          <w:szCs w:val="16"/>
          <w:color w:val="auto"/>
        </w:rPr>
        <w:t>We established the Marriott Vacations Worldwide Corporation Stock and Cash Incentive Plan (the “MVW Stock Plan”) in order to compensate our employees and directors by granting them equity awards such as restricted stock units (“RSUs”), stock appreciation rights (“SARs”) and stock options.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firstLine="662"/>
        <w:spacing w:after="0" w:line="255" w:lineRule="auto"/>
        <w:rPr>
          <w:sz w:val="20"/>
          <w:szCs w:val="20"/>
          <w:color w:val="auto"/>
        </w:rPr>
      </w:pPr>
      <w:r>
        <w:rPr>
          <w:rFonts w:ascii="Arial" w:cs="Arial" w:eastAsia="Arial" w:hAnsi="Arial"/>
          <w:sz w:val="18"/>
          <w:szCs w:val="18"/>
          <w:color w:val="auto"/>
        </w:rPr>
        <w:t>We follow the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that a company measure the expense of employee services received in exchange for an award of equity instruments based on the grant-date fair value of the award. Generally, share-based awards granted to our employees, other than RSUs with performance 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three-year performance period based upon the cumulative achievement over that period of specific quantitative operating financial measures and we recognize compensation expense once it is probable that the corresponding performance condition will be achieved.</w:t>
      </w:r>
    </w:p>
    <w:p>
      <w:pPr>
        <w:spacing w:after="0" w:line="81" w:lineRule="exact"/>
        <w:rPr>
          <w:sz w:val="20"/>
          <w:szCs w:val="20"/>
          <w:color w:val="auto"/>
        </w:rPr>
      </w:pPr>
    </w:p>
    <w:p>
      <w:pPr>
        <w:ind w:firstLine="662"/>
        <w:spacing w:after="0" w:line="297" w:lineRule="auto"/>
        <w:rPr>
          <w:sz w:val="20"/>
          <w:szCs w:val="20"/>
          <w:color w:val="auto"/>
        </w:rPr>
      </w:pPr>
      <w:r>
        <w:rPr>
          <w:rFonts w:ascii="Arial" w:cs="Arial" w:eastAsia="Arial" w:hAnsi="Arial"/>
          <w:sz w:val="16"/>
          <w:szCs w:val="16"/>
          <w:color w:val="auto"/>
        </w:rPr>
        <w:t>SARs awarded under the Stock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50"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will issue shares from authorized shares upon the exercise of SARs or stock options held by our employees and directors.</w:t>
      </w:r>
    </w:p>
    <w:p>
      <w:pPr>
        <w:spacing w:after="0" w:line="81" w:lineRule="exact"/>
        <w:rPr>
          <w:sz w:val="20"/>
          <w:szCs w:val="20"/>
          <w:color w:val="auto"/>
        </w:rPr>
      </w:pPr>
    </w:p>
    <w:p>
      <w:pPr>
        <w:ind w:right="280" w:firstLine="662"/>
        <w:spacing w:after="0" w:line="264" w:lineRule="auto"/>
        <w:rPr>
          <w:sz w:val="20"/>
          <w:szCs w:val="20"/>
          <w:color w:val="auto"/>
        </w:rPr>
      </w:pPr>
      <w:r>
        <w:rPr>
          <w:rFonts w:ascii="Arial" w:cs="Arial" w:eastAsia="Arial" w:hAnsi="Arial"/>
          <w:sz w:val="18"/>
          <w:szCs w:val="18"/>
          <w:color w:val="auto"/>
        </w:rPr>
        <w:t>For share-based awards granted to non-employee directors, we recognize compensation expense on the grant date based on the fair value of the awards as of that date. See Footnote 16 “Share-Based Compensation” for more information, including information on the Legacy-ILG stock and incentive plan that was assumed as part of the ILG Acquisition.</w:t>
      </w:r>
    </w:p>
    <w:p>
      <w:pPr>
        <w:spacing w:after="0" w:line="73" w:lineRule="exact"/>
        <w:rPr>
          <w:sz w:val="20"/>
          <w:szCs w:val="20"/>
          <w:color w:val="auto"/>
        </w:rPr>
      </w:pPr>
    </w:p>
    <w:p>
      <w:pPr>
        <w:ind w:right="300" w:firstLine="662"/>
        <w:spacing w:after="0" w:line="342" w:lineRule="auto"/>
        <w:rPr>
          <w:sz w:val="20"/>
          <w:szCs w:val="20"/>
          <w:color w:val="auto"/>
        </w:rPr>
      </w:pPr>
      <w:r>
        <w:rPr>
          <w:rFonts w:ascii="Arial" w:cs="Arial" w:eastAsia="Arial" w:hAnsi="Arial"/>
          <w:sz w:val="16"/>
          <w:szCs w:val="16"/>
          <w:color w:val="auto"/>
        </w:rPr>
        <w:t>Also, see Footnote 16 “Share-Based Compensation” for information on the ILG share-based awards converted into MVW share-based awards as part of the ILG Acquisition, which are accounted for in the same manner as awards issued under the MVW Stock Plan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7"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662"/>
        <w:spacing w:after="0" w:line="297" w:lineRule="auto"/>
        <w:rPr>
          <w:sz w:val="20"/>
          <w:szCs w:val="20"/>
          <w:color w:val="auto"/>
        </w:rPr>
      </w:pPr>
      <w:r>
        <w:rPr>
          <w:rFonts w:ascii="Arial" w:cs="Arial" w:eastAsia="Arial" w:hAnsi="Arial"/>
          <w:sz w:val="16"/>
          <w:szCs w:val="16"/>
          <w:color w:val="auto"/>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50" w:lineRule="exact"/>
        <w:rPr>
          <w:sz w:val="20"/>
          <w:szCs w:val="20"/>
          <w:color w:val="auto"/>
        </w:rPr>
      </w:pPr>
    </w:p>
    <w:p>
      <w:pPr>
        <w:ind w:right="180" w:firstLine="662"/>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73" w:lineRule="exact"/>
        <w:rPr>
          <w:sz w:val="20"/>
          <w:szCs w:val="20"/>
          <w:color w:val="auto"/>
        </w:rPr>
      </w:pPr>
    </w:p>
    <w:p>
      <w:pPr>
        <w:ind w:right="540" w:firstLine="662"/>
        <w:spacing w:after="0" w:line="277" w:lineRule="auto"/>
        <w:rPr>
          <w:sz w:val="20"/>
          <w:szCs w:val="20"/>
          <w:color w:val="auto"/>
        </w:rPr>
      </w:pPr>
      <w:r>
        <w:rPr>
          <w:rFonts w:ascii="Arial" w:cs="Arial" w:eastAsia="Arial" w:hAnsi="Arial"/>
          <w:sz w:val="18"/>
          <w:szCs w:val="18"/>
          <w:color w:val="auto"/>
        </w:rPr>
        <w:t>We record a valuation allowance on deferred taxes if we determine it is more likely than not that we will not fully realize the future benefit of deferred tax assets. In making such a determination, we consider all available positive and negative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57" w:lineRule="exact"/>
        <w:rPr>
          <w:sz w:val="20"/>
          <w:szCs w:val="20"/>
          <w:color w:val="auto"/>
        </w:rPr>
      </w:pPr>
    </w:p>
    <w:p>
      <w:pPr>
        <w:ind w:right="40" w:firstLine="662"/>
        <w:spacing w:after="0" w:line="342" w:lineRule="auto"/>
        <w:rPr>
          <w:sz w:val="20"/>
          <w:szCs w:val="20"/>
          <w:color w:val="auto"/>
        </w:rPr>
      </w:pPr>
      <w:r>
        <w:rPr>
          <w:rFonts w:ascii="Arial" w:cs="Arial" w:eastAsia="Arial" w:hAnsi="Arial"/>
          <w:sz w:val="16"/>
          <w:szCs w:val="16"/>
          <w:color w:val="auto"/>
        </w:rPr>
        <w:t>We file tax returns after the close of our fiscal year end and adjust our estimated tax receivable or liability to the actual tax receivable or due per the filed tax returns. Historically, we have not experienced significant differences between our estimates of provision for income tax and actual amounts incurred.</w:t>
      </w:r>
    </w:p>
    <w:p>
      <w:pPr>
        <w:spacing w:after="0" w:line="16" w:lineRule="exact"/>
        <w:rPr>
          <w:sz w:val="20"/>
          <w:szCs w:val="20"/>
          <w:color w:val="auto"/>
        </w:rPr>
      </w:pPr>
    </w:p>
    <w:p>
      <w:pPr>
        <w:ind w:right="340" w:firstLine="662"/>
        <w:spacing w:after="0" w:line="277" w:lineRule="auto"/>
        <w:rPr>
          <w:sz w:val="20"/>
          <w:szCs w:val="20"/>
          <w:color w:val="auto"/>
        </w:rPr>
      </w:pPr>
      <w:r>
        <w:rPr>
          <w:rFonts w:ascii="Arial" w:cs="Arial" w:eastAsia="Arial" w:hAnsi="Arial"/>
          <w:sz w:val="18"/>
          <w:szCs w:val="18"/>
          <w:color w:val="auto"/>
        </w:rPr>
        <w:t>For purposes of Global Intangible Low-Taxed Income (“GILTI”), we have elected to use the period cost method and therefore have not recorded deferred taxes for basis differences expected to reverse in future periods.</w:t>
      </w:r>
    </w:p>
    <w:p>
      <w:pPr>
        <w:spacing w:after="0" w:line="62" w:lineRule="exact"/>
        <w:rPr>
          <w:sz w:val="20"/>
          <w:szCs w:val="20"/>
          <w:color w:val="auto"/>
        </w:rPr>
      </w:pPr>
    </w:p>
    <w:p>
      <w:pPr>
        <w:ind w:right="100" w:firstLine="662"/>
        <w:spacing w:after="0" w:line="297" w:lineRule="auto"/>
        <w:rPr>
          <w:sz w:val="20"/>
          <w:szCs w:val="20"/>
          <w:color w:val="auto"/>
        </w:rPr>
      </w:pPr>
      <w:r>
        <w:rPr>
          <w:rFonts w:ascii="Arial" w:cs="Arial" w:eastAsia="Arial" w:hAnsi="Arial"/>
          <w:sz w:val="16"/>
          <w:szCs w:val="16"/>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about income taxes, deferred tax assets and liabilities, and uncertain tax benefits, see Footnote 5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the first quarter of 2019, we adopted Accounting Standards Update (“ASU”) 2017-12, which eliminates the requirement to separately measure and report hedge ineffectiveness and generally requires the entire change in the fair value of a hedging instrument to be presented in the same income statement line as the hedged item. Our adoption of ASU 2017-12 did not have a material impact on our Financial Statements or disclosures.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In the first quarter of 2019, we adopted ASU 2016-02, as amended, using the modified retrospective method. Accordingly, previously reported financial information has not been restated to reflect the application of the new standard to comparative periods presented. As permitted by the amended guidance, we elected to adopt the package of practical expedients and therefore, we did not reassess: (i) whether any existing or expired contracts are or contain leases under the new definition; (ii) the lease classification of any such leases; or (iii) the initial direct costs of any such leases. We did not utilize the practical expedient which allows the use of hindsight by lessees and lessors in determining the lease term and in assessing impairment of their right-of-use assets. Additionally, with respect to our real estate leases, we elected an accounting policy by class of underlying asset to combine lease and non-lease components. We also elected to apply an exemption for short-term leases whereby leases with an initial term of a year or less are not recorded on the balance sheet. For existing leases that commenced prior to the adoption of ASC 842, we made an accounting policy election to use our incremental borrowing rate, considering the remaining lease term and remaining minimum rental payments during transition, in establishing our lease liabilities.</w:t>
      </w:r>
    </w:p>
    <w:p>
      <w:pPr>
        <w:spacing w:after="0" w:line="5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ASU 2016-12 requires a lessee to recognize most leases on its balance sheet by recording a lease liability and a right-of-use asset as of the lease commencement date. ASU 2016-02 also requires leases to be classified as either finance or operating, with classification affecting how leases are measured and presented in the income statement and statement of cash flows.</w:t>
      </w:r>
    </w:p>
    <w:p>
      <w:pPr>
        <w:spacing w:after="0" w:line="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Upon adoption of ASU 2016-02, we recognized a lease obligation of $165 million and a right-of-use asset of $155 million, as well as, a cumulative-effect adjustment of $8 million to the opening balance of retained earnings for our operating and finance leases, primarily related to leases of real estate and other assets. The adoption of ASU 2016-02 did not have a material effect on our Income Statement or Cash Flows for the twelve months ended December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Accounting Standards Update 2017-04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(“ASU 2017-04”)</w:t>
      </w:r>
    </w:p>
    <w:p>
      <w:pPr>
        <w:spacing w:after="0" w:line="6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adopted ASU 2017-04 during the fourth quarter of 2019, prior to our annual impairment testing. ASU 2017-04 requires an entity to perform its annual or interim goodwill impairment test by comparing the fair value of a reporting unit with its carrying amount, and to recognize an impairment charge for the amount by which the carrying amount exceeds the reporting unit’s fair value, not to exceed the total amount of goodwill allocated to that reporting unit. The adoption of ASU 2017-04 did not have a material effect on our financial statements or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June 2016, the Financial Accounting Standards Board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We continue to evaluate the impact that adoption of this update in the 2020 first quarter will have on our financial statements or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Accounting Standards Update 2019-12 –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w:t>
      </w:r>
    </w:p>
    <w:p>
      <w:pPr>
        <w:spacing w:after="0" w:line="11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December 2019, the FASB issued ASU 2019-12, which amends and simplifies existing guidance in an effort to reduce the complexity of accounting for income taxes while maintaining or enhancing the helpfulness of information provided to financial statement users. This update is effective for fiscal years beginning after December 15, 2020, including interim periods therein, with early adoption permitted. We expect to adopt ASU 2019-12 commencing in fiscal year 2021 and continue to evaluate the impact that adoption of this update will have on our financial statements and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ILG Acquisition</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September 1, 2018, we completed the ILG Acquisition. The following table presents the fair value of each class of consideration transferred in the ILG Acquisition, as finalized at September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 of Marriott Vacations Worldwide common stock issued in exchange for ILG outstanding shares</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Marriott Vacations Worldwide common stock price per share as of Acquisition Date</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119.00</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Marriott Vacations Worldwide common stock issued in exchange for ILG outstanding shares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Cash consideration to ILG shareholders, net of cash acquired of $154 million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ILG equity-based awards attributed to pre-combination service</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consideration transferred, net of cash acquired</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9140" w:type="dxa"/>
            <w:vAlign w:val="bottom"/>
          </w:tcPr>
          <w:p>
            <w:pPr>
              <w:spacing w:after="0"/>
              <w:rPr>
                <w:sz w:val="20"/>
                <w:szCs w:val="20"/>
                <w:color w:val="auto"/>
              </w:rPr>
            </w:pP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4,217</w:t>
            </w:r>
          </w:p>
        </w:tc>
      </w:tr>
      <w:tr>
        <w:trPr>
          <w:trHeight w:val="675"/>
        </w:trPr>
        <w:tc>
          <w:tcPr>
            <w:tcW w:w="9140" w:type="dxa"/>
            <w:vAlign w:val="bottom"/>
          </w:tcPr>
          <w:p>
            <w:pPr>
              <w:ind w:left="5620"/>
              <w:spacing w:after="0"/>
              <w:rPr>
                <w:sz w:val="20"/>
                <w:szCs w:val="20"/>
                <w:color w:val="auto"/>
              </w:rPr>
            </w:pPr>
            <w:r>
              <w:rPr>
                <w:rFonts w:ascii="Arial" w:cs="Arial" w:eastAsia="Arial" w:hAnsi="Arial"/>
                <w:sz w:val="18"/>
                <w:szCs w:val="18"/>
                <w:color w:val="auto"/>
              </w:rPr>
              <w:t>93</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of Assets Acquired and Liabilities Assumed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fair values of the assets that we acquired and the liabilities that we assumed on the Acquisition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ind w:right="411"/>
              <w:spacing w:after="0"/>
              <w:rPr>
                <w:sz w:val="20"/>
                <w:szCs w:val="20"/>
                <w:color w:val="auto"/>
              </w:rPr>
            </w:pPr>
            <w:r>
              <w:rPr>
                <w:rFonts w:ascii="Arial" w:cs="Arial" w:eastAsia="Arial" w:hAnsi="Arial"/>
                <w:sz w:val="16"/>
                <w:szCs w:val="16"/>
                <w:b w:val="1"/>
                <w:bCs w:val="1"/>
                <w:color w:val="auto"/>
              </w:rPr>
              <w:t>September 1, 2018</w:t>
            </w:r>
          </w:p>
        </w:tc>
        <w:tc>
          <w:tcPr>
            <w:tcW w:w="0" w:type="dxa"/>
            <w:vAlign w:val="bottom"/>
          </w:tcPr>
          <w:p>
            <w:pPr>
              <w:spacing w:after="0"/>
              <w:rPr>
                <w:sz w:val="1"/>
                <w:szCs w:val="1"/>
                <w:color w:val="auto"/>
              </w:rPr>
            </w:pPr>
          </w:p>
        </w:tc>
      </w:tr>
      <w:tr>
        <w:trPr>
          <w:trHeight w:val="23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(as finalized)</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from VIEs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75"/>
        </w:trPr>
        <w:tc>
          <w:tcPr>
            <w:tcW w:w="9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2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Goodwill is calculated as total consideration transferred, net of cash acquired, less identified net assets acquired and it represents the value that we expect to obtain from synergies and growth opportunities from our combined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We acquired vacation ownership notes receivable which consist of loans to customers who purchased vacation ownership products and chose to finance their purchase. These vacation ownership notes receivable are collateralized by the underlying VOIs and generally have terms ranging from five to</w:t>
      </w:r>
    </w:p>
    <w:p>
      <w:pPr>
        <w:ind w:right="20"/>
        <w:spacing w:after="0" w:line="255" w:lineRule="auto"/>
        <w:rPr>
          <w:sz w:val="20"/>
          <w:szCs w:val="20"/>
          <w:color w:val="auto"/>
        </w:rPr>
      </w:pPr>
      <w:r>
        <w:rPr>
          <w:rFonts w:ascii="Arial" w:cs="Arial" w:eastAsia="Arial" w:hAnsi="Arial"/>
          <w:sz w:val="18"/>
          <w:szCs w:val="18"/>
          <w:color w:val="auto"/>
        </w:rPr>
        <w:t>15 years. We valued vacation ownership notes receivables using a discounted cash flow model, which calculated a present value of expected future cash flows over the term of the respective vacation ownership notes receivable (Level 3). See Footnote 6 “Vacation Ownership Notes Receivable” for additional information.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acquired inventory, which consisted of completed unsold VOIs and vacation ownership projects under construction. We valued acquired inventory using an income approach, which is primarily based on significant Level 3 assumptions, such as estimates of future income growth, capitalization rates, discount rates and capital expenditure needs of the relevant properties.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acquired property and equipment, which included four owned hotels, information technology, ancillary business assets, furniture and equipment and land held for future development. We valued property and equipment using a combination of the income, cost, and market approaches, which are primarily based on significant Level 3 assumptions, such as estimates of future income growth, capitalization rates, discount rates and capital expenditure needs of the hotels.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We allocated the carrying amount of goodwill to our Vacation Ownership and our Exchange &amp; Third-Party Management reporting units. The following table details the carrying amount of our goodwill at December 31, 2019 and December 31, 2018, and reflects goodwill attributed to the ILG Acquisition.</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Exchange &amp; Third-</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Party Management</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Segment</w:t>
            </w:r>
          </w:p>
        </w:tc>
        <w:tc>
          <w:tcPr>
            <w:tcW w:w="14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Segment</w:t>
            </w:r>
          </w:p>
        </w:tc>
        <w:tc>
          <w:tcPr>
            <w:tcW w:w="180" w:type="dxa"/>
            <w:vAlign w:val="bottom"/>
          </w:tcPr>
          <w:p>
            <w:pPr>
              <w:spacing w:after="0"/>
              <w:rPr>
                <w:sz w:val="20"/>
                <w:szCs w:val="20"/>
                <w:color w:val="auto"/>
              </w:rPr>
            </w:pPr>
          </w:p>
        </w:tc>
        <w:tc>
          <w:tcPr>
            <w:tcW w:w="1600" w:type="dxa"/>
            <w:vAlign w:val="bottom"/>
          </w:tcPr>
          <w:p>
            <w:pPr>
              <w:jc w:val="right"/>
              <w:ind w:right="152"/>
              <w:spacing w:after="0"/>
              <w:rPr>
                <w:sz w:val="20"/>
                <w:szCs w:val="20"/>
                <w:color w:val="auto"/>
              </w:rPr>
            </w:pPr>
            <w:r>
              <w:rPr>
                <w:rFonts w:ascii="Arial" w:cs="Arial" w:eastAsia="Arial" w:hAnsi="Arial"/>
                <w:sz w:val="16"/>
                <w:szCs w:val="16"/>
                <w:b w:val="1"/>
                <w:bCs w:val="1"/>
                <w:color w:val="auto"/>
                <w:w w:val="93"/>
              </w:rPr>
              <w:t>Total Consolidated</w:t>
            </w:r>
          </w:p>
        </w:tc>
      </w:tr>
      <w:tr>
        <w:trPr>
          <w:trHeight w:val="250"/>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Measurement period adjustments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exchange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6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ILG’s identified intangible assets and their related estimated useful lives as of the Acquisition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3"/>
              </w:rPr>
              <w:t>Estimated Useful Life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 to 20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Management contracts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 to 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 contracts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62" w:lineRule="auto"/>
        <w:tabs>
          <w:tab w:leader="none" w:pos="66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 These management contracts are entirely related to the VRI Europe business, which we disposed of in the fourth quarter of 2018.</w:t>
      </w:r>
    </w:p>
    <w:p>
      <w:pPr>
        <w:spacing w:after="0" w:line="13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valued member relationships and management contracts using the multi-period excess earnings method, which is a variation of the income approach. This method estimates an intangible asset’s value based on the present value of the incremental after-tax cash flows attributable to the intangible asset. We valued trade names and trademarks using the relief-from-royalty method, which applies an estimated royalty rate to forecasted future cash flows, discounted to present value. These valuation approaches utilize Level 3 inputs.</w:t>
      </w:r>
    </w:p>
    <w:p>
      <w:pPr>
        <w:spacing w:after="0" w:line="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Acquired definite-lived intangible assets are amortized over their estimated useful lives on a straight-line basis. We recorded amortization expense of $59 million in 2019 and $19 million in 2018 in the Depreciation and amortization line of our Income Statements. For these assets, we estimate that our aggregate amortization expense will be $57 million for each of the next five fiscal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Deferred revenue primarily relates to membership fees, which are deferred and recognized over the terms of the applicable memberships, ranging from one to five years, on a straight-line basis. Additionally, deferred revenue includes maintenance fees collected from owners, in certain cases, which are earned by the relevant property owners’ association over the applicable period. We valued deferred revenue utilizing Level 3 inputs based on a review of existing deferred revenue balances against legal performance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Deferred income taxes primarily relate to the fair value of assets and liabilities acquired, including vacation ownership notes receivable, inventory, property and equipment, intangible assets and debt. We estimated deferred income taxes based on statutory rates in the jurisdictions of the legal entities where the acquired assets and liabilities are recorded.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valued the IAC Notes (as defined in Footnote 14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 The carrying value of the outstanding balance on the revolving credit facility that was acquired (the “ILG Revolving Credit Facility”) approximated fair value, as the contractual interest rate was variable plus an applicable margin based credit rating (Level 3 input). The ILG Revolving Credit Facility was extinguished and all amounts due were repaid in full upon completion of the ILG Acquisition.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Securitized Debt from VIEs</w:t>
      </w:r>
    </w:p>
    <w:p>
      <w:pPr>
        <w:spacing w:after="0" w:line="1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valued securitized debt from VIEs using a discounted cash flow model. The significant assumptions in our analysis include default rates, prepayment rates, bond interest rates and other structural factors (Level 3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2018</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2017</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12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EARNINGS PER SHARE ATTRIBUTABLE TO COMMON</w:t>
            </w: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20" w:type="dxa"/>
            <w:vAlign w:val="bottom"/>
            <w:tcBorders>
              <w:bottom w:val="single" w:sz="8" w:color="CCEEFF"/>
            </w:tcBorders>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20" w:type="dxa"/>
            <w:vAlign w:val="bottom"/>
          </w:tcPr>
          <w:p>
            <w:pPr>
              <w:jc w:val="right"/>
              <w:ind w:right="12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3.74</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results above include $54 million and $208 million of ILG acquisition-related costs for 2018 and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third quarter of 2019, we acquired 78 completed vacation ownership units, as well as a sales gallery, located at our Marriott Vacation Club Pulse, San Francisco resort for $58 million. We accounted for the transaction as an asset acquisition with the purchase price allocated to Inventory ($48 million) and Property and equipment ($10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Strategy Change</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ILG Acquisition, we performed a comprehensive review to evaluate the strategic fit of the land holdings and operating hotels in our Vacation Ownership segment. A key focus of our comprehensive review was to evaluate opportunities to reduce holdings in markets where we have excess supply so that future inventory spend can be focused on markets that create incremental cost-effective sales locations in areas of high customer demand. We evaluated each asset in the context of its current and anticipated product form, our inventory needs and our operating strategy. During the third quarter of 2019, we completed our evaluation and identified several assets for disposition which we believe will generate cash proceeds equivalent to their estimated fair value of $160 million to $220 million over the next several years.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change in our development strategy, in the third quarter of 2019, we recorded a non-cash impairment charge of $72 million, of which $61 million related to land and land improvements associated with future phases of three existing resorts, primarily attributable to the fact that the book values of these assets include the historical allocations of common costs incurred when we built the infrastructure of these resorts, $9 million related to a land parcel held for future development and $2 million related to an ancillary business, as the book values of these assets were in excess of the estimated fair values of these assets. We also reviewed the remainder of the assets identified for disposition and determined that no other impairment charges were necessary.</w:t>
      </w:r>
    </w:p>
    <w:p>
      <w:pPr>
        <w:spacing w:after="0" w:line="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used a combination of the market and income approaches to estimate the fair value of these assets. Under the market approach, a Level 2 input, fair value is measured through an analysis of sales and offerings of comparable property which are adjusted to reflect differences between the asset being valued and the comparable assets, such as location, time and terms of sales, utility and physical characteristics. Under the income approach, a Level 3 input, fair value is measured through a discounted cash flow. Under the income approach, we contemplated alternative uses to comply with the highest and best use provisions of ASC 820.</w:t>
      </w:r>
    </w:p>
    <w:p>
      <w:pPr>
        <w:spacing w:after="0" w:line="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fourth quarter of 2019, we disposed of excess land parcels in Cancun, Mexico and Avon, Colorado for proceeds of $62 million, of which $8 million is deferred until certain conditions associated with the sale have been met, as part of our strategic decision to reduce holdings in markets where we have excess supply. We recorded a combined net gain of $19 million in the Gains and other income, net line on our Income Statement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During the fourth quarter of 2018, we acquired 92 completed vacation ownership units for $83 million and during the first quarter of 2018, we acquired 20 completed vacation ownership units for $24 million. Both transactions were accounted for as asset acquisitions with all of the purchase price allocated to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VRI Europe</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the ILG Acquisition, we acquired a 75.5 percent interest in VRI Europe Limited (“VRI Europe”), a joint venture comprised of a European vacation ownership resort management business, which was consolidated by MVW under the voting interest model. During the fourth quarter of 2018, we sold our interest in VRI Europe to an affiliate of the noncontrolling interest holder for our book value of $63 million, of which we received $40 million in cash in 2018. In addition, we recorded a receivable of $6 million due in 2019 and a note receivable of $17 million due in 2020 relating to the transaction, both of which we received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Acquisitions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Bali, Indonesia</w:t>
      </w:r>
    </w:p>
    <w:p>
      <w:pPr>
        <w:spacing w:after="0" w:line="11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2017, we acquired 51 completed vacation ownership units, as well as a sales gallery and related resort amenities, located in Bali, Indonesia for $24 million. The transaction was accounted for as an asset acquisition with the purchase price allocated to Inventory ($22 million) and Property and equipment ($2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2017, we acquired 36 completed vacation ownership units located at our resort in Marco Island, Florida for $34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 for the year ended December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left="60" w:right="280" w:firstLine="648"/>
        <w:spacing w:after="0" w:line="286" w:lineRule="auto"/>
        <w:rPr>
          <w:sz w:val="20"/>
          <w:szCs w:val="20"/>
          <w:color w:val="auto"/>
        </w:rPr>
      </w:pPr>
      <w:r>
        <w:rPr>
          <w:rFonts w:ascii="Arial" w:cs="Arial" w:eastAsia="Arial" w:hAnsi="Arial"/>
          <w:sz w:val="17"/>
          <w:szCs w:val="17"/>
          <w:color w:val="auto"/>
        </w:rPr>
        <w:t>During 2017, we acquired 112 completed vacation ownership units located on the Big Island of Hawaii. The transaction was accounted for as an asset acquisition with all of the purchase price allocated to Inventory. As consideration for the acquisition, we paid $27 million in cash, settled a note receivable from the seller of less than $1 million on a non-cash basis, and issued a non-interest bearing note payable for $64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Dispositions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no significant dispositions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each of the last three fiscal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3"/>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1,108</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4,355</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75"/>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3"/>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3"/>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2,183</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each of the last three fiscal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gridSpan w:val="3"/>
          </w:tcPr>
          <w:p>
            <w:pPr>
              <w:jc w:val="right"/>
              <w:ind w:right="517"/>
              <w:spacing w:after="0"/>
              <w:rPr>
                <w:sz w:val="20"/>
                <w:szCs w:val="20"/>
                <w:color w:val="auto"/>
              </w:rPr>
            </w:pPr>
            <w:r>
              <w:rPr>
                <w:rFonts w:ascii="Arial" w:cs="Arial" w:eastAsia="Arial" w:hAnsi="Arial"/>
                <w:sz w:val="16"/>
                <w:szCs w:val="16"/>
                <w:b w:val="1"/>
                <w:bCs w:val="1"/>
                <w:color w:val="auto"/>
                <w:w w:val="89"/>
              </w:rPr>
              <w:t>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w w:val="94"/>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940" w:type="dxa"/>
            <w:vAlign w:val="bottom"/>
            <w:tcBorders>
              <w:bottom w:val="single" w:sz="8" w:color="CCEEFF"/>
            </w:tcBorders>
            <w:gridSpan w:val="3"/>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1,860</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940" w:type="dxa"/>
            <w:vAlign w:val="bottom"/>
            <w:gridSpan w:val="3"/>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gridSpan w:val="3"/>
          </w:tcPr>
          <w:p>
            <w:pPr>
              <w:jc w:val="right"/>
              <w:ind w:right="517"/>
              <w:spacing w:after="0"/>
              <w:rPr>
                <w:sz w:val="20"/>
                <w:szCs w:val="20"/>
                <w:color w:val="auto"/>
              </w:rPr>
            </w:pPr>
            <w:r>
              <w:rPr>
                <w:rFonts w:ascii="Arial" w:cs="Arial" w:eastAsia="Arial" w:hAnsi="Arial"/>
                <w:sz w:val="16"/>
                <w:szCs w:val="16"/>
                <w:b w:val="1"/>
                <w:bCs w:val="1"/>
                <w:color w:val="auto"/>
                <w:w w:val="89"/>
              </w:rPr>
              <w:t>2018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w w:val="94"/>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CCEEFF"/>
            </w:tcBorders>
            <w:gridSpan w:val="3"/>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1,219</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2,785</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gridSpan w:val="3"/>
          </w:tcPr>
          <w:p>
            <w:pPr>
              <w:jc w:val="right"/>
              <w:ind w:right="517"/>
              <w:spacing w:after="0"/>
              <w:rPr>
                <w:sz w:val="20"/>
                <w:szCs w:val="20"/>
                <w:color w:val="auto"/>
              </w:rPr>
            </w:pPr>
            <w:r>
              <w:rPr>
                <w:rFonts w:ascii="Arial" w:cs="Arial" w:eastAsia="Arial" w:hAnsi="Arial"/>
                <w:sz w:val="16"/>
                <w:szCs w:val="16"/>
                <w:b w:val="1"/>
                <w:bCs w:val="1"/>
                <w:color w:val="auto"/>
                <w:w w:val="89"/>
              </w:rPr>
              <w:t>2017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6"/>
                <w:szCs w:val="16"/>
                <w:b w:val="1"/>
                <w:bCs w:val="1"/>
                <w:color w:val="auto"/>
                <w:w w:val="94"/>
              </w:rPr>
              <w:t>Exchange &amp; 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Party Management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899</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51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December 31, 2019 or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2019</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2018</w:t>
            </w: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r>
      <w:tr>
        <w:trPr>
          <w:trHeight w:val="237"/>
        </w:trPr>
        <w:tc>
          <w:tcPr>
            <w:tcW w:w="6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r>
      <w:tr>
        <w:trPr>
          <w:trHeight w:val="67"/>
        </w:trPr>
        <w:tc>
          <w:tcPr>
            <w:tcW w:w="6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78"/>
        </w:trPr>
        <w:tc>
          <w:tcPr>
            <w:tcW w:w="6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deposits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383</w:t>
            </w:r>
          </w:p>
        </w:tc>
      </w:tr>
      <w:tr>
        <w:trPr>
          <w:trHeight w:val="27"/>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during the year ended December 31, 2019 that was included in our contract liabilities balance at December 31, 2018 was $363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December 31, 2019, 90 percent of this amount is expected to be recognized as revenue over the next two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earnings before income taxes for the last three fiscal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Non-U.S. jurisdictions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(provision for) benefit from income taxes for the last three years consisted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U.S. Federal</w:t>
            </w:r>
          </w:p>
        </w:tc>
        <w:tc>
          <w:tcPr>
            <w:tcW w:w="3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980" w:type="dxa"/>
            <w:vAlign w:val="bottom"/>
          </w:tcPr>
          <w:p>
            <w:pPr>
              <w:ind w:left="80"/>
              <w:spacing w:after="0"/>
              <w:rPr>
                <w:sz w:val="20"/>
                <w:szCs w:val="20"/>
                <w:color w:val="auto"/>
              </w:rPr>
            </w:pPr>
            <w:r>
              <w:rPr>
                <w:rFonts w:ascii="Arial" w:cs="Arial" w:eastAsia="Arial" w:hAnsi="Arial"/>
                <w:sz w:val="18"/>
                <w:szCs w:val="18"/>
                <w:color w:val="auto"/>
              </w:rPr>
              <w:t>– U.S. State</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Non-U.S.</w:t>
            </w:r>
          </w:p>
        </w:tc>
        <w:tc>
          <w:tcPr>
            <w:tcW w:w="3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w w:val="99"/>
              </w:rPr>
              <w:t>Deferred</w:t>
            </w:r>
          </w:p>
        </w:tc>
        <w:tc>
          <w:tcPr>
            <w:tcW w:w="2980" w:type="dxa"/>
            <w:vAlign w:val="bottom"/>
          </w:tcPr>
          <w:p>
            <w:pPr>
              <w:ind w:left="80"/>
              <w:spacing w:after="0"/>
              <w:rPr>
                <w:sz w:val="20"/>
                <w:szCs w:val="20"/>
                <w:color w:val="auto"/>
              </w:rPr>
            </w:pPr>
            <w:r>
              <w:rPr>
                <w:rFonts w:ascii="Arial" w:cs="Arial" w:eastAsia="Arial" w:hAnsi="Arial"/>
                <w:sz w:val="18"/>
                <w:szCs w:val="18"/>
                <w:color w:val="auto"/>
              </w:rPr>
              <w:t>– U.S. Federal</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 U.S. State</w:t>
            </w:r>
          </w:p>
        </w:tc>
        <w:tc>
          <w:tcPr>
            <w:tcW w:w="3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2980" w:type="dxa"/>
            <w:vAlign w:val="bottom"/>
          </w:tcPr>
          <w:p>
            <w:pPr>
              <w:ind w:left="80"/>
              <w:spacing w:after="0"/>
              <w:rPr>
                <w:sz w:val="20"/>
                <w:szCs w:val="20"/>
                <w:color w:val="auto"/>
              </w:rPr>
            </w:pPr>
            <w:r>
              <w:rPr>
                <w:rFonts w:ascii="Arial" w:cs="Arial" w:eastAsia="Arial" w:hAnsi="Arial"/>
                <w:sz w:val="18"/>
                <w:szCs w:val="18"/>
                <w:color w:val="auto"/>
              </w:rPr>
              <w:t>– Non-U.S.</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vMerge w:val="restart"/>
          </w:tcPr>
          <w:p>
            <w:pPr>
              <w:jc w:val="right"/>
              <w:ind w:right="830"/>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U.S. statutory income tax rate to our effective income tax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income tax rate</w:t>
            </w:r>
          </w:p>
        </w:tc>
        <w:tc>
          <w:tcPr>
            <w:tcW w:w="14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U.S. state income taxes, net of U.S. federal tax benefit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 net of Section 162(m) limitation</w:t>
            </w:r>
            <w:r>
              <w:rPr>
                <w:rFonts w:ascii="Arial" w:cs="Arial" w:eastAsia="Arial" w:hAnsi="Arial"/>
                <w:sz w:val="18"/>
                <w:szCs w:val="18"/>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62"/>
        </w:trPr>
        <w:tc>
          <w:tcPr>
            <w:tcW w:w="6760" w:type="dxa"/>
            <w:vAlign w:val="bottom"/>
          </w:tcPr>
          <w:p>
            <w:pPr>
              <w:ind w:left="4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18"/>
                <w:szCs w:val="18"/>
                <w:color w:val="auto"/>
                <w:vertAlign w:val="superscript"/>
              </w:rPr>
              <w:t>(2)</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8"/>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permanent differences</w:t>
            </w:r>
            <w:r>
              <w:rPr>
                <w:rFonts w:ascii="Arial" w:cs="Arial" w:eastAsia="Arial" w:hAnsi="Arial"/>
                <w:sz w:val="18"/>
                <w:szCs w:val="18"/>
                <w:color w:val="auto"/>
                <w:vertAlign w:val="superscript"/>
              </w:rPr>
              <w:t>(3)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Impact related to the Tax Cuts and Jobs Act of 2017</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(27.1)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changes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62"/>
        </w:trPr>
        <w:tc>
          <w:tcPr>
            <w:tcW w:w="6760" w:type="dxa"/>
            <w:vAlign w:val="bottom"/>
          </w:tcPr>
          <w:p>
            <w:pPr>
              <w:ind w:left="40"/>
              <w:spacing w:after="0"/>
              <w:rPr>
                <w:sz w:val="20"/>
                <w:szCs w:val="20"/>
                <w:color w:val="auto"/>
              </w:rPr>
            </w:pPr>
            <w:r>
              <w:rPr>
                <w:rFonts w:ascii="Arial" w:cs="Arial" w:eastAsia="Arial" w:hAnsi="Arial"/>
                <w:sz w:val="18"/>
                <w:szCs w:val="18"/>
                <w:color w:val="auto"/>
              </w:rPr>
              <w:t>Non-U.S. income (loss)</w:t>
            </w:r>
            <w:r>
              <w:rPr>
                <w:rFonts w:ascii="Arial" w:cs="Arial" w:eastAsia="Arial" w:hAnsi="Arial"/>
                <w:sz w:val="18"/>
                <w:szCs w:val="18"/>
                <w:color w:val="auto"/>
                <w:vertAlign w:val="superscript"/>
              </w:rPr>
              <w:t>(4)</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5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Unrecognized tax benefits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21"/>
                <w:szCs w:val="21"/>
                <w:color w:val="auto"/>
                <w:vertAlign w:val="superscript"/>
              </w:rPr>
              <w:t>(5)</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items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Effective rate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 2018 increase is attributable to non-deductible executive compensation under provisions of the Tax Cuts and Jobs Act of 2017.</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Attributed to non-deductible transaction costs incurred as a result of the ILG Acquisition.</w:t>
      </w:r>
    </w:p>
    <w:p>
      <w:pPr>
        <w:spacing w:after="0" w:line="56" w:lineRule="exact"/>
        <w:rPr>
          <w:rFonts w:ascii="Arial" w:cs="Arial" w:eastAsia="Arial" w:hAnsi="Arial"/>
          <w:sz w:val="24"/>
          <w:szCs w:val="24"/>
          <w:color w:val="auto"/>
          <w:vertAlign w:val="superscript"/>
        </w:rPr>
      </w:pPr>
    </w:p>
    <w:p>
      <w:pPr>
        <w:ind w:left="660" w:right="160" w:hanging="652"/>
        <w:spacing w:after="0" w:line="208"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Primarily due to non-deductible meal and entertainment expenses and new foreign tax provisions, under provisions of the Tax Cuts and Jobs Act of 2017.</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Attributed to the difference between U.S. and foreign income tax rates and other foreign adjustments.</w:t>
      </w:r>
    </w:p>
    <w:p>
      <w:pPr>
        <w:spacing w:after="0" w:line="56" w:lineRule="exact"/>
        <w:rPr>
          <w:rFonts w:ascii="Arial" w:cs="Arial" w:eastAsia="Arial" w:hAnsi="Arial"/>
          <w:sz w:val="25"/>
          <w:szCs w:val="25"/>
          <w:color w:val="auto"/>
          <w:vertAlign w:val="superscript"/>
        </w:rPr>
      </w:pPr>
    </w:p>
    <w:p>
      <w:pPr>
        <w:ind w:left="660" w:right="100" w:hanging="652"/>
        <w:spacing w:after="0" w:line="245" w:lineRule="auto"/>
        <w:tabs>
          <w:tab w:leader="none" w:pos="66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In 2019, primarily attributable to foreign tax credit carryforwards in the branch and treaty baskets and losses and future deductions in foreign jurisdictions for which a tax benefit has not been recognized through establishment of valuation allowances. In 2018, primarily attributable to losses and future deductions in foreign jurisdictions for which a tax benefit has not been recognized through establishment of valuation allowances. The 2017 impact is the net impact of foreign losses not resulting in a benefit due to the establishment of valuation allowances, partially offset by the release of a portion of previously established foreign valuation allowances.</w:t>
      </w:r>
    </w:p>
    <w:p>
      <w:pPr>
        <w:spacing w:after="0" w:line="201" w:lineRule="exact"/>
        <w:rPr>
          <w:sz w:val="20"/>
          <w:szCs w:val="20"/>
          <w:color w:val="auto"/>
        </w:rPr>
      </w:pPr>
    </w:p>
    <w:p>
      <w:pPr>
        <w:ind w:right="40" w:firstLine="662"/>
        <w:spacing w:after="0" w:line="277" w:lineRule="auto"/>
        <w:rPr>
          <w:sz w:val="20"/>
          <w:szCs w:val="20"/>
          <w:color w:val="auto"/>
        </w:rPr>
      </w:pPr>
      <w:r>
        <w:rPr>
          <w:rFonts w:ascii="Arial" w:cs="Arial" w:eastAsia="Arial" w:hAnsi="Arial"/>
          <w:sz w:val="18"/>
          <w:szCs w:val="18"/>
          <w:color w:val="auto"/>
        </w:rPr>
        <w:t>For the years ended December 31, 2019, 2018 and 2017, the provision for income taxes included $2 million, $2 million, and $6 million of excess tax benefits resulting from equity incentive plan activities, respectively.</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 conduct business in countries that grant “holidays” from income taxes for ten to thirty year periods. These holidays expire through 2034.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During 2019, we finalized our purchase price allocation for the ILG Acquisition and established a reserve of $45 million for non-income tax issues related to Legacy-ILG. We expect that we will be indemnified for liabilities of $13 million in connection with these non-income tax matters pursuant to a Tax Matters Agreement dated May 11, 2016 by and among Starwood Hotels &amp; Resorts Worldwide, Inc. (“Starwood”), Vistana Signature Experiences, Inc. (“Vistana”), and Interval Leisure Group, Inc. (“Interval Leisure Group”), and consequently have recorded a corresponding indemnification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significant components of our deferred tax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900" w:type="dxa"/>
            <w:vAlign w:val="bottom"/>
            <w:gridSpan w:val="2"/>
          </w:tcPr>
          <w:p>
            <w:pPr>
              <w:ind w:left="160"/>
              <w:spacing w:after="0"/>
              <w:rPr>
                <w:sz w:val="20"/>
                <w:szCs w:val="20"/>
                <w:color w:val="auto"/>
              </w:rPr>
            </w:pPr>
            <w:r>
              <w:rPr>
                <w:rFonts w:ascii="Arial" w:cs="Arial" w:eastAsia="Arial" w:hAnsi="Arial"/>
                <w:sz w:val="16"/>
                <w:szCs w:val="16"/>
                <w:b w:val="1"/>
                <w:bCs w:val="1"/>
                <w:color w:val="auto"/>
              </w:rPr>
              <w:t>At Year-End 2019</w:t>
            </w:r>
          </w:p>
        </w:tc>
        <w:tc>
          <w:tcPr>
            <w:tcW w:w="260" w:type="dxa"/>
            <w:vAlign w:val="bottom"/>
          </w:tcPr>
          <w:p>
            <w:pPr>
              <w:spacing w:after="0"/>
              <w:rPr>
                <w:sz w:val="20"/>
                <w:szCs w:val="20"/>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At Year-End 2018</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operating loss and capital loss carryforwards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Right-of-use asset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 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sales of vacation ownership interests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Right-of-use liability</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r>
      <w:tr>
        <w:trPr>
          <w:trHeight w:val="257"/>
        </w:trPr>
        <w:tc>
          <w:tcPr>
            <w:tcW w:w="7200" w:type="dxa"/>
            <w:vAlign w:val="bottom"/>
          </w:tcPr>
          <w:p>
            <w:pPr>
              <w:ind w:left="500"/>
              <w:spacing w:after="0"/>
              <w:rPr>
                <w:sz w:val="20"/>
                <w:szCs w:val="20"/>
                <w:color w:val="auto"/>
              </w:rPr>
            </w:pPr>
            <w:r>
              <w:rPr>
                <w:rFonts w:ascii="Arial" w:cs="Arial" w:eastAsia="Arial" w:hAnsi="Arial"/>
                <w:sz w:val="18"/>
                <w:szCs w:val="18"/>
                <w:color w:val="auto"/>
              </w:rPr>
              <w:t>Total net deferred tax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Valuation allowances are provided when it is considered more likely than not that deferred tax assets will not be realized. We recorded a change of $9 million to the valuation allowance in 2019 related to the expiration of a fully valued capital loss carryforward.</w:t>
      </w:r>
    </w:p>
    <w:p>
      <w:pPr>
        <w:spacing w:after="0" w:line="62" w:lineRule="exact"/>
        <w:rPr>
          <w:sz w:val="20"/>
          <w:szCs w:val="20"/>
          <w:color w:val="auto"/>
        </w:rPr>
      </w:pPr>
    </w:p>
    <w:p>
      <w:pPr>
        <w:ind w:right="40" w:firstLine="662"/>
        <w:spacing w:after="0" w:line="259" w:lineRule="auto"/>
        <w:rPr>
          <w:sz w:val="20"/>
          <w:szCs w:val="20"/>
          <w:color w:val="auto"/>
        </w:rPr>
      </w:pPr>
      <w:r>
        <w:rPr>
          <w:rFonts w:ascii="Arial" w:cs="Arial" w:eastAsia="Arial" w:hAnsi="Arial"/>
          <w:sz w:val="18"/>
          <w:szCs w:val="18"/>
          <w:color w:val="auto"/>
        </w:rPr>
        <w:t>We have $56 million of foreign net operating loss carryforwards, some of which begin expiring in 2020; however, a significant portion of these have indefinite carryforward periods. We have $1 million of federal net operating loss carryforwards and $6 million of state net operating loss carryforwards, of which less than $1 million will expire within the next five years. We have U.S. federal foreign tax credit carryforwards of $29 million and $7 million of state tax credit carryforwards.</w:t>
      </w:r>
    </w:p>
    <w:p>
      <w:pPr>
        <w:spacing w:after="0" w:line="79"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As a result of the Tax Cuts and Jobs Act of 2017, distribution of profits from non-U.S. subsidiaries are not expected to cause a significant incremental U.S. tax impact in the future. However, distributions may be subject to non-U.S. withholding taxes if profits are distributed from certain jurisdictions. Our present intention is to indefinitely reinvest residual historic undistributed accumulated earnings associated with certain foreign subsidiaries. We have not provided for deferred taxes on outside basis differences in our investments in these foreign subsidiaries, and such estimates are not practicable to be determined.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Increases related to tax positions taken during a prior period</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Increases related to 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Decreases related to settlements with taxing authorities</w:t>
            </w:r>
          </w:p>
        </w:tc>
        <w:tc>
          <w:tcPr>
            <w:tcW w:w="50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Decreases as a result of a lapse of the applicable statute of limitations</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Unrecognized tax benefit at end of year</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662"/>
        <w:spacing w:after="0" w:line="255" w:lineRule="auto"/>
        <w:rPr>
          <w:sz w:val="20"/>
          <w:szCs w:val="20"/>
          <w:color w:val="auto"/>
        </w:rPr>
      </w:pPr>
      <w:r>
        <w:rPr>
          <w:rFonts w:ascii="Arial" w:cs="Arial" w:eastAsia="Arial" w:hAnsi="Arial"/>
          <w:sz w:val="18"/>
          <w:szCs w:val="18"/>
          <w:color w:val="auto"/>
        </w:rPr>
        <w:t>As of December 31, 2019 and 2018, the total unrecognized tax benefits related to uncertain income tax positions, which would affect the effective tax rate if recognized, were $21 million and $2 million, respectively. The total amount of gross interest and penalties accrued were $41 million and less than $1 million for the years ended December 31, 2019 and 2018, respectively. We anticipate $41 million of unrecognized tax benefits, including interest and penalties, to be indemnified pursuant to a Tax Matters Agreement dated May 11, 2016 by and among Starwood, Vistana, and Interval Leisure Group, and consequently have recorded a corresponding indemnification asset. The unrecognized tax benefit, including accrued interest and penalties are included in other liabilities on the consolidated balance sheet.</w:t>
      </w:r>
    </w:p>
    <w:p>
      <w:pPr>
        <w:spacing w:after="0" w:line="85" w:lineRule="exact"/>
        <w:rPr>
          <w:sz w:val="20"/>
          <w:szCs w:val="20"/>
          <w:color w:val="auto"/>
        </w:rPr>
      </w:pPr>
    </w:p>
    <w:p>
      <w:pPr>
        <w:jc w:val="both"/>
        <w:ind w:right="80" w:firstLine="662"/>
        <w:spacing w:after="0" w:line="264" w:lineRule="auto"/>
        <w:rPr>
          <w:sz w:val="20"/>
          <w:szCs w:val="20"/>
          <w:color w:val="auto"/>
        </w:rPr>
      </w:pPr>
      <w:r>
        <w:rPr>
          <w:rFonts w:ascii="Arial" w:cs="Arial" w:eastAsia="Arial" w:hAnsi="Arial"/>
          <w:sz w:val="18"/>
          <w:szCs w:val="18"/>
          <w:color w:val="auto"/>
        </w:rPr>
        <w:t>Our income tax returns are subject to examination by relevant tax authorities. Certain of our returns are being audited in various jurisdictions for tax years 2012 through 2017. It is reasonably possible the amount of the unrecognized tax benefit could increase or decrease within the next twelve months as a result of certain audit settlements, which would have an impact on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4"/>
          </w:tcPr>
          <w:p>
            <w:pPr>
              <w:ind w:left="80"/>
              <w:spacing w:after="0"/>
              <w:rPr>
                <w:sz w:val="20"/>
                <w:szCs w:val="20"/>
                <w:color w:val="auto"/>
              </w:rPr>
            </w:pPr>
            <w:r>
              <w:rPr>
                <w:rFonts w:ascii="Arial" w:cs="Arial" w:eastAsia="Arial" w:hAnsi="Arial"/>
                <w:sz w:val="16"/>
                <w:szCs w:val="16"/>
                <w:b w:val="1"/>
                <w:bCs w:val="1"/>
                <w:color w:val="auto"/>
                <w:w w:val="95"/>
              </w:rPr>
              <w:t>December 31,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December 31, 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6"/>
              </w:rPr>
              <w:t>Acquired</w:t>
            </w:r>
            <w:r>
              <w:rPr>
                <w:rFonts w:ascii="Arial" w:cs="Arial" w:eastAsia="Arial" w:hAnsi="Arial"/>
                <w:sz w:val="17"/>
                <w:szCs w:val="17"/>
                <w:b w:val="1"/>
                <w:bCs w:val="1"/>
                <w:color w:val="auto"/>
                <w:w w:val="96"/>
                <w:vertAlign w:val="superscript"/>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8"/>
                <w:szCs w:val="18"/>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Subtotal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jc w:val="right"/>
              <w:ind w:right="990"/>
              <w:spacing w:after="0"/>
              <w:rPr>
                <w:sz w:val="20"/>
                <w:szCs w:val="20"/>
                <w:color w:val="auto"/>
              </w:rPr>
            </w:pPr>
            <w:r>
              <w:rPr>
                <w:rFonts w:ascii="Arial" w:cs="Arial" w:eastAsia="Arial" w:hAnsi="Arial"/>
                <w:sz w:val="18"/>
                <w:szCs w:val="18"/>
                <w:color w:val="auto"/>
                <w:w w:val="89"/>
              </w:rPr>
              <w:t>_________________________</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Net of impairment of $7 million recognized in 2019.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Refer to Footnote 7 “Financial Instruments” for discussion of eligibility of our vacation ownership notes receivable for securitization.</w:t>
      </w:r>
    </w:p>
    <w:p>
      <w:pPr>
        <w:spacing w:after="0" w:line="202" w:lineRule="exact"/>
        <w:rPr>
          <w:sz w:val="20"/>
          <w:szCs w:val="20"/>
          <w:color w:val="auto"/>
        </w:rPr>
      </w:pPr>
    </w:p>
    <w:p>
      <w:pPr>
        <w:ind w:right="320" w:firstLine="662"/>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Interest income associated with vacation ownership notes receivable — securitized</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 — non-securitized</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interest income associated with vacation ownership notes receivable</w:t>
            </w:r>
          </w:p>
        </w:tc>
        <w:tc>
          <w:tcPr>
            <w:tcW w:w="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103</w:t>
            </w: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Topic 310-30, “</w:t>
      </w:r>
      <w:r>
        <w:rPr>
          <w:rFonts w:ascii="Arial" w:cs="Arial" w:eastAsia="Arial" w:hAnsi="Arial"/>
          <w:sz w:val="18"/>
          <w:szCs w:val="18"/>
          <w:i w:val="1"/>
          <w:iCs w:val="1"/>
          <w:color w:val="auto"/>
        </w:rPr>
        <w:t>Loans acquired with deteriorated credit quality</w:t>
      </w:r>
      <w:r>
        <w:rPr>
          <w:rFonts w:ascii="Arial" w:cs="Arial" w:eastAsia="Arial" w:hAnsi="Arial"/>
          <w:sz w:val="18"/>
          <w:szCs w:val="18"/>
          <w:color w:val="auto"/>
        </w:rPr>
        <w:t>” (“ASC 310-30”). At acquisition, we recorded these vacation ownership notes receivable at fair value, which included a credit discount that is accreted as an adjustment to yield over the estimated life of the vacation ownership notes receivable.</w:t>
      </w:r>
    </w:p>
    <w:p>
      <w:pPr>
        <w:spacing w:after="0" w:line="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6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table below presents a rollforward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1800" w:type="dxa"/>
            <w:vAlign w:val="bottom"/>
          </w:tcPr>
          <w:p>
            <w:pPr>
              <w:jc w:val="right"/>
              <w:ind w:right="532"/>
              <w:spacing w:after="0"/>
              <w:rPr>
                <w:sz w:val="20"/>
                <w:szCs w:val="20"/>
                <w:color w:val="auto"/>
              </w:rPr>
            </w:pPr>
            <w:r>
              <w:rPr>
                <w:rFonts w:ascii="Arial" w:cs="Arial" w:eastAsia="Arial" w:hAnsi="Arial"/>
                <w:sz w:val="16"/>
                <w:szCs w:val="16"/>
                <w:b w:val="1"/>
                <w:bCs w:val="1"/>
                <w:color w:val="auto"/>
              </w:rPr>
              <w:t>Year Ended</w:t>
            </w:r>
          </w:p>
        </w:tc>
      </w:t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2019</w:t>
            </w:r>
          </w:p>
        </w:tc>
        <w:tc>
          <w:tcPr>
            <w:tcW w:w="260" w:type="dxa"/>
            <w:vAlign w:val="bottom"/>
          </w:tcPr>
          <w:p>
            <w:pPr>
              <w:spacing w:after="0"/>
              <w:rPr>
                <w:sz w:val="20"/>
                <w:szCs w:val="20"/>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2018</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Accretable yield balance, beginning of period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Acquired accretable yield</w:t>
            </w: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7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Accretion</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Reclassification to non-accretable difference</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Accretable yield balance,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84"/>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Non-accretable difference, end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7"/>
        </w:trPr>
        <w:tc>
          <w:tcPr>
            <w:tcW w:w="7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cash flow from 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9" w:lineRule="exact"/>
        <w:rPr>
          <w:sz w:val="20"/>
          <w:szCs w:val="20"/>
          <w:color w:val="auto"/>
        </w:rPr>
      </w:pPr>
    </w:p>
    <w:p>
      <w:pPr>
        <w:ind w:right="160" w:firstLine="662"/>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7"/>
          </w:tcPr>
          <w:p>
            <w:pPr>
              <w:jc w:val="center"/>
              <w:ind w:right="191"/>
              <w:spacing w:after="0"/>
              <w:rPr>
                <w:sz w:val="20"/>
                <w:szCs w:val="20"/>
                <w:color w:val="auto"/>
              </w:rPr>
            </w:pPr>
            <w:r>
              <w:rPr>
                <w:rFonts w:ascii="Arial" w:cs="Arial" w:eastAsia="Arial" w:hAnsi="Arial"/>
                <w:sz w:val="16"/>
                <w:szCs w:val="16"/>
                <w:b w:val="1"/>
                <w:bCs w:val="1"/>
                <w:color w:val="auto"/>
                <w:w w:val="90"/>
              </w:rPr>
              <w:t>Acquired Vacation Ownership Notes Receivable</w:t>
            </w:r>
          </w:p>
        </w:tc>
      </w:tr>
      <w:tr>
        <w:trPr>
          <w:trHeight w:val="47"/>
        </w:trPr>
        <w:tc>
          <w:tcPr>
            <w:tcW w:w="50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58"/>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Non-Securitized</w:t>
            </w:r>
          </w:p>
        </w:tc>
        <w:tc>
          <w:tcPr>
            <w:tcW w:w="30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300" w:type="dxa"/>
            <w:vAlign w:val="bottom"/>
          </w:tcPr>
          <w:p>
            <w:pPr>
              <w:spacing w:after="0"/>
              <w:rPr>
                <w:sz w:val="22"/>
                <w:szCs w:val="22"/>
                <w:color w:val="auto"/>
              </w:rPr>
            </w:pPr>
          </w:p>
        </w:tc>
        <w:tc>
          <w:tcPr>
            <w:tcW w:w="1740" w:type="dxa"/>
            <w:vAlign w:val="bottom"/>
          </w:tcPr>
          <w:p>
            <w:pPr>
              <w:jc w:val="center"/>
              <w:ind w:right="21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52</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179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300" w:type="dxa"/>
            <w:vAlign w:val="bottom"/>
          </w:tcPr>
          <w:p>
            <w:pPr>
              <w:spacing w:after="0"/>
              <w:rPr>
                <w:sz w:val="20"/>
                <w:szCs w:val="20"/>
                <w:color w:val="auto"/>
              </w:rPr>
            </w:pPr>
          </w:p>
        </w:tc>
        <w:tc>
          <w:tcPr>
            <w:tcW w:w="1760" w:type="dxa"/>
            <w:vAlign w:val="bottom"/>
          </w:tcPr>
          <w:p>
            <w:pPr>
              <w:jc w:val="center"/>
              <w:ind w:right="211"/>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191"/>
              <w:spacing w:after="0"/>
              <w:rPr>
                <w:sz w:val="20"/>
                <w:szCs w:val="20"/>
                <w:color w:val="auto"/>
              </w:rPr>
            </w:pPr>
            <w:r>
              <w:rPr>
                <w:rFonts w:ascii="Arial" w:cs="Arial" w:eastAsia="Arial" w:hAnsi="Arial"/>
                <w:sz w:val="18"/>
                <w:szCs w:val="18"/>
                <w:color w:val="auto"/>
                <w:w w:val="90"/>
              </w:rPr>
              <w:t>13.5%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231"/>
              <w:spacing w:after="0"/>
              <w:rPr>
                <w:sz w:val="20"/>
                <w:szCs w:val="20"/>
                <w:color w:val="auto"/>
              </w:rPr>
            </w:pPr>
            <w:r>
              <w:rPr>
                <w:rFonts w:ascii="Arial" w:cs="Arial" w:eastAsia="Arial" w:hAnsi="Arial"/>
                <w:sz w:val="18"/>
                <w:szCs w:val="18"/>
                <w:color w:val="auto"/>
                <w:w w:val="90"/>
              </w:rPr>
              <w:t>13.5%</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Range of stated interest rates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right="211"/>
              <w:spacing w:after="0"/>
              <w:rPr>
                <w:sz w:val="20"/>
                <w:szCs w:val="20"/>
                <w:color w:val="auto"/>
              </w:rPr>
            </w:pPr>
            <w:r>
              <w:rPr>
                <w:rFonts w:ascii="Arial" w:cs="Arial" w:eastAsia="Arial" w:hAnsi="Arial"/>
                <w:sz w:val="18"/>
                <w:szCs w:val="18"/>
                <w:color w:val="auto"/>
                <w:w w:val="90"/>
                <w:shd w:val="clear" w:color="auto" w:fill="CCEEFF"/>
              </w:rPr>
              <w:t>3.5% to 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0"/>
                <w:shd w:val="clear" w:color="auto" w:fill="CCEEFF"/>
              </w:rPr>
              <w:t>6.0% to 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center"/>
              <w:ind w:right="231"/>
              <w:spacing w:after="0"/>
              <w:rPr>
                <w:sz w:val="20"/>
                <w:szCs w:val="20"/>
                <w:color w:val="auto"/>
              </w:rPr>
            </w:pPr>
            <w:r>
              <w:rPr>
                <w:rFonts w:ascii="Arial" w:cs="Arial" w:eastAsia="Arial" w:hAnsi="Arial"/>
                <w:sz w:val="18"/>
                <w:szCs w:val="18"/>
                <w:color w:val="auto"/>
                <w:w w:val="90"/>
                <w:shd w:val="clear" w:color="auto" w:fill="CCEEFF"/>
              </w:rPr>
              <w:t>3.5% to 17.9%</w:t>
            </w:r>
          </w:p>
        </w:tc>
      </w:tr>
      <w:tr>
        <w:trPr>
          <w:trHeight w:val="648"/>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4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Originated Vacation Ownership Notes Receivable</w:t>
            </w:r>
          </w:p>
        </w:tc>
      </w:tr>
      <w:tr>
        <w:trPr>
          <w:trHeight w:val="33"/>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8"/>
        </w:trPr>
        <w:tc>
          <w:tcPr>
            <w:tcW w:w="5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Non-Securitized</w:t>
            </w:r>
          </w:p>
        </w:tc>
        <w:tc>
          <w:tcPr>
            <w:tcW w:w="300" w:type="dxa"/>
            <w:vAlign w:val="bottom"/>
          </w:tcPr>
          <w:p>
            <w:pPr>
              <w:spacing w:after="0"/>
              <w:rPr>
                <w:sz w:val="22"/>
                <w:szCs w:val="22"/>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Securitized</w:t>
            </w:r>
          </w:p>
        </w:tc>
        <w:tc>
          <w:tcPr>
            <w:tcW w:w="300" w:type="dxa"/>
            <w:vAlign w:val="bottom"/>
          </w:tcPr>
          <w:p>
            <w:pPr>
              <w:spacing w:after="0"/>
              <w:rPr>
                <w:sz w:val="22"/>
                <w:szCs w:val="22"/>
                <w:color w:val="auto"/>
              </w:rPr>
            </w:pPr>
          </w:p>
        </w:tc>
        <w:tc>
          <w:tcPr>
            <w:tcW w:w="1740" w:type="dxa"/>
            <w:vAlign w:val="bottom"/>
          </w:tcPr>
          <w:p>
            <w:pPr>
              <w:jc w:val="center"/>
              <w:ind w:right="21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912</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280" w:type="dxa"/>
            <w:vAlign w:val="bottom"/>
          </w:tcPr>
          <w:p>
            <w:pPr>
              <w:spacing w:after="0"/>
              <w:rPr>
                <w:sz w:val="20"/>
                <w:szCs w:val="20"/>
                <w:color w:val="auto"/>
              </w:rPr>
            </w:pPr>
          </w:p>
        </w:tc>
        <w:tc>
          <w:tcPr>
            <w:tcW w:w="1760" w:type="dxa"/>
            <w:vAlign w:val="bottom"/>
          </w:tcPr>
          <w:p>
            <w:pPr>
              <w:jc w:val="center"/>
              <w:ind w:right="212"/>
              <w:spacing w:after="0"/>
              <w:rPr>
                <w:sz w:val="20"/>
                <w:szCs w:val="20"/>
                <w:color w:val="auto"/>
              </w:rPr>
            </w:pPr>
            <w:r>
              <w:rPr>
                <w:rFonts w:ascii="Arial" w:cs="Arial" w:eastAsia="Arial" w:hAnsi="Arial"/>
                <w:sz w:val="18"/>
                <w:szCs w:val="18"/>
                <w:color w:val="auto"/>
                <w:w w:val="90"/>
              </w:rPr>
              <w:t>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211"/>
              <w:spacing w:after="0"/>
              <w:rPr>
                <w:sz w:val="20"/>
                <w:szCs w:val="20"/>
                <w:color w:val="auto"/>
              </w:rPr>
            </w:pPr>
            <w:r>
              <w:rPr>
                <w:rFonts w:ascii="Arial" w:cs="Arial" w:eastAsia="Arial" w:hAnsi="Arial"/>
                <w:sz w:val="18"/>
                <w:szCs w:val="18"/>
                <w:color w:val="auto"/>
                <w:w w:val="93"/>
              </w:rPr>
              <w:t>12.6%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center"/>
              <w:ind w:right="191"/>
              <w:spacing w:after="0"/>
              <w:rPr>
                <w:sz w:val="20"/>
                <w:szCs w:val="20"/>
                <w:color w:val="auto"/>
              </w:rPr>
            </w:pPr>
            <w:r>
              <w:rPr>
                <w:rFonts w:ascii="Arial" w:cs="Arial" w:eastAsia="Arial" w:hAnsi="Arial"/>
                <w:sz w:val="18"/>
                <w:szCs w:val="18"/>
                <w:color w:val="auto"/>
                <w:w w:val="90"/>
              </w:rPr>
              <w:t>12.5%</w:t>
            </w: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Range of stated interest rates</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0"/>
                <w:shd w:val="clear" w:color="auto" w:fill="CCEEFF"/>
              </w:rPr>
              <w:t>0.0% to 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211"/>
              <w:spacing w:after="0"/>
              <w:rPr>
                <w:sz w:val="20"/>
                <w:szCs w:val="20"/>
                <w:color w:val="auto"/>
              </w:rPr>
            </w:pPr>
            <w:r>
              <w:rPr>
                <w:rFonts w:ascii="Arial" w:cs="Arial" w:eastAsia="Arial" w:hAnsi="Arial"/>
                <w:sz w:val="18"/>
                <w:szCs w:val="18"/>
                <w:color w:val="auto"/>
                <w:w w:val="92"/>
                <w:shd w:val="clear" w:color="auto" w:fill="CCEEFF"/>
              </w:rPr>
              <w:t>0.0% to 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shd w:val="clear" w:color="auto" w:fill="CCEEFF"/>
              </w:rPr>
              <w:t>0.0% to 18.0%</w:t>
            </w:r>
          </w:p>
        </w:tc>
      </w:tr>
      <w:tr>
        <w:trPr>
          <w:trHeight w:val="41"/>
        </w:trPr>
        <w:tc>
          <w:tcPr>
            <w:tcW w:w="50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20" w:type="dxa"/>
            <w:vAlign w:val="bottom"/>
            <w:gridSpan w:val="7"/>
          </w:tcPr>
          <w:p>
            <w:pPr>
              <w:jc w:val="center"/>
              <w:ind w:right="50"/>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Non-Securitized</w:t>
            </w:r>
          </w:p>
        </w:tc>
        <w:tc>
          <w:tcPr>
            <w:tcW w:w="24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Securitized</w:t>
            </w:r>
          </w:p>
        </w:tc>
        <w:tc>
          <w:tcPr>
            <w:tcW w:w="3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in 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Clean-up call</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in 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Clean-up call</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 in vacation ownership notes receivable reserve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Clean-up call</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52"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760" w:firstLine="662"/>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year-end 2019</w:t>
      </w:r>
    </w:p>
    <w:p>
      <w:pPr>
        <w:spacing w:after="0" w:line="8"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year-end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spacing w:after="0" w:line="277" w:lineRule="auto"/>
        <w:rPr>
          <w:sz w:val="20"/>
          <w:szCs w:val="20"/>
          <w:color w:val="auto"/>
        </w:rPr>
      </w:pPr>
      <w:r>
        <w:rPr>
          <w:rFonts w:ascii="Arial" w:cs="Arial" w:eastAsia="Arial" w:hAnsi="Arial"/>
          <w:sz w:val="18"/>
          <w:szCs w:val="18"/>
          <w:color w:val="auto"/>
          <w:shd w:val="clear" w:color="auto" w:fill="CCEEFF"/>
        </w:rPr>
        <w:t>Average investment in vacation ownership notes receivable on non-accrual status during 2019</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Non-Securitized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6"/>
                <w:szCs w:val="16"/>
                <w:b w:val="1"/>
                <w:bCs w:val="1"/>
                <w:color w:val="auto"/>
              </w:rPr>
              <w:t>Securitized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r>
      <w:tr>
        <w:trPr>
          <w:trHeight w:val="33"/>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31"/>
        </w:trPr>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43</w:t>
            </w:r>
          </w:p>
        </w:tc>
        <w:tc>
          <w:tcPr>
            <w:tcW w:w="100" w:type="dxa"/>
            <w:vAlign w:val="bottom"/>
          </w:tcPr>
          <w:p>
            <w:pPr>
              <w:spacing w:after="0"/>
              <w:rPr>
                <w:sz w:val="24"/>
                <w:szCs w:val="24"/>
                <w:color w:val="auto"/>
              </w:rPr>
            </w:pPr>
          </w:p>
        </w:tc>
        <w:tc>
          <w:tcPr>
            <w:tcW w:w="1340" w:type="dxa"/>
            <w:vAlign w:val="bottom"/>
          </w:tcPr>
          <w:p>
            <w:pPr>
              <w:jc w:val="right"/>
              <w:ind w:right="113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486"/>
        </w:trPr>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24"/>
                <w:szCs w:val="24"/>
                <w:color w:val="auto"/>
              </w:rPr>
            </w:pPr>
          </w:p>
        </w:tc>
        <w:tc>
          <w:tcPr>
            <w:tcW w:w="1340" w:type="dxa"/>
            <w:vAlign w:val="bottom"/>
          </w:tcPr>
          <w:p>
            <w:pPr>
              <w:jc w:val="right"/>
              <w:ind w:right="113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486"/>
        </w:trPr>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40</w:t>
            </w:r>
          </w:p>
        </w:tc>
        <w:tc>
          <w:tcPr>
            <w:tcW w:w="100" w:type="dxa"/>
            <w:vAlign w:val="bottom"/>
          </w:tcPr>
          <w:p>
            <w:pPr>
              <w:spacing w:after="0"/>
              <w:rPr>
                <w:sz w:val="24"/>
                <w:szCs w:val="24"/>
                <w:color w:val="auto"/>
              </w:rPr>
            </w:pPr>
          </w:p>
        </w:tc>
        <w:tc>
          <w:tcPr>
            <w:tcW w:w="1340" w:type="dxa"/>
            <w:vAlign w:val="bottom"/>
          </w:tcPr>
          <w:p>
            <w:pPr>
              <w:jc w:val="right"/>
              <w:ind w:right="113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w:t>
            </w:r>
          </w:p>
        </w:tc>
      </w:tr>
    </w:tbl>
    <w:p>
      <w:pPr>
        <w:spacing w:after="0" w:line="336" w:lineRule="exact"/>
        <w:rPr>
          <w:sz w:val="20"/>
          <w:szCs w:val="20"/>
          <w:color w:val="auto"/>
        </w:rPr>
      </w:pPr>
    </w:p>
    <w:p>
      <w:pPr>
        <w:sectPr>
          <w:pgSz w:w="11900" w:h="16838" w:orient="portrait"/>
          <w:cols w:equalWidth="0" w:num="2">
            <w:col w:w="5880" w:space="180"/>
            <w:col w:w="5360"/>
          </w:cols>
          <w:pgMar w:left="240" w:top="125" w:right="239" w:bottom="1440" w:gutter="0" w:footer="0" w:header="0"/>
          <w:type w:val="continuous"/>
        </w:sectPr>
      </w:pPr>
    </w:p>
    <w:p>
      <w:pPr>
        <w:ind w:right="120" w:firstLine="662"/>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gridSpan w:val="7"/>
          </w:tcPr>
          <w:p>
            <w:pPr>
              <w:jc w:val="center"/>
              <w:ind w:right="111"/>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6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Non-Securitized</w:t>
            </w:r>
          </w:p>
        </w:tc>
        <w:tc>
          <w:tcPr>
            <w:tcW w:w="30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Securitized</w:t>
            </w:r>
          </w:p>
        </w:tc>
        <w:tc>
          <w:tcPr>
            <w:tcW w:w="400" w:type="dxa"/>
            <w:vAlign w:val="bottom"/>
          </w:tcPr>
          <w:p>
            <w:pPr>
              <w:spacing w:after="0"/>
              <w:rPr>
                <w:sz w:val="22"/>
                <w:szCs w:val="22"/>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82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w:t>
            </w:r>
          </w:p>
        </w:tc>
      </w:tr>
      <w:tr>
        <w:trPr>
          <w:trHeight w:val="27"/>
        </w:trPr>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662"/>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gridSpan w:val="7"/>
          </w:tcPr>
          <w:p>
            <w:pPr>
              <w:jc w:val="center"/>
              <w:ind w:right="111"/>
              <w:spacing w:after="0"/>
              <w:rPr>
                <w:sz w:val="20"/>
                <w:szCs w:val="20"/>
                <w:color w:val="auto"/>
              </w:rPr>
            </w:pPr>
            <w:r>
              <w:rPr>
                <w:rFonts w:ascii="Arial" w:cs="Arial" w:eastAsia="Arial" w:hAnsi="Arial"/>
                <w:sz w:val="16"/>
                <w:szCs w:val="16"/>
                <w:b w:val="1"/>
                <w:bCs w:val="1"/>
                <w:color w:val="auto"/>
                <w:w w:val="92"/>
              </w:rPr>
              <w:t>Legacy-MVW Vacation Ownership Notes Receivable</w:t>
            </w:r>
          </w:p>
        </w:tc>
      </w:tr>
      <w:tr>
        <w:trPr>
          <w:trHeight w:val="33"/>
        </w:trPr>
        <w:tc>
          <w:tcPr>
            <w:tcW w:w="6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Non-Securitized</w:t>
            </w:r>
          </w:p>
        </w:tc>
        <w:tc>
          <w:tcPr>
            <w:tcW w:w="300" w:type="dxa"/>
            <w:vAlign w:val="bottom"/>
          </w:tcPr>
          <w:p>
            <w:pPr>
              <w:spacing w:after="0"/>
              <w:rPr>
                <w:sz w:val="22"/>
                <w:szCs w:val="22"/>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Securitized</w:t>
            </w:r>
          </w:p>
        </w:tc>
        <w:tc>
          <w:tcPr>
            <w:tcW w:w="400" w:type="dxa"/>
            <w:vAlign w:val="bottom"/>
          </w:tcPr>
          <w:p>
            <w:pPr>
              <w:spacing w:after="0"/>
              <w:rPr>
                <w:sz w:val="22"/>
                <w:szCs w:val="22"/>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31</w:t>
            </w:r>
          </w:p>
        </w:tc>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 90 days past due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82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Greater than 150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6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Current</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37"/>
        </w:trPr>
        <w:tc>
          <w:tcPr>
            <w:tcW w:w="24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1,403</w:t>
            </w:r>
          </w:p>
        </w:tc>
      </w:tr>
      <w:tr>
        <w:trPr>
          <w:trHeight w:val="27"/>
        </w:trPr>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use the origination of the vacation ownership notes receivable by brand (Westin, Sheraton, Hyatt)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interest they have acquired, supplemented by the FICO scores of the customers.</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tables show the Legacy-ILG acquired vacation ownership notes receivable by brand and FICO score. Vacation ownership notes receivable with no FICO score primarily relate to non-U.S. resident borrowers.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gridSpan w:val="12"/>
          </w:tcPr>
          <w:p>
            <w:pPr>
              <w:jc w:val="right"/>
              <w:ind w:right="19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2019</w:t>
            </w:r>
          </w:p>
        </w:tc>
        <w:tc>
          <w:tcPr>
            <w:tcW w:w="11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20" w:type="dxa"/>
            <w:vAlign w:val="bottom"/>
            <w:gridSpan w:val="12"/>
          </w:tcPr>
          <w:p>
            <w:pPr>
              <w:jc w:val="right"/>
              <w:ind w:right="190"/>
              <w:spacing w:after="0"/>
              <w:rPr>
                <w:sz w:val="20"/>
                <w:szCs w:val="20"/>
                <w:color w:val="auto"/>
              </w:rPr>
            </w:pPr>
            <w:r>
              <w:rPr>
                <w:rFonts w:ascii="Arial" w:cs="Arial" w:eastAsia="Arial" w:hAnsi="Arial"/>
                <w:sz w:val="16"/>
                <w:szCs w:val="16"/>
                <w:b w:val="1"/>
                <w:bCs w:val="1"/>
                <w:color w:val="auto"/>
                <w:w w:val="90"/>
              </w:rPr>
              <w:t>Acquired Vacation Ownership Notes Receivable as of December 31, 2018</w:t>
            </w:r>
          </w:p>
        </w:tc>
        <w:tc>
          <w:tcPr>
            <w:tcW w:w="11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No Score</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345</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tables show the Legacy-ILG originated vacation ownership notes receivable by brand and FICO score. Vacation ownership notes receivable with no FICO score primarily relate to non-U.S. resident borrowers.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0" w:type="dxa"/>
            <w:vAlign w:val="bottom"/>
            <w:gridSpan w:val="12"/>
          </w:tcPr>
          <w:p>
            <w:pPr>
              <w:jc w:val="right"/>
              <w:ind w:right="130"/>
              <w:spacing w:after="0"/>
              <w:rPr>
                <w:sz w:val="20"/>
                <w:szCs w:val="20"/>
                <w:color w:val="auto"/>
              </w:rPr>
            </w:pPr>
            <w:r>
              <w:rPr>
                <w:rFonts w:ascii="Arial" w:cs="Arial" w:eastAsia="Arial" w:hAnsi="Arial"/>
                <w:sz w:val="16"/>
                <w:szCs w:val="16"/>
                <w:b w:val="1"/>
                <w:bCs w:val="1"/>
                <w:color w:val="auto"/>
              </w:rPr>
              <w:t>Originated Vacation Ownership Notes Receivable as of December 31, 2019</w:t>
            </w:r>
          </w:p>
        </w:tc>
        <w:tc>
          <w:tcPr>
            <w:tcW w:w="1140" w:type="dxa"/>
            <w:vAlign w:val="bottom"/>
          </w:tcPr>
          <w:p>
            <w:pPr>
              <w:spacing w:after="0"/>
              <w:rPr>
                <w:sz w:val="18"/>
                <w:szCs w:val="18"/>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8"/>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30"/>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5" w:lineRule="exact"/>
              <w:rPr>
                <w:sz w:val="20"/>
                <w:szCs w:val="20"/>
                <w:color w:val="auto"/>
              </w:rPr>
            </w:pPr>
            <w:r>
              <w:rPr>
                <w:rFonts w:ascii="Arial" w:cs="Arial" w:eastAsia="Arial" w:hAnsi="Arial"/>
                <w:sz w:val="18"/>
                <w:szCs w:val="18"/>
                <w:color w:val="auto"/>
                <w:w w:val="87"/>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line="195" w:lineRule="exact"/>
              <w:rPr>
                <w:sz w:val="20"/>
                <w:szCs w:val="20"/>
                <w:color w:val="auto"/>
              </w:rPr>
            </w:pPr>
            <w:r>
              <w:rPr>
                <w:rFonts w:ascii="Arial" w:cs="Arial" w:eastAsia="Arial" w:hAnsi="Arial"/>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5" w:lineRule="exact"/>
              <w:rPr>
                <w:sz w:val="20"/>
                <w:szCs w:val="20"/>
                <w:color w:val="auto"/>
              </w:rPr>
            </w:pPr>
            <w:r>
              <w:rPr>
                <w:rFonts w:ascii="Arial" w:cs="Arial" w:eastAsia="Arial" w:hAnsi="Arial"/>
                <w:sz w:val="18"/>
                <w:szCs w:val="18"/>
                <w:color w:val="auto"/>
              </w:rPr>
              <w:t>198</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1"/>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gridSpan w:val="12"/>
          </w:tcPr>
          <w:p>
            <w:pPr>
              <w:jc w:val="right"/>
              <w:ind w:right="130"/>
              <w:spacing w:after="0"/>
              <w:rPr>
                <w:sz w:val="20"/>
                <w:szCs w:val="20"/>
                <w:color w:val="auto"/>
              </w:rPr>
            </w:pPr>
            <w:r>
              <w:rPr>
                <w:rFonts w:ascii="Arial" w:cs="Arial" w:eastAsia="Arial" w:hAnsi="Arial"/>
                <w:sz w:val="16"/>
                <w:szCs w:val="16"/>
                <w:b w:val="1"/>
                <w:bCs w:val="1"/>
                <w:color w:val="auto"/>
              </w:rPr>
              <w:t>Originated Vacation Ownership Notes Receivable as of December 31, 2018</w:t>
            </w:r>
          </w:p>
        </w:tc>
        <w:tc>
          <w:tcPr>
            <w:tcW w:w="1140" w:type="dxa"/>
            <w:vAlign w:val="bottom"/>
          </w:tcPr>
          <w:p>
            <w:pPr>
              <w:spacing w:after="0"/>
              <w:rPr>
                <w:sz w:val="24"/>
                <w:szCs w:val="24"/>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2"/>
                <w:szCs w:val="22"/>
                <w:color w:val="auto"/>
              </w:rPr>
            </w:pPr>
          </w:p>
        </w:tc>
        <w:tc>
          <w:tcPr>
            <w:tcW w:w="1180" w:type="dxa"/>
            <w:vAlign w:val="bottom"/>
          </w:tcPr>
          <w:p>
            <w:pPr>
              <w:jc w:val="right"/>
              <w:ind w:right="473"/>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 Score</w:t>
            </w:r>
          </w:p>
        </w:tc>
        <w:tc>
          <w:tcPr>
            <w:tcW w:w="340" w:type="dxa"/>
            <w:vAlign w:val="bottom"/>
          </w:tcPr>
          <w:p>
            <w:pPr>
              <w:spacing w:after="0"/>
              <w:rPr>
                <w:sz w:val="22"/>
                <w:szCs w:val="22"/>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50"/>
        </w:trPr>
        <w:tc>
          <w:tcPr>
            <w:tcW w:w="3540" w:type="dxa"/>
            <w:vAlign w:val="bottom"/>
            <w:tcBorders>
              <w:top w:val="single" w:sz="8" w:color="CCEEFF"/>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Westin</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Hyatt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r>
      <w:tr>
        <w:trPr>
          <w:trHeight w:val="27"/>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originated vacation ownership notes receivable as of December 31,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8"/>
          </w:tcPr>
          <w:p>
            <w:pPr>
              <w:ind w:left="260"/>
              <w:spacing w:after="0"/>
              <w:rPr>
                <w:sz w:val="20"/>
                <w:szCs w:val="20"/>
                <w:color w:val="auto"/>
              </w:rPr>
            </w:pPr>
            <w:r>
              <w:rPr>
                <w:rFonts w:ascii="Arial" w:cs="Arial" w:eastAsia="Arial" w:hAnsi="Arial"/>
                <w:sz w:val="16"/>
                <w:szCs w:val="16"/>
                <w:b w:val="1"/>
                <w:bCs w:val="1"/>
                <w:color w:val="auto"/>
                <w:w w:val="94"/>
              </w:rPr>
              <w:t>Originated Vacation Ownership Notes Receivable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Delinquent</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14"/>
              <w:spacing w:after="0"/>
              <w:rPr>
                <w:sz w:val="20"/>
                <w:szCs w:val="20"/>
                <w:color w:val="auto"/>
              </w:rPr>
            </w:pPr>
            <w:r>
              <w:rPr>
                <w:rFonts w:ascii="Arial" w:cs="Arial" w:eastAsia="Arial" w:hAnsi="Arial"/>
                <w:sz w:val="16"/>
                <w:szCs w:val="16"/>
                <w:b w:val="1"/>
                <w:bCs w:val="1"/>
                <w:color w:val="auto"/>
              </w:rPr>
              <w:t>Defaulted</w:t>
            </w:r>
          </w:p>
        </w:tc>
        <w:tc>
          <w:tcPr>
            <w:tcW w:w="100" w:type="dxa"/>
            <w:vAlign w:val="bottom"/>
          </w:tcPr>
          <w:p>
            <w:pPr>
              <w:spacing w:after="0"/>
              <w:rPr>
                <w:sz w:val="20"/>
                <w:szCs w:val="20"/>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Total Delinquent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88"/>
              </w:rPr>
              <w:t>Receivables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0"/>
              </w:rPr>
              <w:t>30 - 59 Days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2"/>
              </w:rPr>
              <w:t>60 - 89 Days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0"/>
              </w:rPr>
              <w:t>90 - 119 Days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6"/>
              </w:rPr>
              <w:t>&gt; 120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8"/>
              </w:rPr>
              <w:t>&amp; Defaulted</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48"/>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INSTRUMENTS</w:t>
      </w:r>
    </w:p>
    <w:p>
      <w:pPr>
        <w:spacing w:after="0" w:line="12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 The table also excludes acquired vacation ownership notes receivable which are remeasured at each period end based on expected future cash flows. See Footnote 6 “Vacation Ownership Notes Receivable” for additional information on our acquired vacation ownership notes receivable.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6"/>
          </w:tcPr>
          <w:p>
            <w:pPr>
              <w:ind w:left="520"/>
              <w:spacing w:after="0"/>
              <w:rPr>
                <w:sz w:val="20"/>
                <w:szCs w:val="20"/>
                <w:color w:val="auto"/>
              </w:rPr>
            </w:pPr>
            <w:r>
              <w:rPr>
                <w:rFonts w:ascii="Arial" w:cs="Arial" w:eastAsia="Arial" w:hAnsi="Arial"/>
                <w:sz w:val="16"/>
                <w:szCs w:val="16"/>
                <w:b w:val="1"/>
                <w:bCs w:val="1"/>
                <w:color w:val="auto"/>
              </w:rPr>
              <w:t>At December 31, 2019</w:t>
            </w:r>
          </w:p>
        </w:tc>
        <w:tc>
          <w:tcPr>
            <w:tcW w:w="260" w:type="dxa"/>
            <w:vAlign w:val="bottom"/>
          </w:tcPr>
          <w:p>
            <w:pPr>
              <w:spacing w:after="0"/>
              <w:rPr>
                <w:sz w:val="18"/>
                <w:szCs w:val="18"/>
                <w:color w:val="auto"/>
              </w:rPr>
            </w:pPr>
          </w:p>
        </w:tc>
        <w:tc>
          <w:tcPr>
            <w:tcW w:w="2780" w:type="dxa"/>
            <w:vAlign w:val="bottom"/>
            <w:gridSpan w:val="5"/>
          </w:tcPr>
          <w:p>
            <w:pPr>
              <w:jc w:val="right"/>
              <w:ind w:right="652"/>
              <w:spacing w:after="0"/>
              <w:rPr>
                <w:sz w:val="20"/>
                <w:szCs w:val="20"/>
                <w:color w:val="auto"/>
              </w:rPr>
            </w:pPr>
            <w:r>
              <w:rPr>
                <w:rFonts w:ascii="Arial" w:cs="Arial" w:eastAsia="Arial" w:hAnsi="Arial"/>
                <w:sz w:val="16"/>
                <w:szCs w:val="16"/>
                <w:b w:val="1"/>
                <w:bCs w:val="1"/>
                <w:color w:val="auto"/>
              </w:rPr>
              <w:t>At December 31,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20" w:type="dxa"/>
            <w:vAlign w:val="bottom"/>
          </w:tcPr>
          <w:p>
            <w:pPr>
              <w:jc w:val="center"/>
              <w:ind w:right="25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20"/>
                <w:szCs w:val="20"/>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5"/>
              </w:rPr>
              <w:t>Amount</w:t>
            </w:r>
          </w:p>
        </w:tc>
        <w:tc>
          <w:tcPr>
            <w:tcW w:w="340" w:type="dxa"/>
            <w:vAlign w:val="bottom"/>
          </w:tcPr>
          <w:p>
            <w:pPr>
              <w:spacing w:after="0"/>
              <w:rPr>
                <w:sz w:val="20"/>
                <w:szCs w:val="20"/>
                <w:color w:val="auto"/>
              </w:rPr>
            </w:pPr>
          </w:p>
        </w:tc>
        <w:tc>
          <w:tcPr>
            <w:tcW w:w="1120" w:type="dxa"/>
            <w:vAlign w:val="bottom"/>
          </w:tcPr>
          <w:p>
            <w:pPr>
              <w:jc w:val="center"/>
              <w:ind w:right="252"/>
              <w:spacing w:after="0"/>
              <w:rPr>
                <w:sz w:val="20"/>
                <w:szCs w:val="20"/>
                <w:color w:val="auto"/>
              </w:rPr>
            </w:pPr>
            <w:r>
              <w:rPr>
                <w:rFonts w:ascii="Arial" w:cs="Arial" w:eastAsia="Arial" w:hAnsi="Arial"/>
                <w:sz w:val="16"/>
                <w:szCs w:val="16"/>
                <w:b w:val="1"/>
                <w:bCs w:val="1"/>
                <w:color w:val="auto"/>
                <w:w w:val="88"/>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2026 Notes,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 Notes,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Exchange Notes,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IAC Notes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Term Loan,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Corporate Credit Facility,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 net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i w:val="1"/>
                <w:iCs w:val="1"/>
                <w:color w:val="auto"/>
              </w:rPr>
              <w:t>Originated Vacation Ownership Notes Receivable</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ind w:left="540"/>
              <w:spacing w:after="0"/>
              <w:rPr>
                <w:sz w:val="20"/>
                <w:szCs w:val="20"/>
                <w:color w:val="auto"/>
              </w:rPr>
            </w:pPr>
            <w:r>
              <w:rPr>
                <w:rFonts w:ascii="Arial" w:cs="Arial" w:eastAsia="Arial" w:hAnsi="Arial"/>
                <w:sz w:val="16"/>
                <w:szCs w:val="16"/>
                <w:b w:val="1"/>
                <w:bCs w:val="1"/>
                <w:color w:val="auto"/>
              </w:rPr>
              <w:t>At December 31, 2019</w:t>
            </w:r>
          </w:p>
        </w:tc>
        <w:tc>
          <w:tcPr>
            <w:tcW w:w="260" w:type="dxa"/>
            <w:vAlign w:val="bottom"/>
          </w:tcPr>
          <w:p>
            <w:pPr>
              <w:spacing w:after="0"/>
              <w:rPr>
                <w:sz w:val="24"/>
                <w:szCs w:val="24"/>
                <w:color w:val="auto"/>
              </w:rPr>
            </w:pPr>
          </w:p>
        </w:tc>
        <w:tc>
          <w:tcPr>
            <w:tcW w:w="2780" w:type="dxa"/>
            <w:vAlign w:val="bottom"/>
            <w:gridSpan w:val="5"/>
          </w:tcPr>
          <w:p>
            <w:pPr>
              <w:jc w:val="right"/>
              <w:ind w:right="652"/>
              <w:spacing w:after="0"/>
              <w:rPr>
                <w:sz w:val="20"/>
                <w:szCs w:val="20"/>
                <w:color w:val="auto"/>
              </w:rPr>
            </w:pPr>
            <w:r>
              <w:rPr>
                <w:rFonts w:ascii="Arial" w:cs="Arial" w:eastAsia="Arial" w:hAnsi="Arial"/>
                <w:sz w:val="16"/>
                <w:szCs w:val="16"/>
                <w:b w:val="1"/>
                <w:bCs w:val="1"/>
                <w:color w:val="auto"/>
              </w:rPr>
              <w:t>At December 31,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Carrying</w:t>
            </w:r>
          </w:p>
        </w:tc>
        <w:tc>
          <w:tcPr>
            <w:tcW w:w="320" w:type="dxa"/>
            <w:vAlign w:val="bottom"/>
          </w:tcPr>
          <w:p>
            <w:pPr>
              <w:spacing w:after="0"/>
              <w:rPr>
                <w:sz w:val="18"/>
                <w:szCs w:val="18"/>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20" w:type="dxa"/>
            <w:vAlign w:val="bottom"/>
          </w:tcPr>
          <w:p>
            <w:pPr>
              <w:jc w:val="center"/>
              <w:ind w:right="21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Amount</w:t>
            </w:r>
          </w:p>
        </w:tc>
        <w:tc>
          <w:tcPr>
            <w:tcW w:w="32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2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500"/>
              <w:spacing w:after="0"/>
              <w:rPr>
                <w:sz w:val="20"/>
                <w:szCs w:val="20"/>
                <w:color w:val="auto"/>
              </w:rPr>
            </w:pPr>
            <w:r>
              <w:rPr>
                <w:rFonts w:ascii="Arial" w:cs="Arial" w:eastAsia="Arial" w:hAnsi="Arial"/>
                <w:sz w:val="18"/>
                <w:szCs w:val="18"/>
                <w:color w:val="auto"/>
              </w:rPr>
              <w:t>Eligible for securitization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 eligible for securitization</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Non-securitized</w:t>
            </w: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the first payment has not been received; or (3) the collateral is located in Asia or Europe. In some cases, eligibility may also be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table above shows the bifurcation of our originated vacation ownership notes receivable that have not been securitized into those eligible and not eligible for securitization based upon the aforementioned eligibility criteria. 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assets include $39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as trading securities using quoted market prices (Level 1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estimate the fair value of our 2026 Notes (as defined in Footnote 14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Notes</w:t>
      </w:r>
    </w:p>
    <w:p>
      <w:pPr>
        <w:spacing w:after="0" w:line="11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estimate the fair value of our 2028 Notes (as defined in Footnote 14 “Debt”) using quotes from securities dealers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estimate the fair value of our Term Loan (as defined in Footnote 14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estimate that the fair value of our Revolving Corporate Credit Facility (as defined in Footnote 14 “Debt”) approximates its gross carrying value as the contractual interest rate is variable plus an applicable margin. We concluded that this fair value measurement should be categorized within Level 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80" w:firstLine="662"/>
        <w:spacing w:after="0" w:line="255" w:lineRule="auto"/>
        <w:rPr>
          <w:sz w:val="20"/>
          <w:szCs w:val="20"/>
          <w:color w:val="auto"/>
        </w:rPr>
      </w:pPr>
      <w:r>
        <w:rPr>
          <w:rFonts w:ascii="Arial" w:cs="Arial" w:eastAsia="Arial" w:hAnsi="Arial"/>
          <w:sz w:val="18"/>
          <w:szCs w:val="18"/>
          <w:color w:val="auto"/>
        </w:rPr>
        <w:t>Basic earnings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December 31, 2019, December 31, 2018, or December 31, 2017, there was no dilutive impact from the Convertible Notes for 2019, 2018, or 2017.</w:t>
      </w:r>
    </w:p>
    <w:p>
      <w:pPr>
        <w:spacing w:after="0" w:line="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shares issuable on exercise of the Warrants (as defined in Footnote 14 “Debt”) sold in connection with the issuance of the Convertible Notes will not impact the total dilutive weighted average shares outstanding unless and until the price of our common stock exceeds the strike price, which was subject to adjustment during the fourth quarter of 2019 to $175.37, as described in Footnote 14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14 “Debt”) purchased in connection with the issuance of the Convertible Notes are considered to be anti-dilutive and will not impact our calculation of diluted earnings per share attributable to common shareholders.</w:t>
      </w:r>
    </w:p>
    <w:p>
      <w:pPr>
        <w:spacing w:after="0" w:line="81" w:lineRule="exact"/>
        <w:rPr>
          <w:sz w:val="20"/>
          <w:szCs w:val="20"/>
          <w:color w:val="auto"/>
        </w:rPr>
      </w:pPr>
    </w:p>
    <w:p>
      <w:pPr>
        <w:ind w:right="340" w:firstLine="662"/>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earnings per share attributable to common shareholders.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Computation of Basic and Diluted Earnings Per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17"/>
                <w:szCs w:val="17"/>
                <w:b w:val="1"/>
                <w:bCs w:val="1"/>
                <w:color w:val="auto"/>
                <w:vertAlign w:val="superscript"/>
              </w:rPr>
              <w:t>(1)</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17"/>
                <w:szCs w:val="17"/>
                <w:b w:val="1"/>
                <w:bCs w:val="1"/>
                <w:color w:val="auto"/>
                <w:vertAlign w:val="superscript"/>
              </w:rPr>
              <w:t>(1)</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17"/>
                <w:szCs w:val="17"/>
                <w:b w:val="1"/>
                <w:bCs w:val="1"/>
                <w:color w:val="auto"/>
                <w:vertAlign w:val="superscript"/>
              </w:rPr>
              <w:t>(1)</w:t>
            </w:r>
          </w:p>
        </w:tc>
      </w:tr>
      <w:tr>
        <w:trPr>
          <w:trHeight w:val="245"/>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w w:val="97"/>
              </w:rPr>
              <w:t>Computation of Basic Earnings Per Share Attributable to Common Shareholders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1380" w:type="dxa"/>
            <w:vAlign w:val="bottom"/>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380" w:type="dxa"/>
            <w:vAlign w:val="bottom"/>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basic earnings per share</w:t>
            </w: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97"/>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earnings per share</w:t>
            </w:r>
          </w:p>
        </w:tc>
        <w:tc>
          <w:tcPr>
            <w:tcW w:w="1380" w:type="dxa"/>
            <w:vAlign w:val="bottom"/>
            <w:tcBorders>
              <w:top w:val="single" w:sz="8" w:color="auto"/>
              <w:bottom w:val="single" w:sz="8" w:color="auto"/>
            </w:tcBorders>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8.70</w:t>
            </w:r>
          </w:p>
        </w:tc>
      </w:tr>
      <w:tr>
        <w:trPr>
          <w:trHeight w:val="23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w w:val="96"/>
              </w:rPr>
              <w:t>Computation of Diluted Earnings Per Share Attributable to Common Shareholders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1380" w:type="dxa"/>
            <w:vAlign w:val="bottom"/>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380" w:type="dxa"/>
            <w:vAlign w:val="bottom"/>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basic earnings per share</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Effect of dilutive shares outstanding</w:t>
            </w: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options and SARs</w:t>
            </w: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5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for diluted earnings per share</w:t>
            </w:r>
          </w:p>
        </w:tc>
        <w:tc>
          <w:tcPr>
            <w:tcW w:w="1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r>
      <w:tr>
        <w:trPr>
          <w:trHeight w:val="257"/>
        </w:trPr>
        <w:tc>
          <w:tcPr>
            <w:tcW w:w="5040" w:type="dxa"/>
            <w:vAlign w:val="bottom"/>
          </w:tcPr>
          <w:p>
            <w:pPr>
              <w:ind w:left="180"/>
              <w:spacing w:after="0"/>
              <w:rPr>
                <w:sz w:val="20"/>
                <w:szCs w:val="20"/>
                <w:color w:val="auto"/>
              </w:rPr>
            </w:pPr>
            <w:r>
              <w:rPr>
                <w:rFonts w:ascii="Arial" w:cs="Arial" w:eastAsia="Arial" w:hAnsi="Arial"/>
                <w:sz w:val="18"/>
                <w:szCs w:val="18"/>
                <w:color w:val="auto"/>
              </w:rPr>
              <w:t>Diluted earnings per share</w:t>
            </w:r>
          </w:p>
        </w:tc>
        <w:tc>
          <w:tcPr>
            <w:tcW w:w="1380" w:type="dxa"/>
            <w:vAlign w:val="bottom"/>
            <w:tcBorders>
              <w:top w:val="single" w:sz="8" w:color="auto"/>
              <w:bottom w:val="single" w:sz="8" w:color="auto"/>
            </w:tcBorders>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2"/>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r>
      <w:tr>
        <w:trPr>
          <w:trHeight w:val="20"/>
        </w:trPr>
        <w:tc>
          <w:tcPr>
            <w:tcW w:w="50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80" w:hanging="652"/>
        <w:spacing w:after="0" w:line="216"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attributable to common shareholders exclude approximately 345,000, 165,000 and 238,000 shares of common stock, the maximum number of shares issuable as of December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760"/>
        <w:spacing w:after="0" w:line="342" w:lineRule="auto"/>
        <w:rPr>
          <w:sz w:val="20"/>
          <w:szCs w:val="20"/>
          <w:color w:val="auto"/>
        </w:rPr>
      </w:pPr>
      <w:r>
        <w:rPr>
          <w:rFonts w:ascii="Arial" w:cs="Arial" w:eastAsia="Arial" w:hAnsi="Arial"/>
          <w:sz w:val="16"/>
          <w:szCs w:val="16"/>
          <w:color w:val="auto"/>
        </w:rPr>
        <w:t>December 31, 2018 and December 31, 2017, respectively, upon the vesting of certain performance-based awards, because the performance conditions required to be met for the shares subject to such awards to vest were not achieved by the end of the reporting period.</w:t>
      </w:r>
    </w:p>
    <w:p>
      <w:pPr>
        <w:spacing w:after="0" w:line="1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each of the years ended December 31, 2019 and December 31, 2018, we excluded from our calculation of diluted earnings per share 56,649 shares underlying SARs that may settle in shares of common stock because the exercise price of $143.38 of such SARs was greater than the average market price for each of the applicable periods.</w:t>
      </w:r>
    </w:p>
    <w:p>
      <w:pPr>
        <w:spacing w:after="0" w:line="57" w:lineRule="exact"/>
        <w:rPr>
          <w:sz w:val="20"/>
          <w:szCs w:val="20"/>
          <w:color w:val="auto"/>
        </w:rPr>
      </w:pPr>
    </w:p>
    <w:p>
      <w:pPr>
        <w:ind w:right="260" w:firstLine="662"/>
        <w:spacing w:after="0" w:line="308" w:lineRule="auto"/>
        <w:rPr>
          <w:sz w:val="20"/>
          <w:szCs w:val="20"/>
          <w:color w:val="auto"/>
        </w:rPr>
      </w:pPr>
      <w:r>
        <w:rPr>
          <w:rFonts w:ascii="Arial" w:cs="Arial" w:eastAsia="Arial" w:hAnsi="Arial"/>
          <w:sz w:val="17"/>
          <w:szCs w:val="17"/>
          <w:color w:val="auto"/>
        </w:rPr>
        <w:t>For the year ended December 31, 2017, our calculation of diluted earnings per share included shares underlying SARs that may settle in shares of common stock because the exercise price of such SARs were less than or equal to the average market price for the applicable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At Year-End 2019</w:t>
            </w:r>
          </w:p>
        </w:tc>
        <w:tc>
          <w:tcPr>
            <w:tcW w:w="180" w:type="dxa"/>
            <w:vAlign w:val="bottom"/>
          </w:tcPr>
          <w:p>
            <w:pPr>
              <w:spacing w:after="0"/>
              <w:rPr>
                <w:sz w:val="20"/>
                <w:szCs w:val="20"/>
                <w:color w:val="auto"/>
              </w:rPr>
            </w:pPr>
          </w:p>
        </w:tc>
        <w:tc>
          <w:tcPr>
            <w:tcW w:w="152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At Year-End 2018</w:t>
            </w:r>
          </w:p>
        </w:tc>
        <w:tc>
          <w:tcPr>
            <w:tcW w:w="0" w:type="dxa"/>
            <w:vAlign w:val="bottom"/>
          </w:tcPr>
          <w:p>
            <w:pPr>
              <w:spacing w:after="0"/>
              <w:rPr>
                <w:sz w:val="1"/>
                <w:szCs w:val="1"/>
                <w:color w:val="auto"/>
              </w:rPr>
            </w:pPr>
          </w:p>
        </w:tc>
      </w:tr>
      <w:tr>
        <w:trPr>
          <w:trHeight w:val="270"/>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 estate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70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registered for sale as vacation ownership interests and inventory expected to be acquired pursuant to estimated future foreclosures.</w:t>
      </w:r>
    </w:p>
    <w:p>
      <w:pPr>
        <w:spacing w:after="0" w:line="95"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We value vacation ownership interests at the lower of cost or fair market value less costs to sell, in accordance with applicable accounting guidance, and we record operating supplies at the lower of cost (using the first-in, first-out method) or net realizable value.</w:t>
      </w:r>
    </w:p>
    <w:p>
      <w:pPr>
        <w:spacing w:after="0" w:line="62" w:lineRule="exact"/>
        <w:rPr>
          <w:sz w:val="20"/>
          <w:szCs w:val="20"/>
          <w:color w:val="auto"/>
        </w:rPr>
      </w:pPr>
    </w:p>
    <w:p>
      <w:pPr>
        <w:ind w:right="740" w:firstLine="662"/>
        <w:spacing w:after="0" w:line="342" w:lineRule="auto"/>
        <w:rPr>
          <w:sz w:val="20"/>
          <w:szCs w:val="20"/>
          <w:color w:val="auto"/>
        </w:rPr>
      </w:pPr>
      <w:r>
        <w:rPr>
          <w:rFonts w:ascii="Arial" w:cs="Arial" w:eastAsia="Arial" w:hAnsi="Arial"/>
          <w:sz w:val="16"/>
          <w:szCs w:val="16"/>
          <w:color w:val="auto"/>
        </w:rPr>
        <w:t>In addition to the above, at December 31, 2019, we had $55 million of completed vacation ownership units which have been classified as a component of Property and equipment until the time at which they are legally registered for sale as vacation ownership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At Year-End 2019</w:t>
            </w:r>
          </w:p>
        </w:tc>
        <w:tc>
          <w:tcPr>
            <w:tcW w:w="160" w:type="dxa"/>
            <w:vAlign w:val="bottom"/>
          </w:tcPr>
          <w:p>
            <w:pPr>
              <w:spacing w:after="0"/>
              <w:rPr>
                <w:sz w:val="20"/>
                <w:szCs w:val="20"/>
                <w:color w:val="auto"/>
              </w:rPr>
            </w:pPr>
          </w:p>
        </w:tc>
        <w:tc>
          <w:tcPr>
            <w:tcW w:w="1500" w:type="dxa"/>
            <w:vAlign w:val="bottom"/>
          </w:tcPr>
          <w:p>
            <w:pPr>
              <w:jc w:val="right"/>
              <w:ind w:right="131"/>
              <w:spacing w:after="0"/>
              <w:rPr>
                <w:sz w:val="20"/>
                <w:szCs w:val="20"/>
                <w:color w:val="auto"/>
              </w:rPr>
            </w:pPr>
            <w:r>
              <w:rPr>
                <w:rFonts w:ascii="Arial" w:cs="Arial" w:eastAsia="Arial" w:hAnsi="Arial"/>
                <w:sz w:val="16"/>
                <w:szCs w:val="16"/>
                <w:b w:val="1"/>
                <w:bCs w:val="1"/>
                <w:color w:val="auto"/>
                <w:w w:val="95"/>
              </w:rPr>
              <w:t>At Year-End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404</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297</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r>
      <w:tr>
        <w:trPr>
          <w:trHeight w:val="237"/>
        </w:trPr>
        <w:tc>
          <w:tcPr>
            <w:tcW w:w="76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7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951</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2019. The impairment is primarily attributable to the fact that the book value of the assets to be sold exceeds the sales price because the book value includes allocations of common costs incurred when we built the infrastructure for the resort, including future phases. This contract was subsequently terminated.</w:t>
      </w:r>
    </w:p>
    <w:p>
      <w:pPr>
        <w:spacing w:after="0" w:line="8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during 2019, we recorded a non-cash impairment charge of $1 million related to an ancillary asset located at a Vacation Ownership segment property in Europe.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the following commitments outstanding:</w:t>
      </w:r>
    </w:p>
    <w:p>
      <w:pPr>
        <w:spacing w:after="0" w:line="144" w:lineRule="exact"/>
        <w:rPr>
          <w:sz w:val="20"/>
          <w:szCs w:val="20"/>
          <w:color w:val="auto"/>
        </w:rPr>
      </w:pPr>
    </w:p>
    <w:p>
      <w:pPr>
        <w:ind w:left="980" w:right="24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$65 million, of which we expect $31 million, $18 million, $10 million, $5 million and $1 million will be paid in 2020, 2021, 2022, 2023 and 2024, respectively.</w:t>
      </w:r>
    </w:p>
    <w:p>
      <w:pPr>
        <w:spacing w:after="0" w:line="73"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commitment to purchase an operating property, that we manage, located in New York, New York, for $183 million, of which $7 million is attributable to a related finance lease arrangement and recorded in Debt. We expect to acquire the units in the property, in their current form, over time. In January 2020, subsequent to the end of 2019, we acquired 57 completed vacation ownership units, as well as office and ancillary space, for $86 million, of which $20 million was paid in December 2019. We expect to make payments for the remaining commitment of $97 million in 2021. See Footnote 17 “Variable Interest Entities” for additional information on this transaction and our activities relating to the VIE involved in this transaction.</w:t>
      </w:r>
    </w:p>
    <w:p>
      <w:pPr>
        <w:spacing w:after="0" w:line="85" w:lineRule="exact"/>
        <w:rPr>
          <w:rFonts w:ascii="Arial" w:cs="Arial" w:eastAsia="Arial" w:hAnsi="Arial"/>
          <w:sz w:val="18"/>
          <w:szCs w:val="18"/>
          <w:color w:val="auto"/>
        </w:rPr>
      </w:pPr>
    </w:p>
    <w:p>
      <w:pPr>
        <w:ind w:left="980" w:right="32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2020 and to make the remaining payments with respect to these units when specific construction milestones are completed, as follows: $25 million in 2020 and $2 million in 2021.</w:t>
      </w:r>
    </w:p>
    <w:p>
      <w:pPr>
        <w:spacing w:after="0" w:line="78"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a remaining commitment to purchase an operating property, that we manage, located in San Francisco, California for $113 million. In February 2020, subsequent to the end of 2019, we acquired 34 units in the property for $25 million. We expect to make payments for the remaining commitment as follows: $32 million in 2021, $24 million in 2022, and $32 million in 2023. See Footnote 3 “Acquisitions and Dispositions” for information on the purchase that occurred during 2019 and Footnote 17 “Variable Interest Entities” for additional information on this transaction and our activities relating to the VIE involved in this transaction.</w:t>
      </w:r>
    </w:p>
    <w:p>
      <w:pPr>
        <w:spacing w:after="0" w:line="8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first quarter of 2020, we assigned a commitment to purchase a property located in Waikiki, Hawaii, that we had as of December 31, 2019, to a third-party developer. If we are unable to negotiate a capital efficient inventory arrangement, we are committed to purchasing the property, in its current form, for $98 million in 2021. We are required to purchase the property from the third-party developer unless it has been sold to another party. The property is held by a VIE for which we are not the primary beneficiary as we do not control the operations of the VIE. Accordingly, we will not consolidate the VIE.</w:t>
      </w:r>
    </w:p>
    <w:p>
      <w:pPr>
        <w:spacing w:after="0" w:line="80" w:lineRule="exact"/>
        <w:rPr>
          <w:sz w:val="20"/>
          <w:szCs w:val="20"/>
          <w:color w:val="auto"/>
        </w:rPr>
      </w:pPr>
    </w:p>
    <w:p>
      <w:pPr>
        <w:ind w:right="200" w:firstLine="662"/>
        <w:spacing w:after="0" w:line="277" w:lineRule="auto"/>
        <w:rPr>
          <w:sz w:val="20"/>
          <w:szCs w:val="20"/>
          <w:color w:val="auto"/>
        </w:rPr>
      </w:pPr>
      <w:r>
        <w:rPr>
          <w:rFonts w:ascii="Arial" w:cs="Arial" w:eastAsia="Arial" w:hAnsi="Arial"/>
          <w:sz w:val="18"/>
          <w:szCs w:val="18"/>
          <w:color w:val="auto"/>
        </w:rPr>
        <w:t>Surety bonds issued as of December 31, 2019 totaled $104 million, the majority of which were requested by federal, state or local governments in connection with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December 31, 2019, our maximum exposure under guarantees was $30 million, of which $11 million, $9 million, $4 million, $2 million, $1 million and $3 million relate to 2020, 2021, 2022, 2023, 2024 and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MVCD program. The plaintiffs are seeking compensatory damages, disgorgement, fees and costs.</w:t>
      </w:r>
    </w:p>
    <w:p>
      <w:pPr>
        <w:spacing w:after="0" w:line="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125"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punitive damages. In August 2019, the District Court granted our motion for judgment on the pleadings and dismissed the case. The plaintiffs have appealed the ruling.</w:t>
      </w:r>
    </w:p>
    <w:p>
      <w:pPr>
        <w:spacing w:after="0" w:line="6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us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are seeking compensatory damages, rescission, disgorgement, fees and costs.</w:t>
      </w:r>
    </w:p>
    <w:p>
      <w:pPr>
        <w:spacing w:after="0" w:line="6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February 2017, the owners’ association for the St. Regis NY Club filed a separate suit against us in the U.S. District Court for the Southern District of New York, which was amended to add Marriott International and Starwood as additional defendants in March 2017. The lawsuit was subsequently transferred to the U.S. District Court for the Middle District of Florida. The operative complaint alleges that the sponsor of the St. Regis NY Club (St. Regis Residence Club, New York, Inc.), the St. Regis NY Club manager (St. Regis New York Management, Inc.), and certain affiliated entities, as well as Marriott International and Starwood, breached their fiduciary duties related to sale and rental practices, and further alleges tortious interference with the management agreement, unjust enrichment, and anticompetitive conduct. The amended complaint also alleges anticompetitive conduct in connection with the renewal of the St. Regis NY Club management agreement. The plaintiff is seeking declaratory relief in connection with the Starpoint conversion program and the exchange program at the St. Regis NY Club, unspecified damages, and disgorgement of payments under the management and purchase agreements.</w:t>
      </w:r>
    </w:p>
    <w:p>
      <w:pPr>
        <w:spacing w:after="0" w:line="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w:t>
      </w:r>
    </w:p>
    <w:p>
      <w:pPr>
        <w:ind w:right="460"/>
        <w:spacing w:after="0" w:line="277" w:lineRule="auto"/>
        <w:rPr>
          <w:sz w:val="20"/>
          <w:szCs w:val="20"/>
          <w:color w:val="auto"/>
        </w:rPr>
      </w:pPr>
      <w:r>
        <w:rPr>
          <w:rFonts w:ascii="Arial" w:cs="Arial" w:eastAsia="Arial" w:hAnsi="Arial"/>
          <w:sz w:val="17"/>
          <w:szCs w:val="17"/>
          <w:color w:val="auto"/>
        </w:rPr>
        <w:t>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64"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During June 2018, we identified forged and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During 2018, we recovered $6 million of these funds. During 2019, we received $3 million from our insurance company as final settlement of our claim, and the insurance company waived the requirement for us to reimburse the insurance company for any monies subsequently recovered. We recorded a gain of $3 million and a loss of $4 million in the Gains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125"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other income, net line of our Income Statements for 2019 and 2018, respectively. Any additional recoveries will be recorded in our results in the future. We have concluded that this event did not involve access to any of our other systems. No other misappropriation of assets was identified during our investigation.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Recoveries</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September 2017, over 20 of our Legacy-MVW properties were impacted by Hurricane Irma and Hurricane Maria and, as a result, as of December 31, 2017, we accrued $1 million for the estimated property damage insurance deductibles and impairment of property and equipment, which was recorded in the Gains and other income, net line on our Income Statement for the year ended December 31, 2017. In 2018, we received $32 million of insurance proceeds related to the settlement of Legacy-MVW business interruption insurance claims arising from Hurricane Irma. These proceeds, and the related deductible of $3 million, were recorded net in the Gains and other income, net line on our Income Statement for the year ended December 31, 2018. During 2019, we recorded an additional $9 million of other income relating to the final settlement of these business interruption insurance claims, which was recorded in the Gains and other income, net line on our Income Statement for the year ended December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our leases and the classification on our Balance Sheet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Sheet Classification</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6"/>
              </w:rPr>
              <w:t>At December 31, 2019</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4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Finance lease assets</w:t>
            </w: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Property and equipment</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43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4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49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Debt</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43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lease costs and the classification on our Income Statement for the year ended December 31, 2019.</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Income Statement Classification</w:t>
            </w:r>
          </w:p>
        </w:tc>
        <w:tc>
          <w:tcPr>
            <w:tcW w:w="0" w:type="dxa"/>
            <w:vAlign w:val="bottom"/>
          </w:tcPr>
          <w:p>
            <w:pPr>
              <w:spacing w:after="0"/>
              <w:rPr>
                <w:sz w:val="1"/>
                <w:szCs w:val="1"/>
                <w:color w:val="auto"/>
              </w:rPr>
            </w:pPr>
          </w:p>
        </w:tc>
      </w:tr>
      <w:tr>
        <w:trPr>
          <w:trHeight w:val="228"/>
        </w:trPr>
        <w:tc>
          <w:tcPr>
            <w:tcW w:w="4200" w:type="dxa"/>
            <w:vAlign w:val="bottom"/>
            <w:vMerge w:val="restart"/>
          </w:tcPr>
          <w:p>
            <w:pPr>
              <w:spacing w:after="0"/>
              <w:rPr>
                <w:sz w:val="20"/>
                <w:szCs w:val="20"/>
                <w:color w:val="auto"/>
              </w:rPr>
            </w:pPr>
            <w:r>
              <w:rPr>
                <w:rFonts w:ascii="Arial" w:cs="Arial" w:eastAsia="Arial" w:hAnsi="Arial"/>
                <w:sz w:val="18"/>
                <w:szCs w:val="18"/>
                <w:color w:val="auto"/>
              </w:rPr>
              <w:t>Operating lease cost</w:t>
            </w: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Marketing and sales expense</w:t>
            </w:r>
          </w:p>
        </w:tc>
        <w:tc>
          <w:tcPr>
            <w:tcW w:w="0" w:type="dxa"/>
            <w:vAlign w:val="bottom"/>
          </w:tcPr>
          <w:p>
            <w:pPr>
              <w:spacing w:after="0"/>
              <w:rPr>
                <w:sz w:val="1"/>
                <w:szCs w:val="1"/>
                <w:color w:val="auto"/>
              </w:rPr>
            </w:pPr>
          </w:p>
        </w:tc>
      </w:tr>
      <w:tr>
        <w:trPr>
          <w:trHeight w:val="109"/>
        </w:trPr>
        <w:tc>
          <w:tcPr>
            <w:tcW w:w="4200" w:type="dxa"/>
            <w:vAlign w:val="bottom"/>
            <w:vMerge w:val="continue"/>
          </w:tcPr>
          <w:p>
            <w:pPr>
              <w:spacing w:after="0"/>
              <w:rPr>
                <w:sz w:val="9"/>
                <w:szCs w:val="9"/>
                <w:color w:val="auto"/>
              </w:rPr>
            </w:pPr>
          </w:p>
        </w:tc>
        <w:tc>
          <w:tcPr>
            <w:tcW w:w="4920" w:type="dxa"/>
            <w:vAlign w:val="bottom"/>
            <w:vMerge w:val="restart"/>
          </w:tcPr>
          <w:p>
            <w:pPr>
              <w:jc w:val="center"/>
              <w:spacing w:after="0"/>
              <w:rPr>
                <w:sz w:val="20"/>
                <w:szCs w:val="20"/>
                <w:color w:val="auto"/>
              </w:rPr>
            </w:pPr>
            <w:r>
              <w:rPr>
                <w:rFonts w:ascii="Arial" w:cs="Arial" w:eastAsia="Arial" w:hAnsi="Arial"/>
                <w:sz w:val="18"/>
                <w:szCs w:val="18"/>
                <w:color w:val="auto"/>
                <w:w w:val="89"/>
              </w:rPr>
              <w:t>General and administrative expense</w:t>
            </w:r>
          </w:p>
        </w:tc>
        <w:tc>
          <w:tcPr>
            <w:tcW w:w="0" w:type="dxa"/>
            <w:vAlign w:val="bottom"/>
          </w:tcPr>
          <w:p>
            <w:pPr>
              <w:spacing w:after="0"/>
              <w:rPr>
                <w:sz w:val="1"/>
                <w:szCs w:val="1"/>
                <w:color w:val="auto"/>
              </w:rPr>
            </w:pPr>
          </w:p>
        </w:tc>
      </w:tr>
      <w:tr>
        <w:trPr>
          <w:trHeight w:val="122"/>
        </w:trPr>
        <w:tc>
          <w:tcPr>
            <w:tcW w:w="4200" w:type="dxa"/>
            <w:vAlign w:val="bottom"/>
          </w:tcPr>
          <w:p>
            <w:pPr>
              <w:spacing w:after="0"/>
              <w:rPr>
                <w:sz w:val="10"/>
                <w:szCs w:val="10"/>
                <w:color w:val="auto"/>
              </w:rPr>
            </w:pP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Finance lease cost</w:t>
            </w:r>
          </w:p>
        </w:tc>
        <w:tc>
          <w:tcPr>
            <w:tcW w:w="4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40"/>
              <w:spacing w:after="0"/>
              <w:rPr>
                <w:sz w:val="20"/>
                <w:szCs w:val="20"/>
                <w:color w:val="auto"/>
              </w:rPr>
            </w:pPr>
            <w:r>
              <w:rPr>
                <w:rFonts w:ascii="Arial" w:cs="Arial" w:eastAsia="Arial" w:hAnsi="Arial"/>
                <w:sz w:val="18"/>
                <w:szCs w:val="18"/>
                <w:color w:val="auto"/>
              </w:rPr>
              <w:t>Amortization of right-of-use assets</w:t>
            </w: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Depreciation and amortization</w:t>
            </w:r>
          </w:p>
        </w:tc>
        <w:tc>
          <w:tcPr>
            <w:tcW w:w="0" w:type="dxa"/>
            <w:vAlign w:val="bottom"/>
          </w:tcPr>
          <w:p>
            <w:pPr>
              <w:spacing w:after="0"/>
              <w:rPr>
                <w:sz w:val="1"/>
                <w:szCs w:val="1"/>
                <w:color w:val="auto"/>
              </w:rPr>
            </w:pPr>
          </w:p>
        </w:tc>
      </w:tr>
      <w:tr>
        <w:trPr>
          <w:trHeight w:val="270"/>
        </w:trPr>
        <w:tc>
          <w:tcPr>
            <w:tcW w:w="42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Financing expense</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Variable lease cost</w:t>
            </w:r>
          </w:p>
        </w:tc>
        <w:tc>
          <w:tcPr>
            <w:tcW w:w="4920" w:type="dxa"/>
            <w:vAlign w:val="bottom"/>
          </w:tcPr>
          <w:p>
            <w:pPr>
              <w:jc w:val="center"/>
              <w:spacing w:after="0"/>
              <w:rPr>
                <w:sz w:val="20"/>
                <w:szCs w:val="20"/>
                <w:color w:val="auto"/>
              </w:rPr>
            </w:pPr>
            <w:r>
              <w:rPr>
                <w:rFonts w:ascii="Arial" w:cs="Arial" w:eastAsia="Arial" w:hAnsi="Arial"/>
                <w:sz w:val="18"/>
                <w:szCs w:val="18"/>
                <w:color w:val="auto"/>
                <w:w w:val="88"/>
              </w:rPr>
              <w:t>Marketing and sales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246620"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our operating and financing lease liabilities as of December 31, 2019.</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tcPr>
          <w:p>
            <w:pPr>
              <w:spacing w:after="0"/>
              <w:rPr>
                <w:sz w:val="20"/>
                <w:szCs w:val="20"/>
                <w:color w:val="auto"/>
              </w:rPr>
            </w:pPr>
          </w:p>
        </w:tc>
        <w:tc>
          <w:tcPr>
            <w:tcW w:w="1840" w:type="dxa"/>
            <w:vAlign w:val="bottom"/>
          </w:tcPr>
          <w:p>
            <w:pPr>
              <w:jc w:val="right"/>
              <w:ind w:right="471"/>
              <w:spacing w:after="0"/>
              <w:rPr>
                <w:sz w:val="20"/>
                <w:szCs w:val="20"/>
                <w:color w:val="auto"/>
              </w:rPr>
            </w:pPr>
            <w:r>
              <w:rPr>
                <w:rFonts w:ascii="Arial" w:cs="Arial" w:eastAsia="Arial" w:hAnsi="Arial"/>
                <w:sz w:val="16"/>
                <w:szCs w:val="16"/>
                <w:b w:val="1"/>
                <w:bCs w:val="1"/>
                <w:color w:val="auto"/>
              </w:rPr>
              <w:t>Finance Leases</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14</w:t>
            </w: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-1594485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2019</w:t>
      </w:r>
    </w:p>
    <w:p>
      <w:pPr>
        <w:spacing w:after="0" w:line="194"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w:t>
      </w:r>
    </w:p>
    <w:p>
      <w:pPr>
        <w:spacing w:after="0" w:line="200" w:lineRule="exact"/>
        <w:rPr>
          <w:sz w:val="20"/>
          <w:szCs w:val="20"/>
          <w:color w:val="auto"/>
        </w:rPr>
      </w:pPr>
    </w:p>
    <w:p>
      <w:pPr>
        <w:spacing w:after="0" w:line="24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Total</w:t>
      </w:r>
    </w:p>
    <w:p>
      <w:pPr>
        <w:spacing w:after="0" w:line="86"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116</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244</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(79)</w:t>
      </w:r>
    </w:p>
    <w:p>
      <w:pPr>
        <w:spacing w:after="0" w:line="7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160" w:space="120"/>
            <w:col w:w="2140"/>
          </w:cols>
          <w:pgMar w:left="240" w:top="12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Term and Discount Rate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additional information about our lease obligations as of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940" w:type="dxa"/>
            <w:vAlign w:val="bottom"/>
          </w:tcPr>
          <w:p>
            <w:pPr>
              <w:jc w:val="center"/>
              <w:ind w:left="33"/>
              <w:spacing w:after="0"/>
              <w:rPr>
                <w:sz w:val="20"/>
                <w:szCs w:val="20"/>
                <w:color w:val="auto"/>
              </w:rPr>
            </w:pPr>
            <w:r>
              <w:rPr>
                <w:rFonts w:ascii="Arial" w:cs="Arial" w:eastAsia="Arial" w:hAnsi="Arial"/>
                <w:sz w:val="16"/>
                <w:szCs w:val="16"/>
                <w:b w:val="1"/>
                <w:bCs w:val="1"/>
                <w:color w:val="auto"/>
                <w:w w:val="90"/>
              </w:rPr>
              <w:t>Operating Leases</w:t>
            </w:r>
          </w:p>
        </w:tc>
        <w:tc>
          <w:tcPr>
            <w:tcW w:w="420" w:type="dxa"/>
            <w:vAlign w:val="bottom"/>
          </w:tcPr>
          <w:p>
            <w:pPr>
              <w:spacing w:after="0"/>
              <w:rPr>
                <w:sz w:val="18"/>
                <w:szCs w:val="18"/>
                <w:color w:val="auto"/>
              </w:rPr>
            </w:pPr>
          </w:p>
        </w:tc>
        <w:tc>
          <w:tcPr>
            <w:tcW w:w="18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Finance Leases</w:t>
            </w:r>
          </w:p>
        </w:tc>
      </w:tr>
      <w:tr>
        <w:trPr>
          <w:trHeight w:val="33"/>
        </w:trPr>
        <w:tc>
          <w:tcPr>
            <w:tcW w:w="7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19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87"/>
              </w:rPr>
              <w:t>10.5 years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9"/>
              </w:rPr>
              <w:t>1.0 years</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940" w:type="dxa"/>
            <w:vAlign w:val="bottom"/>
          </w:tcPr>
          <w:p>
            <w:pPr>
              <w:jc w:val="center"/>
              <w:ind w:left="33"/>
              <w:spacing w:after="0"/>
              <w:rPr>
                <w:sz w:val="20"/>
                <w:szCs w:val="20"/>
                <w:color w:val="auto"/>
              </w:rPr>
            </w:pPr>
            <w:r>
              <w:rPr>
                <w:rFonts w:ascii="Arial" w:cs="Arial" w:eastAsia="Arial" w:hAnsi="Arial"/>
                <w:sz w:val="18"/>
                <w:szCs w:val="18"/>
                <w:color w:val="auto"/>
                <w:w w:val="92"/>
              </w:rPr>
              <w:t>6.1%</w:t>
            </w:r>
          </w:p>
        </w:tc>
        <w:tc>
          <w:tcPr>
            <w:tcW w:w="420" w:type="dxa"/>
            <w:vAlign w:val="bottom"/>
          </w:tcPr>
          <w:p>
            <w:pPr>
              <w:spacing w:after="0"/>
              <w:rPr>
                <w:sz w:val="21"/>
                <w:szCs w:val="21"/>
                <w:color w:val="auto"/>
              </w:rPr>
            </w:pPr>
          </w:p>
        </w:tc>
        <w:tc>
          <w:tcPr>
            <w:tcW w:w="1860" w:type="dxa"/>
            <w:vAlign w:val="bottom"/>
          </w:tcPr>
          <w:p>
            <w:pPr>
              <w:jc w:val="center"/>
              <w:ind w:right="112"/>
              <w:spacing w:after="0"/>
              <w:rPr>
                <w:sz w:val="20"/>
                <w:szCs w:val="20"/>
                <w:color w:val="auto"/>
              </w:rPr>
            </w:pPr>
            <w:r>
              <w:rPr>
                <w:rFonts w:ascii="Arial" w:cs="Arial" w:eastAsia="Arial" w:hAnsi="Arial"/>
                <w:sz w:val="18"/>
                <w:szCs w:val="18"/>
                <w:color w:val="auto"/>
                <w:w w:val="92"/>
              </w:rPr>
              <w:t>4.9%</w:t>
            </w:r>
          </w:p>
        </w:tc>
      </w:tr>
      <w:tr>
        <w:trPr>
          <w:trHeight w:val="459"/>
        </w:trPr>
        <w:tc>
          <w:tcPr>
            <w:tcW w:w="720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4"/>
        </w:trPr>
        <w:tc>
          <w:tcPr>
            <w:tcW w:w="7200" w:type="dxa"/>
            <w:vAlign w:val="bottom"/>
          </w:tcPr>
          <w:p>
            <w:pPr>
              <w:ind w:left="660"/>
              <w:spacing w:after="0"/>
              <w:rPr>
                <w:sz w:val="20"/>
                <w:szCs w:val="20"/>
                <w:color w:val="auto"/>
              </w:rPr>
            </w:pPr>
            <w:r>
              <w:rPr>
                <w:rFonts w:ascii="Arial" w:cs="Arial" w:eastAsia="Arial" w:hAnsi="Arial"/>
                <w:sz w:val="18"/>
                <w:szCs w:val="18"/>
                <w:color w:val="auto"/>
              </w:rPr>
              <w:t>The following table presents supplemental cash flow information for 2019.</w:t>
            </w: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86"/>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9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892"/>
              <w:spacing w:after="0"/>
              <w:rPr>
                <w:sz w:val="20"/>
                <w:szCs w:val="20"/>
                <w:color w:val="auto"/>
              </w:rPr>
            </w:pPr>
            <w:r>
              <w:rPr>
                <w:rFonts w:ascii="Arial" w:cs="Arial" w:eastAsia="Arial" w:hAnsi="Arial"/>
                <w:sz w:val="16"/>
                <w:szCs w:val="16"/>
                <w:b w:val="1"/>
                <w:bCs w:val="1"/>
                <w:color w:val="auto"/>
              </w:rPr>
              <w:t>2019</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Operating cash flows for finance leases</w:t>
            </w:r>
          </w:p>
        </w:tc>
        <w:tc>
          <w:tcPr>
            <w:tcW w:w="19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1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19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1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194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That Have Not Yet Commenced</w:t>
      </w:r>
    </w:p>
    <w:p>
      <w:pPr>
        <w:spacing w:after="0" w:line="117"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January 2020, we entered into a finance lease arrangement for our new global headquarters in Orlando, Florida. The new office building is expected to be completed in 2021, at which time the lease term will commence and a right-of-use asset and corresponding liability will be recorded on our balance sheet. The initial lease term is approximately 16 years with total lease payments of $129 million for the aforementioned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2019</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2018</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Warehouse Credit Facility, gross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Interest rates as of December 31, 2019 range from 2.2% to 4.4%, with a weighted average interest rate of 2.9%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Effective interest rate as of December 31, 2019 was 2.9%</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of our securitized debt is non-recourse to us. See Footnote 17 “Variable Interest Entities” for a discussion of the collateral for the non-recourse debt associated with our securitized debt.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2"/>
          </w:tcPr>
          <w:p>
            <w:pPr>
              <w:ind w:left="60"/>
              <w:spacing w:after="0"/>
              <w:rPr>
                <w:sz w:val="20"/>
                <w:szCs w:val="20"/>
                <w:color w:val="auto"/>
              </w:rPr>
            </w:pPr>
            <w:r>
              <w:rPr>
                <w:rFonts w:ascii="Arial" w:cs="Arial" w:eastAsia="Arial" w:hAnsi="Arial"/>
                <w:sz w:val="16"/>
                <w:szCs w:val="16"/>
                <w:b w:val="1"/>
                <w:bCs w:val="1"/>
                <w:color w:val="auto"/>
              </w:rPr>
              <w:t>Vacation Ownership Notes</w:t>
            </w: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6"/>
                <w:szCs w:val="16"/>
                <w:b w:val="1"/>
                <w:bCs w:val="1"/>
                <w:color w:val="auto"/>
              </w:rPr>
              <w:t>Receivable Securitizations</w:t>
            </w:r>
          </w:p>
        </w:tc>
        <w:tc>
          <w:tcPr>
            <w:tcW w:w="180" w:type="dxa"/>
            <w:vAlign w:val="bottom"/>
          </w:tcPr>
          <w:p>
            <w:pPr>
              <w:spacing w:after="0"/>
              <w:rPr>
                <w:sz w:val="20"/>
                <w:szCs w:val="20"/>
                <w:color w:val="auto"/>
              </w:rPr>
            </w:pPr>
          </w:p>
        </w:tc>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Warehouse Credit Facility</w:t>
            </w:r>
          </w:p>
        </w:tc>
        <w:tc>
          <w:tcPr>
            <w:tcW w:w="1680" w:type="dxa"/>
            <w:vAlign w:val="bottom"/>
          </w:tcPr>
          <w:p>
            <w:pPr>
              <w:jc w:val="right"/>
              <w:ind w:right="233"/>
              <w:spacing w:after="0"/>
              <w:rPr>
                <w:sz w:val="20"/>
                <w:szCs w:val="20"/>
                <w:color w:val="auto"/>
              </w:rPr>
            </w:pPr>
            <w:r>
              <w:rPr>
                <w:rFonts w:ascii="Arial" w:cs="Arial" w:eastAsia="Arial" w:hAnsi="Arial"/>
                <w:sz w:val="16"/>
                <w:szCs w:val="16"/>
                <w:b w:val="1"/>
                <w:bCs w:val="1"/>
                <w:color w:val="auto"/>
              </w:rPr>
              <w:t>Other</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1"/>
              <w:spacing w:after="0"/>
              <w:rPr>
                <w:sz w:val="20"/>
                <w:szCs w:val="20"/>
                <w:color w:val="auto"/>
              </w:rPr>
            </w:pPr>
            <w:r>
              <w:rPr>
                <w:rFonts w:ascii="Arial" w:cs="Arial" w:eastAsia="Arial" w:hAnsi="Arial"/>
                <w:sz w:val="16"/>
                <w:szCs w:val="16"/>
                <w:b w:val="1"/>
                <w:bCs w:val="1"/>
                <w:color w:val="auto"/>
              </w:rPr>
              <w:t>Total</w:t>
            </w: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ind w:left="28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80" w:type="dxa"/>
            <w:vAlign w:val="bottom"/>
          </w:tcPr>
          <w:p>
            <w:pPr>
              <w:jc w:val="right"/>
              <w:ind w:right="147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43"/>
        </w:trPr>
        <w:tc>
          <w:tcPr>
            <w:tcW w:w="1960" w:type="dxa"/>
            <w:vAlign w:val="bottom"/>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243"/>
        </w:trPr>
        <w:tc>
          <w:tcPr>
            <w:tcW w:w="1960" w:type="dxa"/>
            <w:vAlign w:val="bottom"/>
          </w:tcPr>
          <w:p>
            <w:pPr>
              <w:ind w:left="28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21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r>
      <w:tr>
        <w:trPr>
          <w:trHeight w:val="237"/>
        </w:trPr>
        <w:tc>
          <w:tcPr>
            <w:tcW w:w="1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4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1,891</w:t>
            </w:r>
          </w:p>
        </w:tc>
      </w:tr>
      <w:tr>
        <w:trPr>
          <w:trHeight w:val="27"/>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During the second quarter of 2019, we completed the securitization of a pool of $459 million of vacation ownership notes receivable. In connection with the securitization, investors purchased in a private placement, $450 million in vacation ownership loan backed notes from MVW 2019-1 LLC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completed two securitization transactions during the fourth quarter of 2019. In October 2019, we completed the securitization of a pool of $315 million of vacation ownership notes receivable. In connection with the securitization, investors purchased in a private placement $309 million in vacation ownership loan backed notes from MVW 2019-2 LLC (the “2019-2 LLC”). Three classes of vacation ownership loan backed notes were issued by the 2019-2 LLC: $232 million of Class A Notes, $54 million of Class B Notes and $23 million of Class C Notes. The Class A Notes have an interest rate of 2.22 percent, the Class B Notes have an interest rate of 2.44 percent and the Class C Notes have an interest rate of 2.68 percent, for an overall weighted average interest rate of 2.29 percent.</w:t>
      </w:r>
    </w:p>
    <w:p>
      <w:pPr>
        <w:spacing w:after="0" w:line="8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Additionally, in December 2019, we completed the securitization of a pool of $90 million of primarily Asia-Pacific vacation ownership notes receivable that we previously had classified as not being eligible for securitization. In connection with the securitization, an investor purchased in a private placement $65 million in vacation ownership loan backed notes from Vacanza 2019-A LLC with an interest rate of 4.42%.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2019, and as of December 31, 2019, no securitized vacation ownership notes receivable pools were out of compliance with their respective established parameters. As of December 31, 2019, we had 12 securitized vacation ownership notes receivable pools outstanding.</w:t>
      </w:r>
    </w:p>
    <w:p>
      <w:pPr>
        <w:spacing w:after="0" w:line="81"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During 2019, we securitized vacation ownership notes receivable under our previous $250 million warehouse credit facility (the “Previous Warehouse Credit Facility). The carrying amount of the vacation ownership notes receivable securitized was $213 million. The advance rate was 85 percent, which resulted in gross proceeds of $181 million. Net proceeds were $180 million due to the funding of reserve accounts of $1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During the fourth quarter of 2019, the Company and certain of its subsidiaries entered into a new warehouse credit facility (the “Warehouse Credit Facility”), with an increased borrowing capacity of $350 million, which allows for the securitization of vacation ownership notes receivable on a revolving non-recourse basis. The Warehouse Credit Facility terminates on December 20, 2021, and if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at least once per year.</w:t>
      </w:r>
    </w:p>
    <w:p>
      <w:pPr>
        <w:spacing w:after="0" w:line="7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Additionally, during the fourth quarter of 2019, we securitized vacation ownership notes receivable under our Warehouse Credit Facility. The carrying amount of the vacation ownership notes receivable securitized was $26 million. The advance rate was 82 percent, which resulted in gross proceeds of $21 million. Net proceeds were $21 million due to the funding of reserve accounts of less than $1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December 31, 2019</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6"/>
                <w:szCs w:val="16"/>
                <w:b w:val="1"/>
                <w:bCs w:val="1"/>
                <w:color w:val="auto"/>
                <w:w w:val="96"/>
              </w:rPr>
              <w:t>At December 31, 2018</w:t>
            </w: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2026 Notes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2028 Notes</w:t>
            </w: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Exchange Notes</w:t>
            </w: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IAC Notes</w:t>
            </w: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Corporate Credit Facility</w:t>
            </w: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Corporate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gross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70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6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Excludes $4 million of unamortized debt issuance costs as of December 31, 2018, as no cash borrowings were outstanding on the Revolving Corporate Credit Facility, as defined below, at that time.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excluding finance leases,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Revolving Corporate</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2026 Notes</w:t>
            </w: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2028 Notes</w:t>
            </w: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Term Loan</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Facility</w:t>
            </w:r>
          </w:p>
        </w:tc>
        <w:tc>
          <w:tcPr>
            <w:tcW w:w="16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Convertible Notes</w:t>
            </w: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r>
      <w:tr>
        <w:trPr>
          <w:trHeight w:val="237"/>
        </w:trPr>
        <w:tc>
          <w:tcPr>
            <w:tcW w:w="1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w:t>
            </w:r>
          </w:p>
        </w:tc>
      </w:tr>
      <w:tr>
        <w:trPr>
          <w:trHeight w:val="27"/>
        </w:trPr>
        <w:tc>
          <w:tcPr>
            <w:tcW w:w="1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Senior Unsecured Notes, as further discussed below, include the following:</w:t>
      </w:r>
    </w:p>
    <w:p>
      <w:pPr>
        <w:spacing w:after="0" w:line="63" w:lineRule="exact"/>
        <w:rPr>
          <w:sz w:val="20"/>
          <w:szCs w:val="20"/>
          <w:color w:val="auto"/>
        </w:rPr>
      </w:pPr>
    </w:p>
    <w:p>
      <w:pPr>
        <w:ind w:left="980" w:right="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$750 million aggregate principal amount of 6.500% Senior Unsecured Notes due 2026 issued in the third quarter of 2018 with a maturity date of September 15, 2026 (the “2026 Notes”);</w:t>
      </w:r>
    </w:p>
    <w:p>
      <w:pPr>
        <w:spacing w:after="0" w:line="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$350 million aggregate principal amount of 4.750% Senior Unsecured Notes due 2028 issued in the fourth quarter of 2019 with a maturity date of January 15, 2028 (the “2028 Notes”);</w:t>
      </w:r>
    </w:p>
    <w:p>
      <w:pPr>
        <w:spacing w:after="0" w:line="8"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5.625% Senior Unsecured Notes due 2023 offered in exchange for the IAC Notes (as defined below) during the third quarter of 2018 (the “Exchange Notes”);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5.625% Senior Unsecured Notes due 2023 assumed in connection with the ILG Acquisition (the “IAC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2026 Notes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issued the 2026 Notes under an indenture dated August 23, 2018 with The Bank of New York Mellon Trust, as trustee. We received net proceeds of $742 million from the offering, after deducting the underwriting discount and estimated expenses. We used these proceeds, together with the borrowings under the Term Loan (defined below) primarily to finance the cash component of the consideration paid in the ILG Acquisition to ILG shareholders, certain fees and expenses we incurred in connection with the ILG Acquisition and working capital. We may redeem some or all of the 2026 Notes prior to maturity under the terms provided in the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2028 Notes</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issued the 2028 Notes under an indenture dated October 1, 2019 with The Bank of New York Mellon Trust, as trustee. We received net proceeds of $346 million from the offering, after deducting the underwriting discount and estimated expenses. The net proceeds from the 2028 Notes were used (i) to redeem all of the outstanding IAC Notes, (ii) to redeem all of the outstanding Exchange Notes, (iii) to repay a portion of the outstanding borrowings under our Revolving Corporate Credit Facility, (iv) to pay transaction expenses and fees in connection with each of the foregoing and (v) for general corporate purposes. We will pay interest on the 2028 Notes on March 15 and September 15 of each year, commencing on March 15, 2020. We may redeem some or all of the Senior Unsecured Notes prior to maturity under the terms provided in the indenture.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IAC Notes and Exchange Notes</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the ILG Acquisition, we assumed $350 million in aggregate principal amount of outstanding IAC Notes. During 2018, we exchanged $88 million of these notes for $88 million of Exchange Notes, plus approximately $1 million in cash. Additionally, during 2018, $122 million of tendered IAC Notes were repurchased for $123 million using cash on hand, leaving $140 million in aggregate principal amounts of the IAC Notes remaining outstanding as of December 31, 2018. During 2019, we redeemed all of the outstanding IAC Notes and Exchange Notes using proceeds from the issuance of the 2028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corporate credit facility with a borrowing capacity of $600 million (the “Revolving Corporate Credit Facility”), including a letter of credit sub-facility of $75 million, that terminates on August 31, 2023.</w:t>
      </w:r>
    </w:p>
    <w:p>
      <w:pPr>
        <w:spacing w:after="0" w:line="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December 2019, we amended the existing credit agreement that governs our Corporate Credit Facility which reduced the interest rate applicable to the Term Loan from LIBOR plus 2.25 percent to LIBOR plus 1.75 percent. All other terms in the existing credit agreement remain substantially the same.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5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December 31, 2019, we were in compliance with the applicable financial and operating covenants under the Corporate Credit Facility.</w:t>
      </w:r>
    </w:p>
    <w:p>
      <w:pPr>
        <w:spacing w:after="0" w:line="8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percent and a floor strike rate of 1.8810 percent through April 2024 to further hedge our interest rate risk on the Term Loan. Both the interest rate swaps and the interest rate collar have been designated and qualify as cash flow hedges of interest rate risk and recorded in Other liabilities on our Balance Sheet as of December 31, 2019 and December 31, 2018. We characterize payments we make in connection with these derivative instruments as interest expense and a reclassification of accumulated other comprehensive income for presentation purposes.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activity in accumulated other comprehensive loss related to our derivative instruments during 2019, 2018 and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jc w:val="right"/>
              <w:ind w:right="331"/>
              <w:spacing w:after="0"/>
              <w:rPr>
                <w:sz w:val="20"/>
                <w:szCs w:val="20"/>
                <w:color w:val="auto"/>
              </w:rPr>
            </w:pPr>
            <w:r>
              <w:rPr>
                <w:rFonts w:ascii="Arial" w:cs="Arial" w:eastAsia="Arial" w:hAnsi="Arial"/>
                <w:sz w:val="16"/>
                <w:szCs w:val="16"/>
                <w:b w:val="1"/>
                <w:bCs w:val="1"/>
                <w:color w:val="auto"/>
              </w:rPr>
              <w:t>Derivative Instrument</w:t>
            </w:r>
          </w:p>
        </w:tc>
      </w:tr>
      <w:tr>
        <w:trPr>
          <w:trHeight w:val="23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Adjustments</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2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2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2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2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2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2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During 2017, we issued $230 million aggregate principal amount of Convertible Notes that bear interest at a rate of 1.50 percent, payable in cash semi-annually. The Convertible Notes mature on September 15, 2022, unless repurchased or converted in accordance with their terms prior to that date.</w:t>
      </w:r>
    </w:p>
    <w:p>
      <w:pPr>
        <w:spacing w:after="0" w:line="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conversion rate is subject to adjustment for certain events as described in the indenture governing the notes and was subject to adjustment during the fourth quarter of 2019 to 6.7988 shares of common stock per $1,000 principal amount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Convertible Notes (equivalent to a conversion price of approximately $147.08 per share of our common stock) when we declared a quarterly dividend of</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$0.54 per share, which was greater than the quarterly dividend when the Convertible Notes were issued.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w:t>
      </w:r>
    </w:p>
    <w:p>
      <w:pPr>
        <w:spacing w:after="0" w:line="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Holders may convert their Convertible Notes prior to June 15, 2022 only under certain circumstances. We may not redeem the Convertible Notes prior to their maturity date. If we undergo a fundamental change, as described in the indenture, subject to certain conditions, holders may require us to repurchase for cash all or any portion of their Convertible Notes, at a repurchase price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2019, the effective interest rate was 4.7 percent and the remaining debt discount amortization period was 2.7 years.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2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December 31, 2019</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At December 31, 2018</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6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connection with the offering of the Convertible Notes, we concurrently entered into the following privately-negotiated separate transactions: convertible note hedge transactions with respect to our common stock (“Convertible Note Hedges”), covering a total of approximately 1.55 million shares of our common stock, and warrant transactions (the “Warrants”), whereby we sold to the counterparties to the Convertible Note Hedges warrants to acquire approximately 1.55 million shares of our common stock at an initial strike price of $176.68 per share. The strike price was subject to adjustment during the fourth quarter of 2019 to $175.37 per share when we declared a quarterly dividend of $0.54 per share.</w:t>
      </w:r>
    </w:p>
    <w:p>
      <w:pPr>
        <w:spacing w:after="0" w:line="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conversion price from $148.19 (or a conversion premium of 30 percent) to $176.68 per share (or a conversion premium of 55 percent). The Warrants will expire in ratable portions on a series of expiration dates commencing on December 15, 2022.</w:t>
      </w:r>
    </w:p>
    <w:p>
      <w:pPr>
        <w:spacing w:after="0" w:line="8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December 31, 2019, no Convertible Note Hedges or Warrants have been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12 “Leases” for information on our finance leases.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2026 Notes and 2028 Notes are guaranteed by MVWC and certain of our direct and indirect, existing and future, domestic subsidiaries, excluding bankruptcy remote special purpose subsidiaries. See Footnote 21 “Supplemental Guarantor Information”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SHAREHOLDERS’ EQUITY</w:t>
      </w:r>
    </w:p>
    <w:p>
      <w:pPr>
        <w:spacing w:after="0" w:line="121" w:lineRule="exact"/>
        <w:rPr>
          <w:sz w:val="20"/>
          <w:szCs w:val="20"/>
          <w:color w:val="auto"/>
        </w:rPr>
      </w:pPr>
    </w:p>
    <w:p>
      <w:pPr>
        <w:jc w:val="both"/>
        <w:ind w:right="60" w:firstLine="662"/>
        <w:spacing w:after="0" w:line="264" w:lineRule="auto"/>
        <w:rPr>
          <w:sz w:val="20"/>
          <w:szCs w:val="20"/>
          <w:color w:val="auto"/>
        </w:rPr>
      </w:pPr>
      <w:r>
        <w:rPr>
          <w:rFonts w:ascii="Arial" w:cs="Arial" w:eastAsia="Arial" w:hAnsi="Arial"/>
          <w:sz w:val="18"/>
          <w:szCs w:val="18"/>
          <w:color w:val="auto"/>
        </w:rPr>
        <w:t>Marriott Vacations Worldwide has 100,000,000 authorized shares of common stock, par value of $0.01 per share. At December 31, 2019, there were 75,020,272 shares of Marriott Vacations Worldwide common stock issued, of which 41,582,096 shares were outstanding and 33,438,176 shares were held as treasury stock.</w:t>
      </w:r>
    </w:p>
    <w:p>
      <w:pPr>
        <w:spacing w:after="0" w:line="73" w:lineRule="exact"/>
        <w:rPr>
          <w:sz w:val="20"/>
          <w:szCs w:val="20"/>
          <w:color w:val="auto"/>
        </w:rPr>
      </w:pPr>
    </w:p>
    <w:p>
      <w:pPr>
        <w:jc w:val="both"/>
        <w:ind w:right="100" w:firstLine="662"/>
        <w:spacing w:after="0" w:line="286" w:lineRule="auto"/>
        <w:rPr>
          <w:sz w:val="20"/>
          <w:szCs w:val="20"/>
          <w:color w:val="auto"/>
        </w:rPr>
      </w:pPr>
      <w:r>
        <w:rPr>
          <w:rFonts w:ascii="Arial" w:cs="Arial" w:eastAsia="Arial" w:hAnsi="Arial"/>
          <w:sz w:val="17"/>
          <w:szCs w:val="17"/>
          <w:color w:val="auto"/>
        </w:rPr>
        <w:t>As part of an internal restructuring to further integrate ILG and right-size our capital structure, we issued 16,929,124 shares of our common stock to Marriott Ownership Resorts, Inc., our wholly owned subsidiary and 16,367,491 shares of our common stock to MVW US Holdings LLC, our wholly owned subsidiary. In connection with the restructuring, these shares were returned to treasury as of December 31, 2019.</w:t>
      </w:r>
    </w:p>
    <w:p>
      <w:pPr>
        <w:spacing w:after="0" w:line="57"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At December 31, 2018, there were 57,626,462 shares of Marriott Vacations Worldwide common stock issued, of which 45,992,731 shares were outstanding and 11,633,731 shares were held as treasury stock. Marriott Vacations Worldwide has 2,000,000 authorized shares of preferred stock, par value of $0.01 per share, none of which were issued or outstanding as of December 31, 2019 or December 31,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280" w:type="dxa"/>
            <w:vAlign w:val="bottom"/>
          </w:tcPr>
          <w:p>
            <w:pPr>
              <w:spacing w:after="0"/>
              <w:rPr>
                <w:sz w:val="17"/>
                <w:szCs w:val="17"/>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Cost of Shares</w:t>
            </w:r>
          </w:p>
        </w:tc>
        <w:tc>
          <w:tcPr>
            <w:tcW w:w="260" w:type="dxa"/>
            <w:vAlign w:val="bottom"/>
          </w:tcPr>
          <w:p>
            <w:pPr>
              <w:spacing w:after="0"/>
              <w:rPr>
                <w:sz w:val="17"/>
                <w:szCs w:val="17"/>
                <w:color w:val="auto"/>
              </w:rPr>
            </w:pPr>
          </w:p>
        </w:tc>
        <w:tc>
          <w:tcPr>
            <w:tcW w:w="1560" w:type="dxa"/>
            <w:vAlign w:val="bottom"/>
          </w:tcPr>
          <w:p>
            <w:pPr>
              <w:jc w:val="right"/>
              <w:ind w:right="334"/>
              <w:spacing w:after="0"/>
              <w:rPr>
                <w:sz w:val="20"/>
                <w:szCs w:val="20"/>
                <w:color w:val="auto"/>
              </w:rPr>
            </w:pPr>
            <w:r>
              <w:rPr>
                <w:rFonts w:ascii="Arial" w:cs="Arial" w:eastAsia="Arial" w:hAnsi="Arial"/>
                <w:sz w:val="16"/>
                <w:szCs w:val="16"/>
                <w:b w:val="1"/>
                <w:bCs w:val="1"/>
                <w:color w:val="auto"/>
              </w:rPr>
              <w:t>Average Price</w:t>
            </w:r>
          </w:p>
        </w:tc>
      </w:tr>
      <w:tr>
        <w:trPr>
          <w:trHeight w:val="237"/>
        </w:trPr>
        <w:tc>
          <w:tcPr>
            <w:tcW w:w="5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8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Repurchased</w:t>
            </w:r>
          </w:p>
        </w:tc>
        <w:tc>
          <w:tcPr>
            <w:tcW w:w="260" w:type="dxa"/>
            <w:vAlign w:val="bottom"/>
          </w:tcPr>
          <w:p>
            <w:pPr>
              <w:spacing w:after="0"/>
              <w:rPr>
                <w:sz w:val="20"/>
                <w:szCs w:val="20"/>
                <w:color w:val="auto"/>
              </w:rPr>
            </w:pPr>
          </w:p>
        </w:tc>
        <w:tc>
          <w:tcPr>
            <w:tcW w:w="1560" w:type="dxa"/>
            <w:vAlign w:val="bottom"/>
          </w:tcPr>
          <w:p>
            <w:pPr>
              <w:jc w:val="right"/>
              <w:ind w:right="314"/>
              <w:spacing w:after="0"/>
              <w:rPr>
                <w:sz w:val="20"/>
                <w:szCs w:val="20"/>
                <w:color w:val="auto"/>
              </w:rPr>
            </w:pPr>
            <w:r>
              <w:rPr>
                <w:rFonts w:ascii="Arial" w:cs="Arial" w:eastAsia="Arial" w:hAnsi="Arial"/>
                <w:sz w:val="16"/>
                <w:szCs w:val="16"/>
                <w:b w:val="1"/>
                <w:bCs w:val="1"/>
                <w:color w:val="auto"/>
              </w:rPr>
              <w:t>Paid per Share</w:t>
            </w:r>
          </w:p>
        </w:tc>
      </w:tr>
      <w:tr>
        <w:trPr>
          <w:trHeight w:val="250"/>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For the year ended December 31, 2019</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4,731,176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98.24</w:t>
            </w:r>
          </w:p>
        </w:tc>
      </w:tr>
      <w:tr>
        <w:trPr>
          <w:trHeight w:val="27"/>
        </w:trPr>
        <w:tc>
          <w:tcPr>
            <w:tcW w:w="57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16,418,950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30, 2019, our Board of Directors authorized the extension of the duration of our existing share repurchase program to December 31, 2020, as well as the repurchase of up to 4.5 million additional shares of our common stock. As of December 31, 2019, our Board of Directors had authorized the repurchase of an aggregate of up to 19.4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31, 2019, 2.7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year ended December 31, 2019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15, 2019</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February 28,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14, 2019</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May 9, 2019</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May 23, 2019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June 6,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5, 2019</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September 19, 2019</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2019</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9, 2019</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23, 2019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6, 2020</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$0.54</w:t>
            </w:r>
          </w:p>
        </w:tc>
      </w:tr>
    </w:tbl>
    <w:p>
      <w:pPr>
        <w:spacing w:after="0" w:line="33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This noncontrolling interest amounts to $12 million and $8 million, as of December 31, 2019 and December 31, 2018, respectively, and is included on our Balance Sheets as a component of equity.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21" w:lineRule="exact"/>
        <w:rPr>
          <w:sz w:val="20"/>
          <w:szCs w:val="20"/>
          <w:color w:val="auto"/>
        </w:rPr>
      </w:pPr>
    </w:p>
    <w:p>
      <w:pPr>
        <w:ind w:right="60" w:firstLine="662"/>
        <w:spacing w:after="0" w:line="259" w:lineRule="auto"/>
        <w:rPr>
          <w:sz w:val="20"/>
          <w:szCs w:val="20"/>
          <w:color w:val="auto"/>
        </w:rPr>
      </w:pPr>
      <w:r>
        <w:rPr>
          <w:rFonts w:ascii="Arial" w:cs="Arial" w:eastAsia="Arial" w:hAnsi="Arial"/>
          <w:sz w:val="18"/>
          <w:szCs w:val="18"/>
          <w:color w:val="auto"/>
        </w:rPr>
        <w:t>We maintain the MVW Stock Plan for the benefit of our officers, directors and employees. Under the MVW Stock Plan, we award: (1) RSUs of our common stock, (2) SARs relating to our common stock and (3) stock options to purchase our common stock. A total of 6 million shares are authorized for issuance pursuant to grants under the MVW Stock Plan. As of December 31, 2019, less than 1 million shares were available for grants under the MVW Stock Plan.</w:t>
      </w:r>
    </w:p>
    <w:p>
      <w:pPr>
        <w:spacing w:after="0" w:line="79" w:lineRule="exact"/>
        <w:rPr>
          <w:sz w:val="20"/>
          <w:szCs w:val="20"/>
          <w:color w:val="auto"/>
        </w:rPr>
      </w:pPr>
    </w:p>
    <w:p>
      <w:pPr>
        <w:jc w:val="both"/>
        <w:ind w:right="40" w:firstLine="662"/>
        <w:spacing w:after="0" w:line="264" w:lineRule="auto"/>
        <w:rPr>
          <w:sz w:val="20"/>
          <w:szCs w:val="20"/>
          <w:color w:val="auto"/>
        </w:rPr>
      </w:pPr>
      <w:r>
        <w:rPr>
          <w:rFonts w:ascii="Arial" w:cs="Arial" w:eastAsia="Arial" w:hAnsi="Arial"/>
          <w:sz w:val="18"/>
          <w:szCs w:val="18"/>
          <w:color w:val="auto"/>
        </w:rPr>
        <w:t>As part of the ILG Acquisition, we assumed the Interval Leisure Group, Inc. 2013 Stock and Incentive Plan (the “ILG Stock Plan”) and equity based awards outstanding under the ILG Stock Plan. As of December 31, 2019, 1 million shares were available for grants under the ILG Stock Plan to Legacy-ILG employees.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320" w:type="dxa"/>
            <w:vAlign w:val="bottom"/>
            <w:tcBorders>
              <w:bottom w:val="single" w:sz="8" w:color="CCEEFF"/>
            </w:tcBorders>
            <w:gridSpan w:val="3"/>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320" w:type="dxa"/>
            <w:vAlign w:val="bottom"/>
            <w:tcBorders>
              <w:bottom w:val="single" w:sz="8" w:color="CCEEFF"/>
            </w:tcBorders>
            <w:gridSpan w:val="3"/>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40" w:type="dxa"/>
            <w:vAlign w:val="bottom"/>
            <w:gridSpan w:val="3"/>
          </w:tcPr>
          <w:p>
            <w:pPr>
              <w:ind w:left="660"/>
              <w:spacing w:after="0"/>
              <w:rPr>
                <w:sz w:val="20"/>
                <w:szCs w:val="20"/>
                <w:color w:val="auto"/>
              </w:rPr>
            </w:pPr>
            <w:r>
              <w:rPr>
                <w:rFonts w:ascii="Arial" w:cs="Arial" w:eastAsia="Arial" w:hAnsi="Arial"/>
                <w:sz w:val="18"/>
                <w:szCs w:val="18"/>
                <w:color w:val="auto"/>
                <w:w w:val="95"/>
              </w:rPr>
              <w:t>The following table details our deferred compensation costs related to unvested awards: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6"/>
                <w:szCs w:val="16"/>
                <w:b w:val="1"/>
                <w:bCs w:val="1"/>
                <w:color w:val="auto"/>
              </w:rPr>
              <w:t>At Year-End 2019</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At Year-End 2018</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As of December 31, 2019, the weighted average remaining term for RSU grants outstanding at year-end 2019 was one to two years and we expect that deferred compensation expense will be recognized over a weighted average period of one to three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540" w:firstLine="662"/>
        <w:spacing w:after="0" w:line="277" w:lineRule="auto"/>
        <w:rPr>
          <w:sz w:val="20"/>
          <w:szCs w:val="20"/>
          <w:color w:val="auto"/>
        </w:rPr>
      </w:pPr>
      <w:r>
        <w:rPr>
          <w:rFonts w:ascii="Arial" w:cs="Arial" w:eastAsia="Arial" w:hAnsi="Arial"/>
          <w:sz w:val="18"/>
          <w:szCs w:val="18"/>
          <w:color w:val="auto"/>
        </w:rPr>
        <w:t>We have issued RSUs that vest over time, which we refer to as service-based RSUs, and RSUs that vest based on performance with respect to established criteria, which we refer to as performance-based RSUs.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RSUs and the associated weighted average grant-date fair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center"/>
              <w:ind w:right="113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900" w:type="dxa"/>
            <w:vAlign w:val="bottom"/>
            <w:gridSpan w:val="5"/>
          </w:tcPr>
          <w:p>
            <w:pPr>
              <w:ind w:left="920"/>
              <w:spacing w:after="0"/>
              <w:rPr>
                <w:sz w:val="20"/>
                <w:szCs w:val="20"/>
                <w:color w:val="auto"/>
              </w:rPr>
            </w:pPr>
            <w:r>
              <w:rPr>
                <w:rFonts w:ascii="Arial" w:cs="Arial" w:eastAsia="Arial" w:hAnsi="Arial"/>
                <w:sz w:val="16"/>
                <w:szCs w:val="16"/>
                <w:b w:val="1"/>
                <w:bCs w:val="1"/>
                <w:color w:val="auto"/>
              </w:rPr>
              <w:t>Service-based</w:t>
            </w:r>
          </w:p>
        </w:tc>
        <w:tc>
          <w:tcPr>
            <w:tcW w:w="2820" w:type="dxa"/>
            <w:vAlign w:val="bottom"/>
            <w:gridSpan w:val="5"/>
          </w:tcPr>
          <w:p>
            <w:pPr>
              <w:ind w:left="680"/>
              <w:spacing w:after="0"/>
              <w:rPr>
                <w:sz w:val="20"/>
                <w:szCs w:val="20"/>
                <w:color w:val="auto"/>
              </w:rPr>
            </w:pPr>
            <w:r>
              <w:rPr>
                <w:rFonts w:ascii="Arial" w:cs="Arial" w:eastAsia="Arial" w:hAnsi="Arial"/>
                <w:sz w:val="16"/>
                <w:szCs w:val="16"/>
                <w:b w:val="1"/>
                <w:bCs w:val="1"/>
                <w:color w:val="auto"/>
              </w:rPr>
              <w:t>Performance-based</w:t>
            </w:r>
          </w:p>
        </w:tc>
        <w:tc>
          <w:tcPr>
            <w:tcW w:w="1140" w:type="dxa"/>
            <w:vAlign w:val="bottom"/>
          </w:tcPr>
          <w:p>
            <w:pPr>
              <w:spacing w:after="0"/>
              <w:rPr>
                <w:sz w:val="20"/>
                <w:szCs w:val="20"/>
                <w:color w:val="auto"/>
              </w:rPr>
            </w:pPr>
          </w:p>
        </w:tc>
        <w:tc>
          <w:tcPr>
            <w:tcW w:w="1580" w:type="dxa"/>
            <w:vAlign w:val="bottom"/>
            <w:gridSpan w:val="3"/>
          </w:tcPr>
          <w:p>
            <w:pPr>
              <w:jc w:val="right"/>
              <w:ind w:right="1093"/>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2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Weighted 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7"/>
              </w:rPr>
              <w:t>Weighted Average</w:t>
            </w:r>
          </w:p>
        </w:tc>
      </w:tr>
      <w:tr>
        <w:trPr>
          <w:trHeight w:val="203"/>
        </w:trPr>
        <w:tc>
          <w:tcPr>
            <w:tcW w:w="29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Grant-Date Fair</w:t>
            </w:r>
          </w:p>
        </w:tc>
        <w:tc>
          <w:tcPr>
            <w:tcW w:w="1140" w:type="dxa"/>
            <w:vAlign w:val="bottom"/>
          </w:tcPr>
          <w:p>
            <w:pPr>
              <w:jc w:val="right"/>
              <w:ind w:right="11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Grant-Date Fair</w:t>
            </w:r>
          </w:p>
        </w:tc>
        <w:tc>
          <w:tcPr>
            <w:tcW w:w="1140" w:type="dxa"/>
            <w:vAlign w:val="bottom"/>
          </w:tcPr>
          <w:p>
            <w:pPr>
              <w:jc w:val="right"/>
              <w:ind w:right="11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73"/>
              <w:spacing w:after="0"/>
              <w:rPr>
                <w:sz w:val="20"/>
                <w:szCs w:val="20"/>
                <w:color w:val="auto"/>
              </w:rPr>
            </w:pPr>
            <w:r>
              <w:rPr>
                <w:rFonts w:ascii="Arial" w:cs="Arial" w:eastAsia="Arial" w:hAnsi="Arial"/>
                <w:sz w:val="16"/>
                <w:szCs w:val="16"/>
                <w:b w:val="1"/>
                <w:bCs w:val="1"/>
                <w:color w:val="auto"/>
                <w:w w:val="99"/>
              </w:rPr>
              <w:t>Grant-Date Fair</w:t>
            </w:r>
          </w:p>
        </w:tc>
      </w:tr>
      <w:tr>
        <w:trPr>
          <w:trHeight w:val="210"/>
        </w:trPr>
        <w:tc>
          <w:tcPr>
            <w:tcW w:w="298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RSUs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 Per RSU</w:t>
            </w: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 Per RSU</w:t>
            </w:r>
          </w:p>
        </w:tc>
        <w:tc>
          <w:tcPr>
            <w:tcW w:w="1140" w:type="dxa"/>
            <w:vAlign w:val="bottom"/>
          </w:tcPr>
          <w:p>
            <w:pPr>
              <w:jc w:val="right"/>
              <w:ind w:right="293"/>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3"/>
              <w:spacing w:after="0"/>
              <w:rPr>
                <w:sz w:val="20"/>
                <w:szCs w:val="20"/>
                <w:color w:val="auto"/>
              </w:rPr>
            </w:pPr>
            <w:r>
              <w:rPr>
                <w:rFonts w:ascii="Arial" w:cs="Arial" w:eastAsia="Arial" w:hAnsi="Arial"/>
                <w:sz w:val="16"/>
                <w:szCs w:val="16"/>
                <w:b w:val="1"/>
                <w:bCs w:val="1"/>
                <w:color w:val="auto"/>
                <w:w w:val="98"/>
              </w:rPr>
              <w:t>Value Per RSU</w:t>
            </w:r>
          </w:p>
        </w:tc>
      </w:tr>
      <w:tr>
        <w:trPr>
          <w:trHeight w:val="33"/>
        </w:trPr>
        <w:tc>
          <w:tcPr>
            <w:tcW w:w="2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753,581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307,080</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89.11</w:t>
            </w: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194,075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325,638</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519,713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95.66</w:t>
            </w:r>
          </w:p>
        </w:tc>
      </w:tr>
      <w:tr>
        <w:trPr>
          <w:trHeight w:val="27"/>
        </w:trPr>
        <w:tc>
          <w:tcPr>
            <w:tcW w:w="2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(278,729)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(76,839)</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92.18</w:t>
            </w: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(20,352)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110.44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(66,557)</w:t>
            </w:r>
          </w:p>
        </w:tc>
        <w:tc>
          <w:tcPr>
            <w:tcW w:w="240" w:type="dxa"/>
            <w:vAlign w:val="bottom"/>
            <w:gridSpan w:val="2"/>
          </w:tcPr>
          <w:p>
            <w:pPr>
              <w:jc w:val="center"/>
              <w:ind w:left="3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(86,909)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70.97</w:t>
            </w:r>
          </w:p>
        </w:tc>
      </w:tr>
      <w:tr>
        <w:trPr>
          <w:trHeight w:val="27"/>
        </w:trPr>
        <w:tc>
          <w:tcPr>
            <w:tcW w:w="2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648,575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85.87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489,322</w:t>
            </w:r>
          </w:p>
        </w:tc>
        <w:tc>
          <w:tcPr>
            <w:tcW w:w="2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1,137,897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92.53</w:t>
            </w:r>
          </w:p>
        </w:tc>
      </w:tr>
      <w:tr>
        <w:trPr>
          <w:trHeight w:val="20"/>
        </w:trPr>
        <w:tc>
          <w:tcPr>
            <w:tcW w:w="2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62"/>
        <w:spacing w:after="0" w:line="259" w:lineRule="auto"/>
        <w:rPr>
          <w:sz w:val="20"/>
          <w:szCs w:val="20"/>
          <w:color w:val="auto"/>
        </w:rPr>
      </w:pPr>
      <w:r>
        <w:rPr>
          <w:rFonts w:ascii="Arial" w:cs="Arial" w:eastAsia="Arial" w:hAnsi="Arial"/>
          <w:sz w:val="18"/>
          <w:szCs w:val="18"/>
          <w:color w:val="auto"/>
        </w:rPr>
        <w:t>The weighted average grant-date fair value per RSU granted in 2018 and 2017 was $120.04 and $95.12, respectively. The fair value of the RSUs which vested in 2019 was $34 million, and included $15 million related to RSUs converted in the ILG Acquisition. The fair value of the RSUs which vested in 2018 was $48 million, and included $24 million related to RSUs converted in the ILG Acquisition. The fair value of the RSUs which vested in 2017 was $18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outstanding SARs and the associated weighted average exercise prices: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60" w:type="dxa"/>
            <w:vAlign w:val="bottom"/>
            <w:gridSpan w:val="3"/>
          </w:tcPr>
          <w:p>
            <w:pPr>
              <w:jc w:val="right"/>
              <w:ind w:right="2173"/>
              <w:spacing w:after="0"/>
              <w:rPr>
                <w:sz w:val="20"/>
                <w:szCs w:val="20"/>
                <w:color w:val="auto"/>
              </w:rPr>
            </w:pPr>
            <w:r>
              <w:rPr>
                <w:rFonts w:ascii="Arial" w:cs="Arial" w:eastAsia="Arial" w:hAnsi="Arial"/>
                <w:sz w:val="16"/>
                <w:szCs w:val="16"/>
                <w:b w:val="1"/>
                <w:bCs w:val="1"/>
                <w:color w:val="auto"/>
              </w:rPr>
              <w:t>2019</w:t>
            </w:r>
          </w:p>
        </w:tc>
      </w:tr>
      <w:tr>
        <w:trPr>
          <w:trHeight w:val="33"/>
        </w:trPr>
        <w:tc>
          <w:tcPr>
            <w:tcW w:w="62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2220" w:type="dxa"/>
            <w:vAlign w:val="bottom"/>
          </w:tcPr>
          <w:p>
            <w:pPr>
              <w:jc w:val="right"/>
              <w:ind w:right="65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Weighted Average Exercise Price</w:t>
            </w:r>
          </w:p>
        </w:tc>
      </w:tr>
      <w:tr>
        <w:trPr>
          <w:trHeight w:val="210"/>
        </w:trPr>
        <w:tc>
          <w:tcPr>
            <w:tcW w:w="6260" w:type="dxa"/>
            <w:vAlign w:val="bottom"/>
          </w:tcPr>
          <w:p>
            <w:pPr>
              <w:spacing w:after="0"/>
              <w:rPr>
                <w:sz w:val="18"/>
                <w:szCs w:val="18"/>
                <w:color w:val="auto"/>
              </w:rPr>
            </w:pPr>
          </w:p>
        </w:tc>
        <w:tc>
          <w:tcPr>
            <w:tcW w:w="2220" w:type="dxa"/>
            <w:vAlign w:val="bottom"/>
          </w:tcPr>
          <w:p>
            <w:pPr>
              <w:jc w:val="right"/>
              <w:ind w:right="833"/>
              <w:spacing w:after="0"/>
              <w:rPr>
                <w:sz w:val="20"/>
                <w:szCs w:val="20"/>
                <w:color w:val="auto"/>
              </w:rPr>
            </w:pPr>
            <w:r>
              <w:rPr>
                <w:rFonts w:ascii="Arial" w:cs="Arial" w:eastAsia="Arial" w:hAnsi="Arial"/>
                <w:sz w:val="16"/>
                <w:szCs w:val="16"/>
                <w:b w:val="1"/>
                <w:bCs w:val="1"/>
                <w:color w:val="auto"/>
              </w:rPr>
              <w:t>SARs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right"/>
              <w:ind w:right="893"/>
              <w:spacing w:after="0"/>
              <w:rPr>
                <w:sz w:val="20"/>
                <w:szCs w:val="20"/>
                <w:color w:val="auto"/>
              </w:rPr>
            </w:pPr>
            <w:r>
              <w:rPr>
                <w:rFonts w:ascii="Arial" w:cs="Arial" w:eastAsia="Arial" w:hAnsi="Arial"/>
                <w:sz w:val="16"/>
                <w:szCs w:val="16"/>
                <w:b w:val="1"/>
                <w:bCs w:val="1"/>
                <w:color w:val="auto"/>
              </w:rPr>
              <w:t>Per SAR</w:t>
            </w:r>
          </w:p>
        </w:tc>
      </w:tr>
      <w:tr>
        <w:trPr>
          <w:trHeight w:val="33"/>
        </w:trPr>
        <w:tc>
          <w:tcPr>
            <w:tcW w:w="62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2018</w:t>
            </w:r>
          </w:p>
        </w:tc>
        <w:tc>
          <w:tcPr>
            <w:tcW w:w="2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697,178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55.96</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Granted</w:t>
            </w:r>
          </w:p>
        </w:tc>
        <w:tc>
          <w:tcPr>
            <w:tcW w:w="2220" w:type="dxa"/>
            <w:vAlign w:val="bottom"/>
          </w:tcPr>
          <w:p>
            <w:pPr>
              <w:jc w:val="right"/>
              <w:ind w:right="33"/>
              <w:spacing w:after="0"/>
              <w:rPr>
                <w:sz w:val="20"/>
                <w:szCs w:val="20"/>
                <w:color w:val="auto"/>
              </w:rPr>
            </w:pPr>
            <w:r>
              <w:rPr>
                <w:rFonts w:ascii="Arial" w:cs="Arial" w:eastAsia="Arial" w:hAnsi="Arial"/>
                <w:sz w:val="18"/>
                <w:szCs w:val="18"/>
                <w:color w:val="auto"/>
              </w:rPr>
              <w:t>111,111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3"/>
              <w:spacing w:after="0"/>
              <w:rPr>
                <w:sz w:val="20"/>
                <w:szCs w:val="20"/>
                <w:color w:val="auto"/>
              </w:rPr>
            </w:pPr>
            <w:r>
              <w:rPr>
                <w:rFonts w:ascii="Arial" w:cs="Arial" w:eastAsia="Arial" w:hAnsi="Arial"/>
                <w:sz w:val="18"/>
                <w:szCs w:val="18"/>
                <w:color w:val="auto"/>
              </w:rPr>
              <w:t>100.52</w:t>
            </w:r>
          </w:p>
        </w:tc>
      </w:tr>
      <w:tr>
        <w:trPr>
          <w:trHeight w:val="27"/>
        </w:trPr>
        <w:tc>
          <w:tcPr>
            <w:tcW w:w="6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24.23</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Forfeited or expired</w:t>
            </w:r>
          </w:p>
        </w:tc>
        <w:tc>
          <w:tcPr>
            <w:tcW w:w="2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year-end 2019</w:t>
            </w:r>
            <w:r>
              <w:rPr>
                <w:rFonts w:ascii="Arial" w:cs="Arial" w:eastAsia="Arial" w:hAnsi="Arial"/>
                <w:sz w:val="21"/>
                <w:szCs w:val="21"/>
                <w:color w:val="auto"/>
                <w:vertAlign w:val="superscript"/>
              </w:rPr>
              <w:t>(1)(2)</w:t>
            </w:r>
          </w:p>
        </w:tc>
        <w:tc>
          <w:tcPr>
            <w:tcW w:w="2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696,147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68.18</w:t>
            </w:r>
          </w:p>
        </w:tc>
      </w:tr>
      <w:tr>
        <w:trPr>
          <w:trHeight w:val="20"/>
        </w:trPr>
        <w:tc>
          <w:tcPr>
            <w:tcW w:w="62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As of December 31, 2019, outstanding SARs had a total intrinsic value of $44 million and a weighted average remaining term of 5 years.</w:t>
      </w:r>
    </w:p>
    <w:p>
      <w:pPr>
        <w:spacing w:after="0" w:line="55" w:lineRule="exact"/>
        <w:rPr>
          <w:rFonts w:ascii="Arial" w:cs="Arial" w:eastAsia="Arial" w:hAnsi="Arial"/>
          <w:sz w:val="24"/>
          <w:szCs w:val="24"/>
          <w:color w:val="auto"/>
          <w:vertAlign w:val="superscript"/>
        </w:rPr>
      </w:pPr>
    </w:p>
    <w:p>
      <w:pPr>
        <w:ind w:left="660" w:right="620" w:hanging="652"/>
        <w:spacing w:after="0" w:line="208"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As of December 31, 2019, 470,505 SARs with a weighted average exercise price of $51.63, an aggregate intrinsic value of $37 million and a weighted average remaining contractual term of 4 years were exercisable.</w:t>
      </w:r>
    </w:p>
    <w:p>
      <w:pPr>
        <w:spacing w:after="0" w:line="204" w:lineRule="exact"/>
        <w:rPr>
          <w:sz w:val="20"/>
          <w:szCs w:val="20"/>
          <w:color w:val="auto"/>
        </w:rPr>
      </w:pPr>
    </w:p>
    <w:p>
      <w:pPr>
        <w:ind w:right="80" w:firstLine="662"/>
        <w:spacing w:after="0" w:line="264" w:lineRule="auto"/>
        <w:rPr>
          <w:sz w:val="20"/>
          <w:szCs w:val="20"/>
          <w:color w:val="auto"/>
        </w:rPr>
      </w:pPr>
      <w:r>
        <w:rPr>
          <w:rFonts w:ascii="Arial" w:cs="Arial" w:eastAsia="Arial" w:hAnsi="Arial"/>
          <w:sz w:val="18"/>
          <w:szCs w:val="18"/>
          <w:color w:val="auto"/>
        </w:rPr>
        <w:t>The weighted average grant-date fair value per SAR granted in 2019, 2018 and 2017 was $28.89, $44.75 and $27.63, respectively. The intrinsic value of SARs which vested in 2019, 2018 and 2017, was $4 million, less than $1 million and $6 million, respectively. The aggregate intrinsic value of SARs which were exercised in 2019, 2018 and 2017 was $11 million, $2 million and $19 million, respectively.</w:t>
      </w:r>
    </w:p>
    <w:p>
      <w:pPr>
        <w:spacing w:after="0" w:line="73" w:lineRule="exact"/>
        <w:rPr>
          <w:sz w:val="20"/>
          <w:szCs w:val="20"/>
          <w:color w:val="auto"/>
        </w:rPr>
      </w:pPr>
    </w:p>
    <w:p>
      <w:pPr>
        <w:ind w:right="140" w:firstLine="662"/>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The expected stock price volatility was calculated based on the average of the historical and implied volatility from our stock price. The average expected life was calculated using the simplified method, as we have insufficient historical information to provide a basis for estimate.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in 2019,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1.76%</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1.44%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6.25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6.25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40" w:firstLine="662"/>
        <w:spacing w:after="0" w:line="277" w:lineRule="auto"/>
        <w:rPr>
          <w:sz w:val="20"/>
          <w:szCs w:val="20"/>
          <w:color w:val="auto"/>
        </w:rPr>
      </w:pPr>
      <w:r>
        <w:rPr>
          <w:rFonts w:ascii="Arial" w:cs="Arial" w:eastAsia="Arial" w:hAnsi="Arial"/>
          <w:sz w:val="18"/>
          <w:szCs w:val="18"/>
          <w:color w:val="auto"/>
        </w:rPr>
        <w:t>We may grant non-qualified stock options to employees and non-employee directors at exercise prices or strike prices equal to the market price of our common stock on the date of grant.</w:t>
      </w:r>
    </w:p>
    <w:p>
      <w:pPr>
        <w:spacing w:after="0" w:line="62" w:lineRule="exact"/>
        <w:rPr>
          <w:sz w:val="20"/>
          <w:szCs w:val="20"/>
          <w:color w:val="auto"/>
        </w:rPr>
      </w:pPr>
    </w:p>
    <w:p>
      <w:pPr>
        <w:ind w:right="220" w:firstLine="662"/>
        <w:spacing w:after="0" w:line="264" w:lineRule="auto"/>
        <w:rPr>
          <w:sz w:val="20"/>
          <w:szCs w:val="20"/>
          <w:color w:val="auto"/>
        </w:rPr>
      </w:pPr>
      <w:r>
        <w:rPr>
          <w:rFonts w:ascii="Arial" w:cs="Arial" w:eastAsia="Arial" w:hAnsi="Arial"/>
          <w:sz w:val="18"/>
          <w:szCs w:val="18"/>
          <w:color w:val="auto"/>
        </w:rPr>
        <w:t>There were no outstanding or exercisable stock options held by our employees at year-end 2019 or 2018, and no stock options were granted to our employees in 2019, 2018 or 2017. At December 31, 2019, approximately 3,000 stock options were outstanding and exercisable with a weighted average exercise price per option of $20.62 and a weighted average remaining life of approximately one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2015, the Board of Directors adopted, and our shareholders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100" w:firstLine="662"/>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consolidated assets, which are collateral for the obligations of these VIEs, and consolidated liabilities included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Balance Sheet at December 31,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Assets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Vacation ownership notes receivable, net of reserves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receivable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Restricted cash</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Liabilities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Vacation Ownership</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Notes Receivable</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260" w:type="dxa"/>
            <w:vAlign w:val="bottom"/>
          </w:tcPr>
          <w:p>
            <w:pPr>
              <w:spacing w:after="0"/>
              <w:rPr>
                <w:sz w:val="18"/>
                <w:szCs w:val="18"/>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Securitizations</w:t>
            </w:r>
          </w:p>
        </w:tc>
        <w:tc>
          <w:tcPr>
            <w:tcW w:w="32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Total</w:t>
            </w:r>
          </w:p>
        </w:tc>
      </w:tr>
      <w:tr>
        <w:trPr>
          <w:trHeight w:val="33"/>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1,750</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0"/>
        </w:trPr>
        <w:tc>
          <w:tcPr>
            <w:tcW w:w="260" w:type="dxa"/>
            <w:vAlign w:val="bottom"/>
          </w:tcPr>
          <w:p>
            <w:pPr>
              <w:spacing w:after="0"/>
              <w:rPr>
                <w:sz w:val="23"/>
                <w:szCs w:val="23"/>
                <w:color w:val="auto"/>
              </w:rPr>
            </w:pP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1,827</w:t>
            </w:r>
          </w:p>
        </w:tc>
      </w:tr>
      <w:tr>
        <w:trPr>
          <w:trHeight w:val="27"/>
        </w:trPr>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-899795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-548005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-205105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660" w:space="720"/>
            <w:col w:w="60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Securitized debt</w:t>
            </w:r>
          </w:p>
        </w:tc>
        <w:tc>
          <w:tcPr>
            <w:tcW w:w="9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1,871</w:t>
            </w:r>
          </w:p>
        </w:tc>
      </w:tr>
      <w:tr>
        <w:trPr>
          <w:trHeight w:val="27"/>
        </w:trPr>
        <w:tc>
          <w:tcPr>
            <w:tcW w:w="5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interest income and expense recognized as a result of our involvement with these VIEs during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0" w:type="dxa"/>
            <w:vAlign w:val="bottom"/>
          </w:tcPr>
          <w:p>
            <w:pPr>
              <w:jc w:val="center"/>
              <w:ind w:left="294"/>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Warehouse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0" w:type="dxa"/>
            <w:vAlign w:val="bottom"/>
          </w:tcPr>
          <w:p>
            <w:pPr>
              <w:jc w:val="center"/>
              <w:ind w:left="294"/>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Credit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0" w:type="dxa"/>
            <w:vAlign w:val="bottom"/>
          </w:tcPr>
          <w:p>
            <w:pPr>
              <w:jc w:val="center"/>
              <w:ind w:left="294"/>
              <w:spacing w:after="0"/>
              <w:rPr>
                <w:sz w:val="20"/>
                <w:szCs w:val="20"/>
                <w:color w:val="auto"/>
              </w:rPr>
            </w:pPr>
            <w:r>
              <w:rPr>
                <w:rFonts w:ascii="Arial" w:cs="Arial" w:eastAsia="Arial" w:hAnsi="Arial"/>
                <w:sz w:val="16"/>
                <w:szCs w:val="16"/>
                <w:b w:val="1"/>
                <w:bCs w:val="1"/>
                <w:color w:val="auto"/>
                <w:w w:val="89"/>
              </w:rPr>
              <w:t>Securitizations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Facility</w:t>
            </w:r>
          </w:p>
        </w:tc>
        <w:tc>
          <w:tcPr>
            <w:tcW w:w="420" w:type="dxa"/>
            <w:vAlign w:val="bottom"/>
          </w:tcPr>
          <w:p>
            <w:pPr>
              <w:spacing w:after="0"/>
              <w:rPr>
                <w:sz w:val="20"/>
                <w:szCs w:val="20"/>
                <w:color w:val="auto"/>
              </w:rPr>
            </w:pPr>
          </w:p>
        </w:tc>
        <w:tc>
          <w:tcPr>
            <w:tcW w:w="1400" w:type="dxa"/>
            <w:vAlign w:val="bottom"/>
          </w:tcPr>
          <w:p>
            <w:pPr>
              <w:jc w:val="right"/>
              <w:ind w:right="65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0" w:type="dxa"/>
            <w:vAlign w:val="bottom"/>
            <w:tcBorders>
              <w:top w:val="single" w:sz="8" w:color="auto"/>
              <w:bottom w:val="single" w:sz="8" w:color="CCEEFF"/>
            </w:tcBorders>
            <w:shd w:val="clear" w:color="auto" w:fill="CCEEFF"/>
          </w:tcPr>
          <w:p>
            <w:pPr>
              <w:jc w:val="right"/>
              <w:ind w:right="159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0" w:type="dxa"/>
            <w:vAlign w:val="bottom"/>
          </w:tcPr>
          <w:p>
            <w:pPr>
              <w:jc w:val="right"/>
              <w:ind w:right="159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5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0" w:type="dxa"/>
            <w:vAlign w:val="bottom"/>
            <w:tcBorders>
              <w:bottom w:val="single" w:sz="8" w:color="CCEEFF"/>
            </w:tcBorders>
            <w:shd w:val="clear" w:color="auto" w:fill="CCEEFF"/>
          </w:tcPr>
          <w:p>
            <w:pPr>
              <w:jc w:val="right"/>
              <w:ind w:right="159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0" w:type="dxa"/>
            <w:vAlign w:val="bottom"/>
          </w:tcPr>
          <w:p>
            <w:pPr>
              <w:jc w:val="right"/>
              <w:ind w:right="159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Voluntary clean-up call</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Funding of restricted cash</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662"/>
        <w:spacing w:after="0" w:line="291" w:lineRule="auto"/>
        <w:rPr>
          <w:sz w:val="20"/>
          <w:szCs w:val="20"/>
          <w:color w:val="auto"/>
        </w:rPr>
      </w:pPr>
      <w:r>
        <w:rPr>
          <w:rFonts w:ascii="Arial" w:cs="Arial" w:eastAsia="Arial" w:hAnsi="Arial"/>
          <w:sz w:val="16"/>
          <w:szCs w:val="16"/>
          <w:color w:val="auto"/>
        </w:rPr>
        <w:t>Under the terms of our vacation ownership notes receivable securitizations, we have the right to substitute loans for, or repurchase, defaulted loans at our option, subject to certain limitations. We made voluntary repurchases of defaulted vacation ownership notes receivable, net of substitutions, of $54 million during 2019, $31 million during 2018 and $28 million during 2017. We also made voluntary repurchases, net of substitutions, of $356 million, $39 million and $57 million of other non-defaulted vacation ownership notes receivable during 2019, 2018 and 2017,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ectPr>
          <w:pgSz w:w="11900" w:h="16838" w:orient="portrait"/>
          <w:cols w:equalWidth="0" w:num="1">
            <w:col w:w="11420"/>
          </w:cols>
          <w:pgMar w:left="240" w:top="125" w:right="239" w:bottom="1440" w:gutter="0" w:footer="0" w:header="0"/>
          <w:type w:val="continuous"/>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VIE: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02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8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Warehouse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Funding of restricted cash</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020" w:type="dxa"/>
            <w:vAlign w:val="bottom"/>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property from the third party developer unless the developer has sold the property to another party. The property is held by a VIE for which we are not the primary beneficiary as we cannot prevent the VIE from selling the property at a higher price. Accordingly, we have not consolidated the VIE. As of December 31, 2019, our Balance Sheet reflected $2 million in Accounts Receivable, including a note receivable of less than $1 million, and less than $1 million in Accrued liabilities. We believe that our maximum exposure to loss as a result of our involvement with this VIE is $2 million as of December 31, 2019.</w:t>
      </w:r>
    </w:p>
    <w:p>
      <w:pPr>
        <w:spacing w:after="0" w:line="8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 party developer unless the developer has sold the property to another party. The property is held by a VIE for which we are not the primary beneficiary as we cannot prevent the VIE from selling the property at a higher price. Accordingly, we have not consolidated the VIE. As of December 31, 2019, our Balance Sheet reflected $28 million in Property and equipment, including a $20 million deposit related to the acquisition of a portion of this property, which was completed in January 2020, and $8 million related to a finance lease and leasehold improvements, $1 million in Accrued liabilities, and $7 million in Debt related to the finance lease liability for ancillary and operations space we lease from the VIE. In addition, a note receivable of less than $1 million is included in the Accounts receivable line on the Balance Sheet as of December 31, 2019. We believe that our maximum exposure to loss as a result of our involvement with this VIE is approximately $20 million as of December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SEGMENTS</w:t>
      </w:r>
    </w:p>
    <w:p>
      <w:pPr>
        <w:spacing w:after="0" w:line="121" w:lineRule="exact"/>
        <w:rPr>
          <w:sz w:val="20"/>
          <w:szCs w:val="20"/>
          <w:color w:val="auto"/>
        </w:rPr>
      </w:pPr>
    </w:p>
    <w:p>
      <w:pPr>
        <w:jc w:val="both"/>
        <w:ind w:right="120" w:firstLine="662"/>
        <w:spacing w:after="0" w:line="264"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87" w:lineRule="exact"/>
        <w:rPr>
          <w:sz w:val="20"/>
          <w:szCs w:val="20"/>
          <w:color w:val="auto"/>
        </w:rPr>
      </w:pPr>
    </w:p>
    <w:p>
      <w:pPr>
        <w:ind w:left="980" w:right="60" w:hanging="324"/>
        <w:spacing w:after="0" w:line="272"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Vacation Ownership includes a diverse portfolio of resorts that includes seven vacation ownership brands licensed under exclusive, long-term relationships with Marriott International and Hyatt.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177" w:lineRule="exact"/>
        <w:rPr>
          <w:rFonts w:ascii="Arial" w:cs="Arial" w:eastAsia="Arial" w:hAnsi="Arial"/>
          <w:sz w:val="17"/>
          <w:szCs w:val="17"/>
          <w:color w:val="auto"/>
        </w:rPr>
      </w:pPr>
    </w:p>
    <w:p>
      <w:pPr>
        <w:ind w:left="980" w:right="40"/>
        <w:spacing w:after="0" w:line="264" w:lineRule="auto"/>
        <w:rPr>
          <w:rFonts w:ascii="Arial" w:cs="Arial" w:eastAsia="Arial" w:hAnsi="Arial"/>
          <w:sz w:val="17"/>
          <w:szCs w:val="17"/>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40" w:hanging="324"/>
        <w:spacing w:after="0" w:line="279"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and Aqua-Aston.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100" w:firstLine="662"/>
        <w:spacing w:after="0" w:line="255"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1" w:lineRule="exact"/>
        <w:rPr>
          <w:sz w:val="20"/>
          <w:szCs w:val="20"/>
          <w:color w:val="auto"/>
        </w:rPr>
      </w:pPr>
    </w:p>
    <w:p>
      <w:pPr>
        <w:ind w:right="340" w:firstLine="662"/>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income attributable to common shareholders is presented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revenues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Reconciliation to Net Income Attributable to Common Shareholders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5"/>
              </w:rPr>
              <w:t>2017</w:t>
            </w:r>
          </w:p>
        </w:tc>
        <w:tc>
          <w:tcPr>
            <w:tcW w:w="5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Vacation Ownership</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1120" w:type="dxa"/>
            <w:vAlign w:val="bottom"/>
          </w:tcPr>
          <w:p>
            <w:pPr>
              <w:spacing w:after="0"/>
              <w:rPr>
                <w:sz w:val="21"/>
                <w:szCs w:val="21"/>
                <w:color w:val="auto"/>
              </w:rPr>
            </w:pPr>
          </w:p>
        </w:tc>
      </w:tr>
      <w:tr>
        <w:trPr>
          <w:trHeight w:val="22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Adjusted EBITDA Exchange &amp; Third-Party</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rPr>
              <w:t>Management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Reconciling items:</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Tax provision</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Certain items</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20" w:type="dxa"/>
            <w:vAlign w:val="bottom"/>
          </w:tcPr>
          <w:p>
            <w:pPr>
              <w:spacing w:after="0"/>
              <w:rPr>
                <w:sz w:val="23"/>
                <w:szCs w:val="23"/>
                <w:color w:val="auto"/>
              </w:rPr>
            </w:pPr>
          </w:p>
        </w:tc>
      </w:tr>
      <w:tr>
        <w:trPr>
          <w:trHeight w:val="237"/>
        </w:trPr>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Arial" w:cs="Arial" w:eastAsia="Arial" w:hAnsi="Arial"/>
                <w:sz w:val="18"/>
                <w:szCs w:val="18"/>
                <w:color w:val="auto"/>
                <w:w w:val="97"/>
              </w:rPr>
              <w:t>Net income attributable to common shareholders</w:t>
            </w:r>
          </w:p>
        </w:tc>
        <w:tc>
          <w:tcPr>
            <w:tcW w:w="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1120" w:type="dxa"/>
            <w:vAlign w:val="bottom"/>
          </w:tcPr>
          <w:p>
            <w:pPr>
              <w:spacing w:after="0"/>
              <w:rPr>
                <w:sz w:val="20"/>
                <w:szCs w:val="20"/>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Depreciation and Amortization</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49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6"/>
                <w:szCs w:val="16"/>
                <w:b w:val="1"/>
                <w:bCs w:val="1"/>
                <w:color w:val="auto"/>
              </w:rPr>
              <w:t>2017</w:t>
            </w: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w:t>
            </w: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Exchange &amp; Third-Party Management</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depreciation</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20"/>
          </w:cols>
          <w:pgMar w:left="240" w:top="125"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6"/>
                <w:szCs w:val="16"/>
                <w:b w:val="1"/>
                <w:bCs w:val="1"/>
                <w:color w:val="auto"/>
              </w:rPr>
              <w:t>At December 31, 2019</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2018</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Exchange &amp; Third-Party Management</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capital expenditures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4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13 percent of our revenues, excluding cost reimbursements, for 2019,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(excluding cost reimbursements)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2,835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All other countries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3,247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Fixed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w w:val="95"/>
              </w:rPr>
              <w:t>At December 31, 2019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6"/>
                <w:szCs w:val="16"/>
                <w:b w:val="1"/>
                <w:bCs w:val="1"/>
                <w:color w:val="auto"/>
                <w:w w:val="91"/>
              </w:rPr>
              <w:t>At December 31, 2018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center"/>
              <w:ind w:right="13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748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All other countries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203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center"/>
              <w:ind w:right="13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751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951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19. QUARTERLY RESULTS (UNAUDITED)</w:t>
            </w: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8"/>
              </w:rPr>
              <w:t>2019</w:t>
            </w:r>
            <w:r>
              <w:rPr>
                <w:rFonts w:ascii="Arial" w:cs="Arial" w:eastAsia="Arial" w:hAnsi="Arial"/>
                <w:sz w:val="17"/>
                <w:szCs w:val="17"/>
                <w:b w:val="1"/>
                <w:bCs w:val="1"/>
                <w:color w:val="auto"/>
                <w:w w:val="88"/>
                <w:vertAlign w:val="superscript"/>
              </w:rPr>
              <w:t>(1)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First</w:t>
            </w:r>
          </w:p>
        </w:tc>
        <w:tc>
          <w:tcPr>
            <w:tcW w:w="102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Second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Third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Fourth</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w w:val="96"/>
              </w:rPr>
              <w:t>Quarter</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6"/>
              </w:rPr>
              <w:t>Quarter</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Year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Expenses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w w:val="99"/>
              </w:rPr>
              <w:t>Earnings (loss) per share attributable to common shareholders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420"/>
          </w:cols>
          <w:pgMar w:left="240" w:top="125" w:right="2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4"/>
              </w:rPr>
              <w:t>2018</w:t>
            </w:r>
            <w:r>
              <w:rPr>
                <w:rFonts w:ascii="Arial" w:cs="Arial" w:eastAsia="Arial" w:hAnsi="Arial"/>
                <w:sz w:val="17"/>
                <w:szCs w:val="17"/>
                <w:b w:val="1"/>
                <w:bCs w:val="1"/>
                <w:color w:val="auto"/>
                <w:w w:val="84"/>
                <w:vertAlign w:val="superscript"/>
              </w:rPr>
              <w:t>(1)</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First</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Second</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Third</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Fourth</w:t>
            </w:r>
          </w:p>
        </w:tc>
        <w:tc>
          <w:tcPr>
            <w:tcW w:w="240" w:type="dxa"/>
            <w:vAlign w:val="bottom"/>
          </w:tcPr>
          <w:p>
            <w:pPr>
              <w:spacing w:after="0"/>
              <w:rPr>
                <w:sz w:val="18"/>
                <w:szCs w:val="18"/>
                <w:color w:val="auto"/>
              </w:rPr>
            </w:pPr>
          </w:p>
        </w:tc>
        <w:tc>
          <w:tcPr>
            <w:tcW w:w="900" w:type="dxa"/>
            <w:vAlign w:val="bottom"/>
          </w:tcPr>
          <w:p>
            <w:pPr>
              <w:jc w:val="right"/>
              <w:ind w:right="293"/>
              <w:spacing w:after="0"/>
              <w:rPr>
                <w:sz w:val="20"/>
                <w:szCs w:val="20"/>
                <w:color w:val="auto"/>
              </w:rPr>
            </w:pPr>
            <w:r>
              <w:rPr>
                <w:rFonts w:ascii="Arial" w:cs="Arial" w:eastAsia="Arial" w:hAnsi="Arial"/>
                <w:sz w:val="16"/>
                <w:szCs w:val="16"/>
                <w:b w:val="1"/>
                <w:bCs w:val="1"/>
                <w:color w:val="auto"/>
              </w:rPr>
              <w:t>Fiscal</w:t>
            </w:r>
          </w:p>
        </w:tc>
      </w:tr>
      <w:tr>
        <w:trPr>
          <w:trHeight w:val="237"/>
        </w:trPr>
        <w:tc>
          <w:tcPr>
            <w:tcW w:w="5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Quarter</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Quarter</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Quarter</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Quarter</w:t>
            </w:r>
          </w:p>
        </w:tc>
        <w:tc>
          <w:tcPr>
            <w:tcW w:w="24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Year</w:t>
            </w:r>
          </w:p>
        </w:tc>
      </w:tr>
      <w:tr>
        <w:trPr>
          <w:trHeight w:val="250"/>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common shareholders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1.61</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40" w:lineRule="exact"/>
        <w:rPr>
          <w:sz w:val="20"/>
          <w:szCs w:val="20"/>
          <w:color w:val="auto"/>
        </w:rPr>
      </w:pPr>
    </w:p>
    <w:p>
      <w:pPr>
        <w:ind w:left="660" w:right="300" w:hanging="652"/>
        <w:spacing w:after="0" w:line="227"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The sum of the earnings per share attributable to common shareholders for the four quarters differs from annual earnings per share attributable to common shareholders due to the required method of computing the weighted average shares in interim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20" w:firstLine="662"/>
        <w:spacing w:after="0" w:line="277" w:lineRule="auto"/>
        <w:rPr>
          <w:sz w:val="20"/>
          <w:szCs w:val="20"/>
          <w:color w:val="auto"/>
        </w:rPr>
      </w:pPr>
      <w:r>
        <w:rPr>
          <w:rFonts w:ascii="Arial" w:cs="Arial" w:eastAsia="Arial" w:hAnsi="Arial"/>
          <w:sz w:val="18"/>
          <w:szCs w:val="18"/>
          <w:color w:val="auto"/>
        </w:rPr>
        <w:t>On February 14, 2020, our Board of Directors declared a quarterly dividend of $0.54 per share to be paid on March 12, 2020 to shareholders of record as of February 27,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SUPPLEMENTAL GUARANTOR INFORMATION</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2026 Notes are guaranteed by MVWC, Marriott Ownership Resorts, Inc. (“MORI”), ILG and certain other subsidiaries whose voting securities are wholly owned directly or indirectly by MORI or ILG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following tables present consolidating financial information as of December 31, 2019 and December 31, 2018, and for the twelve months ended December 31, 2019, December 31, 2018 and December 31, 2017 for MVWC on a stand-alone basis, each of MORI and ILG on a stand-alone basis (collectively, the “Issuers”), the Senior Notes Guarantors, the combined non-guarantor subsidiaries of MVW and MVW on a consolidated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7"/>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6"/>
                <w:szCs w:val="16"/>
                <w:b w:val="1"/>
                <w:bCs w:val="1"/>
                <w:color w:val="auto"/>
              </w:rPr>
              <w:t>ILG</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Guarantors</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w w:val="98"/>
              </w:rPr>
              <w:t>Vacation ownership notes</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receivable, net</w:t>
            </w:r>
          </w:p>
        </w:tc>
        <w:tc>
          <w:tcPr>
            <w:tcW w:w="1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Securitized debt, net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Debt, net</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MVW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42"/>
        </w:trPr>
        <w:tc>
          <w:tcPr>
            <w:tcW w:w="1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As of December 31, 2018</w:t>
            </w:r>
            <w:r>
              <w:rPr>
                <w:rFonts w:ascii="Arial" w:cs="Arial" w:eastAsia="Arial" w:hAnsi="Arial"/>
                <w:sz w:val="17"/>
                <w:szCs w:val="17"/>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6"/>
                <w:szCs w:val="6"/>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8"/>
              </w:rPr>
              <w:t>Total</w:t>
            </w:r>
          </w:p>
        </w:tc>
        <w:tc>
          <w:tcPr>
            <w:tcW w:w="200" w:type="dxa"/>
            <w:vAlign w:val="bottom"/>
          </w:tcPr>
          <w:p>
            <w:pPr>
              <w:spacing w:after="0"/>
              <w:rPr>
                <w:sz w:val="6"/>
                <w:szCs w:val="6"/>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rPr>
              <w:t>Guarantors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Eliminations</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w w:val="92"/>
              </w:rPr>
              <w:t>Vacation ownership notes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w w:val="98"/>
              </w:rPr>
              <w:t>Property and equipment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Investments in</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311"/>
        </w:trPr>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Payroll and benefits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MVW shareholders'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Total liabilities and equity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49" w:lineRule="exact"/>
        <w:rPr>
          <w:sz w:val="20"/>
          <w:szCs w:val="20"/>
          <w:color w:val="auto"/>
        </w:rPr>
      </w:pPr>
    </w:p>
    <w:p>
      <w:pPr>
        <w:ind w:left="660" w:hanging="652"/>
        <w:spacing w:after="0" w:line="216"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Amounts have been revised to correct certain immaterial prior period errors as reported in the 2018 Annual Report and have been reclassified to conform to the current year presentation.</w:t>
      </w: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840"/>
          </w:cols>
          <w:pgMar w:left="240" w:top="125" w:right="8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net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costs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Benefit (provision) for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Equity in 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of subsidiaries</w:t>
            </w:r>
          </w:p>
        </w:tc>
        <w:tc>
          <w:tcPr>
            <w:tcW w:w="12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rPr>
                <w:sz w:val="20"/>
                <w:szCs w:val="20"/>
                <w:color w:val="auto"/>
              </w:rPr>
            </w:pPr>
            <w:r>
              <w:rPr>
                <w:rFonts w:ascii="Arial" w:cs="Arial" w:eastAsia="Arial" w:hAnsi="Arial"/>
                <w:sz w:val="18"/>
                <w:szCs w:val="18"/>
                <w:color w:val="auto"/>
              </w:rPr>
              <w:t>attributable to</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common shareholders</w:t>
            </w:r>
          </w:p>
        </w:tc>
        <w:tc>
          <w:tcPr>
            <w:tcW w:w="1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and</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costs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Benefit (provision) for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Equity in net income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of subsidiaries</w:t>
            </w:r>
          </w:p>
        </w:tc>
        <w:tc>
          <w:tcPr>
            <w:tcW w:w="12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w w:val="93"/>
              </w:rPr>
              <w:t>Net loss attributable to</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common shareholders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1440" w:gutter="0" w:footer="0" w:header="0"/>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80"/>
          </w:cols>
          <w:pgMar w:left="240" w:top="125" w:right="137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MVWC</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MORI</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Expenses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and</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ILG acquisition-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costs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Equity in net income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of subsidiaries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attributable 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interests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4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8"/>
                <w:szCs w:val="18"/>
                <w:color w:val="auto"/>
              </w:rPr>
            </w:pP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120" w:type="dxa"/>
            <w:vAlign w:val="bottom"/>
            <w:gridSpan w:val="2"/>
            <w:vMerge w:val="restart"/>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common shareholders</w:t>
            </w:r>
          </w:p>
        </w:tc>
        <w:tc>
          <w:tcPr>
            <w:tcW w:w="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3"/>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20" w:type="dxa"/>
            <w:vAlign w:val="bottom"/>
            <w:gridSpan w:val="6"/>
          </w:tcPr>
          <w:p>
            <w:pPr>
              <w:spacing w:after="0"/>
              <w:rPr>
                <w:sz w:val="20"/>
                <w:szCs w:val="20"/>
                <w:color w:val="auto"/>
              </w:rPr>
            </w:pPr>
            <w:r>
              <w:rPr>
                <w:rFonts w:ascii="Arial" w:cs="Arial" w:eastAsia="Arial" w:hAnsi="Arial"/>
                <w:sz w:val="18"/>
                <w:szCs w:val="18"/>
                <w:i w:val="1"/>
                <w:iCs w:val="1"/>
                <w:color w:val="auto"/>
                <w:w w:val="89"/>
              </w:rPr>
              <w:t>Condensed Consolidating Statement of Cash Flows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rPr>
              <w:t>Issuers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89"/>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20"/>
                <w:szCs w:val="20"/>
                <w:color w:val="auto"/>
              </w:rPr>
            </w:pPr>
          </w:p>
        </w:tc>
        <w:tc>
          <w:tcPr>
            <w:tcW w:w="840" w:type="dxa"/>
            <w:vAlign w:val="bottom"/>
            <w:gridSpan w:val="3"/>
          </w:tcPr>
          <w:p>
            <w:pPr>
              <w:ind w:left="100"/>
              <w:spacing w:after="0"/>
              <w:rPr>
                <w:sz w:val="20"/>
                <w:szCs w:val="20"/>
                <w:color w:val="auto"/>
              </w:rPr>
            </w:pPr>
            <w:r>
              <w:rPr>
                <w:rFonts w:ascii="Arial" w:cs="Arial" w:eastAsia="Arial" w:hAnsi="Arial"/>
                <w:sz w:val="16"/>
                <w:szCs w:val="16"/>
                <w:b w:val="1"/>
                <w:bCs w:val="1"/>
                <w:color w:val="auto"/>
              </w:rPr>
              <w:t>MVWC</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MORI</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rPr>
              <w:t>ILG</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Guarantors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Subsidiaries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Eliminations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restricted cash (used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provided by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Net cash, cash</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equivalents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8"/>
              </w:rPr>
              <w:t>restricted cash (used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 provided by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provided by (used in)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Effect of changes in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exchange rates 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0"/>
              </w:rPr>
              <w:t>cash, cash equivalents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Cash, cash</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equivalents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w w:val="92"/>
              </w:rPr>
              <w:t>restricted cash, end of</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32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period</w:t>
            </w:r>
          </w:p>
        </w:tc>
        <w:tc>
          <w:tcPr>
            <w:tcW w:w="16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240" w:type="dxa"/>
            <w:vAlign w:val="bottom"/>
            <w:gridSpan w:val="3"/>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931" w:gutter="0" w:footer="0" w:header="0"/>
        </w:sectPr>
      </w:pPr>
    </w:p>
    <w:p>
      <w:pPr>
        <w:spacing w:after="0" w:line="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80"/>
          </w:cols>
          <w:pgMar w:left="240" w:top="125" w:right="1379" w:bottom="931"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6"/>
            <w:vMerge w:val="restart"/>
          </w:tcPr>
          <w:p>
            <w:pPr>
              <w:jc w:val="right"/>
              <w:ind w:right="620"/>
              <w:spacing w:after="0"/>
              <w:rPr>
                <w:sz w:val="20"/>
                <w:szCs w:val="20"/>
                <w:color w:val="auto"/>
              </w:rPr>
            </w:pPr>
            <w:r>
              <w:rPr>
                <w:rFonts w:ascii="Arial" w:cs="Arial" w:eastAsia="Arial" w:hAnsi="Arial"/>
                <w:sz w:val="16"/>
                <w:szCs w:val="16"/>
                <w:b w:val="1"/>
                <w:bCs w:val="1"/>
                <w:color w:val="auto"/>
              </w:rPr>
              <w:t>Issuers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MVWC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MORI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ILG</w:t>
            </w:r>
          </w:p>
        </w:tc>
        <w:tc>
          <w:tcPr>
            <w:tcW w:w="10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Guarantors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Subsidiaries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Eliminations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5"/>
        </w:trPr>
        <w:tc>
          <w:tcPr>
            <w:tcW w:w="1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restricted cash (used in)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provided by operating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Net cash, cash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w w:val="88"/>
              </w:rPr>
              <w:t>restricted cash (used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provided by investing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restricted cash provided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by (used in) financing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Effect of changes in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w w:val="86"/>
              </w:rPr>
              <w:t>exchange rates on 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cash equivalents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restricted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9"/>
        </w:trPr>
        <w:tc>
          <w:tcPr>
            <w:tcW w:w="1740" w:type="dxa"/>
            <w:vAlign w:val="bottom"/>
            <w:gridSpan w:val="2"/>
          </w:tcPr>
          <w:p>
            <w:pPr>
              <w:ind w:left="20"/>
              <w:spacing w:after="0"/>
              <w:rPr>
                <w:sz w:val="20"/>
                <w:szCs w:val="20"/>
                <w:color w:val="auto"/>
              </w:rPr>
            </w:pPr>
            <w:r>
              <w:rPr>
                <w:rFonts w:ascii="Arial" w:cs="Arial" w:eastAsia="Arial" w:hAnsi="Arial"/>
                <w:sz w:val="18"/>
                <w:szCs w:val="18"/>
                <w:color w:val="auto"/>
                <w:w w:val="91"/>
              </w:rPr>
              <w:t>Cash, cash equivalents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w w:val="88"/>
              </w:rPr>
              <w:t>and restricted cash, end</w:t>
            </w:r>
          </w:p>
        </w:tc>
        <w:tc>
          <w:tcPr>
            <w:tcW w:w="100" w:type="dxa"/>
            <w:vAlign w:val="bottom"/>
          </w:tcPr>
          <w:p>
            <w:pPr>
              <w:spacing w:after="0"/>
              <w:rPr>
                <w:sz w:val="18"/>
                <w:szCs w:val="18"/>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w:t>
            </w:r>
          </w:p>
        </w:tc>
        <w:tc>
          <w:tcPr>
            <w:tcW w:w="4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of period</w:t>
            </w: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6"/>
                <w:szCs w:val="16"/>
                <w:b w:val="1"/>
                <w:bCs w:val="1"/>
                <w:color w:val="auto"/>
              </w:rPr>
              <w:t>Issuers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6"/>
                <w:szCs w:val="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6"/>
                <w:szCs w:val="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6"/>
                <w:szCs w:val="6"/>
                <w:color w:val="auto"/>
              </w:rPr>
            </w:pPr>
          </w:p>
        </w:tc>
        <w:tc>
          <w:tcPr>
            <w:tcW w:w="860" w:type="dxa"/>
            <w:vAlign w:val="bottom"/>
            <w:vMerge w:val="restart"/>
          </w:tcPr>
          <w:p>
            <w:pPr>
              <w:jc w:val="center"/>
              <w:ind w:right="1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MVWC</w:t>
            </w:r>
          </w:p>
        </w:tc>
        <w:tc>
          <w:tcPr>
            <w:tcW w:w="100" w:type="dxa"/>
            <w:vAlign w:val="bottom"/>
          </w:tcPr>
          <w:p>
            <w:pPr>
              <w:spacing w:after="0"/>
              <w:rPr>
                <w:sz w:val="20"/>
                <w:szCs w:val="20"/>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MORI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ILG</w:t>
            </w:r>
          </w:p>
        </w:tc>
        <w:tc>
          <w:tcPr>
            <w:tcW w:w="10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Guarantors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Subsidiaries</w:t>
            </w: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Eliminations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5"/>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(used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provided by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Net cash, cash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restricted cash (used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in) provided by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cash</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provided by (used in)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Effect of changes in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exchange rates 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w w:val="93"/>
              </w:rPr>
              <w:t>cash, cash equivalents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and restricted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restricted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Arial" w:cs="Arial" w:eastAsia="Arial" w:hAnsi="Arial"/>
                <w:sz w:val="18"/>
                <w:szCs w:val="18"/>
                <w:color w:val="auto"/>
                <w:w w:val="90"/>
              </w:rPr>
              <w:t>Cash, cash equivalents</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and restricted cash,</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3"/>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80"/>
          </w:cols>
          <w:pgMar w:left="240" w:top="125" w:right="1379" w:bottom="175"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80"/>
          </w:cols>
          <w:pgMar w:left="240" w:top="125" w:right="1379" w:bottom="175" w:gutter="0" w:footer="0" w:header="0"/>
          <w:type w:val="continuous"/>
        </w:sectPr>
      </w:pPr>
    </w:p>
    <w:bookmarkStart w:id="137" w:name="page138"/>
    <w:bookmarkEnd w:id="137"/>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62"/>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2019,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80" w:firstLine="6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We made no changes in our internal control over financial reporting during the fourth quarter of 2019 that have materially affected, or are reasonably likely to materially affect, our internal control over financial reporting, other than changes in control over financial reporting to integrate the business we acquired in the ILG Acquisition, which included the acquisition of our Exchange &amp; Third-Party Management segment. In the fourth quarter of 2019, we migrated a portion of the Exchange &amp; Third-Party Management segment to our existing general ledger system; the remainder of the Exchange &amp; Third-Party Management segment was migrated subsequent to the end of the fourth quarter of 2019.</w:t>
      </w:r>
    </w:p>
    <w:p>
      <w:pPr>
        <w:spacing w:after="0" w:line="238"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607"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2020 Annual Meeting of Shareholders (the “Proxy Statement”) by reference in this Annual Report.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ind w:right="260" w:firstLine="662"/>
        <w:spacing w:after="0" w:line="312" w:lineRule="auto"/>
        <w:rPr>
          <w:sz w:val="20"/>
          <w:szCs w:val="20"/>
          <w:color w:val="auto"/>
        </w:rPr>
      </w:pPr>
      <w:r>
        <w:rPr>
          <w:rFonts w:ascii="Arial" w:cs="Arial" w:eastAsia="Arial" w:hAnsi="Arial"/>
          <w:sz w:val="16"/>
          <w:szCs w:val="16"/>
          <w:color w:val="auto"/>
        </w:rPr>
        <w:t>Our Proxy Statement will be filed with the SEC in connection with our 2020 Annual Meeting of Shareholders.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60" w:firstLine="662"/>
        <w:spacing w:after="0" w:line="255" w:lineRule="auto"/>
        <w:rPr>
          <w:sz w:val="20"/>
          <w:szCs w:val="20"/>
          <w:color w:val="auto"/>
        </w:rPr>
      </w:pPr>
      <w:r>
        <w:rPr>
          <w:rFonts w:ascii="Arial" w:cs="Arial" w:eastAsia="Arial" w:hAnsi="Arial"/>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located at www.marriottvacationsworldwide.com or on a Current Report on Form 8-K.</w:t>
      </w:r>
    </w:p>
    <w:p>
      <w:pPr>
        <w:spacing w:after="0" w:line="243"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right="100" w:firstLine="662"/>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22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“Stock Ownership” sections of our Proxy Statement.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48" w:lineRule="exact"/>
        <w:rPr>
          <w:sz w:val="20"/>
          <w:szCs w:val="20"/>
          <w:color w:val="auto"/>
        </w:rPr>
      </w:pPr>
    </w:p>
    <w:p>
      <w:pPr>
        <w:ind w:right="520" w:firstLine="662"/>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220"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48" w:lineRule="exact"/>
        <w:rPr>
          <w:sz w:val="20"/>
          <w:szCs w:val="20"/>
          <w:color w:val="auto"/>
        </w:rPr>
      </w:pPr>
    </w:p>
    <w:p>
      <w:pPr>
        <w:ind w:right="560" w:firstLine="662"/>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“Pre-Approval of Independent Auditor Fees and Services Policy” sections of our Proxy Statement.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40"/>
          </w:cols>
          <w:pgMar w:left="240" w:top="125" w:right="3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ind w:left="4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part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include this portion of Item 15 under Part II, Item 8 of this Annual Report.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 shareholder who wants a copy of any of the following Exhibits may obtain one from us, without charge, upon written request. Written requests to obtain any exhibit should be sent to Marriott Vacations Worldwide Corporation, 6649 Westwood Blvd., Orlando, Florida 32821, Attention: Corporate Secretary. All documents referenced below are being filed as a part of this Annual Report, unless otherwise noted.</w:t>
      </w:r>
    </w:p>
    <w:p>
      <w:pPr>
        <w:sectPr>
          <w:pgSz w:w="11900" w:h="16838" w:orient="portrait"/>
          <w:cols w:equalWidth="0" w:num="1">
            <w:col w:w="11420"/>
          </w:cols>
          <w:pgMar w:left="240" w:top="553" w:right="239" w:bottom="1440" w:gutter="0" w:footer="0" w:header="0"/>
        </w:sect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Number</w:t>
      </w:r>
    </w:p>
    <w:p>
      <w:pPr>
        <w:spacing w:after="0" w:line="200" w:lineRule="exact"/>
        <w:rPr>
          <w:sz w:val="20"/>
          <w:szCs w:val="20"/>
          <w:color w:val="auto"/>
        </w:rPr>
      </w:pPr>
    </w:p>
    <w:p>
      <w:pPr>
        <w:spacing w:after="0" w:line="213" w:lineRule="exact"/>
        <w:rPr>
          <w:sz w:val="20"/>
          <w:szCs w:val="20"/>
          <w:color w:val="auto"/>
        </w:rPr>
      </w:pPr>
    </w:p>
    <w:p>
      <w:pPr>
        <w:ind w:left="36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2.2</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36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3.2</w:t>
        </w:r>
      </w:hyperlink>
    </w:p>
    <w:p>
      <w:pPr>
        <w:spacing w:after="0" w:line="171" w:lineRule="exact"/>
        <w:rPr>
          <w:sz w:val="20"/>
          <w:szCs w:val="20"/>
          <w:color w:val="auto"/>
        </w:rPr>
      </w:pPr>
    </w:p>
    <w:p>
      <w:pPr>
        <w:ind w:left="36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4.1</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4.2</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4.5</w:t>
        </w:r>
      </w:hyperlink>
    </w:p>
    <w:p>
      <w:pPr>
        <w:spacing w:after="0" w:line="200" w:lineRule="exact"/>
        <w:rPr>
          <w:sz w:val="20"/>
          <w:szCs w:val="20"/>
          <w:color w:val="auto"/>
        </w:rPr>
      </w:pPr>
    </w:p>
    <w:p>
      <w:pPr>
        <w:spacing w:after="0" w:line="349" w:lineRule="exact"/>
        <w:rPr>
          <w:sz w:val="20"/>
          <w:szCs w:val="20"/>
          <w:color w:val="auto"/>
        </w:rPr>
      </w:pPr>
    </w:p>
    <w:p>
      <w:pPr>
        <w:ind w:left="360"/>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4.6</w:t>
        </w:r>
      </w:hyperlink>
    </w:p>
    <w:p>
      <w:pPr>
        <w:spacing w:after="0" w:line="200" w:lineRule="exact"/>
        <w:rPr>
          <w:sz w:val="20"/>
          <w:szCs w:val="20"/>
          <w:color w:val="auto"/>
        </w:rPr>
      </w:pPr>
    </w:p>
    <w:p>
      <w:pPr>
        <w:spacing w:after="0" w:line="295" w:lineRule="exact"/>
        <w:rPr>
          <w:sz w:val="20"/>
          <w:szCs w:val="20"/>
          <w:color w:val="auto"/>
        </w:rPr>
      </w:pPr>
    </w:p>
    <w:p>
      <w:pPr>
        <w:ind w:left="360"/>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4.7</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4.8</w:t>
        </w:r>
      </w:hyperlink>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both"/>
        <w:ind w:left="2660"/>
        <w:spacing w:after="0"/>
        <w:tabs>
          <w:tab w:leader="none" w:pos="63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33020</wp:posOffset>
            </wp:positionV>
            <wp:extent cx="7246620" cy="591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p>
      <w:pPr>
        <w:spacing w:after="0" w:line="58" w:lineRule="exact"/>
        <w:rPr>
          <w:sz w:val="20"/>
          <w:szCs w:val="20"/>
          <w:color w:val="auto"/>
        </w:rPr>
      </w:pPr>
    </w:p>
    <w:p>
      <w:pPr>
        <w:ind w:right="980"/>
        <w:spacing w:after="0" w:line="259" w:lineRule="auto"/>
        <w:rPr>
          <w:sz w:val="20"/>
          <w:szCs w:val="20"/>
          <w:color w:val="auto"/>
        </w:rPr>
      </w:pPr>
      <w:r>
        <w:rPr>
          <w:rFonts w:ascii="Arial" w:cs="Arial" w:eastAsia="Arial" w:hAnsi="Arial"/>
          <w:sz w:val="18"/>
          <w:szCs w:val="18"/>
          <w:color w:val="auto"/>
        </w:rPr>
        <w:t>Separation and Distribution Agreement, entered into on November 17, 2011, among Marriott International, Inc., Marriott Vacations Worldwide Corporation, Marriott Ownership Resorts, Inc., Marriott Resorts Hospitality Corporation, MVCI Asia Pacific Pte. Ltd. and MVCO Series LLC</w:t>
      </w:r>
    </w:p>
    <w:p>
      <w:pPr>
        <w:spacing w:after="0" w:line="25" w:lineRule="exact"/>
        <w:rPr>
          <w:sz w:val="20"/>
          <w:szCs w:val="20"/>
          <w:color w:val="auto"/>
        </w:rPr>
      </w:pPr>
    </w:p>
    <w:p>
      <w:pPr>
        <w:ind w:right="1100"/>
        <w:spacing w:after="0" w:line="270" w:lineRule="auto"/>
        <w:rPr>
          <w:sz w:val="20"/>
          <w:szCs w:val="20"/>
          <w:color w:val="auto"/>
        </w:rPr>
      </w:pPr>
      <w:r>
        <w:rPr>
          <w:rFonts w:ascii="Arial" w:cs="Arial" w:eastAsia="Arial" w:hAnsi="Arial"/>
          <w:sz w:val="18"/>
          <w:szCs w:val="18"/>
          <w:color w:val="auto"/>
        </w:rPr>
        <w:t>Agreement and Plan of Merger, dated as of April 30, 2018, by and among Marriott Vacations Worldwide Corporation, ILG, Inc., Ignite Holdco, Inc., Ignite Holdco Subsidiary, Inc., Volt Merger Sub LLC</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-5080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1060"/>
        <w:spacing w:after="0" w:line="313" w:lineRule="auto"/>
        <w:rPr>
          <w:sz w:val="20"/>
          <w:szCs w:val="20"/>
          <w:color w:val="auto"/>
        </w:rPr>
      </w:pPr>
      <w:r>
        <w:rPr>
          <w:rFonts w:ascii="Arial" w:cs="Arial" w:eastAsia="Arial" w:hAnsi="Arial"/>
          <w:sz w:val="18"/>
          <w:szCs w:val="18"/>
          <w:color w:val="auto"/>
        </w:rPr>
        <w:t>Restated Certificate of Incorporation of Marriott Vacations Worldwide Corporation 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-6985</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right="1020"/>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8" w:lineRule="exact"/>
        <w:rPr>
          <w:sz w:val="20"/>
          <w:szCs w:val="20"/>
          <w:color w:val="auto"/>
        </w:rPr>
      </w:pPr>
    </w:p>
    <w:p>
      <w:pPr>
        <w:ind w:right="940"/>
        <w:spacing w:after="0" w:line="298" w:lineRule="auto"/>
        <w:rPr>
          <w:sz w:val="20"/>
          <w:szCs w:val="20"/>
          <w:color w:val="auto"/>
        </w:rPr>
      </w:pPr>
      <w:r>
        <w:rPr>
          <w:rFonts w:ascii="Arial" w:cs="Arial" w:eastAsia="Arial" w:hAnsi="Arial"/>
          <w:sz w:val="17"/>
          <w:szCs w:val="17"/>
          <w:color w:val="auto"/>
        </w:rPr>
        <w:t>Indenture between Marriott Vacations Worldwide Corporation and The Bank of New York Mellon Trust Company, N.A., as trustee, dated September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-6985</wp:posOffset>
            </wp:positionV>
            <wp:extent cx="72466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1000"/>
        <w:spacing w:after="0" w:line="277"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62" w:lineRule="exact"/>
        <w:rPr>
          <w:sz w:val="20"/>
          <w:szCs w:val="20"/>
          <w:color w:val="auto"/>
        </w:rPr>
      </w:pPr>
    </w:p>
    <w:p>
      <w:pPr>
        <w:jc w:val="both"/>
        <w:ind w:right="1020"/>
        <w:spacing w:after="0" w:line="312" w:lineRule="auto"/>
        <w:rPr>
          <w:sz w:val="20"/>
          <w:szCs w:val="20"/>
          <w:color w:val="auto"/>
        </w:rPr>
      </w:pPr>
      <w:r>
        <w:rPr>
          <w:rFonts w:ascii="Arial" w:cs="Arial" w:eastAsia="Arial" w:hAnsi="Arial"/>
          <w:sz w:val="16"/>
          <w:szCs w:val="16"/>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16510</wp:posOffset>
            </wp:positionV>
            <wp:extent cx="7246620" cy="514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73" w:lineRule="exact"/>
        <w:rPr>
          <w:sz w:val="20"/>
          <w:szCs w:val="20"/>
          <w:color w:val="auto"/>
        </w:rPr>
      </w:pPr>
    </w:p>
    <w:p>
      <w:pPr>
        <w:jc w:val="both"/>
        <w:ind w:right="1220"/>
        <w:spacing w:after="0" w:line="264" w:lineRule="auto"/>
        <w:rPr>
          <w:sz w:val="20"/>
          <w:szCs w:val="20"/>
          <w:color w:val="auto"/>
        </w:rPr>
      </w:pPr>
      <w:r>
        <w:rPr>
          <w:rFonts w:ascii="Arial" w:cs="Arial" w:eastAsia="Arial" w:hAnsi="Arial"/>
          <w:sz w:val="18"/>
          <w:szCs w:val="18"/>
          <w:color w:val="auto"/>
        </w:rPr>
        <w:t>First Supplemental Indenture, dated September 1, 2018, by and among Marriott Ownership Resorts, Inc., ILG, LLC, the guarantors party thereto and the Bank of New York Mellon Trust Company, N.A., as trustee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Second Supplemental Indenture, dated December 31, 2019, by and among Marriott</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Ownership Resorts, Inc., ILG, LLC, MVW Vacations, LLC and the Bank of New X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5715</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Third Supplemental Indenture, dated February 26, 2020, by and among Marriott</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Ownership Resorts, Inc., ILG, LLC, MVW Services Corporation, and the Bank of X New York Mellon Trust Company, N.A., as trustee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938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81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5/1/2018</w:t>
            </w:r>
          </w:p>
        </w:tc>
      </w:tr>
      <w:tr>
        <w:trPr>
          <w:trHeight w:val="48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27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378"/>
        </w:trPr>
        <w:tc>
          <w:tcPr>
            <w:tcW w:w="8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10/14/2011</w:t>
            </w:r>
          </w:p>
        </w:tc>
      </w:tr>
      <w:tr>
        <w:trPr>
          <w:trHeight w:val="486"/>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486"/>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11/2/2017</w:t>
            </w:r>
          </w:p>
        </w:tc>
      </w:tr>
      <w:tr>
        <w:trPr>
          <w:trHeight w:val="64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81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9/5/2018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tabs>
          <w:tab w:leader="none" w:pos="1240" w:val="left"/>
          <w:tab w:leader="none" w:pos="21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8/23/2018</w:t>
      </w:r>
    </w:p>
    <w:p>
      <w:pPr>
        <w:sectPr>
          <w:pgSz w:w="11900" w:h="16838" w:orient="portrait"/>
          <w:cols w:equalWidth="0" w:num="3">
            <w:col w:w="760" w:space="320"/>
            <w:col w:w="7040" w:space="240"/>
            <w:col w:w="3060"/>
          </w:cols>
          <w:pgMar w:left="240" w:top="553"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104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300" w:type="dxa"/>
            <w:vAlign w:val="bottom"/>
            <w:gridSpan w:val="2"/>
          </w:tcPr>
          <w:p>
            <w:pPr>
              <w:ind w:left="2700"/>
              <w:spacing w:after="0"/>
              <w:rPr>
                <w:sz w:val="20"/>
                <w:szCs w:val="20"/>
                <w:color w:val="auto"/>
              </w:rPr>
            </w:pPr>
            <w:r>
              <w:rPr>
                <w:rFonts w:ascii="Arial" w:cs="Arial" w:eastAsia="Arial" w:hAnsi="Arial"/>
                <w:sz w:val="16"/>
                <w:szCs w:val="16"/>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3"/>
              </w:rPr>
              <w:t>Registration Rights Agreement, dated as of August 23, 2018, by and among Marriott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gridSpan w:val="5"/>
            <w:vMerge w:val="restart"/>
          </w:tcPr>
          <w:p>
            <w:pPr>
              <w:jc w:val="center"/>
              <w:ind w:left="231"/>
              <w:spacing w:after="0"/>
              <w:rPr>
                <w:rFonts w:ascii="Arial" w:cs="Arial" w:eastAsia="Arial" w:hAnsi="Arial"/>
                <w:sz w:val="18"/>
                <w:szCs w:val="18"/>
                <w:color w:val="0000FF"/>
                <w:w w:val="87"/>
              </w:rPr>
            </w:pPr>
            <w:hyperlink r:id="rId5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Ownership Resorts, Inc., Marriott Vacations Worldwide Corporation, as guarantor,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2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the other guarantors party thereto and Merrill Lynch, Pierce, Fenner &amp; Smith</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Incorporated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8"/>
              </w:rPr>
              <w:t>Joinder Agreement to Registration Rights Agreement, dated as of September 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2018, by and among ILG, LLC, the guarantors party thereto and Merrill Lynch,</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Pierce, Fenner &amp; Smith Incorporated as the representative of the initial purchasers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4"/>
              </w:rPr>
              <w:t>Indenture, dated as of October 1, 2019, by and among Marriott Ownership Resorts,</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20" w:type="dxa"/>
            <w:vAlign w:val="bottom"/>
            <w:gridSpan w:val="5"/>
          </w:tcPr>
          <w:p>
            <w:pPr>
              <w:jc w:val="center"/>
              <w:ind w:left="231"/>
              <w:spacing w:after="0" w:line="190" w:lineRule="exact"/>
              <w:rPr>
                <w:rFonts w:ascii="Arial" w:cs="Arial" w:eastAsia="Arial" w:hAnsi="Arial"/>
                <w:sz w:val="18"/>
                <w:szCs w:val="18"/>
                <w:color w:val="0000FF"/>
                <w:w w:val="85"/>
              </w:rPr>
            </w:pPr>
            <w:hyperlink r:id="rId5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5"/>
              </w:rPr>
              <w:t>Inc., Marriott Vacations Worldwide Corporation, as guarantor, the other guarantors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7"/>
              </w:rPr>
              <w:t>party thereto and The Bank of New York Mellon Trust Company, N.A.,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Supplemental Indenture, dated December 31, 2019, by and among Marriott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w:anchor="page15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12</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6"/>
              </w:rPr>
              <w:t>Ownership Resorts, Inc., MVW Vacations, LLC and the Bank of New York Mellon</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Trust Company, N.A.,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Second Supplemental Indenture, dated February 26, 2020, by and among Marriott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w:anchor="page157">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13</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7"/>
              </w:rPr>
              <w:t>Ownership Resorts, Inc., MVW Services Corporation, and the Bank of New York</w:t>
            </w: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Mellon Trust Company, N.A., as trustee</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20" w:type="dxa"/>
            <w:vAlign w:val="bottom"/>
            <w:gridSpan w:val="6"/>
            <w:vMerge w:val="restart"/>
          </w:tcPr>
          <w:p>
            <w:pPr>
              <w:jc w:val="cente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hyperlink>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4.750% Senior Notes due 2028 (included as Exhibit A to Exhibit 4.11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9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above)</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3"/>
              </w:rPr>
              <w:t>Registration Rights Agreement, dated as of October 1, 2019, by and among Marriott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15</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5"/>
              </w:rPr>
              <w:t>Ownership Resorts, Inc., Marriott Vacations Worldwide Corporation, as guarantor,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the other guarantors party thereto and J.P. Morgan Securities LLC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0" w:type="dxa"/>
            <w:vAlign w:val="bottom"/>
            <w:gridSpan w:val="6"/>
          </w:tcPr>
          <w:p>
            <w:pPr>
              <w:jc w:val="center"/>
              <w:spacing w:after="0"/>
              <w:rPr>
                <w:rFonts w:ascii="Arial" w:cs="Arial" w:eastAsia="Arial" w:hAnsi="Arial"/>
                <w:sz w:val="18"/>
                <w:szCs w:val="18"/>
                <w:color w:val="0000FF"/>
                <w:w w:val="91"/>
              </w:rPr>
            </w:pPr>
            <w:hyperlink w:anchor="page160">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16</w:t>
              </w:r>
            </w:hyperlink>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Description of Registered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6"/>
        </w:trPr>
        <w:tc>
          <w:tcPr>
            <w:tcW w:w="3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8"/>
              </w:rPr>
              <w:t>License, Services, and Development Agreement, entered into on November 17,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6"/>
              </w:rPr>
              <w:t>2011, among Marriott International, Inc., Marriott Worldwide Corporation,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Vacations Worldwide Corporation and the other signatories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Letter Agreement, dated as of February 21, 2013, between Marriott International,</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8"/>
              </w:rPr>
              <w:t>Inc. and Marriott Vacations Worldwide Corporation, supplementing the License,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Services, and Development 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Letter Agreement, dated May 9, 2016, among Marriott Vacations Worldwide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Corporation, Marriott Worldwide Corporation and Marriott International,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relating to the License, Services, and Development 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First Amendment to License, Services, and Development Agreement, dated as of</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gridSpan w:val="6"/>
            <w:vMerge w:val="restart"/>
          </w:tcPr>
          <w:p>
            <w:pPr>
              <w:jc w:val="cente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February 26, 2018, among Marriott International, Inc., Marriott Worldwide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9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Corporation, Marriott Vacations Worldwide Corporation and the other signatories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Amended and Restated Side Letter Agreement, dated as of February 26, 2018 by</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20" w:type="dxa"/>
            <w:vAlign w:val="bottom"/>
            <w:gridSpan w:val="6"/>
            <w:vMerge w:val="restart"/>
          </w:tcPr>
          <w:p>
            <w:pPr>
              <w:jc w:val="cente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among Marriott International, Inc., Marriott Worldwide Corporation, Marriott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9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Rewards, LLC, Marriott Vacations Worldwide Corporation and Marriott Ownership</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Resorts,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8"/>
              </w:rPr>
              <w:t>License, Services, and Development Agreement, entered into on November 17,</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2011, among The Ritz-Carlton Hotel Company, L.L.C., Marriott Vacations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Worldwide Corporation and the other signatories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First Amendment to License, Services, and Development Agreement, dated as of</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February 26, 2018, among The Ritz-Carlton Hotel Company, L.L.C.,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Vacations Worldwide Corporation and the other signatures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Employee Benefits and Other Employment Matters Allocation Agreement, entered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gridSpan w:val="6"/>
          </w:tcPr>
          <w:p>
            <w:pPr>
              <w:jc w:val="center"/>
              <w:spacing w:after="0" w:line="190"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into on November 17, 2011, between Marriott International, Inc. and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Vacations Worldwide Corporation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5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-7520305</wp:posOffset>
            </wp:positionV>
            <wp:extent cx="7246620" cy="591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24662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-6482715</wp:posOffset>
            </wp:positionV>
            <wp:extent cx="72466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-5590540</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-4836160</wp:posOffset>
            </wp:positionV>
            <wp:extent cx="72466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-4218940</wp:posOffset>
            </wp:positionV>
            <wp:extent cx="724662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-3326765</wp:posOffset>
            </wp:positionV>
            <wp:extent cx="7246620"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582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-1165860</wp:posOffset>
            </wp:positionV>
            <wp:extent cx="724662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938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81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702"/>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10/1/2019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10/1/2019</w:t>
            </w:r>
          </w:p>
        </w:tc>
      </w:tr>
      <w:tr>
        <w:trPr>
          <w:trHeight w:val="594"/>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10/1/2019</w:t>
            </w:r>
          </w:p>
        </w:tc>
      </w:tr>
      <w:tr>
        <w:trPr>
          <w:trHeight w:val="97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702"/>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4/25/2013</w:t>
            </w:r>
          </w:p>
        </w:tc>
      </w:tr>
      <w:tr>
        <w:trPr>
          <w:trHeight w:val="783"/>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7/21/2016</w:t>
            </w:r>
          </w:p>
        </w:tc>
      </w:tr>
      <w:tr>
        <w:trPr>
          <w:trHeight w:val="891"/>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2/27/2018</w:t>
            </w:r>
          </w:p>
        </w:tc>
      </w:tr>
      <w:tr>
        <w:trPr>
          <w:trHeight w:val="91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2/27/2018</w:t>
            </w:r>
          </w:p>
        </w:tc>
      </w:tr>
      <w:tr>
        <w:trPr>
          <w:trHeight w:val="81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702"/>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2"/>
              </w:rPr>
              <w:t>2/27/2018</w:t>
            </w:r>
          </w:p>
        </w:tc>
      </w:tr>
      <w:tr>
        <w:trPr>
          <w:trHeight w:val="70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bl>
    <w:p>
      <w:pPr>
        <w:sectPr>
          <w:pgSz w:w="11900" w:h="16838" w:orient="portrait"/>
          <w:cols w:equalWidth="0" w:num="2">
            <w:col w:w="8260" w:space="100"/>
            <w:col w:w="306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10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300" w:type="dxa"/>
            <w:vAlign w:val="bottom"/>
            <w:gridSpan w:val="2"/>
          </w:tcPr>
          <w:p>
            <w:pPr>
              <w:ind w:left="2700"/>
              <w:spacing w:after="0"/>
              <w:rPr>
                <w:sz w:val="20"/>
                <w:szCs w:val="20"/>
                <w:color w:val="auto"/>
              </w:rPr>
            </w:pPr>
            <w:r>
              <w:rPr>
                <w:rFonts w:ascii="Arial" w:cs="Arial" w:eastAsia="Arial" w:hAnsi="Arial"/>
                <w:sz w:val="16"/>
                <w:szCs w:val="16"/>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0" w:type="dxa"/>
            <w:vAlign w:val="bottom"/>
            <w:gridSpan w:val="4"/>
            <w:vMerge w:val="restart"/>
          </w:tcPr>
          <w:p>
            <w:pPr>
              <w:jc w:val="center"/>
              <w:ind w:left="171"/>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Tax Sharing and Indemnification Agreement, entered into on November 17, 2011,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between Marriott International, Inc. and Marriott Vacations Worldwide Corporation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Amendment, dated August 2, 2012, between Marriott International, Inc. and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5"/>
              </w:rPr>
              <w:t>Marriott Vacations Worldwide Corporation, to the Tax Sharing and Indemnification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Agreement</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Marriott Rewards Affiliation Agreement, entered into on November 17, 2011,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among Marriott International, Inc., Marriott Rewards, LLC, Marriott Vacations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Worldwide Corporation, Marriott Ownership Resorts, Inc. and the other signatories</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First Amendment to Marriott Rewards Affiliation Agreement, dated as of February</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r:id="rId8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26, 2018, among Marriott International, Inc., Marriott Rewards, LLC,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Vacations Worldwide Corporation and Marriott Ownership Resorts,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3"/>
              </w:rPr>
              <w:t>Termination of Noncompetition Agreement, dated as of February 26, 2018, between</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Marriott International, Inc. and Marriott Vacations Worldwide Corporation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4"/>
              </w:rPr>
              <w:t>Marriott Vacations Worldwide Corporation Amended and Restated Stock and Cash</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Restricted Stock Unit Agreement – Marriott Vacations Worldwide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Stock Appreciation Right Agreement – Marriott Vacations Worldwide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8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Performance Unit Award Agreement – Marriott Vacations Worldwide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 Stock and Cash Incentive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8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Non-Employee Director Share Award Confirmation*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8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Non-Employee Director Stock Appreciation Right Award Agreement*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8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Form of Director Stock Unit Agreement*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9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Marriott Vacations Worldwide Corporation Change in Control Severance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9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6"/>
              </w:rPr>
              <w:t>Form of Participation Agreement for Change in Control Severance Plan – Marriott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rPr>
              <w:t>Vacations Worldwide Corporation Change in Control Severance Plan*</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9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Marriott Vacations Worldwide Corporation Deferred Compensation Plan*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88"/>
              </w:rPr>
            </w:pPr>
            <w:hyperlink r:id="rId9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8"/>
              </w:rPr>
              <w:t>Marriott Vacations Worldwide Corporation Executive Long-Term Disability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 w:type="dxa"/>
            <w:vAlign w:val="bottom"/>
            <w:gridSpan w:val="4"/>
          </w:tcPr>
          <w:p>
            <w:pPr>
              <w:jc w:val="center"/>
              <w:ind w:left="171"/>
              <w:spacing w:after="0"/>
              <w:rPr>
                <w:rFonts w:ascii="Arial" w:cs="Arial" w:eastAsia="Arial" w:hAnsi="Arial"/>
                <w:sz w:val="18"/>
                <w:szCs w:val="18"/>
                <w:color w:val="0000FF"/>
                <w:w w:val="88"/>
              </w:rPr>
            </w:pPr>
            <w:hyperlink r:id="rId9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Marriott Vacations Worldwide Corporation Employee Stock Purchase Plan*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9"/>
              </w:rPr>
              <w:t>Third Amended and Restated Indenture and Servicing Agreement, entered into</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gridSpan w:val="4"/>
            <w:vMerge w:val="restart"/>
          </w:tcPr>
          <w:p>
            <w:pPr>
              <w:jc w:val="center"/>
              <w:ind w:left="171"/>
              <w:spacing w:after="0"/>
              <w:rPr>
                <w:rFonts w:ascii="Arial" w:cs="Arial" w:eastAsia="Arial" w:hAnsi="Arial"/>
                <w:sz w:val="18"/>
                <w:szCs w:val="18"/>
                <w:color w:val="0000FF"/>
                <w:w w:val="88"/>
              </w:rPr>
            </w:pPr>
            <w:hyperlink r:id="rId9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3"/>
              </w:rPr>
              <w:t>September 15, 2014 and dated as of September 1, 2014, among Marriott Vacations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300" w:type="dxa"/>
            <w:vAlign w:val="bottom"/>
            <w:gridSpan w:val="2"/>
            <w:vMerge w:val="restart"/>
          </w:tcPr>
          <w:p>
            <w:pPr>
              <w:ind w:left="40"/>
              <w:spacing w:after="0"/>
              <w:rPr>
                <w:sz w:val="20"/>
                <w:szCs w:val="20"/>
                <w:color w:val="auto"/>
              </w:rPr>
            </w:pPr>
            <w:r>
              <w:rPr>
                <w:rFonts w:ascii="Arial" w:cs="Arial" w:eastAsia="Arial" w:hAnsi="Arial"/>
                <w:sz w:val="18"/>
                <w:szCs w:val="18"/>
                <w:color w:val="auto"/>
                <w:w w:val="94"/>
              </w:rPr>
              <w:t>Worldwide Owner Trust 2011-1, Marriott Ownership Resorts, Inc., and Wells Fargo</w:t>
            </w: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3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Bank, National Association</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5"/>
              </w:rPr>
              <w:t>Indenture Supplement, dated June 24, 2015, among Marriott Vacations Worldwide</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Owner Trust 2011-1, Marriott Ownership Resorts, Inc., and Wells Fargo Bank,</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r:id="rId9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9"/>
              </w:rPr>
              <w:t>National Association, Deutsche Bank AG, New York Branch, and the Conduits,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8"/>
              </w:rPr>
              <w:t>Alternate Purchasers, Funding Agents and Non-Conduit Committed Purchasers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signatory thereto</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w w:val="94"/>
              </w:rPr>
              <w:t>Second Amended and Restated Sale Agreement, entered into September 15, 2014</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60" w:type="dxa"/>
            <w:vAlign w:val="bottom"/>
            <w:gridSpan w:val="4"/>
          </w:tcPr>
          <w:p>
            <w:pPr>
              <w:jc w:val="center"/>
              <w:ind w:left="171"/>
              <w:spacing w:after="0" w:line="190" w:lineRule="exact"/>
              <w:rPr>
                <w:rFonts w:ascii="Arial" w:cs="Arial" w:eastAsia="Arial" w:hAnsi="Arial"/>
                <w:sz w:val="18"/>
                <w:szCs w:val="18"/>
                <w:color w:val="0000FF"/>
                <w:w w:val="88"/>
              </w:rPr>
            </w:pPr>
            <w:hyperlink r:id="rId9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28</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00" w:type="dxa"/>
            <w:vAlign w:val="bottom"/>
            <w:gridSpan w:val="2"/>
          </w:tcPr>
          <w:p>
            <w:pPr>
              <w:ind w:left="40"/>
              <w:spacing w:after="0" w:line="190" w:lineRule="exact"/>
              <w:rPr>
                <w:sz w:val="20"/>
                <w:szCs w:val="20"/>
                <w:color w:val="auto"/>
              </w:rPr>
            </w:pPr>
            <w:r>
              <w:rPr>
                <w:rFonts w:ascii="Arial" w:cs="Arial" w:eastAsia="Arial" w:hAnsi="Arial"/>
                <w:sz w:val="18"/>
                <w:szCs w:val="18"/>
                <w:color w:val="auto"/>
                <w:w w:val="94"/>
              </w:rPr>
              <w:t>and dated as of September 1, 2014, between MORI SPC Series Corp. and Marriott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Vacations Worldwide Owner Trust 2011-1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5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-6868795</wp:posOffset>
            </wp:positionV>
            <wp:extent cx="7246620"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-6105525</wp:posOffset>
            </wp:positionV>
            <wp:extent cx="7246620" cy="582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-5076190</wp:posOffset>
            </wp:positionV>
            <wp:extent cx="724662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-4458970</wp:posOffset>
            </wp:positionV>
            <wp:extent cx="724662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720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9380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Form</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140" w:type="dxa"/>
            <w:vAlign w:val="bottom"/>
          </w:tcPr>
          <w:p>
            <w:pPr>
              <w:ind w:left="22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594"/>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10/18/2012</w:t>
            </w:r>
          </w:p>
        </w:tc>
      </w:tr>
      <w:tr>
        <w:trPr>
          <w:trHeight w:val="81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11/22/2011</w:t>
            </w:r>
          </w:p>
        </w:tc>
      </w:tr>
      <w:tr>
        <w:trPr>
          <w:trHeight w:val="810"/>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594"/>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2/27/2018</w:t>
            </w:r>
          </w:p>
        </w:tc>
      </w:tr>
      <w:tr>
        <w:trPr>
          <w:trHeight w:val="486"/>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2/23/2017</w:t>
            </w:r>
          </w:p>
        </w:tc>
      </w:tr>
      <w:tr>
        <w:trPr>
          <w:trHeight w:val="48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12/9/2011</w:t>
            </w:r>
          </w:p>
        </w:tc>
      </w:tr>
      <w:tr>
        <w:trPr>
          <w:trHeight w:val="48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12/9/2011</w:t>
            </w:r>
          </w:p>
        </w:tc>
      </w:tr>
      <w:tr>
        <w:trPr>
          <w:trHeight w:val="48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78"/>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2/25/2016</w:t>
            </w:r>
          </w:p>
        </w:tc>
      </w:tr>
      <w:tr>
        <w:trPr>
          <w:trHeight w:val="270"/>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3/21/2012</w:t>
            </w:r>
          </w:p>
        </w:tc>
      </w:tr>
      <w:tr>
        <w:trPr>
          <w:trHeight w:val="270"/>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4/30/2015</w:t>
            </w:r>
          </w:p>
        </w:tc>
      </w:tr>
      <w:tr>
        <w:trPr>
          <w:trHeight w:val="27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7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3/16/2012</w:t>
            </w:r>
          </w:p>
        </w:tc>
      </w:tr>
      <w:tr>
        <w:trPr>
          <w:trHeight w:val="37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6/13/2013</w:t>
            </w:r>
          </w:p>
        </w:tc>
      </w:tr>
      <w:tr>
        <w:trPr>
          <w:trHeight w:val="270"/>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2/26/2015</w:t>
            </w:r>
          </w:p>
        </w:tc>
      </w:tr>
      <w:tr>
        <w:trPr>
          <w:trHeight w:val="270"/>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6/11/2015</w:t>
            </w:r>
          </w:p>
        </w:tc>
      </w:tr>
      <w:tr>
        <w:trPr>
          <w:trHeight w:val="594"/>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9/16/2014</w:t>
            </w:r>
          </w:p>
        </w:tc>
      </w:tr>
      <w:tr>
        <w:trPr>
          <w:trHeight w:val="1026"/>
        </w:trPr>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7/23/2015</w:t>
            </w:r>
          </w:p>
        </w:tc>
      </w:tr>
      <w:tr>
        <w:trPr>
          <w:trHeight w:val="91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9/16/2014</w:t>
            </w:r>
          </w:p>
        </w:tc>
      </w:tr>
    </w:tbl>
    <w:p>
      <w:pPr>
        <w:sectPr>
          <w:pgSz w:w="11900" w:h="16838" w:orient="portrait"/>
          <w:cols w:equalWidth="0" w:num="2">
            <w:col w:w="8260" w:space="100"/>
            <w:col w:w="306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180" w:type="dxa"/>
            <w:vAlign w:val="bottom"/>
          </w:tcPr>
          <w:p>
            <w:pPr>
              <w:ind w:left="27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Omnibus Amendment No. 3, dated November 23, 2015, relating to, among other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agreements, the Third Amended and Restated Indenture and the Second Amended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and Restated Sale Agreement, by and among Marriott Vacations Worldwide Owner</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left="172"/>
              <w:spacing w:after="0" w:line="190" w:lineRule="exact"/>
              <w:rPr>
                <w:rFonts w:ascii="Arial" w:cs="Arial" w:eastAsia="Arial" w:hAnsi="Arial"/>
                <w:sz w:val="18"/>
                <w:szCs w:val="18"/>
                <w:color w:val="0000FF"/>
                <w:w w:val="88"/>
              </w:rPr>
            </w:pPr>
            <w:hyperlink r:id="rId10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29</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Trust 2011-1, Marriott Ownership Resorts, Inc., Wells Fargo Bank, National</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Association, MORI SPC Series Corp., Marriott Vacations Worldwide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the Purchasers signatory thereto, Deutsche Bank AG, New York Branch,</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Wilmington Trust, National Association, and MVCO Series LLC</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Omnibus Amendment No. 4, dated May 20, 2016, relating to, among other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agreements, the Third Amended and Restated Indenture and the Second Amended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and Restated Sale Agreement, by and among Marriott Vacations Worldwide Owner</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left="172"/>
              <w:spacing w:after="0" w:line="190" w:lineRule="exact"/>
              <w:rPr>
                <w:rFonts w:ascii="Arial" w:cs="Arial" w:eastAsia="Arial" w:hAnsi="Arial"/>
                <w:sz w:val="18"/>
                <w:szCs w:val="18"/>
                <w:color w:val="0000FF"/>
                <w:w w:val="88"/>
              </w:rPr>
            </w:pPr>
            <w:hyperlink r:id="rId11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30</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Trust 2011-1, Marriott Ownership Resorts, Inc., Wells Fargo Bank, National</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Association, MORI SPC Series Corp., Marriott Vacations Worldwide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the Purchasers signatory thereto, Deutsche Bank AG, New York Branch,</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Wilmington Trust, National Association, and MVCO Series LLC</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7"/>
              </w:rPr>
              <w:t>Indenture Supplement, dated June 16, 2016, by and among Marriott Vacations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Worldwide Owner Trust 2011-1, as issuer, Marriott Ownership Resorts, Inc., Wells</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left="172"/>
              <w:spacing w:after="0" w:line="190" w:lineRule="exact"/>
              <w:rPr>
                <w:rFonts w:ascii="Arial" w:cs="Arial" w:eastAsia="Arial" w:hAnsi="Arial"/>
                <w:sz w:val="18"/>
                <w:szCs w:val="18"/>
                <w:color w:val="0000FF"/>
                <w:w w:val="88"/>
              </w:rPr>
            </w:pPr>
            <w:hyperlink r:id="rId11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31</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4"/>
              </w:rPr>
              <w:t>Fargo Bank, National Association, Deutsche Bank AG, New York Branch, and the</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8"/>
              </w:rPr>
              <w:t>Conduits, Alternate Purchasers, Funding Agents and Non-Conduit Committed</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Purchasers signatory thereto</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Omnibus Amendment No. 5, dated March 8, 2017, relating to, among other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agreements, the Third Amended and Restated Indenture, by and among Marriott</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jc w:val="center"/>
              <w:ind w:left="172"/>
              <w:spacing w:after="0"/>
              <w:rPr>
                <w:rFonts w:ascii="Arial" w:cs="Arial" w:eastAsia="Arial" w:hAnsi="Arial"/>
                <w:sz w:val="18"/>
                <w:szCs w:val="18"/>
                <w:color w:val="0000FF"/>
                <w:w w:val="88"/>
              </w:rPr>
            </w:pPr>
            <w:hyperlink r:id="rId11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32</w:t>
              </w:r>
            </w:hyperlink>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Vacations Worldwide Owner Trust 2011-1, Marriott Ownership Resorts, Inc., Wells</w:t>
            </w:r>
          </w:p>
        </w:tc>
        <w:tc>
          <w:tcPr>
            <w:tcW w:w="0" w:type="dxa"/>
            <w:vAlign w:val="bottom"/>
          </w:tcPr>
          <w:p>
            <w:pPr>
              <w:spacing w:after="0"/>
              <w:rPr>
                <w:sz w:val="1"/>
                <w:szCs w:val="1"/>
                <w:color w:val="auto"/>
              </w:rPr>
            </w:pPr>
          </w:p>
        </w:tc>
      </w:tr>
      <w:tr>
        <w:trPr>
          <w:trHeight w:val="82"/>
        </w:trPr>
        <w:tc>
          <w:tcPr>
            <w:tcW w:w="6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w w:val="97"/>
              </w:rPr>
              <w:t>Fargo Bank, National Association, MORI SPC Series Corp., Marriott Vacations</w:t>
            </w:r>
          </w:p>
        </w:tc>
        <w:tc>
          <w:tcPr>
            <w:tcW w:w="0" w:type="dxa"/>
            <w:vAlign w:val="bottom"/>
          </w:tcPr>
          <w:p>
            <w:pPr>
              <w:spacing w:after="0"/>
              <w:rPr>
                <w:sz w:val="1"/>
                <w:szCs w:val="1"/>
                <w:color w:val="auto"/>
              </w:rPr>
            </w:pPr>
          </w:p>
        </w:tc>
      </w:tr>
      <w:tr>
        <w:trPr>
          <w:trHeight w:val="114"/>
        </w:trPr>
        <w:tc>
          <w:tcPr>
            <w:tcW w:w="26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Worldwide Corporation, the Purchasers signatory thereto, Deutsche Bank AG, New</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York Branch, Wilmington Trust, National Association, and MVCO Series LLC</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9"/>
              </w:rPr>
              <w:t>Omnibus Amendment No. 6, dated August 17, 2017, relating to, among other</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agreements, the Third Amended and Restated Indenture and the Second Amended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and Restated Sale Agreement, by and among Marriott Vacations Worldwide Owner</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left="172"/>
              <w:spacing w:after="0" w:line="190" w:lineRule="exact"/>
              <w:rPr>
                <w:rFonts w:ascii="Arial" w:cs="Arial" w:eastAsia="Arial" w:hAnsi="Arial"/>
                <w:sz w:val="18"/>
                <w:szCs w:val="18"/>
                <w:color w:val="0000FF"/>
                <w:w w:val="88"/>
              </w:rPr>
            </w:pPr>
            <w:hyperlink r:id="rId11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33</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Trust 2011-1, Marriott Ownership Resorts, Inc., Wells Fargo Bank, National</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Association, MORI SPC Series Corp., Marriott Vacations Worldwide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the Purchasers signatory thereto, Deutsche Bank AG, New York Branch,</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Wilmington Trust, National Association, and MVCO Series LLC</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88"/>
              </w:rPr>
            </w:pPr>
            <w:hyperlink r:id="rId11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34</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Form of Call Option Transaction Confirmation</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0" w:type="dxa"/>
            <w:vAlign w:val="bottom"/>
            <w:tcBorders>
              <w:bottom w:val="single" w:sz="8" w:color="0000FF"/>
            </w:tcBorders>
          </w:tcPr>
          <w:p>
            <w:pPr>
              <w:jc w:val="center"/>
              <w:spacing w:after="0"/>
              <w:rPr>
                <w:rFonts w:ascii="Arial" w:cs="Arial" w:eastAsia="Arial" w:hAnsi="Arial"/>
                <w:sz w:val="18"/>
                <w:szCs w:val="18"/>
                <w:color w:val="0000FF"/>
                <w:w w:val="88"/>
              </w:rPr>
            </w:pPr>
            <w:hyperlink r:id="rId11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35</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Form of Warrant Confirmation</w:t>
            </w:r>
          </w:p>
        </w:tc>
        <w:tc>
          <w:tcPr>
            <w:tcW w:w="0" w:type="dxa"/>
            <w:vAlign w:val="bottom"/>
          </w:tcPr>
          <w:p>
            <w:pPr>
              <w:spacing w:after="0"/>
              <w:rPr>
                <w:sz w:val="1"/>
                <w:szCs w:val="1"/>
                <w:color w:val="auto"/>
              </w:rPr>
            </w:pPr>
          </w:p>
        </w:tc>
      </w:tr>
      <w:tr>
        <w:trPr>
          <w:trHeight w:val="250"/>
        </w:trPr>
        <w:tc>
          <w:tcPr>
            <w:tcW w:w="660" w:type="dxa"/>
            <w:vAlign w:val="bottom"/>
            <w:gridSpan w:val="2"/>
          </w:tcPr>
          <w:p>
            <w:pPr>
              <w:jc w:val="center"/>
              <w:ind w:left="172"/>
              <w:spacing w:after="0"/>
              <w:rPr>
                <w:rFonts w:ascii="Arial" w:cs="Arial" w:eastAsia="Arial" w:hAnsi="Arial"/>
                <w:sz w:val="18"/>
                <w:szCs w:val="18"/>
                <w:color w:val="0000FF"/>
                <w:w w:val="88"/>
              </w:rPr>
            </w:pPr>
            <w:hyperlink r:id="rId11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36</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Form of Amendment Agreement to Warrant Confirmation</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Credit Agreement, dated as of August 31, 2018, among Marriott Vacations</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left="172"/>
              <w:spacing w:after="0" w:line="190" w:lineRule="exact"/>
              <w:rPr>
                <w:rFonts w:ascii="Arial" w:cs="Arial" w:eastAsia="Arial" w:hAnsi="Arial"/>
                <w:sz w:val="18"/>
                <w:szCs w:val="18"/>
                <w:color w:val="0000FF"/>
                <w:w w:val="88"/>
              </w:rPr>
            </w:pPr>
            <w:hyperlink r:id="rId11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37</w:t>
              </w:r>
            </w:hyperlink>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3"/>
              </w:rPr>
              <w:t>Worldwide Corporation, Marriott Ownership Resorts, Inc., the lenders party thereto</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and JPMorgan Chase Bank, N.A., as 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72466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-1937385</wp:posOffset>
            </wp:positionV>
            <wp:extent cx="7246620" cy="995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9">
                      <a:extLst>
                        <a:ext uri="{28A0092B-C50C-407E-A947-70E740481C1C}"/>
                      </a:extLst>
                    </a:blip>
                    <a:srcRect/>
                    <a:stretch>
                      <a:fillRect/>
                    </a:stretch>
                  </pic:blipFill>
                  <pic:spPr bwMode="auto">
                    <a:xfrm>
                      <a:off x="0" y="0"/>
                      <a:ext cx="7246620" cy="995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44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-5513705</wp:posOffset>
            </wp:positionV>
            <wp:extent cx="7246620" cy="1003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2">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2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w w:val="91"/>
              </w:rPr>
              <w:t>Amendment No. 1 to Credit Agreement, dated as of December 3, 2019, among</w:t>
            </w:r>
          </w:p>
        </w:tc>
        <w:tc>
          <w:tcPr>
            <w:tcW w:w="0" w:type="dxa"/>
            <w:vAlign w:val="bottom"/>
          </w:tcPr>
          <w:p>
            <w:pPr>
              <w:spacing w:after="0"/>
              <w:rPr>
                <w:sz w:val="1"/>
                <w:szCs w:val="1"/>
                <w:color w:val="auto"/>
              </w:rPr>
            </w:pPr>
          </w:p>
        </w:tc>
      </w:tr>
      <w:tr>
        <w:trPr>
          <w:trHeight w:val="216"/>
        </w:trPr>
        <w:tc>
          <w:tcPr>
            <w:tcW w:w="620" w:type="dxa"/>
            <w:vAlign w:val="bottom"/>
            <w:gridSpan w:val="2"/>
            <w:vMerge w:val="restart"/>
          </w:tcPr>
          <w:p>
            <w:pPr>
              <w:jc w:val="right"/>
              <w:ind w:right="220"/>
              <w:spacing w:after="0"/>
              <w:rPr>
                <w:rFonts w:ascii="Arial" w:cs="Arial" w:eastAsia="Arial" w:hAnsi="Arial"/>
                <w:sz w:val="18"/>
                <w:szCs w:val="18"/>
                <w:color w:val="0000FF"/>
                <w:w w:val="84"/>
              </w:rPr>
            </w:pPr>
            <w:hyperlink w:anchor="page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38</w:t>
              </w:r>
            </w:hyperlink>
          </w:p>
        </w:tc>
        <w:tc>
          <w:tcPr>
            <w:tcW w:w="5960" w:type="dxa"/>
            <w:vAlign w:val="bottom"/>
          </w:tcPr>
          <w:p>
            <w:pPr>
              <w:ind w:left="200"/>
              <w:spacing w:after="0"/>
              <w:rPr>
                <w:sz w:val="20"/>
                <w:szCs w:val="20"/>
                <w:color w:val="auto"/>
              </w:rPr>
            </w:pPr>
            <w:r>
              <w:rPr>
                <w:rFonts w:ascii="Arial" w:cs="Arial" w:eastAsia="Arial" w:hAnsi="Arial"/>
                <w:sz w:val="18"/>
                <w:szCs w:val="18"/>
                <w:color w:val="auto"/>
                <w:w w:val="94"/>
              </w:rPr>
              <w:t>Marriott Vacations Worldwide Corporation, Marriott Ownership Resorts, Inc.,</w:t>
            </w:r>
          </w:p>
        </w:tc>
        <w:tc>
          <w:tcPr>
            <w:tcW w:w="0" w:type="dxa"/>
            <w:vAlign w:val="bottom"/>
          </w:tcPr>
          <w:p>
            <w:pPr>
              <w:spacing w:after="0"/>
              <w:rPr>
                <w:sz w:val="1"/>
                <w:szCs w:val="1"/>
                <w:color w:val="auto"/>
              </w:rPr>
            </w:pPr>
          </w:p>
        </w:tc>
      </w:tr>
      <w:tr>
        <w:trPr>
          <w:trHeight w:val="82"/>
        </w:trPr>
        <w:tc>
          <w:tcPr>
            <w:tcW w:w="620" w:type="dxa"/>
            <w:vAlign w:val="bottom"/>
            <w:gridSpan w:val="2"/>
            <w:vMerge w:val="continue"/>
          </w:tcPr>
          <w:p>
            <w:pPr>
              <w:spacing w:after="0"/>
              <w:rPr>
                <w:sz w:val="7"/>
                <w:szCs w:val="7"/>
                <w:color w:val="auto"/>
              </w:rPr>
            </w:pPr>
          </w:p>
        </w:tc>
        <w:tc>
          <w:tcPr>
            <w:tcW w:w="5960" w:type="dxa"/>
            <w:vAlign w:val="bottom"/>
            <w:vMerge w:val="restart"/>
          </w:tcPr>
          <w:p>
            <w:pPr>
              <w:ind w:left="200"/>
              <w:spacing w:after="0"/>
              <w:rPr>
                <w:sz w:val="20"/>
                <w:szCs w:val="20"/>
                <w:color w:val="auto"/>
              </w:rPr>
            </w:pPr>
            <w:r>
              <w:rPr>
                <w:rFonts w:ascii="Arial" w:cs="Arial" w:eastAsia="Arial" w:hAnsi="Arial"/>
                <w:sz w:val="18"/>
                <w:szCs w:val="18"/>
                <w:color w:val="auto"/>
                <w:w w:val="90"/>
              </w:rPr>
              <w:t>Interval Acquisition Corp., the lenders party thereto and JPMorgan Chase Bank,</w:t>
            </w:r>
          </w:p>
        </w:tc>
        <w:tc>
          <w:tcPr>
            <w:tcW w:w="0" w:type="dxa"/>
            <w:vAlign w:val="bottom"/>
          </w:tcPr>
          <w:p>
            <w:pPr>
              <w:spacing w:after="0"/>
              <w:rPr>
                <w:sz w:val="1"/>
                <w:szCs w:val="1"/>
                <w:color w:val="auto"/>
              </w:rPr>
            </w:pPr>
          </w:p>
        </w:tc>
      </w:tr>
      <w:tr>
        <w:trPr>
          <w:trHeight w:val="114"/>
        </w:trPr>
        <w:tc>
          <w:tcPr>
            <w:tcW w:w="40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5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N.A., as administrative agent</w:t>
            </w:r>
          </w:p>
        </w:tc>
        <w:tc>
          <w:tcPr>
            <w:tcW w:w="0" w:type="dxa"/>
            <w:vAlign w:val="bottom"/>
          </w:tcPr>
          <w:p>
            <w:pPr>
              <w:spacing w:after="0"/>
              <w:rPr>
                <w:sz w:val="1"/>
                <w:szCs w:val="1"/>
                <w:color w:val="auto"/>
              </w:rPr>
            </w:pPr>
          </w:p>
        </w:tc>
      </w:tr>
      <w:tr>
        <w:trPr>
          <w:trHeight w:val="256"/>
        </w:trPr>
        <w:tc>
          <w:tcPr>
            <w:tcW w:w="620" w:type="dxa"/>
            <w:vAlign w:val="bottom"/>
            <w:gridSpan w:val="2"/>
            <w:vMerge w:val="restart"/>
          </w:tcPr>
          <w:p>
            <w:pPr>
              <w:jc w:val="right"/>
              <w:ind w:right="220"/>
              <w:spacing w:after="0"/>
              <w:rPr>
                <w:rFonts w:ascii="Arial" w:cs="Arial" w:eastAsia="Arial" w:hAnsi="Arial"/>
                <w:sz w:val="18"/>
                <w:szCs w:val="18"/>
                <w:color w:val="0000FF"/>
                <w:w w:val="84"/>
              </w:rPr>
            </w:pPr>
            <w:hyperlink r:id="rId12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39</w:t>
              </w:r>
            </w:hyperlink>
          </w:p>
        </w:tc>
        <w:tc>
          <w:tcPr>
            <w:tcW w:w="5960" w:type="dxa"/>
            <w:vAlign w:val="bottom"/>
          </w:tcPr>
          <w:p>
            <w:pPr>
              <w:ind w:left="200"/>
              <w:spacing w:after="0"/>
              <w:rPr>
                <w:sz w:val="20"/>
                <w:szCs w:val="20"/>
                <w:color w:val="auto"/>
              </w:rPr>
            </w:pPr>
            <w:r>
              <w:rPr>
                <w:rFonts w:ascii="Arial" w:cs="Arial" w:eastAsia="Arial" w:hAnsi="Arial"/>
                <w:sz w:val="18"/>
                <w:szCs w:val="18"/>
                <w:color w:val="auto"/>
                <w:w w:val="91"/>
              </w:rPr>
              <w:t>Joinder Agreement, dated as of September 1, 2018, among Interval Acquisition</w:t>
            </w:r>
          </w:p>
        </w:tc>
        <w:tc>
          <w:tcPr>
            <w:tcW w:w="0" w:type="dxa"/>
            <w:vAlign w:val="bottom"/>
          </w:tcPr>
          <w:p>
            <w:pPr>
              <w:spacing w:after="0"/>
              <w:rPr>
                <w:sz w:val="1"/>
                <w:szCs w:val="1"/>
                <w:color w:val="auto"/>
              </w:rPr>
            </w:pPr>
          </w:p>
        </w:tc>
      </w:tr>
      <w:tr>
        <w:trPr>
          <w:trHeight w:val="82"/>
        </w:trPr>
        <w:tc>
          <w:tcPr>
            <w:tcW w:w="620" w:type="dxa"/>
            <w:vAlign w:val="bottom"/>
            <w:gridSpan w:val="2"/>
            <w:vMerge w:val="continue"/>
          </w:tcPr>
          <w:p>
            <w:pPr>
              <w:spacing w:after="0"/>
              <w:rPr>
                <w:sz w:val="7"/>
                <w:szCs w:val="7"/>
                <w:color w:val="auto"/>
              </w:rPr>
            </w:pPr>
          </w:p>
        </w:tc>
        <w:tc>
          <w:tcPr>
            <w:tcW w:w="5960" w:type="dxa"/>
            <w:vAlign w:val="bottom"/>
            <w:vMerge w:val="restart"/>
          </w:tcPr>
          <w:p>
            <w:pPr>
              <w:ind w:left="200"/>
              <w:spacing w:after="0"/>
              <w:rPr>
                <w:sz w:val="20"/>
                <w:szCs w:val="20"/>
                <w:color w:val="auto"/>
              </w:rPr>
            </w:pPr>
            <w:r>
              <w:rPr>
                <w:rFonts w:ascii="Arial" w:cs="Arial" w:eastAsia="Arial" w:hAnsi="Arial"/>
                <w:sz w:val="18"/>
                <w:szCs w:val="18"/>
                <w:color w:val="auto"/>
              </w:rPr>
              <w:t>Corp. and JPMorgan Chase Bank, N.A.</w:t>
            </w: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5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Pr>
          <w:p>
            <w:pPr>
              <w:ind w:left="47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1938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spacing w:after="0"/>
        <w:tabs>
          <w:tab w:leader="none" w:pos="860" w:val="left"/>
          <w:tab w:leader="none" w:pos="190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960" w:val="left"/>
          <w:tab w:leader="none" w:pos="18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11/25/2015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960" w:val="left"/>
          <w:tab w:leader="none" w:pos="18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 w:leader="none" w:pos="18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7/21/2016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960" w:val="left"/>
          <w:tab w:leader="none" w:pos="18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3/14/2017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8/21/2017</w:t>
            </w:r>
          </w:p>
        </w:tc>
      </w:tr>
      <w:tr>
        <w:trPr>
          <w:trHeight w:val="918"/>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27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4"/>
              </w:rPr>
              <w:t>10-Q</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270"/>
        </w:trPr>
        <w:tc>
          <w:tcPr>
            <w:tcW w:w="660" w:type="dxa"/>
            <w:vAlign w:val="bottom"/>
          </w:tcPr>
          <w:p>
            <w:pPr>
              <w:jc w:val="center"/>
              <w:ind w:right="190"/>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3/1/2019</w:t>
            </w:r>
          </w:p>
        </w:tc>
      </w:tr>
      <w:tr>
        <w:trPr>
          <w:trHeight w:val="486"/>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tabs>
          <w:tab w:leader="none" w:pos="96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9/5/2018</w:t>
      </w:r>
    </w:p>
    <w:p>
      <w:pPr>
        <w:sectPr>
          <w:pgSz w:w="11900" w:h="16838" w:orient="portrait"/>
          <w:cols w:equalWidth="0" w:num="3">
            <w:col w:w="7220" w:space="260"/>
            <w:col w:w="640" w:space="460"/>
            <w:col w:w="2680"/>
          </w:cols>
          <w:pgMar w:left="240" w:top="125" w:right="3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6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5"/>
              </w:rPr>
              <w:t>Number</w:t>
            </w:r>
          </w:p>
        </w:tc>
        <w:tc>
          <w:tcPr>
            <w:tcW w:w="6180" w:type="dxa"/>
            <w:vAlign w:val="bottom"/>
          </w:tcPr>
          <w:p>
            <w:pPr>
              <w:ind w:left="27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9"/>
              </w:rPr>
              <w:t>Omnibus Amendment No. 8, dated August 31, 2018, relating to, among other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5"/>
              </w:rPr>
              <w:t>agreements, the Third Amended and Restated Indenture, by and among Marriott</w:t>
            </w:r>
          </w:p>
        </w:tc>
        <w:tc>
          <w:tcPr>
            <w:tcW w:w="0" w:type="dxa"/>
            <w:vAlign w:val="bottom"/>
          </w:tcPr>
          <w:p>
            <w:pPr>
              <w:spacing w:after="0"/>
              <w:rPr>
                <w:sz w:val="1"/>
                <w:szCs w:val="1"/>
                <w:color w:val="auto"/>
              </w:rPr>
            </w:pPr>
          </w:p>
        </w:tc>
      </w:tr>
      <w:tr>
        <w:trPr>
          <w:trHeight w:val="216"/>
        </w:trPr>
        <w:tc>
          <w:tcPr>
            <w:tcW w:w="920" w:type="dxa"/>
            <w:vAlign w:val="bottom"/>
            <w:gridSpan w:val="3"/>
            <w:vMerge w:val="restart"/>
          </w:tcPr>
          <w:p>
            <w:pPr>
              <w:jc w:val="center"/>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40</w:t>
              </w:r>
            </w:hyperlink>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Vacations Worldwide Owner Trust 2011-1, Marriott Ownership Resorts, Inc., Wells</w:t>
            </w:r>
          </w:p>
        </w:tc>
        <w:tc>
          <w:tcPr>
            <w:tcW w:w="0" w:type="dxa"/>
            <w:vAlign w:val="bottom"/>
          </w:tcPr>
          <w:p>
            <w:pPr>
              <w:spacing w:after="0"/>
              <w:rPr>
                <w:sz w:val="1"/>
                <w:szCs w:val="1"/>
                <w:color w:val="auto"/>
              </w:rPr>
            </w:pPr>
          </w:p>
        </w:tc>
      </w:tr>
      <w:tr>
        <w:trPr>
          <w:trHeight w:val="82"/>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w w:val="97"/>
              </w:rPr>
              <w:t>Fargo Bank, National Association, MORI SPC Series Corp., Marriott Vacations</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Worldwide Corporation, the Purchasers signatory thereto, Deutsche Bank AG, New</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9"/>
              </w:rPr>
              <w:t>York Branch, Wilmington Trust, National Association, and MVCO Series LLC.</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 w:type="dxa"/>
            <w:vAlign w:val="bottom"/>
            <w:gridSpan w:val="2"/>
          </w:tcPr>
          <w:p>
            <w:pPr>
              <w:jc w:val="center"/>
              <w:ind w:right="260"/>
              <w:spacing w:after="0"/>
              <w:rPr>
                <w:rFonts w:ascii="Arial" w:cs="Arial" w:eastAsia="Arial" w:hAnsi="Arial"/>
                <w:sz w:val="18"/>
                <w:szCs w:val="18"/>
                <w:color w:val="0000FF"/>
                <w:w w:val="79"/>
              </w:rPr>
            </w:pPr>
            <w:hyperlink r:id="rId127">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41</w:t>
              </w:r>
            </w:hyperlink>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Deferred Compensation Plan for Non-Employee Directors*</w:t>
            </w:r>
          </w:p>
        </w:tc>
        <w:tc>
          <w:tcPr>
            <w:tcW w:w="0" w:type="dxa"/>
            <w:vAlign w:val="bottom"/>
          </w:tcPr>
          <w:p>
            <w:pPr>
              <w:spacing w:after="0"/>
              <w:rPr>
                <w:sz w:val="1"/>
                <w:szCs w:val="1"/>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w w:val="99"/>
              </w:rPr>
              <w:t>Interval Leisure Group, Inc. 2013 Stock and Incentive Compensation Plan, as</w:t>
            </w:r>
          </w:p>
        </w:tc>
        <w:tc>
          <w:tcPr>
            <w:tcW w:w="0" w:type="dxa"/>
            <w:vAlign w:val="bottom"/>
          </w:tcPr>
          <w:p>
            <w:pPr>
              <w:spacing w:after="0" w:line="20" w:lineRule="exact"/>
              <w:rPr>
                <w:sz w:val="1"/>
                <w:szCs w:val="1"/>
                <w:color w:val="auto"/>
              </w:rPr>
            </w:pPr>
          </w:p>
        </w:tc>
      </w:tr>
      <w:tr>
        <w:trPr>
          <w:trHeight w:val="276"/>
        </w:trPr>
        <w:tc>
          <w:tcPr>
            <w:tcW w:w="300" w:type="dxa"/>
            <w:vAlign w:val="bottom"/>
            <w:vMerge w:val="restart"/>
          </w:tcPr>
          <w:p>
            <w:pPr>
              <w:spacing w:after="0"/>
              <w:rPr>
                <w:sz w:val="24"/>
                <w:szCs w:val="24"/>
                <w:color w:val="auto"/>
              </w:rPr>
            </w:pPr>
          </w:p>
        </w:tc>
        <w:tc>
          <w:tcPr>
            <w:tcW w:w="620" w:type="dxa"/>
            <w:vAlign w:val="bottom"/>
            <w:gridSpan w:val="2"/>
            <w:vMerge w:val="restart"/>
          </w:tcPr>
          <w:p>
            <w:pPr>
              <w:jc w:val="center"/>
              <w:ind w:right="260"/>
              <w:spacing w:after="0"/>
              <w:rPr>
                <w:rFonts w:ascii="Arial" w:cs="Arial" w:eastAsia="Arial" w:hAnsi="Arial"/>
                <w:sz w:val="18"/>
                <w:szCs w:val="18"/>
                <w:color w:val="0000FF"/>
                <w:w w:val="79"/>
              </w:rPr>
            </w:pPr>
            <w:hyperlink r:id="rId128">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42</w:t>
              </w:r>
            </w:hyperlink>
          </w:p>
        </w:tc>
        <w:tc>
          <w:tcPr>
            <w:tcW w:w="12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920" w:type="dxa"/>
            <w:vAlign w:val="bottom"/>
            <w:gridSpan w:val="3"/>
            <w:vMerge w:val="restart"/>
          </w:tcPr>
          <w:p>
            <w:pPr>
              <w:jc w:val="center"/>
              <w:spacing w:after="0"/>
              <w:rPr>
                <w:rFonts w:ascii="Arial" w:cs="Arial" w:eastAsia="Arial" w:hAnsi="Arial"/>
                <w:sz w:val="18"/>
                <w:szCs w:val="18"/>
                <w:color w:val="0000FF"/>
                <w:w w:val="88"/>
              </w:rPr>
            </w:pPr>
            <w:hyperlink r:id="rId12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43</w:t>
              </w:r>
            </w:hyperlink>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4"/>
              </w:rPr>
              <w:t>Form of Terms and Conditions for Annual RSU Awards under the Interval Leisure</w:t>
            </w:r>
          </w:p>
        </w:tc>
        <w:tc>
          <w:tcPr>
            <w:tcW w:w="0" w:type="dxa"/>
            <w:vAlign w:val="bottom"/>
          </w:tcPr>
          <w:p>
            <w:pPr>
              <w:spacing w:after="0"/>
              <w:rPr>
                <w:sz w:val="1"/>
                <w:szCs w:val="1"/>
                <w:color w:val="auto"/>
              </w:rPr>
            </w:pPr>
          </w:p>
        </w:tc>
      </w:tr>
      <w:tr>
        <w:trPr>
          <w:trHeight w:val="82"/>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Group, Inc. 2013 Stock and Incentive Compensation Plan*</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7"/>
              </w:rPr>
              <w:t>Form of Terms and Conditions for Adjusted EBITDA Performance RSU Awards</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44</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7"/>
              </w:rPr>
              <w:t>under the Interval Leisure Group, Inc. 2013 Stock and Incentive Compensation</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56"/>
        </w:trPr>
        <w:tc>
          <w:tcPr>
            <w:tcW w:w="920" w:type="dxa"/>
            <w:vAlign w:val="bottom"/>
            <w:gridSpan w:val="3"/>
            <w:vMerge w:val="restart"/>
          </w:tcPr>
          <w:p>
            <w:pPr>
              <w:jc w:val="center"/>
              <w:spacing w:after="0"/>
              <w:rPr>
                <w:rFonts w:ascii="Arial" w:cs="Arial" w:eastAsia="Arial" w:hAnsi="Arial"/>
                <w:sz w:val="18"/>
                <w:szCs w:val="18"/>
                <w:color w:val="0000FF"/>
                <w:w w:val="88"/>
              </w:rPr>
            </w:pPr>
            <w:hyperlink r:id="rId13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45</w:t>
              </w:r>
            </w:hyperlink>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Form of Terms and Conditions for TSR-Based Performance RSU Awards under the</w:t>
            </w:r>
          </w:p>
        </w:tc>
        <w:tc>
          <w:tcPr>
            <w:tcW w:w="0" w:type="dxa"/>
            <w:vAlign w:val="bottom"/>
          </w:tcPr>
          <w:p>
            <w:pPr>
              <w:spacing w:after="0"/>
              <w:rPr>
                <w:sz w:val="1"/>
                <w:szCs w:val="1"/>
                <w:color w:val="auto"/>
              </w:rPr>
            </w:pPr>
          </w:p>
        </w:tc>
      </w:tr>
      <w:tr>
        <w:trPr>
          <w:trHeight w:val="82"/>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Interval Leisure Group, Inc. 2013 Stock and Incentive Compensation Plan*</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1"/>
              </w:rPr>
              <w:t>Employee Matters Agreement, dated as of October 27, 2015 among Interval Leisure</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46</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7"/>
              </w:rPr>
              <w:t>Group, Inc., Starwood Hotels &amp; Resorts Worldwide, Inc. and Vistana Signature</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Experiences, Inc., as amended</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License, Services and Development Agreement, dated as of May 11, 2016, among</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47</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Interval Leisure Group, Inc., Starwood Hotels &amp; Resorts Worldwide, Inc. and</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Vistana Signature Experiences, Inc.</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Tax Matters Agreement, dated as of May 11, 2016, among Interval Leisure Group,</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48</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Inc., Starwood Hotels &amp; Resorts Worldwide, Inc. and Vistana Signature</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Experiences, Inc.</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Starwood Preferred Guest Affiliation Agreement, dated as of May 11, 2016, among</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49</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8"/>
              </w:rPr>
              <w:t>Starwood Hotels &amp; Resorts Worldwide, Inc., Preferred Guest, Inc. and Vistana</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Signature Experiences, Inc.</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Termination of Noncompetition Agreement, effective September 1, 2018, between</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50</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w w:val="94"/>
              </w:rPr>
              <w:t>Starwood Hotels &amp; Resorts Worldwide, LLC (formerly Starwood Hotels &amp; Resorts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Worldwide, Inc.) and Vistana Signatures Experiences, Inc.</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Letter of Agreement, effective September 1, 2018, among Marriott Vacations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9"/>
              </w:rPr>
              <w:t>Worldwide Corporation, Marriott Ownership Resorts, Inc., Vistana Signatures</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51</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Experiences, Inc., ILG, LLC, Marriott International, Inc., Marriott Worldwide</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6"/>
              </w:rPr>
              <w:t>Corporation, Marriott Rewards, LLC and Starwood Hotels &amp; Resorts Worldwide,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56"/>
        </w:trPr>
        <w:tc>
          <w:tcPr>
            <w:tcW w:w="920" w:type="dxa"/>
            <w:vAlign w:val="bottom"/>
            <w:gridSpan w:val="3"/>
            <w:vMerge w:val="restart"/>
          </w:tcPr>
          <w:p>
            <w:pPr>
              <w:jc w:val="center"/>
              <w:spacing w:after="0"/>
              <w:rPr>
                <w:rFonts w:ascii="Arial" w:cs="Arial" w:eastAsia="Arial" w:hAnsi="Arial"/>
                <w:sz w:val="18"/>
                <w:szCs w:val="18"/>
                <w:color w:val="0000FF"/>
                <w:w w:val="88"/>
              </w:rPr>
            </w:pPr>
            <w:hyperlink r:id="rId13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52</w:t>
              </w:r>
            </w:hyperlink>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8"/>
              </w:rPr>
              <w:t>Amendment No. 2 to the Interval Leisure Group, Inc. 2013 Stock and Incentive</w:t>
            </w:r>
          </w:p>
        </w:tc>
        <w:tc>
          <w:tcPr>
            <w:tcW w:w="0" w:type="dxa"/>
            <w:vAlign w:val="bottom"/>
          </w:tcPr>
          <w:p>
            <w:pPr>
              <w:spacing w:after="0"/>
              <w:rPr>
                <w:sz w:val="1"/>
                <w:szCs w:val="1"/>
                <w:color w:val="auto"/>
              </w:rPr>
            </w:pPr>
          </w:p>
        </w:tc>
      </w:tr>
      <w:tr>
        <w:trPr>
          <w:trHeight w:val="82"/>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Compensation Plan, dated February 25, 2018*</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920" w:type="dxa"/>
            <w:vAlign w:val="bottom"/>
            <w:gridSpan w:val="3"/>
            <w:vMerge w:val="restart"/>
          </w:tcPr>
          <w:p>
            <w:pPr>
              <w:jc w:val="center"/>
              <w:spacing w:after="0"/>
              <w:rPr>
                <w:rFonts w:ascii="Arial" w:cs="Arial" w:eastAsia="Arial" w:hAnsi="Arial"/>
                <w:sz w:val="18"/>
                <w:szCs w:val="18"/>
                <w:color w:val="0000FF"/>
                <w:w w:val="88"/>
              </w:rPr>
            </w:pPr>
            <w:hyperlink r:id="rId13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53</w:t>
              </w:r>
            </w:hyperlink>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2"/>
              </w:rPr>
              <w:t>Amended and Restated Employment Agreement between ILG, Inc. and Jeanette E.</w:t>
            </w:r>
          </w:p>
        </w:tc>
        <w:tc>
          <w:tcPr>
            <w:tcW w:w="0" w:type="dxa"/>
            <w:vAlign w:val="bottom"/>
          </w:tcPr>
          <w:p>
            <w:pPr>
              <w:spacing w:after="0"/>
              <w:rPr>
                <w:sz w:val="1"/>
                <w:szCs w:val="1"/>
                <w:color w:val="auto"/>
              </w:rPr>
            </w:pPr>
          </w:p>
        </w:tc>
      </w:tr>
      <w:tr>
        <w:trPr>
          <w:trHeight w:val="82"/>
        </w:trPr>
        <w:tc>
          <w:tcPr>
            <w:tcW w:w="9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Marbert, dated as of March 24, 2017*</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Amendment dated March 28, 2018 to Amended and Restated Employment</w:t>
            </w:r>
          </w:p>
        </w:tc>
        <w:tc>
          <w:tcPr>
            <w:tcW w:w="0" w:type="dxa"/>
            <w:vAlign w:val="bottom"/>
          </w:tcPr>
          <w:p>
            <w:pPr>
              <w:spacing w:after="0"/>
              <w:rPr>
                <w:sz w:val="1"/>
                <w:szCs w:val="1"/>
                <w:color w:val="auto"/>
              </w:rPr>
            </w:pPr>
          </w:p>
        </w:tc>
      </w:tr>
      <w:tr>
        <w:trPr>
          <w:trHeight w:val="190"/>
        </w:trPr>
        <w:tc>
          <w:tcPr>
            <w:tcW w:w="920" w:type="dxa"/>
            <w:vAlign w:val="bottom"/>
            <w:gridSpan w:val="3"/>
          </w:tcPr>
          <w:p>
            <w:pPr>
              <w:jc w:val="center"/>
              <w:spacing w:after="0" w:line="190"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54</w:t>
              </w:r>
            </w:hyperlink>
          </w:p>
        </w:tc>
        <w:tc>
          <w:tcPr>
            <w:tcW w:w="120" w:type="dxa"/>
            <w:vAlign w:val="bottom"/>
          </w:tcPr>
          <w:p>
            <w:pPr>
              <w:spacing w:after="0"/>
              <w:rPr>
                <w:sz w:val="16"/>
                <w:szCs w:val="16"/>
                <w:color w:val="auto"/>
              </w:rPr>
            </w:pPr>
          </w:p>
        </w:tc>
        <w:tc>
          <w:tcPr>
            <w:tcW w:w="6180" w:type="dxa"/>
            <w:vAlign w:val="bottom"/>
          </w:tcPr>
          <w:p>
            <w:pPr>
              <w:ind w:left="40"/>
              <w:spacing w:after="0" w:line="190" w:lineRule="exact"/>
              <w:rPr>
                <w:sz w:val="20"/>
                <w:szCs w:val="20"/>
                <w:color w:val="auto"/>
              </w:rPr>
            </w:pPr>
            <w:r>
              <w:rPr>
                <w:rFonts w:ascii="Arial" w:cs="Arial" w:eastAsia="Arial" w:hAnsi="Arial"/>
                <w:sz w:val="18"/>
                <w:szCs w:val="18"/>
                <w:color w:val="auto"/>
              </w:rPr>
              <w:t>Agreement between ILG, Inc. and Jeanette E.</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Marbert*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73">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Subsidiaries of Marriott Vacations Worldwide Corporation</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91"/>
              </w:rPr>
            </w:pPr>
            <w:hyperlink w:anchor="page179">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91"/>
        </w:trPr>
        <w:tc>
          <w:tcPr>
            <w:tcW w:w="660" w:type="dxa"/>
            <w:vAlign w:val="bottom"/>
            <w:gridSpan w:val="2"/>
          </w:tcPr>
          <w:p>
            <w:pPr>
              <w:jc w:val="center"/>
              <w:ind w:left="171"/>
              <w:spacing w:after="0"/>
              <w:rPr>
                <w:sz w:val="20"/>
                <w:szCs w:val="20"/>
                <w:color w:val="auto"/>
              </w:rPr>
            </w:pPr>
            <w:r>
              <w:rPr>
                <w:rFonts w:ascii="Arial" w:cs="Arial" w:eastAsia="Arial" w:hAnsi="Arial"/>
                <w:sz w:val="18"/>
                <w:szCs w:val="18"/>
                <w:color w:val="auto"/>
                <w:w w:val="91"/>
              </w:rPr>
              <w:t>24.1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rPr>
              <w:t>Powers of Attorney (included on the signature pages hereto)</w:t>
            </w:r>
          </w:p>
        </w:tc>
        <w:tc>
          <w:tcPr>
            <w:tcW w:w="0" w:type="dxa"/>
            <w:vAlign w:val="bottom"/>
          </w:tcPr>
          <w:p>
            <w:pPr>
              <w:spacing w:after="0"/>
              <w:rPr>
                <w:sz w:val="1"/>
                <w:szCs w:val="1"/>
                <w:color w:val="auto"/>
              </w:rPr>
            </w:pPr>
          </w:p>
        </w:tc>
      </w:tr>
      <w:tr>
        <w:trPr>
          <w:trHeight w:val="256"/>
        </w:trPr>
        <w:tc>
          <w:tcPr>
            <w:tcW w:w="660" w:type="dxa"/>
            <w:vAlign w:val="bottom"/>
            <w:gridSpan w:val="2"/>
            <w:vMerge w:val="restart"/>
          </w:tcPr>
          <w:p>
            <w:pPr>
              <w:jc w:val="center"/>
              <w:ind w:left="171"/>
              <w:spacing w:after="0"/>
              <w:rPr>
                <w:rFonts w:ascii="Arial" w:cs="Arial" w:eastAsia="Arial" w:hAnsi="Arial"/>
                <w:sz w:val="18"/>
                <w:szCs w:val="18"/>
                <w:color w:val="0000FF"/>
                <w:w w:val="91"/>
              </w:rPr>
            </w:pPr>
            <w:hyperlink w:anchor="page18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80" w:type="dxa"/>
            <w:vAlign w:val="bottom"/>
          </w:tcPr>
          <w:p>
            <w:pPr>
              <w:ind w:left="40"/>
              <w:spacing w:after="0"/>
              <w:rPr>
                <w:sz w:val="20"/>
                <w:szCs w:val="20"/>
                <w:color w:val="auto"/>
              </w:rPr>
            </w:pPr>
            <w:r>
              <w:rPr>
                <w:rFonts w:ascii="Arial" w:cs="Arial" w:eastAsia="Arial" w:hAnsi="Arial"/>
                <w:sz w:val="18"/>
                <w:szCs w:val="18"/>
                <w:color w:val="auto"/>
                <w:w w:val="93"/>
              </w:rPr>
              <w:t>Certification of Chief Executive Officer pursuant to Rule 13a-14(a) of the Securities</w:t>
            </w:r>
          </w:p>
        </w:tc>
        <w:tc>
          <w:tcPr>
            <w:tcW w:w="0" w:type="dxa"/>
            <w:vAlign w:val="bottom"/>
          </w:tcPr>
          <w:p>
            <w:pPr>
              <w:spacing w:after="0"/>
              <w:rPr>
                <w:sz w:val="1"/>
                <w:szCs w:val="1"/>
                <w:color w:val="auto"/>
              </w:rPr>
            </w:pPr>
          </w:p>
        </w:tc>
      </w:tr>
      <w:tr>
        <w:trPr>
          <w:trHeight w:val="82"/>
        </w:trPr>
        <w:tc>
          <w:tcPr>
            <w:tcW w:w="6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80" w:type="dxa"/>
            <w:vAlign w:val="bottom"/>
            <w:vMerge w:val="restart"/>
          </w:tcPr>
          <w:p>
            <w:pPr>
              <w:ind w:left="4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-5882640</wp:posOffset>
            </wp:positionV>
            <wp:extent cx="72466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-5127625</wp:posOffset>
            </wp:positionV>
            <wp:extent cx="724662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-4373245</wp:posOffset>
            </wp:positionV>
            <wp:extent cx="724662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-3481070</wp:posOffset>
            </wp:positionV>
            <wp:extent cx="7246620" cy="445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-2589530</wp:posOffset>
            </wp:positionV>
            <wp:extent cx="7246620" cy="720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6">
                      <a:extLst>
                        <a:ext uri="{28A0092B-C50C-407E-A947-70E740481C1C}"/>
                      </a:extLst>
                    </a:blip>
                    <a:srcRect/>
                    <a:stretch>
                      <a:fillRect/>
                    </a:stretch>
                  </pic:blipFill>
                  <pic:spPr bwMode="auto">
                    <a:xfrm>
                      <a:off x="0" y="0"/>
                      <a:ext cx="72466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724662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w:anchor="page18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26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Rule 13a-14(a) of the Securities</w:t>
            </w:r>
          </w:p>
        </w:tc>
        <w:tc>
          <w:tcPr>
            <w:tcW w:w="0" w:type="dxa"/>
            <w:vAlign w:val="bottom"/>
          </w:tcPr>
          <w:p>
            <w:pPr>
              <w:spacing w:after="0"/>
              <w:rPr>
                <w:sz w:val="1"/>
                <w:szCs w:val="1"/>
                <w:color w:val="auto"/>
              </w:rPr>
            </w:pPr>
          </w:p>
        </w:tc>
      </w:tr>
      <w:tr>
        <w:trPr>
          <w:trHeight w:val="82"/>
        </w:trPr>
        <w:tc>
          <w:tcPr>
            <w:tcW w:w="540" w:type="dxa"/>
            <w:vAlign w:val="bottom"/>
            <w:gridSpan w:val="2"/>
            <w:vMerge w:val="continue"/>
          </w:tcPr>
          <w:p>
            <w:pPr>
              <w:spacing w:after="0"/>
              <w:rPr>
                <w:sz w:val="7"/>
                <w:szCs w:val="7"/>
                <w:color w:val="auto"/>
              </w:rPr>
            </w:pPr>
          </w:p>
        </w:tc>
        <w:tc>
          <w:tcPr>
            <w:tcW w:w="6260" w:type="dxa"/>
            <w:vAlign w:val="bottom"/>
            <w:vMerge w:val="restart"/>
          </w:tcPr>
          <w:p>
            <w:pPr>
              <w:ind w:left="24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r>
        <w:trPr>
          <w:trHeight w:val="129"/>
        </w:trPr>
        <w:tc>
          <w:tcPr>
            <w:tcW w:w="3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6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40005</wp:posOffset>
            </wp:positionV>
            <wp:extent cx="5829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37465</wp:posOffset>
            </wp:positionV>
            <wp:extent cx="1938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920" w:val="left"/>
          <w:tab w:leader="none" w:pos="196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5"/>
          <w:szCs w:val="15"/>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37465</wp:posOffset>
            </wp:positionV>
            <wp:extent cx="1938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94"/>
              </w:rPr>
              <w:t>10-Q</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865"/>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84"/>
              </w:rPr>
              <w:t>S-1</w:t>
            </w:r>
            <w:r>
              <w:rPr>
                <w:rFonts w:ascii="Arial" w:cs="Arial" w:eastAsia="Arial" w:hAnsi="Arial"/>
                <w:sz w:val="21"/>
                <w:szCs w:val="21"/>
                <w:color w:val="auto"/>
                <w:w w:val="84"/>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8/1/2018</w:t>
            </w:r>
          </w:p>
        </w:tc>
      </w:tr>
      <w:tr>
        <w:trPr>
          <w:trHeight w:val="378"/>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84"/>
              </w:rPr>
              <w:t>S-8</w:t>
            </w:r>
            <w:r>
              <w:rPr>
                <w:rFonts w:ascii="Arial" w:cs="Arial" w:eastAsia="Arial" w:hAnsi="Arial"/>
                <w:sz w:val="21"/>
                <w:szCs w:val="21"/>
                <w:color w:val="auto"/>
                <w:w w:val="84"/>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8/5/2016</w:t>
            </w:r>
          </w:p>
        </w:tc>
      </w:tr>
      <w:tr>
        <w:trPr>
          <w:trHeight w:val="486"/>
        </w:trPr>
        <w:tc>
          <w:tcPr>
            <w:tcW w:w="740" w:type="dxa"/>
            <w:vAlign w:val="bottom"/>
          </w:tcPr>
          <w:p>
            <w:pPr>
              <w:jc w:val="center"/>
              <w:ind w:right="159"/>
              <w:spacing w:after="0"/>
              <w:rPr>
                <w:sz w:val="20"/>
                <w:szCs w:val="20"/>
                <w:color w:val="auto"/>
              </w:rPr>
            </w:pPr>
            <w:r>
              <w:rPr>
                <w:rFonts w:ascii="Arial" w:cs="Arial" w:eastAsia="Arial" w:hAnsi="Arial"/>
                <w:sz w:val="16"/>
                <w:szCs w:val="16"/>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5/8/2014</w:t>
            </w:r>
          </w:p>
        </w:tc>
      </w:tr>
      <w:tr>
        <w:trPr>
          <w:trHeight w:val="594"/>
        </w:trPr>
        <w:tc>
          <w:tcPr>
            <w:tcW w:w="740" w:type="dxa"/>
            <w:vAlign w:val="bottom"/>
          </w:tcPr>
          <w:p>
            <w:pPr>
              <w:jc w:val="center"/>
              <w:ind w:right="159"/>
              <w:spacing w:after="0"/>
              <w:rPr>
                <w:sz w:val="20"/>
                <w:szCs w:val="20"/>
                <w:color w:val="auto"/>
              </w:rPr>
            </w:pPr>
            <w:r>
              <w:rPr>
                <w:rFonts w:ascii="Arial" w:cs="Arial" w:eastAsia="Arial" w:hAnsi="Arial"/>
                <w:sz w:val="16"/>
                <w:szCs w:val="16"/>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5/8/2014</w:t>
            </w:r>
          </w:p>
        </w:tc>
      </w:tr>
      <w:tr>
        <w:trPr>
          <w:trHeight w:val="594"/>
        </w:trPr>
        <w:tc>
          <w:tcPr>
            <w:tcW w:w="740" w:type="dxa"/>
            <w:vAlign w:val="bottom"/>
          </w:tcPr>
          <w:p>
            <w:pPr>
              <w:jc w:val="center"/>
              <w:ind w:right="159"/>
              <w:spacing w:after="0"/>
              <w:rPr>
                <w:sz w:val="20"/>
                <w:szCs w:val="20"/>
                <w:color w:val="auto"/>
              </w:rPr>
            </w:pPr>
            <w:r>
              <w:rPr>
                <w:rFonts w:ascii="Arial" w:cs="Arial" w:eastAsia="Arial" w:hAnsi="Arial"/>
                <w:sz w:val="16"/>
                <w:szCs w:val="16"/>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5/8/2014</w:t>
            </w:r>
          </w:p>
        </w:tc>
      </w:tr>
      <w:tr>
        <w:trPr>
          <w:trHeight w:val="539"/>
        </w:trPr>
        <w:tc>
          <w:tcPr>
            <w:tcW w:w="740" w:type="dxa"/>
            <w:vAlign w:val="bottom"/>
          </w:tcPr>
          <w:p>
            <w:pPr>
              <w:jc w:val="center"/>
              <w:ind w:right="179"/>
              <w:spacing w:after="0"/>
              <w:rPr>
                <w:sz w:val="20"/>
                <w:szCs w:val="20"/>
                <w:color w:val="auto"/>
              </w:rPr>
            </w:pPr>
            <w:r>
              <w:rPr>
                <w:rFonts w:ascii="Arial" w:cs="Arial" w:eastAsia="Arial" w:hAnsi="Arial"/>
                <w:sz w:val="36"/>
                <w:szCs w:val="36"/>
                <w:color w:val="auto"/>
                <w:w w:val="78"/>
                <w:vertAlign w:val="subscript"/>
              </w:rPr>
              <w:t>8-K</w:t>
            </w:r>
            <w:r>
              <w:rPr>
                <w:rFonts w:ascii="Arial" w:cs="Arial" w:eastAsia="Arial" w:hAnsi="Arial"/>
                <w:sz w:val="11"/>
                <w:szCs w:val="11"/>
                <w:color w:val="auto"/>
                <w:w w:val="78"/>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5/12/2016</w:t>
            </w:r>
          </w:p>
        </w:tc>
      </w:tr>
      <w:tr>
        <w:trPr>
          <w:trHeight w:val="702"/>
        </w:trPr>
        <w:tc>
          <w:tcPr>
            <w:tcW w:w="740" w:type="dxa"/>
            <w:vAlign w:val="bottom"/>
          </w:tcPr>
          <w:p>
            <w:pPr>
              <w:jc w:val="center"/>
              <w:ind w:right="179"/>
              <w:spacing w:after="0"/>
              <w:rPr>
                <w:sz w:val="20"/>
                <w:szCs w:val="20"/>
                <w:color w:val="auto"/>
              </w:rPr>
            </w:pPr>
            <w:r>
              <w:rPr>
                <w:rFonts w:ascii="Arial" w:cs="Arial" w:eastAsia="Arial" w:hAnsi="Arial"/>
                <w:sz w:val="36"/>
                <w:szCs w:val="36"/>
                <w:color w:val="auto"/>
                <w:w w:val="78"/>
                <w:vertAlign w:val="subscript"/>
              </w:rPr>
              <w:t>8-K</w:t>
            </w:r>
            <w:r>
              <w:rPr>
                <w:rFonts w:ascii="Arial" w:cs="Arial" w:eastAsia="Arial" w:hAnsi="Arial"/>
                <w:sz w:val="11"/>
                <w:szCs w:val="11"/>
                <w:color w:val="auto"/>
                <w:w w:val="78"/>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5/12/2016</w:t>
            </w:r>
          </w:p>
        </w:tc>
      </w:tr>
      <w:tr>
        <w:trPr>
          <w:trHeight w:val="702"/>
        </w:trPr>
        <w:tc>
          <w:tcPr>
            <w:tcW w:w="740" w:type="dxa"/>
            <w:vAlign w:val="bottom"/>
          </w:tcPr>
          <w:p>
            <w:pPr>
              <w:jc w:val="center"/>
              <w:ind w:right="179"/>
              <w:spacing w:after="0"/>
              <w:rPr>
                <w:sz w:val="20"/>
                <w:szCs w:val="20"/>
                <w:color w:val="auto"/>
              </w:rPr>
            </w:pPr>
            <w:r>
              <w:rPr>
                <w:rFonts w:ascii="Arial" w:cs="Arial" w:eastAsia="Arial" w:hAnsi="Arial"/>
                <w:sz w:val="36"/>
                <w:szCs w:val="36"/>
                <w:color w:val="auto"/>
                <w:w w:val="78"/>
                <w:vertAlign w:val="subscript"/>
              </w:rPr>
              <w:t>8-K</w:t>
            </w:r>
            <w:r>
              <w:rPr>
                <w:rFonts w:ascii="Arial" w:cs="Arial" w:eastAsia="Arial" w:hAnsi="Arial"/>
                <w:sz w:val="11"/>
                <w:szCs w:val="11"/>
                <w:color w:val="auto"/>
                <w:w w:val="78"/>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5/12/2016</w:t>
            </w:r>
          </w:p>
        </w:tc>
      </w:tr>
      <w:tr>
        <w:trPr>
          <w:trHeight w:val="757"/>
        </w:trPr>
        <w:tc>
          <w:tcPr>
            <w:tcW w:w="740" w:type="dxa"/>
            <w:vAlign w:val="bottom"/>
          </w:tcPr>
          <w:p>
            <w:pPr>
              <w:jc w:val="center"/>
              <w:ind w:right="179"/>
              <w:spacing w:after="0"/>
              <w:rPr>
                <w:sz w:val="20"/>
                <w:szCs w:val="20"/>
                <w:color w:val="auto"/>
              </w:rPr>
            </w:pPr>
            <w:r>
              <w:rPr>
                <w:rFonts w:ascii="Arial" w:cs="Arial" w:eastAsia="Arial" w:hAnsi="Arial"/>
                <w:sz w:val="18"/>
                <w:szCs w:val="18"/>
                <w:color w:val="auto"/>
                <w:w w:val="88"/>
              </w:rPr>
              <w:t>8-K</w:t>
            </w:r>
            <w:r>
              <w:rPr>
                <w:rFonts w:ascii="Arial" w:cs="Arial" w:eastAsia="Arial" w:hAnsi="Arial"/>
                <w:sz w:val="21"/>
                <w:szCs w:val="21"/>
                <w:color w:val="auto"/>
                <w:w w:val="88"/>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5/12/2016</w:t>
            </w:r>
          </w:p>
        </w:tc>
      </w:tr>
      <w:tr>
        <w:trPr>
          <w:trHeight w:val="647"/>
        </w:trPr>
        <w:tc>
          <w:tcPr>
            <w:tcW w:w="740" w:type="dxa"/>
            <w:vAlign w:val="bottom"/>
          </w:tcPr>
          <w:p>
            <w:pPr>
              <w:jc w:val="center"/>
              <w:ind w:right="179"/>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9/20/2018</w:t>
            </w:r>
          </w:p>
        </w:tc>
      </w:tr>
      <w:tr>
        <w:trPr>
          <w:trHeight w:val="918"/>
        </w:trPr>
        <w:tc>
          <w:tcPr>
            <w:tcW w:w="740" w:type="dxa"/>
            <w:vAlign w:val="bottom"/>
          </w:tcPr>
          <w:p>
            <w:pPr>
              <w:jc w:val="center"/>
              <w:ind w:right="179"/>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9/20/2018</w:t>
            </w:r>
          </w:p>
        </w:tc>
      </w:tr>
      <w:tr>
        <w:trPr>
          <w:trHeight w:val="865"/>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r>
        <w:trPr>
          <w:trHeight w:val="486"/>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5/5/2017</w:t>
            </w:r>
          </w:p>
        </w:tc>
      </w:tr>
      <w:tr>
        <w:trPr>
          <w:trHeight w:val="594"/>
        </w:trPr>
        <w:tc>
          <w:tcPr>
            <w:tcW w:w="740" w:type="dxa"/>
            <w:vAlign w:val="bottom"/>
          </w:tcPr>
          <w:p>
            <w:pPr>
              <w:jc w:val="center"/>
              <w:ind w:right="159"/>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210"/>
              <w:spacing w:after="0"/>
              <w:rPr>
                <w:sz w:val="20"/>
                <w:szCs w:val="20"/>
                <w:color w:val="auto"/>
              </w:rPr>
            </w:pPr>
            <w:r>
              <w:rPr>
                <w:rFonts w:ascii="Arial" w:cs="Arial" w:eastAsia="Arial" w:hAnsi="Arial"/>
                <w:sz w:val="18"/>
                <w:szCs w:val="18"/>
                <w:color w:val="auto"/>
                <w:w w:val="91"/>
              </w:rPr>
              <w:t>5/4/2018</w:t>
            </w:r>
          </w:p>
        </w:tc>
      </w:tr>
    </w:tbl>
    <w:p>
      <w:pPr>
        <w:spacing w:after="0" w:line="2143" w:lineRule="exact"/>
        <w:rPr>
          <w:sz w:val="20"/>
          <w:szCs w:val="20"/>
          <w:color w:val="auto"/>
        </w:rPr>
      </w:pPr>
    </w:p>
    <w:p>
      <w:pPr>
        <w:sectPr>
          <w:pgSz w:w="11900" w:h="16838" w:orient="portrait"/>
          <w:cols w:equalWidth="0" w:num="3">
            <w:col w:w="7220" w:space="260"/>
            <w:col w:w="640" w:space="400"/>
            <w:col w:w="2700"/>
          </w:cols>
          <w:pgMar w:left="240" w:top="125" w:right="439" w:bottom="1440" w:gutter="0" w:footer="0" w:header="0"/>
        </w:sectPr>
      </w:pP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220"/>
          </w:cols>
          <w:pgMar w:left="240" w:top="125" w:right="4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60" w:type="dxa"/>
            <w:vAlign w:val="bottom"/>
            <w:vMerge w:val="restart"/>
          </w:tcPr>
          <w:p>
            <w:pPr>
              <w:jc w:val="center"/>
              <w:ind w:right="1399"/>
              <w:spacing w:after="0"/>
              <w:rPr>
                <w:sz w:val="20"/>
                <w:szCs w:val="20"/>
                <w:color w:val="auto"/>
              </w:rPr>
            </w:pPr>
            <w:r>
              <w:rPr>
                <w:rFonts w:ascii="Arial" w:cs="Arial" w:eastAsia="Arial" w:hAnsi="Arial"/>
                <w:sz w:val="16"/>
                <w:szCs w:val="16"/>
                <w:b w:val="1"/>
                <w:bCs w:val="1"/>
                <w:color w:val="auto"/>
                <w:w w:val="93"/>
              </w:rPr>
              <w:t>Exhibit</w:t>
            </w:r>
          </w:p>
        </w:tc>
        <w:tc>
          <w:tcPr>
            <w:tcW w:w="3760" w:type="dxa"/>
            <w:vAlign w:val="bottom"/>
          </w:tcPr>
          <w:p>
            <w:pPr>
              <w:spacing w:after="0"/>
              <w:rPr>
                <w:sz w:val="18"/>
                <w:szCs w:val="18"/>
                <w:color w:val="auto"/>
              </w:rPr>
            </w:pPr>
          </w:p>
        </w:tc>
        <w:tc>
          <w:tcPr>
            <w:tcW w:w="2360" w:type="dxa"/>
            <w:vAlign w:val="bottom"/>
            <w:vMerge w:val="restart"/>
          </w:tcPr>
          <w:p>
            <w:pPr>
              <w:jc w:val="center"/>
              <w:ind w:left="1159"/>
              <w:spacing w:after="0"/>
              <w:rPr>
                <w:sz w:val="20"/>
                <w:szCs w:val="20"/>
                <w:color w:val="auto"/>
              </w:rPr>
            </w:pPr>
            <w:r>
              <w:rPr>
                <w:rFonts w:ascii="Arial" w:cs="Arial" w:eastAsia="Arial" w:hAnsi="Arial"/>
                <w:sz w:val="16"/>
                <w:szCs w:val="16"/>
                <w:b w:val="1"/>
                <w:bCs w:val="1"/>
                <w:color w:val="auto"/>
                <w:w w:val="96"/>
              </w:rPr>
              <w:t>Filed</w:t>
            </w:r>
          </w:p>
        </w:tc>
        <w:tc>
          <w:tcPr>
            <w:tcW w:w="3060" w:type="dxa"/>
            <w:vAlign w:val="bottom"/>
            <w:gridSpan w:val="3"/>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060" w:type="dxa"/>
            <w:vAlign w:val="bottom"/>
            <w:vMerge w:val="continue"/>
          </w:tcPr>
          <w:p>
            <w:pPr>
              <w:spacing w:after="0"/>
              <w:rPr>
                <w:sz w:val="2"/>
                <w:szCs w:val="2"/>
                <w:color w:val="auto"/>
              </w:rPr>
            </w:pPr>
          </w:p>
        </w:tc>
        <w:tc>
          <w:tcPr>
            <w:tcW w:w="3760" w:type="dxa"/>
            <w:vAlign w:val="bottom"/>
          </w:tcPr>
          <w:p>
            <w:pPr>
              <w:spacing w:after="0"/>
              <w:rPr>
                <w:sz w:val="2"/>
                <w:szCs w:val="2"/>
                <w:color w:val="auto"/>
              </w:rPr>
            </w:pPr>
          </w:p>
        </w:tc>
        <w:tc>
          <w:tcPr>
            <w:tcW w:w="236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60" w:type="dxa"/>
            <w:vAlign w:val="bottom"/>
          </w:tcPr>
          <w:p>
            <w:pPr>
              <w:jc w:val="center"/>
              <w:ind w:right="1399"/>
              <w:spacing w:after="0"/>
              <w:rPr>
                <w:sz w:val="20"/>
                <w:szCs w:val="20"/>
                <w:color w:val="auto"/>
              </w:rPr>
            </w:pPr>
            <w:r>
              <w:rPr>
                <w:rFonts w:ascii="Arial" w:cs="Arial" w:eastAsia="Arial" w:hAnsi="Arial"/>
                <w:sz w:val="16"/>
                <w:szCs w:val="16"/>
                <w:b w:val="1"/>
                <w:bCs w:val="1"/>
                <w:color w:val="auto"/>
                <w:w w:val="95"/>
              </w:rPr>
              <w:t>Number</w:t>
            </w:r>
          </w:p>
        </w:tc>
        <w:tc>
          <w:tcPr>
            <w:tcW w:w="3760" w:type="dxa"/>
            <w:vAlign w:val="bottom"/>
          </w:tcPr>
          <w:p>
            <w:pPr>
              <w:ind w:left="1500"/>
              <w:spacing w:after="0"/>
              <w:rPr>
                <w:sz w:val="20"/>
                <w:szCs w:val="20"/>
                <w:color w:val="auto"/>
              </w:rPr>
            </w:pPr>
            <w:r>
              <w:rPr>
                <w:rFonts w:ascii="Arial" w:cs="Arial" w:eastAsia="Arial" w:hAnsi="Arial"/>
                <w:sz w:val="16"/>
                <w:szCs w:val="16"/>
                <w:b w:val="1"/>
                <w:bCs w:val="1"/>
                <w:color w:val="auto"/>
              </w:rPr>
              <w:t>Description</w:t>
            </w:r>
          </w:p>
        </w:tc>
        <w:tc>
          <w:tcPr>
            <w:tcW w:w="2360" w:type="dxa"/>
            <w:vAlign w:val="bottom"/>
          </w:tcPr>
          <w:p>
            <w:pPr>
              <w:jc w:val="center"/>
              <w:ind w:left="1159"/>
              <w:spacing w:after="0"/>
              <w:rPr>
                <w:sz w:val="20"/>
                <w:szCs w:val="20"/>
                <w:color w:val="auto"/>
              </w:rPr>
            </w:pPr>
            <w:r>
              <w:rPr>
                <w:rFonts w:ascii="Arial" w:cs="Arial" w:eastAsia="Arial" w:hAnsi="Arial"/>
                <w:sz w:val="16"/>
                <w:szCs w:val="16"/>
                <w:b w:val="1"/>
                <w:bCs w:val="1"/>
                <w:color w:val="auto"/>
                <w:w w:val="94"/>
              </w:rPr>
              <w:t>Herewith</w:t>
            </w:r>
          </w:p>
        </w:tc>
        <w:tc>
          <w:tcPr>
            <w:tcW w:w="860" w:type="dxa"/>
            <w:vAlign w:val="bottom"/>
          </w:tcPr>
          <w:p>
            <w:pPr>
              <w:ind w:left="220"/>
              <w:spacing w:after="0"/>
              <w:rPr>
                <w:sz w:val="20"/>
                <w:szCs w:val="20"/>
                <w:color w:val="auto"/>
              </w:rPr>
            </w:pPr>
            <w:r>
              <w:rPr>
                <w:rFonts w:ascii="Arial" w:cs="Arial" w:eastAsia="Arial" w:hAnsi="Arial"/>
                <w:sz w:val="16"/>
                <w:szCs w:val="16"/>
                <w:b w:val="1"/>
                <w:bCs w:val="1"/>
                <w:color w:val="auto"/>
              </w:rPr>
              <w:t>Form</w:t>
            </w: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18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ind w:left="300"/>
        <w:spacing w:after="0"/>
        <w:rPr>
          <w:rFonts w:ascii="Arial" w:cs="Arial" w:eastAsia="Arial" w:hAnsi="Arial"/>
          <w:sz w:val="16"/>
          <w:szCs w:val="16"/>
          <w:u w:val="single" w:color="auto"/>
          <w:color w:val="0000FF"/>
        </w:rPr>
      </w:pPr>
      <w:hyperlink w:anchor="page182">
        <w:r>
          <w:rPr>
            <w:rFonts w:ascii="Arial" w:cs="Arial" w:eastAsia="Arial" w:hAnsi="Arial"/>
            <w:sz w:val="16"/>
            <w:szCs w:val="16"/>
            <w:u w:val="single" w:color="auto"/>
            <w:color w:val="0000FF"/>
          </w:rPr>
          <w:t>32.1</w:t>
        </w:r>
      </w:hyperlink>
    </w:p>
    <w:p>
      <w:pPr>
        <w:spacing w:after="0" w:line="302" w:lineRule="exact"/>
        <w:rPr>
          <w:sz w:val="20"/>
          <w:szCs w:val="20"/>
          <w:color w:val="auto"/>
        </w:rPr>
      </w:pPr>
    </w:p>
    <w:p>
      <w:pPr>
        <w:ind w:left="300"/>
        <w:spacing w:after="0"/>
        <w:rPr>
          <w:rFonts w:ascii="Arial" w:cs="Arial" w:eastAsia="Arial" w:hAnsi="Arial"/>
          <w:sz w:val="16"/>
          <w:szCs w:val="16"/>
          <w:u w:val="single" w:color="auto"/>
          <w:color w:val="0000FF"/>
        </w:rPr>
      </w:pPr>
      <w:hyperlink w:anchor="page183">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-1905</wp:posOffset>
            </wp:positionV>
            <wp:extent cx="724662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1200"/>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193" w:lineRule="exact"/>
        <w:rPr>
          <w:sz w:val="20"/>
          <w:szCs w:val="20"/>
          <w:color w:val="auto"/>
        </w:rPr>
      </w:pPr>
    </w:p>
    <w:p>
      <w:pPr>
        <w:sectPr>
          <w:pgSz w:w="11900" w:h="16838" w:orient="portrait"/>
          <w:cols w:equalWidth="0" w:num="3">
            <w:col w:w="620" w:space="460"/>
            <w:col w:w="7220" w:space="720"/>
            <w:col w:w="2400"/>
          </w:cols>
          <w:pgMar w:left="240" w:top="125"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The following financial statements from the Company’s Annual Report on Form 10-K for the year ended December 31, 2019, formatted in</w:t>
      </w:r>
    </w:p>
    <w:p>
      <w:pPr>
        <w:spacing w:after="0" w:line="46" w:lineRule="exact"/>
        <w:rPr>
          <w:sz w:val="20"/>
          <w:szCs w:val="20"/>
          <w:color w:val="auto"/>
        </w:rPr>
      </w:pPr>
    </w:p>
    <w:p>
      <w:pPr>
        <w:jc w:val="both"/>
        <w:ind w:left="1080" w:right="420" w:hanging="748"/>
        <w:spacing w:after="0" w:line="187" w:lineRule="auto"/>
        <w:tabs>
          <w:tab w:leader="none" w:pos="1080" w:val="left"/>
        </w:tabs>
        <w:numPr>
          <w:ilvl w:val="0"/>
          <w:numId w:val="43"/>
        </w:numPr>
        <w:rPr>
          <w:rFonts w:ascii="Arial" w:cs="Arial" w:eastAsia="Arial" w:hAnsi="Arial"/>
          <w:sz w:val="36"/>
          <w:szCs w:val="36"/>
          <w:color w:val="auto"/>
          <w:vertAlign w:val="subscript"/>
        </w:rPr>
      </w:pPr>
      <w:r>
        <w:rPr>
          <w:rFonts w:ascii="Arial" w:cs="Arial" w:eastAsia="Arial" w:hAnsi="Arial"/>
          <w:sz w:val="18"/>
          <w:szCs w:val="18"/>
          <w:color w:val="auto"/>
        </w:rPr>
        <w:t>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43" w:lineRule="exact"/>
        <w:rPr>
          <w:sz w:val="20"/>
          <w:szCs w:val="20"/>
          <w:color w:val="auto"/>
        </w:rPr>
      </w:pPr>
    </w:p>
    <w:p>
      <w:pPr>
        <w:ind w:left="1080" w:right="440" w:hanging="748"/>
        <w:spacing w:after="0" w:line="182" w:lineRule="auto"/>
        <w:tabs>
          <w:tab w:leader="none" w:pos="1080" w:val="left"/>
        </w:tabs>
        <w:numPr>
          <w:ilvl w:val="1"/>
          <w:numId w:val="44"/>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Annual Report on Form 10-K for the year ended December 31, 2019, formatted in Inline XBRL and contained in Exhibit 101</w:t>
      </w:r>
    </w:p>
    <w:p>
      <w:pPr>
        <w:spacing w:after="0" w:line="176" w:lineRule="exact"/>
        <w:rPr>
          <w:rFonts w:ascii="Arial" w:cs="Arial" w:eastAsia="Arial" w:hAnsi="Arial"/>
          <w:sz w:val="34"/>
          <w:szCs w:val="34"/>
          <w:color w:val="auto"/>
          <w:vertAlign w:val="subscript"/>
        </w:rPr>
      </w:pPr>
    </w:p>
    <w:p>
      <w:pPr>
        <w:ind w:left="200"/>
        <w:spacing w:after="0"/>
        <w:rPr>
          <w:rFonts w:ascii="Arial" w:cs="Arial" w:eastAsia="Arial" w:hAnsi="Arial"/>
          <w:sz w:val="34"/>
          <w:szCs w:val="34"/>
          <w:color w:val="auto"/>
          <w:vertAlign w:val="subscript"/>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500" w:right="60" w:hanging="307"/>
        <w:spacing w:after="0" w:line="264"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pacing w:after="0" w:line="127" w:lineRule="exact"/>
        <w:rPr>
          <w:sz w:val="20"/>
          <w:szCs w:val="20"/>
          <w:color w:val="auto"/>
        </w:rPr>
      </w:pPr>
    </w:p>
    <w:p>
      <w:pPr>
        <w:ind w:left="500" w:right="320" w:hanging="346"/>
        <w:spacing w:after="0" w:line="198" w:lineRule="auto"/>
        <w:tabs>
          <w:tab w:leader="none" w:pos="50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Schedules have been omitted pursuant to Item 601(b)(2) of Regulation S-K. The Company agrees to furnish supplemental copies to the SEC of any omitted schedule upon request by the SEC.</w:t>
      </w:r>
    </w:p>
    <w:p>
      <w:pPr>
        <w:spacing w:after="0" w:line="45" w:lineRule="exact"/>
        <w:rPr>
          <w:rFonts w:ascii="Arial" w:cs="Arial" w:eastAsia="Arial" w:hAnsi="Arial"/>
          <w:sz w:val="29"/>
          <w:szCs w:val="29"/>
          <w:color w:val="auto"/>
          <w:vertAlign w:val="superscript"/>
        </w:rPr>
      </w:pPr>
    </w:p>
    <w:p>
      <w:pPr>
        <w:ind w:left="500" w:hanging="346"/>
        <w:spacing w:after="0"/>
        <w:tabs>
          <w:tab w:leader="none" w:pos="500" w:val="left"/>
        </w:tabs>
        <w:numPr>
          <w:ilvl w:val="0"/>
          <w:numId w:val="46"/>
        </w:numPr>
        <w:rPr>
          <w:rFonts w:ascii="Arial" w:cs="Arial" w:eastAsia="Arial" w:hAnsi="Arial"/>
          <w:sz w:val="29"/>
          <w:szCs w:val="29"/>
          <w:color w:val="auto"/>
          <w:vertAlign w:val="superscript"/>
        </w:rPr>
      </w:pPr>
      <w:r>
        <w:rPr>
          <w:rFonts w:ascii="Arial" w:cs="Arial" w:eastAsia="Arial" w:hAnsi="Arial"/>
          <w:sz w:val="18"/>
          <w:szCs w:val="18"/>
          <w:color w:val="auto"/>
        </w:rPr>
        <w:t>Filing made by ILG, LLC under SEC File No. 001-34062.</w:t>
      </w:r>
    </w:p>
    <w:p>
      <w:pPr>
        <w:spacing w:after="0" w:line="279"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2nd day of March, 2020.</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MARRIOTT VACATIONS WORLDWIDE CORPORATION</w:t>
      </w:r>
    </w:p>
    <w:p>
      <w:pPr>
        <w:spacing w:after="0" w:line="387" w:lineRule="exact"/>
        <w:rPr>
          <w:sz w:val="20"/>
          <w:szCs w:val="20"/>
          <w:color w:val="auto"/>
        </w:rPr>
      </w:pPr>
    </w:p>
    <w:p>
      <w:pPr>
        <w:ind w:left="564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2872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President and Chief Executive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Executive Officer:</w:t>
      </w:r>
    </w:p>
    <w:p>
      <w:pPr>
        <w:spacing w:after="0" w:line="6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Stephen P. Weisz</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Financial Officer:</w:t>
      </w:r>
    </w:p>
    <w:p>
      <w:pPr>
        <w:spacing w:after="0" w:line="6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E. Geller, Jr.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Accounting Officer:</w:t>
      </w:r>
    </w:p>
    <w:p>
      <w:pPr>
        <w:spacing w:after="0" w:line="6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Laurie A. Sullivan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0" w:lineRule="exact"/>
        <w:rPr>
          <w:sz w:val="20"/>
          <w:szCs w:val="20"/>
          <w:color w:val="auto"/>
        </w:rPr>
      </w:pPr>
    </w:p>
    <w:p>
      <w:pPr>
        <w:spacing w:after="0" w:line="29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William J. Shaw, Chairman</w:t>
      </w:r>
    </w:p>
    <w:p>
      <w:pPr>
        <w:spacing w:after="0" w:line="38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C.E. Andrews, Director</w:t>
      </w:r>
    </w:p>
    <w:p>
      <w:pPr>
        <w:spacing w:after="0" w:line="38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Lizanne Galbreath, Director</w:t>
      </w:r>
    </w:p>
    <w:p>
      <w:pPr>
        <w:spacing w:after="0" w:line="38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Raymond L. Gellein,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Raymond L. Gellein, Jr., Director</w:t>
      </w:r>
    </w:p>
    <w:p>
      <w:pPr>
        <w:spacing w:after="0" w:line="200" w:lineRule="exact"/>
        <w:rPr>
          <w:sz w:val="20"/>
          <w:szCs w:val="20"/>
          <w:color w:val="auto"/>
        </w:rPr>
      </w:pPr>
    </w:p>
    <w:p>
      <w:pPr>
        <w:spacing w:after="0" w:line="21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Thomas J. Hutchison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Thomas J. Hutchison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and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Melquiades R.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Melquiades R. Martinez, 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W. McCarten, 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Dianna F. Morgan, Director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Stephen R. Quazzo, Director</w:t>
      </w:r>
    </w:p>
    <w:p>
      <w:pPr>
        <w:spacing w:after="0" w:line="1054" w:lineRule="exact"/>
        <w:rPr>
          <w:sz w:val="20"/>
          <w:szCs w:val="20"/>
          <w:color w:val="auto"/>
        </w:rPr>
      </w:pPr>
    </w:p>
    <w:p>
      <w:pPr>
        <w:sectPr>
          <w:pgSz w:w="11900" w:h="16838" w:orient="portrait"/>
          <w:cols w:equalWidth="0" w:num="2">
            <w:col w:w="5020" w:space="720"/>
            <w:col w:w="5660"/>
          </w:cols>
          <w:pgMar w:left="240" w:top="125" w:right="25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00"/>
          </w:cols>
          <w:pgMar w:left="240" w:top="125" w:right="25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SECOND SUPPLEMENTAL INDENTURE</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December 31, 2019</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MARRIOTT OWNERSHIP RESORTS,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ILG, LLC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MVW VACATIONS LLC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THE BANK OF NEW YORK MELLON TRUST COMPANY, N.A.,</w:t>
      </w: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Trustee</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6.500% Senior Notes due 2026</w:t>
      </w:r>
    </w:p>
    <w:p>
      <w:pPr>
        <w:sectPr>
          <w:pgSz w:w="11900" w:h="16838" w:orient="portrait"/>
          <w:cols w:equalWidth="0" w:num="1">
            <w:col w:w="10220"/>
          </w:cols>
          <w:pgMar w:left="1440" w:top="337" w:right="239" w:bottom="1440" w:gutter="0" w:footer="0" w:header="0"/>
        </w:sectPr>
      </w:pPr>
    </w:p>
    <w:bookmarkStart w:id="147" w:name="page148"/>
    <w:bookmarkEnd w:id="147"/>
    <w:p>
      <w:pPr>
        <w:ind w:right="140" w:firstLine="648"/>
        <w:spacing w:after="0" w:line="266" w:lineRule="auto"/>
        <w:rPr>
          <w:sz w:val="20"/>
          <w:szCs w:val="20"/>
          <w:color w:val="auto"/>
        </w:rPr>
      </w:pPr>
      <w:r>
        <w:rPr>
          <w:rFonts w:ascii="Arial" w:cs="Arial" w:eastAsia="Arial" w:hAnsi="Arial"/>
          <w:sz w:val="19"/>
          <w:szCs w:val="19"/>
          <w:color w:val="auto"/>
        </w:rPr>
        <w:t>THIS SECOND SUPPLEMENTAL INDENTURE (this “</w:t>
      </w:r>
      <w:r>
        <w:rPr>
          <w:rFonts w:ascii="Arial" w:cs="Arial" w:eastAsia="Arial" w:hAnsi="Arial"/>
          <w:sz w:val="19"/>
          <w:szCs w:val="19"/>
          <w:b w:val="1"/>
          <w:bCs w:val="1"/>
          <w:color w:val="auto"/>
        </w:rPr>
        <w:t>Supplemental Indenture</w:t>
      </w:r>
      <w:r>
        <w:rPr>
          <w:rFonts w:ascii="Arial" w:cs="Arial" w:eastAsia="Arial" w:hAnsi="Arial"/>
          <w:sz w:val="19"/>
          <w:szCs w:val="19"/>
          <w:color w:val="auto"/>
        </w:rPr>
        <w:t>”), entered into as of December 31, 2019, among MARRIOTT OWNERSHIP RESORTS, INC.,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ILG, LLC, a Delaware limited liability company (the “</w:t>
      </w:r>
      <w:r>
        <w:rPr>
          <w:rFonts w:ascii="Arial" w:cs="Arial" w:eastAsia="Arial" w:hAnsi="Arial"/>
          <w:sz w:val="19"/>
          <w:szCs w:val="19"/>
          <w:b w:val="1"/>
          <w:bCs w:val="1"/>
          <w:color w:val="auto"/>
        </w:rPr>
        <w:t>Co-Issuer</w:t>
      </w:r>
      <w:r>
        <w:rPr>
          <w:rFonts w:ascii="Arial" w:cs="Arial" w:eastAsia="Arial" w:hAnsi="Arial"/>
          <w:sz w:val="19"/>
          <w:szCs w:val="19"/>
          <w:color w:val="auto"/>
        </w:rPr>
        <w:t>” and, together with the Issuer, the “</w:t>
      </w:r>
      <w:r>
        <w:rPr>
          <w:rFonts w:ascii="Arial" w:cs="Arial" w:eastAsia="Arial" w:hAnsi="Arial"/>
          <w:sz w:val="19"/>
          <w:szCs w:val="19"/>
          <w:b w:val="1"/>
          <w:bCs w:val="1"/>
          <w:color w:val="auto"/>
        </w:rPr>
        <w:t>Issuers</w:t>
      </w:r>
      <w:r>
        <w:rPr>
          <w:rFonts w:ascii="Arial" w:cs="Arial" w:eastAsia="Arial" w:hAnsi="Arial"/>
          <w:sz w:val="19"/>
          <w:szCs w:val="19"/>
          <w:color w:val="auto"/>
        </w:rPr>
        <w:t>”), MVW VACATIONS LLC, a Delaware limited liability company (the “</w:t>
      </w:r>
      <w:r>
        <w:rPr>
          <w:rFonts w:ascii="Arial" w:cs="Arial" w:eastAsia="Arial" w:hAnsi="Arial"/>
          <w:sz w:val="19"/>
          <w:szCs w:val="19"/>
          <w:b w:val="1"/>
          <w:bCs w:val="1"/>
          <w:color w:val="auto"/>
        </w:rPr>
        <w:t>Undersigned</w:t>
      </w:r>
      <w:r>
        <w:rPr>
          <w:rFonts w:ascii="Arial" w:cs="Arial" w:eastAsia="Arial" w:hAnsi="Arial"/>
          <w:sz w:val="19"/>
          <w:szCs w:val="19"/>
          <w:color w:val="auto"/>
        </w:rPr>
        <w:t>”), and THE BANK OF NEW YORK MELLON TRUST COMPANY, N.A.,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ind w:right="420" w:firstLine="648"/>
        <w:spacing w:after="0" w:line="269" w:lineRule="auto"/>
        <w:rPr>
          <w:sz w:val="20"/>
          <w:szCs w:val="20"/>
          <w:color w:val="auto"/>
        </w:rPr>
      </w:pPr>
      <w:r>
        <w:rPr>
          <w:rFonts w:ascii="Arial" w:cs="Arial" w:eastAsia="Arial" w:hAnsi="Arial"/>
          <w:sz w:val="19"/>
          <w:szCs w:val="19"/>
          <w:color w:val="auto"/>
        </w:rPr>
        <w:t>WHEREAS, the Issuer, the Guarantors party thereto and the Trustee entered into an Indenture, dated as of August 23, 2018, as supplemented by the First Supplemental Indenture dated as of September 1, 2018, among the Issuers, the guarantors party thereto and the Trustee (together, the “</w:t>
      </w:r>
      <w:r>
        <w:rPr>
          <w:rFonts w:ascii="Arial" w:cs="Arial" w:eastAsia="Arial" w:hAnsi="Arial"/>
          <w:sz w:val="19"/>
          <w:szCs w:val="19"/>
          <w:b w:val="1"/>
          <w:bCs w:val="1"/>
          <w:color w:val="auto"/>
        </w:rPr>
        <w:t>Indenture</w:t>
      </w:r>
      <w:r>
        <w:rPr>
          <w:rFonts w:ascii="Arial" w:cs="Arial" w:eastAsia="Arial" w:hAnsi="Arial"/>
          <w:sz w:val="19"/>
          <w:szCs w:val="19"/>
          <w:color w:val="auto"/>
        </w:rPr>
        <w:t>”), relating to the Issuers’ 6.500% Senior Notes due 2026 (the “</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170"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WHEREAS, as a condition to the purchase of the Notes by the Holders, the Issuer agreed pursuant to the Indenture to cause any Restricted Subsidiary (with certain exceptions) that guarantees certain indebtedness of any Issuer or any Guarantor following the Issue Date to provide a Note Guarantee.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AGREEMENT</w:t>
      </w:r>
    </w:p>
    <w:p>
      <w:pPr>
        <w:spacing w:after="0" w:line="216"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NOW, THEREFORE, in consideration of the premises and mutual covenants herein contained and intending to be legally bound, the parties to this Supplemental Indenture hereby agree as follows:</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Capitalized terms used herein and not otherwise defined herein are used as defined in the Indenture.</w:t>
      </w:r>
    </w:p>
    <w:p>
      <w:pPr>
        <w:spacing w:after="0" w:line="2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Section 2. The Undersigned, by its execution of this Supplemental Indenture, agrees to be a Guarantor under the Indenture and to be bound by the terms of the Indenture applicable to Guarantors, including, but not limited to, Article 10 thereof.</w:t>
      </w:r>
    </w:p>
    <w:p>
      <w:pPr>
        <w:spacing w:after="0" w:line="15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color w:val="auto"/>
        </w:rPr>
        <w:t>This Supplemental Indenture shall be governed by and construed in accordance with the laws of the State of New York.</w:t>
      </w:r>
    </w:p>
    <w:p>
      <w:pPr>
        <w:spacing w:after="0" w:line="216"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shall constitute one and the same instrument.</w:t>
      </w:r>
    </w:p>
    <w:p>
      <w:pPr>
        <w:spacing w:after="0" w:line="177"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Section 5. This Supplemental Indenture is an amendment supplemental to the Indenture, and the Indenture and this Supplemental Indenture shall henceforth be read together.</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Section 6. The recitals and statements herein are deemed to be those of the Issuers and the Undersigned and not the Trustee. The Trustee shall not be responsible in any manner whatsoever for or in respect of the validity or sufficiency of this Supplemental Indenture or the Guarantee provided by the Guarantor party to this Supplemental Indenture.</w:t>
      </w:r>
    </w:p>
    <w:p>
      <w:pPr>
        <w:sectPr>
          <w:pgSz w:w="11900" w:h="16838" w:orient="portrait"/>
          <w:cols w:equalWidth="0" w:num="1">
            <w:col w:w="11300"/>
          </w:cols>
          <w:pgMar w:left="240" w:top="778" w:right="359" w:bottom="1440" w:gutter="0" w:footer="0" w:header="0"/>
        </w:sectPr>
      </w:pPr>
    </w:p>
    <w:bookmarkStart w:id="148" w:name="page149"/>
    <w:bookmarkEnd w:id="148"/>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62"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MARRIOTT OWNERSHIP</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RESORTS, INC., as Issuer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ILG, LLC, as Co-Issuer</w:t>
      </w:r>
    </w:p>
    <w:p>
      <w:pPr>
        <w:spacing w:after="0" w:line="272"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Vice President and Chief</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MVW VACATIONS LLC, as</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Guarantor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BANK OF NEW YORK</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MELLON TRUST COMPANY, N.A.,</w:t>
      </w:r>
    </w:p>
    <w:p>
      <w:pPr>
        <w:ind w:left="6440"/>
        <w:spacing w:after="0"/>
        <w:rPr>
          <w:sz w:val="20"/>
          <w:szCs w:val="20"/>
          <w:color w:val="auto"/>
        </w:rPr>
      </w:pPr>
      <w:r>
        <w:rPr>
          <w:rFonts w:ascii="Arial" w:cs="Arial" w:eastAsia="Arial" w:hAnsi="Arial"/>
          <w:sz w:val="20"/>
          <w:szCs w:val="20"/>
          <w:color w:val="auto"/>
        </w:rPr>
        <w:t>as Trustee</w:t>
      </w:r>
    </w:p>
    <w:p>
      <w:pPr>
        <w:spacing w:after="0" w:line="256" w:lineRule="exact"/>
        <w:rPr>
          <w:sz w:val="20"/>
          <w:szCs w:val="20"/>
          <w:color w:val="auto"/>
        </w:rPr>
      </w:pPr>
    </w:p>
    <w:p>
      <w:pPr>
        <w:ind w:left="64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Mitchell L. Brumwell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100"/>
          </w:cols>
          <w:pgMar w:left="240" w:top="339" w:right="5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THIRD SUPPLEMENTAL INDENTURE</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February 26, 2020</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MARRIOTT OWNERSHIP RESORTS,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ILG, LLC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MVW SERVICES CORPORATION</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THE BANK OF NEW YORK MELLON TRUST COMPANY, N.A.,</w:t>
      </w: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Trustee</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6.500% Senior Notes due 2026</w:t>
      </w:r>
    </w:p>
    <w:p>
      <w:pPr>
        <w:sectPr>
          <w:pgSz w:w="11900" w:h="16838" w:orient="portrait"/>
          <w:cols w:equalWidth="0" w:num="1">
            <w:col w:w="10220"/>
          </w:cols>
          <w:pgMar w:left="1440" w:top="337" w:right="239" w:bottom="1440" w:gutter="0" w:footer="0" w:header="0"/>
        </w:sectPr>
      </w:pPr>
    </w:p>
    <w:bookmarkStart w:id="150" w:name="page151"/>
    <w:bookmarkEnd w:id="150"/>
    <w:p>
      <w:pPr>
        <w:jc w:val="both"/>
        <w:ind w:firstLine="648"/>
        <w:spacing w:after="0" w:line="266" w:lineRule="auto"/>
        <w:rPr>
          <w:sz w:val="20"/>
          <w:szCs w:val="20"/>
          <w:color w:val="auto"/>
        </w:rPr>
      </w:pPr>
      <w:r>
        <w:rPr>
          <w:rFonts w:ascii="Arial" w:cs="Arial" w:eastAsia="Arial" w:hAnsi="Arial"/>
          <w:sz w:val="19"/>
          <w:szCs w:val="19"/>
          <w:color w:val="auto"/>
        </w:rPr>
        <w:t>THIS THIRD SUPPLEMENTAL INDENTURE (this “</w:t>
      </w:r>
      <w:r>
        <w:rPr>
          <w:rFonts w:ascii="Arial" w:cs="Arial" w:eastAsia="Arial" w:hAnsi="Arial"/>
          <w:sz w:val="19"/>
          <w:szCs w:val="19"/>
          <w:b w:val="1"/>
          <w:bCs w:val="1"/>
          <w:color w:val="auto"/>
        </w:rPr>
        <w:t>Supplemental Indenture</w:t>
      </w:r>
      <w:r>
        <w:rPr>
          <w:rFonts w:ascii="Arial" w:cs="Arial" w:eastAsia="Arial" w:hAnsi="Arial"/>
          <w:sz w:val="19"/>
          <w:szCs w:val="19"/>
          <w:color w:val="auto"/>
        </w:rPr>
        <w:t>”), entered into as of February 26, 2020, among MARRIOTT OWNERSHIP RESORTS, INC.,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ILG, LLC, a Delaware limited liability company (the “</w:t>
      </w:r>
      <w:r>
        <w:rPr>
          <w:rFonts w:ascii="Arial" w:cs="Arial" w:eastAsia="Arial" w:hAnsi="Arial"/>
          <w:sz w:val="19"/>
          <w:szCs w:val="19"/>
          <w:b w:val="1"/>
          <w:bCs w:val="1"/>
          <w:color w:val="auto"/>
        </w:rPr>
        <w:t>Co-Issuer</w:t>
      </w:r>
      <w:r>
        <w:rPr>
          <w:rFonts w:ascii="Arial" w:cs="Arial" w:eastAsia="Arial" w:hAnsi="Arial"/>
          <w:sz w:val="19"/>
          <w:szCs w:val="19"/>
          <w:color w:val="auto"/>
        </w:rPr>
        <w:t>” and, together with the Issuer, the “</w:t>
      </w:r>
      <w:r>
        <w:rPr>
          <w:rFonts w:ascii="Arial" w:cs="Arial" w:eastAsia="Arial" w:hAnsi="Arial"/>
          <w:sz w:val="19"/>
          <w:szCs w:val="19"/>
          <w:b w:val="1"/>
          <w:bCs w:val="1"/>
          <w:color w:val="auto"/>
        </w:rPr>
        <w:t>Issuers</w:t>
      </w:r>
      <w:r>
        <w:rPr>
          <w:rFonts w:ascii="Arial" w:cs="Arial" w:eastAsia="Arial" w:hAnsi="Arial"/>
          <w:sz w:val="19"/>
          <w:szCs w:val="19"/>
          <w:color w:val="auto"/>
        </w:rPr>
        <w:t>”), MVW SERVICES CORPORATION, a Delaware corporation (the “</w:t>
      </w:r>
      <w:r>
        <w:rPr>
          <w:rFonts w:ascii="Arial" w:cs="Arial" w:eastAsia="Arial" w:hAnsi="Arial"/>
          <w:sz w:val="19"/>
          <w:szCs w:val="19"/>
          <w:b w:val="1"/>
          <w:bCs w:val="1"/>
          <w:color w:val="auto"/>
        </w:rPr>
        <w:t>Undersigned</w:t>
      </w:r>
      <w:r>
        <w:rPr>
          <w:rFonts w:ascii="Arial" w:cs="Arial" w:eastAsia="Arial" w:hAnsi="Arial"/>
          <w:sz w:val="19"/>
          <w:szCs w:val="19"/>
          <w:color w:val="auto"/>
        </w:rPr>
        <w:t>”), and THE BANK OF NEW YORK MELLON TRUST COMPANY, N.A.,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WHEREAS, the Issuer, the Guarantors party thereto and the Trustee entered into an Indenture, dated as of August 23, 2018, as supplemented by the First Supplemental Indenture dated as of September 1, 2018, among the Issuers, the guarantors party thereto and the Trustee and the Second Supplemental Indenture dated as of December 31, 2019, among the Issuers, MVW Vacations LLC and the Trustee (together, the “</w:t>
      </w:r>
      <w:r>
        <w:rPr>
          <w:rFonts w:ascii="Arial" w:cs="Arial" w:eastAsia="Arial" w:hAnsi="Arial"/>
          <w:sz w:val="19"/>
          <w:szCs w:val="19"/>
          <w:b w:val="1"/>
          <w:bCs w:val="1"/>
          <w:color w:val="auto"/>
        </w:rPr>
        <w:t>Indenture</w:t>
      </w:r>
      <w:r>
        <w:rPr>
          <w:rFonts w:ascii="Arial" w:cs="Arial" w:eastAsia="Arial" w:hAnsi="Arial"/>
          <w:sz w:val="19"/>
          <w:szCs w:val="19"/>
          <w:color w:val="auto"/>
        </w:rPr>
        <w:t>”), relating to the Issuers’ 6.500% Senior Notes due 2026 (the “</w:t>
      </w:r>
      <w:r>
        <w:rPr>
          <w:rFonts w:ascii="Arial" w:cs="Arial" w:eastAsia="Arial" w:hAnsi="Arial"/>
          <w:sz w:val="19"/>
          <w:szCs w:val="19"/>
          <w:b w:val="1"/>
          <w:bCs w:val="1"/>
          <w:color w:val="auto"/>
        </w:rPr>
        <w:t>Notes</w:t>
      </w:r>
      <w:r>
        <w:rPr>
          <w:rFonts w:ascii="Arial" w:cs="Arial" w:eastAsia="Arial" w:hAnsi="Arial"/>
          <w:sz w:val="19"/>
          <w:szCs w:val="19"/>
          <w:color w:val="auto"/>
        </w:rPr>
        <w:t>”); and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as a condition to the purchase of the Notes by the Holders, the Issuer agreed pursuant to the Indenture to cause any Restricted Subsidiary (with certain exceptions) that guarantees certain indebtedness of any Issuer or any Guarantor following the Issue Date to provide a Note Guarantee.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premises and mutual covenants herein contained and intending to be legally bound, the parties to this Supplemental Indenture hereby agree as follows:</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Capitalized terms used herein and not otherwise defined herein are used as defined in the Indenture.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2. The Undersigned, by its execution of this Supplemental Indenture, agrees to be a Guarantor under the Indenture and to be bound by the terms of the Indenture applicable to Guarantors, including, but not limited to, Article 10 thereof.</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color w:val="auto"/>
        </w:rPr>
        <w:t>This Supplemental Indenture shall be governed by and construed in accordance with the laws of the State of New York.</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shall constitute one and the same instrument.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Section 5. This Supplemental Indenture is an amendment supplemental to the Indenture, and the Indenture and this Supplemental Indenture shall henceforth be read together.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6. The recitals and statements herein are deemed to be those of the Issuers and the Undersigned and not the Trustee. The Trustee shall not be responsible in any manner whatsoever for or in respect of the validity or sufficiency of this Supplemental Indenture or the Guarantee provided by the Guarantor party to this Supplemental Indenture.</w:t>
      </w:r>
    </w:p>
    <w:p>
      <w:pPr>
        <w:sectPr>
          <w:pgSz w:w="11900" w:h="16838" w:orient="portrait"/>
          <w:cols w:equalWidth="0" w:num="1">
            <w:col w:w="11420"/>
          </w:cols>
          <w:pgMar w:left="240" w:top="549"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62"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MARRIOTT OWNERSHIP</w:t>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RESORTS, INC., as Issuer</w:t>
      </w:r>
    </w:p>
    <w:p>
      <w:pPr>
        <w:spacing w:after="0" w:line="256" w:lineRule="exact"/>
        <w:rPr>
          <w:sz w:val="20"/>
          <w:szCs w:val="20"/>
          <w:color w:val="auto"/>
        </w:rPr>
      </w:pPr>
    </w:p>
    <w:p>
      <w:pPr>
        <w:ind w:left="65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16554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ILG, LLC, as Co-Issuer</w:t>
      </w:r>
    </w:p>
    <w:p>
      <w:pPr>
        <w:spacing w:after="0" w:line="272" w:lineRule="exact"/>
        <w:rPr>
          <w:sz w:val="20"/>
          <w:szCs w:val="20"/>
          <w:color w:val="auto"/>
        </w:rPr>
      </w:pPr>
    </w:p>
    <w:p>
      <w:pPr>
        <w:ind w:left="65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16554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MVW SERVICES CORPORATION,</w:t>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as Guarantor</w:t>
      </w:r>
    </w:p>
    <w:p>
      <w:pPr>
        <w:spacing w:after="0" w:line="256" w:lineRule="exact"/>
        <w:rPr>
          <w:sz w:val="20"/>
          <w:szCs w:val="20"/>
          <w:color w:val="auto"/>
        </w:rPr>
      </w:pPr>
    </w:p>
    <w:p>
      <w:pPr>
        <w:ind w:left="65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16554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THE BANK OF NEW YORK</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MELLON TRUST COMPANY,</w:t>
      </w:r>
    </w:p>
    <w:p>
      <w:pPr>
        <w:ind w:left="6500"/>
        <w:spacing w:after="0"/>
        <w:rPr>
          <w:sz w:val="20"/>
          <w:szCs w:val="20"/>
          <w:color w:val="auto"/>
        </w:rPr>
      </w:pPr>
      <w:r>
        <w:rPr>
          <w:rFonts w:ascii="Arial" w:cs="Arial" w:eastAsia="Arial" w:hAnsi="Arial"/>
          <w:sz w:val="20"/>
          <w:szCs w:val="20"/>
          <w:color w:val="auto"/>
        </w:rPr>
        <w:t>N.A., as Trustee</w:t>
      </w:r>
    </w:p>
    <w:p>
      <w:pPr>
        <w:spacing w:after="0" w:line="256" w:lineRule="exact"/>
        <w:rPr>
          <w:sz w:val="20"/>
          <w:szCs w:val="20"/>
          <w:color w:val="auto"/>
        </w:rPr>
      </w:pPr>
    </w:p>
    <w:p>
      <w:pPr>
        <w:ind w:left="650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31750</wp:posOffset>
            </wp:positionV>
            <wp:extent cx="16554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Lawrence M. Kusch</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100"/>
          </w:cols>
          <w:pgMar w:left="240" w:top="555" w:right="5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SUPPLEMENTAL INDENTURE</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December 31, 2019</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MARRIOTT OWNERSHIP RESORTS,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MVW VACATIONS LLC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THE BANK OF NEW YORK MELLON TRUST COMPANY, N.A.,</w:t>
      </w: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Trustee</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4.750% Senior Notes due 2028</w:t>
      </w:r>
    </w:p>
    <w:p>
      <w:pPr>
        <w:sectPr>
          <w:pgSz w:w="11900" w:h="16838" w:orient="portrait"/>
          <w:cols w:equalWidth="0" w:num="1">
            <w:col w:w="10220"/>
          </w:cols>
          <w:pgMar w:left="1440" w:top="121" w:right="239" w:bottom="1440" w:gutter="0" w:footer="0" w:header="0"/>
        </w:sectPr>
      </w:pPr>
    </w:p>
    <w:bookmarkStart w:id="153" w:name="page154"/>
    <w:bookmarkEnd w:id="153"/>
    <w:p>
      <w:pPr>
        <w:ind w:firstLine="648"/>
        <w:spacing w:after="0" w:line="273" w:lineRule="auto"/>
        <w:rPr>
          <w:sz w:val="20"/>
          <w:szCs w:val="20"/>
          <w:color w:val="auto"/>
        </w:rPr>
      </w:pPr>
      <w:r>
        <w:rPr>
          <w:rFonts w:ascii="Arial" w:cs="Arial" w:eastAsia="Arial" w:hAnsi="Arial"/>
          <w:sz w:val="19"/>
          <w:szCs w:val="19"/>
          <w:color w:val="auto"/>
        </w:rPr>
        <w:t>THIS SUPPLEMENTAL INDENTURE (this “</w:t>
      </w:r>
      <w:r>
        <w:rPr>
          <w:rFonts w:ascii="Arial" w:cs="Arial" w:eastAsia="Arial" w:hAnsi="Arial"/>
          <w:sz w:val="19"/>
          <w:szCs w:val="19"/>
          <w:b w:val="1"/>
          <w:bCs w:val="1"/>
          <w:color w:val="auto"/>
        </w:rPr>
        <w:t>Supplemental Indenture</w:t>
      </w:r>
      <w:r>
        <w:rPr>
          <w:rFonts w:ascii="Arial" w:cs="Arial" w:eastAsia="Arial" w:hAnsi="Arial"/>
          <w:sz w:val="19"/>
          <w:szCs w:val="19"/>
          <w:color w:val="auto"/>
        </w:rPr>
        <w:t>”), entered into as of December 31, 2019, among MARRIOTT OWNERSHIP RESORTS, INC.,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MVW VACATIONS LLC, a Delaware limited liability company (the “</w:t>
      </w:r>
      <w:r>
        <w:rPr>
          <w:rFonts w:ascii="Arial" w:cs="Arial" w:eastAsia="Arial" w:hAnsi="Arial"/>
          <w:sz w:val="19"/>
          <w:szCs w:val="19"/>
          <w:b w:val="1"/>
          <w:bCs w:val="1"/>
          <w:color w:val="auto"/>
        </w:rPr>
        <w:t>Undersigned</w:t>
      </w:r>
      <w:r>
        <w:rPr>
          <w:rFonts w:ascii="Arial" w:cs="Arial" w:eastAsia="Arial" w:hAnsi="Arial"/>
          <w:sz w:val="19"/>
          <w:szCs w:val="19"/>
          <w:color w:val="auto"/>
        </w:rPr>
        <w:t>”), and THE BANK OF NEW YORK MELLON TRUST COMPANY, N.A.,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ind w:right="660" w:firstLine="648"/>
        <w:spacing w:after="0" w:line="260" w:lineRule="auto"/>
        <w:rPr>
          <w:sz w:val="20"/>
          <w:szCs w:val="20"/>
          <w:color w:val="auto"/>
        </w:rPr>
      </w:pPr>
      <w:r>
        <w:rPr>
          <w:rFonts w:ascii="Arial" w:cs="Arial" w:eastAsia="Arial" w:hAnsi="Arial"/>
          <w:sz w:val="20"/>
          <w:szCs w:val="20"/>
          <w:color w:val="auto"/>
        </w:rPr>
        <w:t>WHEREAS, the Issuer, the Guarantors party thereto and the Trustee entered into an Indenture, dated as of October 1, 2019 (the “</w:t>
      </w:r>
      <w:r>
        <w:rPr>
          <w:rFonts w:ascii="Arial" w:cs="Arial" w:eastAsia="Arial" w:hAnsi="Arial"/>
          <w:sz w:val="20"/>
          <w:szCs w:val="20"/>
          <w:b w:val="1"/>
          <w:bCs w:val="1"/>
          <w:color w:val="auto"/>
        </w:rPr>
        <w:t>Indenture</w:t>
      </w:r>
      <w:r>
        <w:rPr>
          <w:rFonts w:ascii="Arial" w:cs="Arial" w:eastAsia="Arial" w:hAnsi="Arial"/>
          <w:sz w:val="20"/>
          <w:szCs w:val="20"/>
          <w:color w:val="auto"/>
        </w:rPr>
        <w:t>”), relating to the Issuer’s 4.750% Senior Notes due 2028 (the “</w:t>
      </w:r>
      <w:r>
        <w:rPr>
          <w:rFonts w:ascii="Arial" w:cs="Arial" w:eastAsia="Arial" w:hAnsi="Arial"/>
          <w:sz w:val="20"/>
          <w:szCs w:val="20"/>
          <w:b w:val="1"/>
          <w:bCs w:val="1"/>
          <w:color w:val="auto"/>
        </w:rPr>
        <w:t>Notes</w:t>
      </w:r>
      <w:r>
        <w:rPr>
          <w:rFonts w:ascii="Arial" w:cs="Arial" w:eastAsia="Arial" w:hAnsi="Arial"/>
          <w:sz w:val="20"/>
          <w:szCs w:val="20"/>
          <w:color w:val="auto"/>
        </w:rPr>
        <w:t>”);</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WHEREAS, as a condition to the purchase of the Notes by the Holders, the Issuer agreed pursuant to the Indenture to cause any Restricted Subsidiary (with certain exceptions) that guarantees certain indebtedness of the Issuer or any Guarantor following the Issue Date to provide a Note Guarantee.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1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NOW, THEREFORE, in consideration of the premises and mutual covenants herein contained and intending to be legally bound, the parties to this Supplemental Indenture hereby agree as follows:</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Capitalized terms used herein and not otherwise defined herein are used as defined in the Indenture.</w:t>
      </w:r>
    </w:p>
    <w:p>
      <w:pPr>
        <w:spacing w:after="0" w:line="21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Section 2. The Undersigned, by its execution of this Supplemental Indenture, agrees to be a Guarantor under the Indenture and to be bound by the terms of the Indenture applicable to Guarantors, including, but not limited to, Article 10 thereof.</w:t>
      </w:r>
    </w:p>
    <w:p>
      <w:pPr>
        <w:spacing w:after="0" w:line="15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color w:val="auto"/>
        </w:rPr>
        <w:t>This Supplemental Indenture shall be governed by and construed in accordance with the laws of the State of New York.</w:t>
      </w:r>
    </w:p>
    <w:p>
      <w:pPr>
        <w:spacing w:after="0" w:line="216"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shall constitute one and the same instrument.</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Section 5. This Supplemental Indenture is an amendment supplemental to the Indenture, and the Indenture and this Supplemental Indenture shall henceforth be read together.</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Section 6. The recitals and statements herein are deemed to be those of the Issuer and the Undersigned and not the Trustee. The Trustee shall not be responsible in any manner whatsoever for or in respect of the validity or sufficiency of this Supplemental Indenture or the Guarantee provided by the Guarantor party to this Supplemental Indenture.</w:t>
      </w:r>
    </w:p>
    <w:p>
      <w:pPr>
        <w:sectPr>
          <w:pgSz w:w="11900" w:h="16838" w:orient="portrait"/>
          <w:cols w:equalWidth="0" w:num="1">
            <w:col w:w="11400"/>
          </w:cols>
          <w:pgMar w:left="240" w:top="333" w:right="259" w:bottom="1440" w:gutter="0" w:footer="0" w:header="0"/>
        </w:sectPr>
      </w:pPr>
    </w:p>
    <w:bookmarkStart w:id="154" w:name="page155"/>
    <w:bookmarkEnd w:id="154"/>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62"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MARRIOTT OWNERSHIP</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RESORTS, INC., as Issuer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MVW VACATIONS LLC, as</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Guarantor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1100"/>
          </w:cols>
          <w:pgMar w:left="240" w:top="339" w:right="559" w:bottom="1440" w:gutter="0" w:footer="0" w:header="0"/>
        </w:sectPr>
      </w:pPr>
    </w:p>
    <w:bookmarkStart w:id="155" w:name="page156"/>
    <w:bookmarkEnd w:id="155"/>
    <w:p>
      <w:pPr>
        <w:ind w:left="5240"/>
        <w:spacing w:after="0"/>
        <w:rPr>
          <w:sz w:val="20"/>
          <w:szCs w:val="20"/>
          <w:color w:val="auto"/>
        </w:rPr>
      </w:pPr>
      <w:r>
        <w:rPr>
          <w:rFonts w:ascii="Arial" w:cs="Arial" w:eastAsia="Arial" w:hAnsi="Arial"/>
          <w:sz w:val="20"/>
          <w:szCs w:val="20"/>
          <w:color w:val="auto"/>
        </w:rPr>
        <w:t>THE BANK OF NEW YORK</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MELLON TRUST COMPANY, N.A.,</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as Trustee</w:t>
      </w:r>
    </w:p>
    <w:p>
      <w:pPr>
        <w:spacing w:after="0" w:line="256" w:lineRule="exact"/>
        <w:rPr>
          <w:sz w:val="20"/>
          <w:szCs w:val="20"/>
          <w:color w:val="auto"/>
        </w:rPr>
      </w:pPr>
    </w:p>
    <w:p>
      <w:pPr>
        <w:ind w:left="52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31750</wp:posOffset>
            </wp:positionV>
            <wp:extent cx="17151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Mitchell L. Brumwell</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501"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SECOND SUPPLEMENTAL INDENTURE</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February 26, 2020</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MARRIOTT OWNERSHIP RESORTS,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MVW SERVICES CORPORATION</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THE BANK OF NEW YORK MELLON TRUST COMPANY, N.A.,</w:t>
      </w:r>
    </w:p>
    <w:p>
      <w:pPr>
        <w:spacing w:after="0" w:line="22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Trustee</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4.750% Senior Notes due 2028</w:t>
      </w:r>
    </w:p>
    <w:p>
      <w:pPr>
        <w:sectPr>
          <w:pgSz w:w="11900" w:h="16838" w:orient="portrait"/>
          <w:cols w:equalWidth="0" w:num="1">
            <w:col w:w="10220"/>
          </w:cols>
          <w:pgMar w:left="1440" w:top="337" w:right="239" w:bottom="1440" w:gutter="0" w:footer="0" w:header="0"/>
        </w:sectPr>
      </w:pPr>
    </w:p>
    <w:bookmarkStart w:id="157" w:name="page158"/>
    <w:bookmarkEnd w:id="157"/>
    <w:p>
      <w:pPr>
        <w:jc w:val="both"/>
        <w:ind w:firstLine="648"/>
        <w:spacing w:after="0" w:line="273" w:lineRule="auto"/>
        <w:rPr>
          <w:sz w:val="20"/>
          <w:szCs w:val="20"/>
          <w:color w:val="auto"/>
        </w:rPr>
      </w:pPr>
      <w:r>
        <w:rPr>
          <w:rFonts w:ascii="Arial" w:cs="Arial" w:eastAsia="Arial" w:hAnsi="Arial"/>
          <w:sz w:val="19"/>
          <w:szCs w:val="19"/>
          <w:color w:val="auto"/>
        </w:rPr>
        <w:t>THIS SECOND SUPPLEMENTAL INDENTURE (this “</w:t>
      </w:r>
      <w:r>
        <w:rPr>
          <w:rFonts w:ascii="Arial" w:cs="Arial" w:eastAsia="Arial" w:hAnsi="Arial"/>
          <w:sz w:val="19"/>
          <w:szCs w:val="19"/>
          <w:b w:val="1"/>
          <w:bCs w:val="1"/>
          <w:color w:val="auto"/>
        </w:rPr>
        <w:t>Supplemental Indenture</w:t>
      </w:r>
      <w:r>
        <w:rPr>
          <w:rFonts w:ascii="Arial" w:cs="Arial" w:eastAsia="Arial" w:hAnsi="Arial"/>
          <w:sz w:val="19"/>
          <w:szCs w:val="19"/>
          <w:color w:val="auto"/>
        </w:rPr>
        <w:t>”), entered into as of February 26, 2020, among MARRIOTT OWNERSHIP RESORTS, INC.,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MVW SERVICES CORPORATION, a Delaware corporation (the “</w:t>
      </w:r>
      <w:r>
        <w:rPr>
          <w:rFonts w:ascii="Arial" w:cs="Arial" w:eastAsia="Arial" w:hAnsi="Arial"/>
          <w:sz w:val="19"/>
          <w:szCs w:val="19"/>
          <w:b w:val="1"/>
          <w:bCs w:val="1"/>
          <w:color w:val="auto"/>
        </w:rPr>
        <w:t>Undersigned</w:t>
      </w:r>
      <w:r>
        <w:rPr>
          <w:rFonts w:ascii="Arial" w:cs="Arial" w:eastAsia="Arial" w:hAnsi="Arial"/>
          <w:sz w:val="19"/>
          <w:szCs w:val="19"/>
          <w:color w:val="auto"/>
        </w:rPr>
        <w:t>”), and THE BANK OF NEW YORK MELLON TRUST COMPANY, N.A., as trustee (the “</w:t>
      </w: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Issuer, the Guarantors party thereto and the Trustee entered into an Indenture, dated as of October 1, 2019, as supplemented by a Supplemental Indenture, dated as of December 31, 2020, among the Issuer, MVW Vacations LLC and the Trustee (together, the “</w:t>
      </w:r>
      <w:r>
        <w:rPr>
          <w:rFonts w:ascii="Arial" w:cs="Arial" w:eastAsia="Arial" w:hAnsi="Arial"/>
          <w:sz w:val="20"/>
          <w:szCs w:val="20"/>
          <w:b w:val="1"/>
          <w:bCs w:val="1"/>
          <w:color w:val="auto"/>
        </w:rPr>
        <w:t>Indenture</w:t>
      </w:r>
      <w:r>
        <w:rPr>
          <w:rFonts w:ascii="Arial" w:cs="Arial" w:eastAsia="Arial" w:hAnsi="Arial"/>
          <w:sz w:val="20"/>
          <w:szCs w:val="20"/>
          <w:color w:val="auto"/>
        </w:rPr>
        <w:t>”), relating to the Issuer’s 4.750% Senior Notes due 2028 (the “</w:t>
      </w:r>
      <w:r>
        <w:rPr>
          <w:rFonts w:ascii="Arial" w:cs="Arial" w:eastAsia="Arial" w:hAnsi="Arial"/>
          <w:sz w:val="20"/>
          <w:szCs w:val="20"/>
          <w:b w:val="1"/>
          <w:bCs w:val="1"/>
          <w:color w:val="auto"/>
        </w:rPr>
        <w:t>Notes</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as a condition to the purchase of the Notes by the Holders, the Issuer agreed pursuant to the Indenture to cause any Restricted Subsidiary (with certain exceptions) that guarantees certain indebtedness of the Issuer or any Guarantor following the Issue Date to provide a Note Guarantee.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premises and mutual covenants herein contained and intending to be legally bound, the parties to this Supplemental Indenture hereby agree as follows:</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Capitalized terms used herein and not otherwise defined herein are used as defined in the Indenture.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2. The Undersigned, by its execution of this Supplemental Indenture, agrees to be a Guarantor under the Indenture and to be bound by the terms of the Indenture applicable to Guarantors, including, but not limited to, Article 10 thereof.</w:t>
      </w:r>
    </w:p>
    <w:p>
      <w:pPr>
        <w:spacing w:after="0" w:line="17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color w:val="auto"/>
        </w:rPr>
        <w:t>This Supplemental Indenture shall be governed by and construed in accordance with the laws of the State of New York.</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4. This Supplemental Indenture may be signed in various counterparts which together shall constitute one and the same instrument.</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Section 5. This Supplemental Indenture is an amendment supplemental to the Indenture, and the Indenture and this Supplemental Indenture shall henceforth be read together.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6. The recitals and statements herein are deemed to be those of the Issuer and the Undersigned and not the Trustee. The Trustee shall not be responsible in any manner whatsoever for or in respect of the validity or sufficiency of this Supplemental Indenture or the Guarantee provided by the Guarantor party to this Supplemental Indenture.</w:t>
      </w:r>
    </w:p>
    <w:p>
      <w:pPr>
        <w:sectPr>
          <w:pgSz w:w="11900" w:h="16838" w:orient="portrait"/>
          <w:cols w:equalWidth="0" w:num="1">
            <w:col w:w="11420"/>
          </w:cols>
          <w:pgMar w:left="240" w:top="778" w:right="239" w:bottom="1440" w:gutter="0" w:footer="0" w:header="0"/>
        </w:sectPr>
      </w:pPr>
    </w:p>
    <w:bookmarkStart w:id="158" w:name="page159"/>
    <w:bookmarkEnd w:id="158"/>
    <w:p>
      <w:pPr>
        <w:ind w:left="66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62"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MARRIOTT OWNERSHIP</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RESORTS, INC., as Issuer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MVW SERVICES CORPORATION,</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as Guarantor</w:t>
      </w:r>
    </w:p>
    <w:p>
      <w:pPr>
        <w:spacing w:after="0" w:line="256"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BANK OF NEW YORK</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MELLON TRUST COMPANY, N.A.,</w:t>
      </w:r>
    </w:p>
    <w:p>
      <w:pPr>
        <w:ind w:left="6440"/>
        <w:spacing w:after="0"/>
        <w:rPr>
          <w:sz w:val="20"/>
          <w:szCs w:val="20"/>
          <w:color w:val="auto"/>
        </w:rPr>
      </w:pPr>
      <w:r>
        <w:rPr>
          <w:rFonts w:ascii="Arial" w:cs="Arial" w:eastAsia="Arial" w:hAnsi="Arial"/>
          <w:sz w:val="20"/>
          <w:szCs w:val="20"/>
          <w:color w:val="auto"/>
        </w:rPr>
        <w:t>as Trustee</w:t>
      </w:r>
    </w:p>
    <w:p>
      <w:pPr>
        <w:spacing w:after="0" w:line="256" w:lineRule="exact"/>
        <w:rPr>
          <w:sz w:val="20"/>
          <w:szCs w:val="20"/>
          <w:color w:val="auto"/>
        </w:rPr>
      </w:pPr>
    </w:p>
    <w:p>
      <w:pPr>
        <w:ind w:left="64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Lawrence M. Kusch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100"/>
          </w:cols>
          <w:pgMar w:left="240" w:top="339" w:right="559" w:bottom="1440" w:gutter="0" w:footer="0" w:header="0"/>
        </w:sectPr>
      </w:pPr>
    </w:p>
    <w:bookmarkStart w:id="159" w:name="page160"/>
    <w:bookmarkEnd w:id="159"/>
    <w:p>
      <w:pPr>
        <w:ind w:left="10480"/>
        <w:spacing w:after="0"/>
        <w:rPr>
          <w:sz w:val="20"/>
          <w:szCs w:val="20"/>
          <w:color w:val="auto"/>
        </w:rPr>
      </w:pPr>
      <w:r>
        <w:rPr>
          <w:rFonts w:ascii="Arial" w:cs="Arial" w:eastAsia="Arial" w:hAnsi="Arial"/>
          <w:sz w:val="16"/>
          <w:szCs w:val="16"/>
          <w:b w:val="1"/>
          <w:bCs w:val="1"/>
          <w:color w:val="auto"/>
        </w:rPr>
        <w:t>Exhibit 4.16</w:t>
      </w:r>
    </w:p>
    <w:p>
      <w:pPr>
        <w:spacing w:after="0" w:line="248"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Marriott Vacations Worldwide Corporation has one class of securities registered under Section 12 of the Securities Exchange Act of 1934, as amended: our common stock.</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following is a description of the material terms and provisions of our capital stock. It may not contain all the information that is important to you. You can access complete information by referring to our Restated Certificate of Incorporation, as amended (the “Charter”), and our Restated Bylaws, as amended (the “Bylaws”), copies of which are incorporated by reference as Exhibits 3.1 and 3.2, respectively, to this Annual Report on Form 10-K, and certain provisions of Delaware law. References to the “Company,” “we,” “us” and “our” refer to Marriott Vacations Worldwide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Under our Charter, we have authority to issue 100,000,000 shares of our common stock, par value $0.01 per share, and 2,000,000 shares of our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the rights, if any, of the holders of any outstanding series of our preferred stock, holders of our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out of any of our funds legally available when, as and if declared by the board of directors (the “Board”).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holder of our common stock is entitled to one vote per share on all matters on which shareholders are generally entitled to vote.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Charter does not provide for cumulative voting in the election of directors.</w:t>
      </w:r>
    </w:p>
    <w:p>
      <w:pPr>
        <w:spacing w:after="0" w:line="21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If we liquidate, dissolve or wind up our affairs, holders of our common stock are entitled to share proportionately in our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shareholders, subject to the rights, if any, of the holders of any outstanding series of our preferred stock.</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All of our outstanding shares of common stock are fully paid and nonassessable. The holders of our common stock have no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no rights to convert their common stock into any other securities, and our common stock is not subject to any redemption or sinking fund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and Bylaws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Charter, our Bylaws and Delaware statutory law contain provisions that could make acquisition of our Company by means of a tender offer, a proxy contest or otherwise more difficult. These provisions may discourage certain types of coercive takeover practices and takeover bids that our Board may consider inadequate and encourage persons seeking to acquire control of us to first negotiate with our Board.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our Charter and Bylaws.</w:t>
      </w:r>
    </w:p>
    <w:p>
      <w:pPr>
        <w:spacing w:after="0" w:line="16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 xml:space="preserve">Classified Board of Directors. </w:t>
      </w:r>
      <w:r>
        <w:rPr>
          <w:rFonts w:ascii="Arial" w:cs="Arial" w:eastAsia="Arial" w:hAnsi="Arial"/>
          <w:sz w:val="17"/>
          <w:szCs w:val="17"/>
          <w:color w:val="auto"/>
        </w:rPr>
        <w:t>Our Charter provides for a classified board of directors consisting of three classes of directors. Directors of each class</w:t>
      </w:r>
      <w:r>
        <w:rPr>
          <w:rFonts w:ascii="Arial" w:cs="Arial" w:eastAsia="Arial" w:hAnsi="Arial"/>
          <w:sz w:val="17"/>
          <w:szCs w:val="17"/>
          <w:i w:val="1"/>
          <w:iCs w:val="1"/>
          <w:color w:val="auto"/>
        </w:rPr>
        <w:t xml:space="preserve"> </w:t>
      </w:r>
      <w:r>
        <w:rPr>
          <w:rFonts w:ascii="Arial" w:cs="Arial" w:eastAsia="Arial" w:hAnsi="Arial"/>
          <w:sz w:val="17"/>
          <w:szCs w:val="17"/>
          <w:color w:val="auto"/>
        </w:rPr>
        <w:t>are chosen for three-year terms upon the expiration of their current terms, and each year our shareholders elect one class of our directors.</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a classified board structure facilitates continuity and stability of leadership and policy by helping ensure that, at any given time, a majority of our directors have prior experience as directors of our Company and are familiar with our business and operations. In our view, this permits more effective long-term planning and helps create long-term value for our shareholders. The classified board structure, however, could prevent a party who acquires</w:t>
      </w:r>
    </w:p>
    <w:p>
      <w:pPr>
        <w:sectPr>
          <w:pgSz w:w="11900" w:h="16838" w:orient="portrait"/>
          <w:cols w:equalWidth="0" w:num="1">
            <w:col w:w="11420"/>
          </w:cols>
          <w:pgMar w:left="240" w:top="121" w:right="239" w:bottom="1440" w:gutter="0" w:footer="0" w:header="0"/>
        </w:sectPr>
      </w:pPr>
    </w:p>
    <w:bookmarkStart w:id="160" w:name="page161"/>
    <w:bookmarkEnd w:id="160"/>
    <w:p>
      <w:pPr>
        <w:spacing w:after="0" w:line="312" w:lineRule="auto"/>
        <w:rPr>
          <w:sz w:val="20"/>
          <w:szCs w:val="20"/>
          <w:color w:val="auto"/>
        </w:rPr>
      </w:pPr>
      <w:r>
        <w:rPr>
          <w:rFonts w:ascii="Arial" w:cs="Arial" w:eastAsia="Arial" w:hAnsi="Arial"/>
          <w:sz w:val="16"/>
          <w:szCs w:val="16"/>
          <w:color w:val="auto"/>
        </w:rPr>
        <w:t>control of a majority of our outstanding voting stock from obtaining control of our Board until the second annual shareholders’ meeting following the date that party obtains control of a majority of our voting stock. The classified board structure may discourage a third party from initiating a proxy contest, making a tender offer or otherwise attempting to obtain control of us, as the structure makes it more difficult for a shareholder to replace a majority of our directors.</w:t>
      </w:r>
    </w:p>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Number of Directors; Filling Vacancies; Removal</w:t>
      </w:r>
      <w:r>
        <w:rPr>
          <w:rFonts w:ascii="Arial" w:cs="Arial" w:eastAsia="Arial" w:hAnsi="Arial"/>
          <w:sz w:val="18"/>
          <w:szCs w:val="18"/>
          <w:color w:val="auto"/>
        </w:rPr>
        <w:t>. Our Bylaws provide that our business and affairs are managed by our Board. Our Charter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that the Board consists of such number of directors as is determined by a resolution adopted by the majority of directors then in office. In addition, our Charter provides that any board vacancy, including a vacancy resulting from an increase in the number of directors, may be filled solely by the affirmative vote of a majority of the remaining directors then in office and entitled to vote, even though that may be less than a quorum of the Board. Our Charter and Bylaws also provide that any director, or the entire Board, may be removed from office at any time, with cause, only by the affirmative vote of the holders of at least 66 2/3 percent of the total voting power of the outstanding shares of our capital stock entitled to vote generally in the election of directors, voting as a single class. These provisions prevent shareholders from removing incumbent directors without cause and filling the resulting vacancies with their own nominees.</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Notwithstanding the foregoing, our Charter and Bylaws provide that whenever the holders of any class or series of our preferred stock have the right to elect additional directors under specified circumstances, the election, removal, term of office, filling of vacancies and other features of such directorships are governed by the terms of the applicable certificate of designation.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Special Meetings</w:t>
      </w:r>
      <w:r>
        <w:rPr>
          <w:rFonts w:ascii="Arial" w:cs="Arial" w:eastAsia="Arial" w:hAnsi="Arial"/>
          <w:sz w:val="18"/>
          <w:szCs w:val="18"/>
          <w:color w:val="auto"/>
        </w:rPr>
        <w:t>. Our Charter and Bylaws provide that, subject to the rights of any class or series of our preferred stock, special meetings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may only be called by the Board or the Chairman of the Board with the concurrence of a majority of the entire Board. These provisions make it more difficult for shareholders to take action opposed by our Board.</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No Shareholder Action by Written Consent</w:t>
      </w:r>
      <w:r>
        <w:rPr>
          <w:rFonts w:ascii="Arial" w:cs="Arial" w:eastAsia="Arial" w:hAnsi="Arial"/>
          <w:sz w:val="18"/>
          <w:szCs w:val="18"/>
          <w:color w:val="auto"/>
        </w:rPr>
        <w:t>. Our Charter requires that all actions to be taken by shareholders must be taken at a duly called annual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and shareholders are not permitted to act by written consent. These provisions make it more difficult for shareholders to take action opposed by our Board.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Approval of Reorganization, Merger or Consolidation</w:t>
      </w:r>
      <w:r>
        <w:rPr>
          <w:rFonts w:ascii="Arial" w:cs="Arial" w:eastAsia="Arial" w:hAnsi="Arial"/>
          <w:sz w:val="18"/>
          <w:szCs w:val="18"/>
          <w:color w:val="auto"/>
        </w:rPr>
        <w:t>. Our Charter requires the affirmative vote of the holders of at least 66 2/3 percent of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the outstanding shares of our common stock entitled to vote generally in the election of directors, voting as a single class, for the approval of any proposal for our Company to merge or consolidate with any other entity where a vote is otherwise required by law, or sell, lease or exchange substantially all of its assets or business.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Amendments to Our Charter and Bylaws. </w:t>
      </w:r>
      <w:r>
        <w:rPr>
          <w:rFonts w:ascii="Arial" w:cs="Arial" w:eastAsia="Arial" w:hAnsi="Arial"/>
          <w:sz w:val="17"/>
          <w:szCs w:val="17"/>
          <w:color w:val="auto"/>
        </w:rPr>
        <w:t>Our Charter provides that, notwithstanding any other provision of our Charter, the affirmative vote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at least 66 2/3 percent of the total voting power of the outstanding shares of our common stock entitled to vote generally in the election of directors, voting as a single class, are required to: (1) amend or repeal, or adopt any provision inconsistent with, the provisions in our Charter relating to the number, classification, term and election of directors; the removal of directors; shareholder action by written consent; shareholders’ ability to call special meetings; approval of a merger, consolidation or sale of substantially all of our assets; and (2) amend, adopt or repeal any provision of our Bylaws. These provisions make it more difficult for shareholders to make changes to our Charter and Bylaws that are opposed by our Board.</w:t>
      </w:r>
    </w:p>
    <w:p>
      <w:pPr>
        <w:spacing w:after="0" w:line="17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Advance Notice Provisions for Shareholder Nominations and Shareholder Proposals</w:t>
      </w:r>
      <w:r>
        <w:rPr>
          <w:rFonts w:ascii="Arial" w:cs="Arial" w:eastAsia="Arial" w:hAnsi="Arial"/>
          <w:sz w:val="18"/>
          <w:szCs w:val="18"/>
          <w:color w:val="auto"/>
        </w:rPr>
        <w:t>. Our Bylaws establish an advance notice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to make nominations of candidates for election to the Board or to bring other business before an annual shareholders’ meeting (the “Notice Procedures”).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terms of any class or series of our preferred stock, our Notice Procedures provide that nominations for election to the Board or the proposal of business other than such nominations may be made (1) pursuant to our notice of meeting, (2) by or at the direction of our Board or (3) by any shareholder of record (a “Record Shareholder”) who has complied with the Notice Procedures at the time such shareholder delivers the notice required by the Notice Procedures. Under the Notice Procedures, a Record Shareholder’s director nomination is not timely unless such Record Shareholder delivers written notice to our corporate secretary of such Record Shareholder’s nomination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1" w:right="259" w:bottom="1440" w:gutter="0" w:footer="0" w:header="0"/>
        </w:sectPr>
      </w:pPr>
    </w:p>
    <w:bookmarkStart w:id="161" w:name="page162"/>
    <w:bookmarkEnd w:id="161"/>
    <w:p>
      <w:pPr>
        <w:ind w:right="40"/>
        <w:spacing w:after="0" w:line="291" w:lineRule="auto"/>
        <w:rPr>
          <w:sz w:val="20"/>
          <w:szCs w:val="20"/>
          <w:color w:val="auto"/>
        </w:rPr>
      </w:pPr>
      <w:r>
        <w:rPr>
          <w:rFonts w:ascii="Arial" w:cs="Arial" w:eastAsia="Arial" w:hAnsi="Arial"/>
          <w:sz w:val="16"/>
          <w:szCs w:val="16"/>
          <w:color w:val="auto"/>
        </w:rPr>
        <w:t>intent to nominate at our principal executive offices not later than close of business on the 90th day nor earlier than the close of business on the 120th day before the one-year anniversary of the prior year’s annual meeting; provided that if no annual meeting was held in the preceding year, if the annual meeting is convened more than 30 days before or delayed by more than 70 days after the one-year anniversary of the prior year’s annual meeting, or if directors are being nominated at a special meeting, notice is timely if delivered not earlier than the close of business on the 120th day prior to such meeting and not later than the close of business on the 90th day prior to such meeting or the tenth day following the date on which we first make a public announcement of such meeting. These provisions do not apply if a shareholder has notified us of his or her intention to present a shareholder proposal at an annual or special shareholders’ meeting under and in compliance with Rule 14a-8 under the Exchange Act and we have included such proposal in our proxy materials.</w:t>
      </w:r>
    </w:p>
    <w:p>
      <w:pPr>
        <w:spacing w:after="0" w:line="16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the Notice Procedures, a shareholder’s notice proposing to nominate a person for election as a director or to bring other business before an annual shareholders’ meeting must contain certain information, as set forth in our Bylaws. Only persons nominated in accordance with the Notice Procedures are eligible to serve as directors and only such business that has been brought before the meeting in accordance with these Notice Procedures will be conducted at an annual shareholders’ meeting.</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By requiring advance notice of nominations by shareholders, the Notice Procedures afford our Board an opportunity to consider the qualifications of the proposed nominees and, to the extent deemed necessary or desirable by our Board, to inform shareholders about such qualifications. By requiring advance notice of other proposed business, the Notice Procedures also provide an orderly procedure for conducting annual meetings of shareholders and, to the extent deemed necessary or desirable by our Board, provide our Board with an opportunity to inform shareholders of any business proposed for such meetings and make recommendations on action to be taken on such business, so that shareholders can better decide whether to attend the meeting or to grant a proxy for the disposition of any such business.</w:t>
      </w:r>
    </w:p>
    <w:p>
      <w:pPr>
        <w:spacing w:after="0" w:line="193"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Contests for the election of directors or the consideration of shareholder proposals are precluded if the proper procedures are not followed. Third parties may therefore be discouraged from conducting a solicitation of proxies to elect their own slate of directors or to approve their own proposals.</w:t>
      </w:r>
    </w:p>
    <w:p>
      <w:pPr>
        <w:spacing w:after="0" w:line="12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Our Preferred Stock</w:t>
      </w:r>
      <w:r>
        <w:rPr>
          <w:rFonts w:ascii="Arial" w:cs="Arial" w:eastAsia="Arial" w:hAnsi="Arial"/>
          <w:sz w:val="18"/>
          <w:szCs w:val="18"/>
          <w:color w:val="auto"/>
        </w:rPr>
        <w:t>. Our Charter authorizes our Board to provide for series of our preferred stock and, for each such series, to fix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designation, and any voting powers, preferences and relative, participating, optional or other special rights, qualifications, limitations or restrictions.</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believe that our Board’s ability to issue preferred stock provides us with flexibility in structuring possible future financings and acquisitions, and in meeting other corporate needs that might arise. The authorized shares of our preferred stock, as well as shares of common stock, are available for issuance without further shareholder action, unless applicable law or applicable stock exchange or automated stock quotation system rules require such action.</w:t>
      </w:r>
    </w:p>
    <w:p>
      <w:pPr>
        <w:spacing w:after="0" w:line="14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Although our Board has no present intention of doing so, it could issue a series of our preferred stock that could, depending on the terms of such series, impede the completion of a merger, tender offer or other takeover attempt. Our Board bases any determination on issuing such shares on its judgment as to the best interests of the Company and our shareholders. Our Board, in so acting, could issue preferred stock that has terms that could discourage an acquisition attempt through which an acquiror may be able to change the composition of our Board, even if a majority of our shareholders believes such a transaction is in the shareholders’ best interests and even if shareholders might receive a premium over the then-current market price for their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Section 203 of the Delaware General Corporation Law (the “DGCL”) provides that, subject to certain specified exceptions, a corporation may not engage in any “business combination” with any “interested shareholder” for a three-year period following the time that such shareholder becomes an interested shareholder unless (1) before that time, the board of directors of the corporation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percent of the voting stock of the corporation outstanding at the time the transaction commenced (excluding certain shares) or (3) on or after such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1" w:right="259" w:bottom="1440" w:gutter="0" w:footer="0" w:header="0"/>
        </w:sectPr>
      </w:pPr>
    </w:p>
    <w:bookmarkStart w:id="162" w:name="page163"/>
    <w:bookmarkEnd w:id="162"/>
    <w:p>
      <w:pPr>
        <w:ind w:right="160"/>
        <w:spacing w:after="0" w:line="270" w:lineRule="auto"/>
        <w:rPr>
          <w:sz w:val="20"/>
          <w:szCs w:val="20"/>
          <w:color w:val="auto"/>
        </w:rPr>
      </w:pPr>
      <w:r>
        <w:rPr>
          <w:rFonts w:ascii="Arial" w:cs="Arial" w:eastAsia="Arial" w:hAnsi="Arial"/>
          <w:sz w:val="17"/>
          <w:szCs w:val="17"/>
          <w:color w:val="auto"/>
        </w:rPr>
        <w:t>time, both the board of directors of the corporation and at least 66 2/3 percent of the outstanding voting stock which is not owned by the interested shareholder approves the business combination. Section 203 of the DGCL generally defines an “interested shareholder” to include (x) any person that owns 15 percent or more of the outstanding voting stock of the corporation, or is an affiliate or associate of the corporation and owned 15 percent or more of the outstanding voting stock of the corporation at any time within three years immediately prior to the relevant date and (y) the affiliates and associates of any such person. Section 203 of the DGCL generally defines a “business combination” to include (1) mergers and sales or other dispositions of 10 percent or more of the corporation’s assets with or to an interested shareholder, (2) certain transactions resulting in the issuance or transfer to the interested shareholder of any stock of the corporation or its subsidiaries, (3) certain transactions which would increase the proportionate share of the stock of the corporation or its subsidiaries owned by the interested shareholder and (4) receipt by the interested shareholder of the benefit (except proportionately as a shareholder) of any loans, advances, guarantees, pledges, or other financial benefits.</w:t>
      </w:r>
    </w:p>
    <w:p>
      <w:pPr>
        <w:spacing w:after="0" w:line="18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certain circumstances, Section 203 of the DGCL makes it more difficult for a person who would be an “interested shareholder” to effect various business combinations with a corporation for a three-year period, although the certificate of incorporation or shareholder-adopted bylaws may exclude a corporation from the restrictions imposed under Section 203. Neither our Charter nor our Bylaws exclude the Company from the restrictions imposed under Section 203 of the DGCL. We anticipate that Section 203 may encourage companies interested in acquiring us to negotiate in advance with our Board since the shareholder approval requirement would not be applicable if our Board approves, prior to the time the shareholder becomes an interested shareholder, either the business combination or the transaction which results in the shareholder becoming an interested shareholder.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Charter provides that, unless we consent in writing to an alternative forum, the exclusive forum for derivative actions brought on behalf of the Company, actions against directors, officers and employees for breach of fiduciary duty and other similar actions will be the Court of Chancery of the State of Delaware.</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Although we believe this provision benefits the Company by providing increased consistency in the application of Delaware law in the types of lawsuits to which it applies, the provision may have the effect of discouraging lawsuits against our directors and officers.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Charter to be inapplicable or unenforceable in such action.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10.38</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CREDIT AGREEMENT</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AMENDMENT NO. 1 TO CREDIT AGREEMENT, dated as of December 3, 2019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by and among MARRIOTT VACATIONS WORLDWIDE CORPORATION, a Delaware corporation (“</w:t>
      </w:r>
      <w:r>
        <w:rPr>
          <w:rFonts w:ascii="Arial" w:cs="Arial" w:eastAsia="Arial" w:hAnsi="Arial"/>
          <w:sz w:val="19"/>
          <w:szCs w:val="19"/>
          <w:u w:val="single" w:color="auto"/>
          <w:color w:val="auto"/>
        </w:rPr>
        <w:t>MVWC</w:t>
      </w:r>
      <w:r>
        <w:rPr>
          <w:rFonts w:ascii="Arial" w:cs="Arial" w:eastAsia="Arial" w:hAnsi="Arial"/>
          <w:sz w:val="19"/>
          <w:szCs w:val="19"/>
          <w:color w:val="auto"/>
        </w:rPr>
        <w:t>”), MARRIOTT OWNERSHIP RESORTS, INC., a Delaware corporation (the “</w:t>
      </w:r>
      <w:r>
        <w:rPr>
          <w:rFonts w:ascii="Arial" w:cs="Arial" w:eastAsia="Arial" w:hAnsi="Arial"/>
          <w:sz w:val="19"/>
          <w:szCs w:val="19"/>
          <w:u w:val="single" w:color="auto"/>
          <w:color w:val="auto"/>
        </w:rPr>
        <w:t>MVW Borrower</w:t>
      </w:r>
      <w:r>
        <w:rPr>
          <w:rFonts w:ascii="Arial" w:cs="Arial" w:eastAsia="Arial" w:hAnsi="Arial"/>
          <w:sz w:val="19"/>
          <w:szCs w:val="19"/>
          <w:color w:val="auto"/>
        </w:rPr>
        <w:t>” or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INTERVAL ACQUISITION CORP., a Delaware corporation (the “</w:t>
      </w:r>
      <w:r>
        <w:rPr>
          <w:rFonts w:ascii="Arial" w:cs="Arial" w:eastAsia="Arial" w:hAnsi="Arial"/>
          <w:sz w:val="19"/>
          <w:szCs w:val="19"/>
          <w:u w:val="single" w:color="auto"/>
          <w:color w:val="auto"/>
        </w:rPr>
        <w:t>ILG Borrower</w:t>
      </w:r>
      <w:r>
        <w:rPr>
          <w:rFonts w:ascii="Arial" w:cs="Arial" w:eastAsia="Arial" w:hAnsi="Arial"/>
          <w:sz w:val="19"/>
          <w:szCs w:val="19"/>
          <w:color w:val="auto"/>
        </w:rPr>
        <w:t>” and together with the MVW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Borrower</w:t>
      </w:r>
      <w:r>
        <w:rPr>
          <w:rFonts w:ascii="Arial" w:cs="Arial" w:eastAsia="Arial" w:hAnsi="Arial"/>
          <w:sz w:val="19"/>
          <w:szCs w:val="19"/>
          <w:color w:val="auto"/>
        </w:rPr>
        <w:t>”), each Lender and other Person executing this Agreement or consenting to this Agreement in writing by executing Refinancing Term Loan Commitments as a Refinancing Lender (as defined below), and JPMORGAN CHASE BANK, N.A., as administrative agent and collateral agent (in such capacities,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not otherwise defined herein shall have the meanings set forth in the Credit Agreement referred to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Borrowers, MVWC, the Lenders, and the Administrative Agent have heretofore entered into that certain Credit Agreement, dated as of August 31, 2018 (as amended, supplemented or otherwise modified prior to the date hereof,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 as the same may be further amended, supplemented, amended and restated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Borrowers have requested that the Lenders holding Initial Term Loans (collectively, the “</w:t>
      </w:r>
      <w:r>
        <w:rPr>
          <w:rFonts w:ascii="Arial" w:cs="Arial" w:eastAsia="Arial" w:hAnsi="Arial"/>
          <w:sz w:val="19"/>
          <w:szCs w:val="19"/>
          <w:u w:val="single" w:color="auto"/>
          <w:color w:val="auto"/>
        </w:rPr>
        <w:t>Existing Term Lenders</w:t>
      </w:r>
      <w:r>
        <w:rPr>
          <w:rFonts w:ascii="Arial" w:cs="Arial" w:eastAsia="Arial" w:hAnsi="Arial"/>
          <w:sz w:val="19"/>
          <w:szCs w:val="19"/>
          <w:color w:val="auto"/>
        </w:rPr>
        <w:t>”), among other things, modify the interest rates applicable to the Initial Term Loans outstanding under the Credit Agreement, which modifications shall be effected by the exchange of Initial Term Loans for Refinancing Term Loans otherwise having, except as otherwise provided in this Agreement, the same terms as the Initial Term Loans, on the terms and conditions set forth herein.</w:t>
      </w:r>
    </w:p>
    <w:p>
      <w:pPr>
        <w:spacing w:after="0" w:line="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Each Existing Term Lender executing and delivering a commitment (a “</w:t>
      </w:r>
      <w:r>
        <w:rPr>
          <w:rFonts w:ascii="Arial" w:cs="Arial" w:eastAsia="Arial" w:hAnsi="Arial"/>
          <w:sz w:val="19"/>
          <w:szCs w:val="19"/>
          <w:u w:val="single" w:color="auto"/>
          <w:color w:val="auto"/>
        </w:rPr>
        <w:t>Refinancing Term Loan Commitment</w:t>
      </w:r>
      <w:r>
        <w:rPr>
          <w:rFonts w:ascii="Arial" w:cs="Arial" w:eastAsia="Arial" w:hAnsi="Arial"/>
          <w:sz w:val="19"/>
          <w:szCs w:val="19"/>
          <w:color w:val="auto"/>
        </w:rPr>
        <w:t>”) in substantially the form attached as Exhibit A hereto (or such other form as the Administrative Agent may approve) and electing the cashless settlement option therein (each such Lender in such capacity, a “</w:t>
      </w:r>
      <w:r>
        <w:rPr>
          <w:rFonts w:ascii="Arial" w:cs="Arial" w:eastAsia="Arial" w:hAnsi="Arial"/>
          <w:sz w:val="19"/>
          <w:szCs w:val="19"/>
          <w:u w:val="single" w:color="auto"/>
          <w:color w:val="auto"/>
        </w:rPr>
        <w:t>Converting Lender</w:t>
      </w:r>
      <w:r>
        <w:rPr>
          <w:rFonts w:ascii="Arial" w:cs="Arial" w:eastAsia="Arial" w:hAnsi="Arial"/>
          <w:sz w:val="19"/>
          <w:szCs w:val="19"/>
          <w:color w:val="auto"/>
        </w:rPr>
        <w:t>” and, together with each other Person executing and delivering a Refinancing Term Loan Commitment, the “</w:t>
      </w:r>
      <w:r>
        <w:rPr>
          <w:rFonts w:ascii="Arial" w:cs="Arial" w:eastAsia="Arial" w:hAnsi="Arial"/>
          <w:sz w:val="19"/>
          <w:szCs w:val="19"/>
          <w:u w:val="single" w:color="auto"/>
          <w:color w:val="auto"/>
        </w:rPr>
        <w:t>Refinancing Lenders</w:t>
      </w:r>
      <w:r>
        <w:rPr>
          <w:rFonts w:ascii="Arial" w:cs="Arial" w:eastAsia="Arial" w:hAnsi="Arial"/>
          <w:sz w:val="19"/>
          <w:szCs w:val="19"/>
          <w:color w:val="auto"/>
        </w:rPr>
        <w:t>”) shall be deemed to have exchanged the aggregate outstanding amount of its Initial Term Loans (or such lesser amount as the Lead Arrangers may allocate in connection with the syndication of the Refinancing Term Loans) under the Credit Agreement for an equal aggregate principal amount of 2019 Refinancing Term Loans (as defined below) under the Credit Agreement.</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Borrowers have requested that the Lenders consent to certain other modifications to the Existing Credit Agreement as provided for herein.</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consideration of the premises and agreements, provisions and covenants herein contained, the parties hereto hereby covenant and agree as follows: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 to Existing Credit Agreement</w:t>
      </w:r>
      <w:r>
        <w:rPr>
          <w:rFonts w:ascii="Arial" w:cs="Arial" w:eastAsia="Arial" w:hAnsi="Arial"/>
          <w:sz w:val="22"/>
          <w:szCs w:val="22"/>
          <w:color w:val="auto"/>
        </w:rPr>
        <w:t>. The Existing Credit Agreement is, as of the Amendment No. 1 Effective Date and subject to the satisfaction of the applicable conditions precedent set forth in Section 3 of this Agreement, hereby amended as follows:</w:t>
      </w:r>
    </w:p>
    <w:p>
      <w:pPr>
        <w:sectPr>
          <w:pgSz w:w="11900" w:h="16838" w:orient="portrait"/>
          <w:cols w:equalWidth="0" w:num="1">
            <w:col w:w="11420"/>
          </w:cols>
          <w:pgMar w:left="240" w:top="121" w:right="239" w:bottom="1440" w:gutter="0" w:footer="0" w:header="0"/>
        </w:sectPr>
      </w:pPr>
    </w:p>
    <w:bookmarkStart w:id="164" w:name="page165"/>
    <w:bookmarkEnd w:id="164"/>
    <w:p>
      <w:pPr>
        <w:ind w:firstLine="645"/>
        <w:spacing w:after="0" w:line="239" w:lineRule="auto"/>
        <w:tabs>
          <w:tab w:leader="none" w:pos="1496" w:val="left"/>
        </w:tabs>
        <w:numPr>
          <w:ilvl w:val="0"/>
          <w:numId w:val="47"/>
        </w:numPr>
        <w:rPr>
          <w:rFonts w:ascii="Arial" w:cs="Arial" w:eastAsia="Arial" w:hAnsi="Arial"/>
          <w:sz w:val="18"/>
          <w:szCs w:val="18"/>
          <w:color w:val="auto"/>
        </w:rPr>
      </w:pPr>
      <w:r>
        <w:rPr>
          <w:rFonts w:ascii="Arial" w:cs="Arial" w:eastAsia="Arial" w:hAnsi="Arial"/>
          <w:sz w:val="22"/>
          <w:szCs w:val="22"/>
          <w:color w:val="auto"/>
        </w:rPr>
        <w:t>Section 1.01 of the Existing Credit Agreement shall be amended by adding the following new definitions thereto in proper alphabetical order:</w:t>
      </w:r>
    </w:p>
    <w:p>
      <w:pPr>
        <w:spacing w:after="0" w:line="185" w:lineRule="exact"/>
        <w:rPr>
          <w:sz w:val="20"/>
          <w:szCs w:val="20"/>
          <w:color w:val="auto"/>
        </w:rPr>
      </w:pPr>
    </w:p>
    <w:p>
      <w:pPr>
        <w:ind w:left="6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w:t>
      </w:r>
      <w:r>
        <w:rPr>
          <w:rFonts w:ascii="Arial" w:cs="Arial" w:eastAsia="Arial" w:hAnsi="Arial"/>
          <w:sz w:val="19"/>
          <w:szCs w:val="19"/>
          <w:color w:val="auto"/>
        </w:rPr>
        <w:t>” means that certain Amendment No. 1 to Credit Agreement, dated as of December 3, 2019, among the Borrowers, MVWC, the Administrative Agent and certain Lenders party thereto.</w:t>
      </w:r>
    </w:p>
    <w:p>
      <w:pPr>
        <w:spacing w:after="0" w:line="105" w:lineRule="exact"/>
        <w:rPr>
          <w:sz w:val="20"/>
          <w:szCs w:val="20"/>
          <w:color w:val="auto"/>
        </w:rPr>
      </w:pPr>
    </w:p>
    <w:p>
      <w:pPr>
        <w:ind w:lef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means the “Amendment No. 1 Effective Date” under and as defined in Amendment No. 1.</w:t>
      </w:r>
    </w:p>
    <w:p>
      <w:pPr>
        <w:spacing w:after="0" w:line="148" w:lineRule="exact"/>
        <w:rPr>
          <w:sz w:val="20"/>
          <w:szCs w:val="20"/>
          <w:color w:val="auto"/>
        </w:rPr>
      </w:pPr>
    </w:p>
    <w:p>
      <w:pPr>
        <w:ind w:firstLine="645"/>
        <w:spacing w:after="0" w:line="239"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22"/>
          <w:szCs w:val="22"/>
          <w:color w:val="auto"/>
        </w:rPr>
        <w:t>Section 2.14(b) of the Existing Credit Agreement shall be amended by replacing each reference to “Initial Term Loans” therein with “2019 Refinancing Term Loans”.</w:t>
      </w:r>
    </w:p>
    <w:p>
      <w:pPr>
        <w:spacing w:after="0" w:line="157" w:lineRule="exact"/>
        <w:rPr>
          <w:rFonts w:ascii="Arial" w:cs="Arial" w:eastAsia="Arial" w:hAnsi="Arial"/>
          <w:sz w:val="18"/>
          <w:szCs w:val="18"/>
          <w:color w:val="auto"/>
        </w:rPr>
      </w:pPr>
    </w:p>
    <w:p>
      <w:pPr>
        <w:ind w:right="20" w:firstLine="645"/>
        <w:spacing w:after="0" w:line="313" w:lineRule="auto"/>
        <w:tabs>
          <w:tab w:leader="none" w:pos="1496" w:val="left"/>
        </w:tabs>
        <w:numPr>
          <w:ilvl w:val="0"/>
          <w:numId w:val="48"/>
        </w:numPr>
        <w:rPr>
          <w:rFonts w:ascii="Arial" w:cs="Arial" w:eastAsia="Arial" w:hAnsi="Arial"/>
          <w:sz w:val="16"/>
          <w:szCs w:val="16"/>
          <w:color w:val="auto"/>
        </w:rPr>
      </w:pPr>
      <w:r>
        <w:rPr>
          <w:rFonts w:ascii="Arial" w:cs="Arial" w:eastAsia="Arial" w:hAnsi="Arial"/>
          <w:sz w:val="19"/>
          <w:szCs w:val="19"/>
          <w:color w:val="auto"/>
        </w:rPr>
        <w:t xml:space="preserve">The 2019 Refinancing Term Loans shall be deemed incorporated into the Credit Agreement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as a new Class of Term Loans on the terms and conditions set forth in Section 2 of this Agreement.</w:t>
      </w:r>
    </w:p>
    <w:p>
      <w:pPr>
        <w:spacing w:after="0" w:line="91" w:lineRule="exact"/>
        <w:rPr>
          <w:rFonts w:ascii="Arial" w:cs="Arial" w:eastAsia="Arial" w:hAnsi="Arial"/>
          <w:sz w:val="16"/>
          <w:szCs w:val="16"/>
          <w:color w:val="auto"/>
        </w:rPr>
      </w:pPr>
    </w:p>
    <w:p>
      <w:pPr>
        <w:jc w:val="both"/>
        <w:ind w:firstLine="645"/>
        <w:spacing w:after="0" w:line="248" w:lineRule="auto"/>
        <w:tabs>
          <w:tab w:leader="none" w:pos="1506" w:val="left"/>
        </w:tabs>
        <w:numPr>
          <w:ilvl w:val="0"/>
          <w:numId w:val="48"/>
        </w:numPr>
        <w:rPr>
          <w:rFonts w:ascii="Arial" w:cs="Arial" w:eastAsia="Arial" w:hAnsi="Arial"/>
          <w:sz w:val="16"/>
          <w:szCs w:val="16"/>
          <w:color w:val="auto"/>
        </w:rPr>
      </w:pPr>
      <w:r>
        <w:rPr>
          <w:rFonts w:ascii="Arial" w:cs="Arial" w:eastAsia="Arial" w:hAnsi="Arial"/>
          <w:sz w:val="19"/>
          <w:szCs w:val="19"/>
          <w:color w:val="auto"/>
        </w:rPr>
        <w:t>By execution and delivery by a Lender of a Refinancing Term Loan Commitment, such Lender (i) consents to the modifications to the Existing Credit Agreement and the other Loan Documents effected by this Agreement, including, as applicable, the exchange of such Lender’s Initial Term Loans for 2019 Refinancing Term Loans as contemplated hereby and (ii) waives (A) the Borrower’s obligation to indemnify the Existing Term Lenders against any funding loss or expense that may be payable to such Existing Term Lenders pursuant to Section 3.04 of the Existing Credit Agreement solely in connection with any prepayment (or deemed prepayment) of Initial Term Loans contemplated hereby and (B) the provisions of the Existing Credit Agreement requiring advance notice of any prepayment of the Initial Term Loans and/or any borrowing of Refinancing Term Loans or establishment of Incremental Facilities contemplated hereunder.</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Refinancing Term Loans</w:t>
      </w:r>
      <w:r>
        <w:rPr>
          <w:rFonts w:ascii="Arial" w:cs="Arial" w:eastAsia="Arial" w:hAnsi="Arial"/>
          <w:sz w:val="22"/>
          <w:szCs w:val="22"/>
          <w:color w:val="auto"/>
        </w:rPr>
        <w:t>.</w:t>
      </w:r>
    </w:p>
    <w:p>
      <w:pPr>
        <w:spacing w:after="0" w:line="193" w:lineRule="exact"/>
        <w:rPr>
          <w:sz w:val="20"/>
          <w:szCs w:val="20"/>
          <w:color w:val="auto"/>
        </w:rPr>
      </w:pPr>
    </w:p>
    <w:p>
      <w:pPr>
        <w:jc w:val="both"/>
        <w:ind w:firstLine="645"/>
        <w:spacing w:after="0" w:line="227" w:lineRule="auto"/>
        <w:tabs>
          <w:tab w:leader="none" w:pos="1496" w:val="left"/>
        </w:tabs>
        <w:numPr>
          <w:ilvl w:val="0"/>
          <w:numId w:val="49"/>
        </w:numPr>
        <w:rPr>
          <w:rFonts w:ascii="Arial" w:cs="Arial" w:eastAsia="Arial" w:hAnsi="Arial"/>
          <w:sz w:val="18"/>
          <w:szCs w:val="18"/>
          <w:color w:val="auto"/>
        </w:rPr>
      </w:pPr>
      <w:r>
        <w:rPr>
          <w:rFonts w:ascii="Arial" w:cs="Arial" w:eastAsia="Arial" w:hAnsi="Arial"/>
          <w:sz w:val="22"/>
          <w:szCs w:val="22"/>
          <w:color w:val="auto"/>
        </w:rPr>
        <w:t>The Refinancing Term Loans effected hereby shall constitute a new Class of Term Loans under the Credit Agreement, which Class of Term Loans shall be titled “</w:t>
      </w:r>
      <w:r>
        <w:rPr>
          <w:rFonts w:ascii="Arial" w:cs="Arial" w:eastAsia="Arial" w:hAnsi="Arial"/>
          <w:sz w:val="22"/>
          <w:szCs w:val="22"/>
          <w:u w:val="single" w:color="auto"/>
          <w:color w:val="auto"/>
        </w:rPr>
        <w:t>2019 Refinancing Term Loans</w:t>
      </w:r>
      <w:r>
        <w:rPr>
          <w:rFonts w:ascii="Arial" w:cs="Arial" w:eastAsia="Arial" w:hAnsi="Arial"/>
          <w:sz w:val="22"/>
          <w:szCs w:val="22"/>
          <w:color w:val="auto"/>
        </w:rPr>
        <w:t>” thereunder, and shall have the following terms and conditions:</w:t>
      </w:r>
    </w:p>
    <w:p>
      <w:pPr>
        <w:spacing w:after="0" w:line="160" w:lineRule="exact"/>
        <w:rPr>
          <w:rFonts w:ascii="Arial" w:cs="Arial" w:eastAsia="Arial" w:hAnsi="Arial"/>
          <w:sz w:val="18"/>
          <w:szCs w:val="18"/>
          <w:color w:val="auto"/>
        </w:rPr>
      </w:pPr>
    </w:p>
    <w:p>
      <w:pPr>
        <w:jc w:val="both"/>
        <w:ind w:left="640" w:firstLine="653"/>
        <w:spacing w:after="0" w:line="222" w:lineRule="auto"/>
        <w:tabs>
          <w:tab w:leader="none" w:pos="2106" w:val="left"/>
        </w:tabs>
        <w:numPr>
          <w:ilvl w:val="1"/>
          <w:numId w:val="49"/>
        </w:numPr>
        <w:rPr>
          <w:rFonts w:ascii="Arial" w:cs="Arial" w:eastAsia="Arial" w:hAnsi="Arial"/>
          <w:sz w:val="18"/>
          <w:szCs w:val="18"/>
          <w:color w:val="auto"/>
        </w:rPr>
      </w:pPr>
      <w:r>
        <w:rPr>
          <w:rFonts w:ascii="Arial" w:cs="Arial" w:eastAsia="Arial" w:hAnsi="Arial"/>
          <w:sz w:val="22"/>
          <w:szCs w:val="22"/>
          <w:color w:val="auto"/>
        </w:rPr>
        <w:t>The Applicable Rate for the 2019 Refinancing Term Loans shall be (A) for Eurocurrency Rate Loans that are 2019 Refinancing Term Loans, 1.75% per annum and (B) for Base Rate Loans that are 2019 Refinancing Term Loans, 0.75% per annum. For the avoidance of doubt, the Eurocurrency Rate in respect of 2019 Refinancing Term Loans shall at no time be less than 0.00% per annum.</w:t>
      </w:r>
    </w:p>
    <w:p>
      <w:pPr>
        <w:spacing w:after="0" w:line="157" w:lineRule="exact"/>
        <w:rPr>
          <w:rFonts w:ascii="Arial" w:cs="Arial" w:eastAsia="Arial" w:hAnsi="Arial"/>
          <w:sz w:val="18"/>
          <w:szCs w:val="18"/>
          <w:color w:val="auto"/>
        </w:rPr>
      </w:pPr>
    </w:p>
    <w:p>
      <w:pPr>
        <w:ind w:left="640" w:right="20" w:firstLine="653"/>
        <w:spacing w:after="0" w:line="239" w:lineRule="auto"/>
        <w:tabs>
          <w:tab w:leader="none" w:pos="2156" w:val="left"/>
        </w:tabs>
        <w:numPr>
          <w:ilvl w:val="1"/>
          <w:numId w:val="49"/>
        </w:numPr>
        <w:rPr>
          <w:rFonts w:ascii="Arial" w:cs="Arial" w:eastAsia="Arial" w:hAnsi="Arial"/>
          <w:sz w:val="18"/>
          <w:szCs w:val="18"/>
          <w:color w:val="auto"/>
        </w:rPr>
      </w:pPr>
      <w:r>
        <w:rPr>
          <w:rFonts w:ascii="Arial" w:cs="Arial" w:eastAsia="Arial" w:hAnsi="Arial"/>
          <w:sz w:val="22"/>
          <w:szCs w:val="22"/>
          <w:color w:val="auto"/>
        </w:rPr>
        <w:t>The Maturity Date in respect of the 2019 Refinancing Term Loans shall be the seventh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321" w:right="239" w:bottom="1440" w:gutter="0" w:footer="0" w:header="0"/>
        </w:sectPr>
      </w:pPr>
    </w:p>
    <w:bookmarkStart w:id="165" w:name="page166"/>
    <w:bookmarkEnd w:id="165"/>
    <w:p>
      <w:pPr>
        <w:jc w:val="both"/>
        <w:ind w:left="100" w:firstLine="653"/>
        <w:spacing w:after="0" w:line="218" w:lineRule="auto"/>
        <w:tabs>
          <w:tab w:leader="none" w:pos="17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2019 Refinancing Term Loans borrowed, converted or exchanged under this Section 2 and repaid or prepaid may not be reborrowed. 2019 Refinancing Term Loans may be made and/or converted, as applicable, as Base Rate Loans or Eurocurrency Rate Loans, on the terms and conditions applicable to Term Loans under the Credit Agreement.</w:t>
      </w:r>
    </w:p>
    <w:p>
      <w:pPr>
        <w:spacing w:after="0" w:line="161" w:lineRule="exact"/>
        <w:rPr>
          <w:rFonts w:ascii="Arial" w:cs="Arial" w:eastAsia="Arial" w:hAnsi="Arial"/>
          <w:sz w:val="22"/>
          <w:szCs w:val="22"/>
          <w:color w:val="auto"/>
        </w:rPr>
      </w:pPr>
    </w:p>
    <w:p>
      <w:pPr>
        <w:jc w:val="both"/>
        <w:ind w:left="100" w:firstLine="653"/>
        <w:spacing w:after="0" w:line="246" w:lineRule="auto"/>
        <w:tabs>
          <w:tab w:leader="none" w:pos="1656" w:val="left"/>
        </w:tabs>
        <w:numPr>
          <w:ilvl w:val="1"/>
          <w:numId w:val="50"/>
        </w:numPr>
        <w:rPr>
          <w:rFonts w:ascii="Arial" w:cs="Arial" w:eastAsia="Arial" w:hAnsi="Arial"/>
          <w:sz w:val="16"/>
          <w:szCs w:val="16"/>
          <w:color w:val="auto"/>
        </w:rPr>
      </w:pPr>
      <w:r>
        <w:rPr>
          <w:rFonts w:ascii="Arial" w:cs="Arial" w:eastAsia="Arial" w:hAnsi="Arial"/>
          <w:sz w:val="19"/>
          <w:szCs w:val="19"/>
          <w:color w:val="auto"/>
        </w:rPr>
        <w:t>The Borrowers shall repay to the Administrative Agent for the ratable account of the Appropriate Lenders (A) on the last Business Day of each March, June, September and December, commencing with the first full fiscal quarter after the Amendment No. 1 Effective Date, an aggregate amount equal to 0.25% of the initial aggregate principal amount of all 2019 Refinancing Term Loans made on the Amendment No. 1 Effective Date and</w:t>
      </w:r>
    </w:p>
    <w:p>
      <w:pPr>
        <w:jc w:val="both"/>
        <w:ind w:left="100" w:firstLine="5"/>
        <w:spacing w:after="0" w:line="258" w:lineRule="auto"/>
        <w:tabs>
          <w:tab w:leader="none" w:pos="494"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on the Maturity Date for the 2019 Refinancing Term Loans, the aggregate principal amount of all 2019 Refinancing Term Loans outstanding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payments required by clause (A) above shall be reduced as a result of the application of prepayments in accordance with Section 2.05 of the Credit Agreement.</w:t>
      </w:r>
    </w:p>
    <w:p>
      <w:pPr>
        <w:spacing w:after="0" w:line="141" w:lineRule="exact"/>
        <w:rPr>
          <w:rFonts w:ascii="Arial" w:cs="Arial" w:eastAsia="Arial" w:hAnsi="Arial"/>
          <w:sz w:val="19"/>
          <w:szCs w:val="19"/>
          <w:color w:val="auto"/>
        </w:rPr>
      </w:pPr>
    </w:p>
    <w:p>
      <w:pPr>
        <w:jc w:val="both"/>
        <w:ind w:left="100" w:firstLine="653"/>
        <w:spacing w:after="0" w:line="250" w:lineRule="auto"/>
        <w:tabs>
          <w:tab w:leader="none" w:pos="1606" w:val="left"/>
        </w:tabs>
        <w:numPr>
          <w:ilvl w:val="1"/>
          <w:numId w:val="51"/>
        </w:numPr>
        <w:rPr>
          <w:rFonts w:ascii="Arial" w:cs="Arial" w:eastAsia="Arial" w:hAnsi="Arial"/>
          <w:sz w:val="16"/>
          <w:szCs w:val="16"/>
          <w:color w:val="auto"/>
        </w:rPr>
      </w:pPr>
      <w:r>
        <w:rPr>
          <w:rFonts w:ascii="Arial" w:cs="Arial" w:eastAsia="Arial" w:hAnsi="Arial"/>
          <w:sz w:val="19"/>
          <w:szCs w:val="19"/>
          <w:color w:val="auto"/>
        </w:rPr>
        <w:t>In the event that, on or prior to the date that is six (6) months after the Amendment No. 1 Effective Date, the Borrowers (x) make any prepayment of 2019 Refinancing Term Loans in connection with any Repricing Event or (y) effect any amendment of the Credit Agreement resulting in a Repricing Event, the Borrowers shall pay or cause to be paid to the Administrative Agent, for the ratable account of each of the applicable Refinancing Lenders, (A) in the case of clause (x), a prepayment premium of 1.00% of the amount of the 2019 Refinancing Term Loans being prepaid and (B) in the case of clause (y), an amount equal to 1.00% of the aggregate amount of the applicable 2019 Refinancing Term Loans outstanding immediately prior to such amendment.</w:t>
      </w:r>
    </w:p>
    <w:p>
      <w:pPr>
        <w:spacing w:after="0" w:line="149" w:lineRule="exact"/>
        <w:rPr>
          <w:rFonts w:ascii="Arial" w:cs="Arial" w:eastAsia="Arial" w:hAnsi="Arial"/>
          <w:sz w:val="16"/>
          <w:szCs w:val="16"/>
          <w:color w:val="auto"/>
        </w:rPr>
      </w:pPr>
    </w:p>
    <w:p>
      <w:pPr>
        <w:jc w:val="both"/>
        <w:ind w:left="100" w:firstLine="653"/>
        <w:spacing w:after="0" w:line="262" w:lineRule="auto"/>
        <w:tabs>
          <w:tab w:leader="none" w:pos="1656" w:val="left"/>
        </w:tabs>
        <w:numPr>
          <w:ilvl w:val="1"/>
          <w:numId w:val="51"/>
        </w:numPr>
        <w:rPr>
          <w:rFonts w:ascii="Arial" w:cs="Arial" w:eastAsia="Arial" w:hAnsi="Arial"/>
          <w:sz w:val="16"/>
          <w:szCs w:val="16"/>
          <w:color w:val="auto"/>
        </w:rPr>
      </w:pPr>
      <w:r>
        <w:rPr>
          <w:rFonts w:ascii="Arial" w:cs="Arial" w:eastAsia="Arial" w:hAnsi="Arial"/>
          <w:sz w:val="19"/>
          <w:szCs w:val="19"/>
          <w:color w:val="auto"/>
        </w:rPr>
        <w:t>Except as otherwise expressly set forth herein, the 2019 Refinancing Term Loans shall have identical terms as the Initial Term Loans and shall otherwise be subject to the provisions, including any provisions restricting the rights, or regarding the obligations, of the Loan Parties or any provisions regarding the rights of the Term Lenders, of the Credit Agreement and the other Loan Documents applicable to Initial Term Loans.</w:t>
      </w:r>
    </w:p>
    <w:p>
      <w:pPr>
        <w:spacing w:after="0" w:line="139" w:lineRule="exact"/>
        <w:rPr>
          <w:rFonts w:ascii="Arial" w:cs="Arial" w:eastAsia="Arial" w:hAnsi="Arial"/>
          <w:sz w:val="16"/>
          <w:szCs w:val="16"/>
          <w:color w:val="auto"/>
        </w:rPr>
      </w:pPr>
    </w:p>
    <w:p>
      <w:pPr>
        <w:jc w:val="both"/>
        <w:ind w:left="100" w:firstLine="653"/>
        <w:spacing w:after="0" w:line="227" w:lineRule="auto"/>
        <w:tabs>
          <w:tab w:leader="none" w:pos="1706" w:val="left"/>
        </w:tabs>
        <w:numPr>
          <w:ilvl w:val="1"/>
          <w:numId w:val="51"/>
        </w:numPr>
        <w:rPr>
          <w:rFonts w:ascii="Arial" w:cs="Arial" w:eastAsia="Arial" w:hAnsi="Arial"/>
          <w:sz w:val="18"/>
          <w:szCs w:val="18"/>
          <w:color w:val="auto"/>
        </w:rPr>
      </w:pPr>
      <w:r>
        <w:rPr>
          <w:rFonts w:ascii="Arial" w:cs="Arial" w:eastAsia="Arial" w:hAnsi="Arial"/>
          <w:sz w:val="22"/>
          <w:szCs w:val="22"/>
          <w:color w:val="auto"/>
        </w:rPr>
        <w:t xml:space="preserve">Each reference to a “Refinancing Term Loan” and “Term Loan” in the Credit Agreement or the other Loan Documents shall be deemed to include the 2019 Refinancing Term Loans and all other related terms will have correlative meanings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60" w:lineRule="exact"/>
        <w:rPr>
          <w:sz w:val="20"/>
          <w:szCs w:val="20"/>
          <w:color w:val="auto"/>
        </w:rPr>
      </w:pPr>
    </w:p>
    <w:p>
      <w:pPr>
        <w:ind w:left="-540" w:firstLine="645"/>
        <w:spacing w:after="0" w:line="239" w:lineRule="auto"/>
        <w:tabs>
          <w:tab w:leader="none" w:pos="966" w:val="left"/>
        </w:tabs>
        <w:numPr>
          <w:ilvl w:val="0"/>
          <w:numId w:val="52"/>
        </w:numPr>
        <w:rPr>
          <w:rFonts w:ascii="Arial" w:cs="Arial" w:eastAsia="Arial" w:hAnsi="Arial"/>
          <w:sz w:val="18"/>
          <w:szCs w:val="18"/>
          <w:color w:val="auto"/>
        </w:rPr>
      </w:pPr>
      <w:r>
        <w:rPr>
          <w:rFonts w:ascii="Arial" w:cs="Arial" w:eastAsia="Arial" w:hAnsi="Arial"/>
          <w:sz w:val="22"/>
          <w:szCs w:val="22"/>
          <w:color w:val="auto"/>
        </w:rPr>
        <w:t>On the Amendment No. 1 Effective Date, upon the satisfaction of the applicable conditions precedent set forth in Section 3 of this Agreement:</w:t>
      </w:r>
    </w:p>
    <w:p>
      <w:pPr>
        <w:spacing w:after="0" w:line="157" w:lineRule="exact"/>
        <w:rPr>
          <w:rFonts w:ascii="Arial" w:cs="Arial" w:eastAsia="Arial" w:hAnsi="Arial"/>
          <w:sz w:val="18"/>
          <w:szCs w:val="18"/>
          <w:color w:val="auto"/>
        </w:rPr>
      </w:pPr>
    </w:p>
    <w:p>
      <w:pPr>
        <w:jc w:val="both"/>
        <w:ind w:left="100" w:firstLine="653"/>
        <w:spacing w:after="0" w:line="227" w:lineRule="auto"/>
        <w:tabs>
          <w:tab w:leader="none" w:pos="1566" w:val="left"/>
        </w:tabs>
        <w:numPr>
          <w:ilvl w:val="1"/>
          <w:numId w:val="52"/>
        </w:numPr>
        <w:rPr>
          <w:rFonts w:ascii="Arial" w:cs="Arial" w:eastAsia="Arial" w:hAnsi="Arial"/>
          <w:sz w:val="18"/>
          <w:szCs w:val="18"/>
          <w:color w:val="auto"/>
        </w:rPr>
      </w:pPr>
      <w:r>
        <w:rPr>
          <w:rFonts w:ascii="Arial" w:cs="Arial" w:eastAsia="Arial" w:hAnsi="Arial"/>
          <w:sz w:val="22"/>
          <w:szCs w:val="22"/>
          <w:color w:val="auto"/>
        </w:rPr>
        <w:t>With respect to each Converting Lender, the outstanding amount of Initial Term Loans of such Converting Lender (or such lesser amount as the Lead Arrangers may allocate in connection with the syndication of the 2019 Refinancing</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37" w:right="239" w:bottom="1440" w:gutter="0" w:footer="0" w:header="0"/>
        </w:sectPr>
      </w:pPr>
    </w:p>
    <w:bookmarkStart w:id="166" w:name="page167"/>
    <w:bookmarkEnd w:id="166"/>
    <w:p>
      <w:pPr>
        <w:ind w:left="1300" w:right="20"/>
        <w:spacing w:after="0" w:line="263" w:lineRule="auto"/>
        <w:rPr>
          <w:sz w:val="20"/>
          <w:szCs w:val="20"/>
          <w:color w:val="auto"/>
        </w:rPr>
      </w:pPr>
      <w:r>
        <w:rPr>
          <w:rFonts w:ascii="Arial" w:cs="Arial" w:eastAsia="Arial" w:hAnsi="Arial"/>
          <w:sz w:val="22"/>
          <w:szCs w:val="22"/>
          <w:color w:val="auto"/>
        </w:rPr>
        <w:t>Term Loans) shall be deemed to be exchanged for an equal outstanding amount of 2019 Refinancing Term Loans under the Credit Agreement.</w:t>
      </w:r>
    </w:p>
    <w:p>
      <w:pPr>
        <w:spacing w:after="0" w:line="148" w:lineRule="exact"/>
        <w:rPr>
          <w:sz w:val="20"/>
          <w:szCs w:val="20"/>
          <w:color w:val="auto"/>
        </w:rPr>
      </w:pPr>
    </w:p>
    <w:p>
      <w:pPr>
        <w:jc w:val="both"/>
        <w:ind w:left="1300" w:firstLine="653"/>
        <w:spacing w:after="0" w:line="227" w:lineRule="auto"/>
        <w:tabs>
          <w:tab w:leader="none" w:pos="2816" w:val="left"/>
        </w:tabs>
        <w:numPr>
          <w:ilvl w:val="1"/>
          <w:numId w:val="53"/>
        </w:numPr>
        <w:rPr>
          <w:rFonts w:ascii="Arial" w:cs="Arial" w:eastAsia="Arial" w:hAnsi="Arial"/>
          <w:sz w:val="18"/>
          <w:szCs w:val="18"/>
          <w:color w:val="auto"/>
        </w:rPr>
      </w:pPr>
      <w:r>
        <w:rPr>
          <w:rFonts w:ascii="Arial" w:cs="Arial" w:eastAsia="Arial" w:hAnsi="Arial"/>
          <w:sz w:val="22"/>
          <w:szCs w:val="22"/>
          <w:color w:val="auto"/>
        </w:rPr>
        <w:t>The exchange of outstanding Initial Term Loans for 2019 Refinancing Term Loans by Converting Lenders shall be effected by book entry in such manner, and with such supporting documentation, as may be reasonably determined by the Administrative Agent.</w:t>
      </w:r>
    </w:p>
    <w:p>
      <w:pPr>
        <w:spacing w:after="0" w:line="160" w:lineRule="exact"/>
        <w:rPr>
          <w:rFonts w:ascii="Arial" w:cs="Arial" w:eastAsia="Arial" w:hAnsi="Arial"/>
          <w:sz w:val="18"/>
          <w:szCs w:val="18"/>
          <w:color w:val="auto"/>
        </w:rPr>
      </w:pPr>
    </w:p>
    <w:p>
      <w:pPr>
        <w:jc w:val="both"/>
        <w:ind w:left="1300" w:firstLine="653"/>
        <w:spacing w:after="0"/>
        <w:tabs>
          <w:tab w:leader="none" w:pos="2866" w:val="left"/>
        </w:tabs>
        <w:numPr>
          <w:ilvl w:val="1"/>
          <w:numId w:val="53"/>
        </w:numPr>
        <w:rPr>
          <w:rFonts w:ascii="Arial" w:cs="Arial" w:eastAsia="Arial" w:hAnsi="Arial"/>
          <w:sz w:val="16"/>
          <w:szCs w:val="16"/>
          <w:color w:val="auto"/>
        </w:rPr>
      </w:pPr>
      <w:r>
        <w:rPr>
          <w:rFonts w:ascii="Arial" w:cs="Arial" w:eastAsia="Arial" w:hAnsi="Arial"/>
          <w:sz w:val="19"/>
          <w:szCs w:val="19"/>
          <w:color w:val="auto"/>
        </w:rPr>
        <w:t>Each Refinancing Lender other than a Converting Lender (except to the extent that a Converting Lender is purchasing 2019 Refinancing Term Loans in excess of its Initial Term Loans), and/or one or more Persons acting in the capacity as “fronting bank” on the behalf of such Refinancing Lenders, if any (each, a “</w:t>
      </w:r>
      <w:r>
        <w:rPr>
          <w:rFonts w:ascii="Arial" w:cs="Arial" w:eastAsia="Arial" w:hAnsi="Arial"/>
          <w:sz w:val="19"/>
          <w:szCs w:val="19"/>
          <w:u w:val="single" w:color="auto"/>
          <w:color w:val="auto"/>
        </w:rPr>
        <w:t>Fronting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Bank</w:t>
      </w:r>
      <w:r>
        <w:rPr>
          <w:rFonts w:ascii="Arial" w:cs="Arial" w:eastAsia="Arial" w:hAnsi="Arial"/>
          <w:sz w:val="19"/>
          <w:szCs w:val="19"/>
          <w:color w:val="auto"/>
        </w:rPr>
        <w:t>”), shall severally advance to the Borrower 2019 Refinancing Term Loans in U.S. Dollars on the Amendment No. 1 Effective Date in accordance with such Refinancing Lender’s Refinancing Term Loan Commitment or such lesser amount as the Lead Arrangers may allocate in connection with the syndication of the 2019 Refinancing Term Loans. In addition, one or more Persons acting in the capacity as an “additional bank”, if any (each, an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Bank</w:t>
      </w:r>
      <w:r>
        <w:rPr>
          <w:rFonts w:ascii="Arial" w:cs="Arial" w:eastAsia="Arial" w:hAnsi="Arial"/>
          <w:sz w:val="19"/>
          <w:szCs w:val="19"/>
          <w:color w:val="auto"/>
        </w:rPr>
        <w:t>”), shall severally advance to the Borrower 2019 Refinancing Term Loans in U.S. Dollars on the Amendment No. 1 Effective Date in an amount equal to the amount of the Initial Term Loans held by Existing Term Lenders that do not execute and deliver a Refinancing Term Loan Commitment. In each case, such funding of 2019 Refinancing Term Loans shall be deemed, automatically and without further act by any Person, to constitute a simultaneous (i) Borrowing by the Borrower of Refinancing Term Loans under the Credit Agreement and (ii) prepayment of Initial Term Loans of Existing Term Lenders that (x) do not execute and deliver a Refinancing Term Loan Commitment or</w:t>
      </w:r>
    </w:p>
    <w:p>
      <w:pPr>
        <w:ind w:left="1620" w:hanging="315"/>
        <w:spacing w:after="0"/>
        <w:tabs>
          <w:tab w:leader="none" w:pos="16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execute and deliver a Refinancing Term Loan Commitment and elect the consent only option therein.</w:t>
      </w:r>
    </w:p>
    <w:p>
      <w:pPr>
        <w:spacing w:after="0" w:line="172" w:lineRule="exact"/>
        <w:rPr>
          <w:rFonts w:ascii="Arial" w:cs="Arial" w:eastAsia="Arial" w:hAnsi="Arial"/>
          <w:sz w:val="21"/>
          <w:szCs w:val="21"/>
          <w:color w:val="auto"/>
        </w:rPr>
      </w:pPr>
    </w:p>
    <w:p>
      <w:pPr>
        <w:jc w:val="both"/>
        <w:ind w:left="1300" w:firstLine="653"/>
        <w:spacing w:after="0" w:line="224" w:lineRule="auto"/>
        <w:tabs>
          <w:tab w:leader="none" w:pos="2856" w:val="left"/>
        </w:tabs>
        <w:numPr>
          <w:ilvl w:val="1"/>
          <w:numId w:val="54"/>
        </w:numPr>
        <w:rPr>
          <w:rFonts w:ascii="Arial" w:cs="Arial" w:eastAsia="Arial" w:hAnsi="Arial"/>
          <w:sz w:val="17"/>
          <w:szCs w:val="17"/>
          <w:color w:val="auto"/>
        </w:rPr>
      </w:pPr>
      <w:r>
        <w:rPr>
          <w:rFonts w:ascii="Arial" w:cs="Arial" w:eastAsia="Arial" w:hAnsi="Arial"/>
          <w:sz w:val="21"/>
          <w:szCs w:val="21"/>
          <w:color w:val="auto"/>
        </w:rPr>
        <w:t>To the extent that one or more Persons makes any Refinancing Term Loans to the Borrower in the capacity of a Fronting Bank, promptly following the Amendment No. 1 Effective Date (but not later than 30 days following the Amendment No. 1 Effective Date), each Refinancing Lender (other than a Converting Lender (except to the extent a Converting Lender is purchasing 2019 Refinancing Term Loans in excess of its Initial Term Loans)) shall purchase 2019 Refinancing Term Loans from such Fronting Bank as directed by the Lead Arrangers in accordance with such Refinancing Lender’s commitment in respect of 2019 Refinancing Term Loans and as allocated by the Lead Arrangers.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Agreement shall become effective on the first date (the “Amendment No. 1 Effective Date”) when, and only when, each of the applicable conditions set forth below have been satisfied (or waived) in accordance with the terms herein:</w:t>
      </w:r>
    </w:p>
    <w:p>
      <w:pPr>
        <w:spacing w:after="0" w:line="159" w:lineRule="exact"/>
        <w:rPr>
          <w:sz w:val="20"/>
          <w:szCs w:val="20"/>
          <w:color w:val="auto"/>
        </w:rPr>
      </w:pPr>
    </w:p>
    <w:p>
      <w:pPr>
        <w:jc w:val="both"/>
        <w:ind w:left="660" w:firstLine="645"/>
        <w:spacing w:after="0" w:line="227" w:lineRule="auto"/>
        <w:tabs>
          <w:tab w:leader="none" w:pos="2156" w:val="left"/>
        </w:tabs>
        <w:numPr>
          <w:ilvl w:val="0"/>
          <w:numId w:val="55"/>
        </w:numPr>
        <w:rPr>
          <w:rFonts w:ascii="Arial" w:cs="Arial" w:eastAsia="Arial" w:hAnsi="Arial"/>
          <w:sz w:val="18"/>
          <w:szCs w:val="18"/>
          <w:color w:val="auto"/>
        </w:rPr>
      </w:pPr>
      <w:r>
        <w:rPr>
          <w:rFonts w:ascii="Arial" w:cs="Arial" w:eastAsia="Arial" w:hAnsi="Arial"/>
          <w:sz w:val="22"/>
          <w:szCs w:val="22"/>
          <w:color w:val="auto"/>
        </w:rPr>
        <w:t>this Agreement shall have been executed and delivered by the Borrowers, MVWC, the Administrative Agent, and Refinancing Lenders representing (x) 100% of the Refinancing Term Loan Commitments and (y) the Required Lenders;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64" w:right="239" w:bottom="1440" w:gutter="0" w:footer="0" w:header="0"/>
        </w:sectPr>
      </w:pPr>
    </w:p>
    <w:bookmarkStart w:id="167" w:name="page168"/>
    <w:bookmarkEnd w:id="167"/>
    <w:p>
      <w:pPr>
        <w:jc w:val="both"/>
        <w:ind w:left="-540" w:firstLine="645"/>
        <w:spacing w:after="0" w:line="256" w:lineRule="auto"/>
        <w:tabs>
          <w:tab w:leader="none" w:pos="966" w:val="left"/>
        </w:tabs>
        <w:numPr>
          <w:ilvl w:val="0"/>
          <w:numId w:val="56"/>
        </w:numPr>
        <w:rPr>
          <w:rFonts w:ascii="Arial" w:cs="Arial" w:eastAsia="Arial" w:hAnsi="Arial"/>
          <w:sz w:val="16"/>
          <w:szCs w:val="16"/>
          <w:color w:val="auto"/>
        </w:rPr>
      </w:pPr>
      <w:r>
        <w:rPr>
          <w:rFonts w:ascii="Arial" w:cs="Arial" w:eastAsia="Arial" w:hAnsi="Arial"/>
          <w:sz w:val="19"/>
          <w:szCs w:val="19"/>
          <w:color w:val="auto"/>
        </w:rPr>
        <w:t>the Administrative Agent shall have received at least three (3) Business Days prior to the Amendment No. 1 Effective Date (or such later date as the Administrative Agent reasonably agrees) all documentation and other information about the Loan Parties as has been reasonably requested in writing at least ten (10) Business Days prior to the Amendment No. 1 Effective Date by the Administrative Agent that they reasonably determine is required by regulatory authorities under applicable “know your customer” and anti-money laundering rules and regulations, including the USA PATRIOT Act;</w:t>
      </w:r>
    </w:p>
    <w:p>
      <w:pPr>
        <w:spacing w:after="0" w:line="144" w:lineRule="exact"/>
        <w:rPr>
          <w:rFonts w:ascii="Arial" w:cs="Arial" w:eastAsia="Arial" w:hAnsi="Arial"/>
          <w:sz w:val="16"/>
          <w:szCs w:val="16"/>
          <w:color w:val="auto"/>
        </w:rPr>
      </w:pPr>
    </w:p>
    <w:p>
      <w:pPr>
        <w:jc w:val="both"/>
        <w:ind w:left="-540" w:firstLine="645"/>
        <w:spacing w:after="0" w:line="246" w:lineRule="auto"/>
        <w:tabs>
          <w:tab w:leader="none" w:pos="956" w:val="left"/>
        </w:tabs>
        <w:numPr>
          <w:ilvl w:val="0"/>
          <w:numId w:val="56"/>
        </w:numPr>
        <w:rPr>
          <w:rFonts w:ascii="Arial" w:cs="Arial" w:eastAsia="Arial" w:hAnsi="Arial"/>
          <w:sz w:val="16"/>
          <w:szCs w:val="16"/>
          <w:color w:val="auto"/>
        </w:rPr>
      </w:pPr>
      <w:r>
        <w:rPr>
          <w:rFonts w:ascii="Arial" w:cs="Arial" w:eastAsia="Arial" w:hAnsi="Arial"/>
          <w:sz w:val="19"/>
          <w:szCs w:val="19"/>
          <w:color w:val="auto"/>
        </w:rPr>
        <w:t>the Administrative Agent shall have received a (i) a certificate of the Borrowers dated as of the Amendment No. 1 Effective Date, which shall (A) certify the resolutions of the board of directors, members or other body authorizing the execution, delivery and performance by MVWC and each Borrower of this Agreement, (B) identify by name and title and bear the signatures of the officers of MVWC and each Borrower authorized to sign this Agreement (or certify that the signatures of such officers previously delivered to the Administrative Agent remain true and correct) and (C) contain appropriate attachments, including the Organization Documents of MVWC and each Borrower certified, if applicable, by the relevant authority of the jurisdiction of organization of such Person (or certify that the Organization Documents of such Person previously delivered to the Administrative Agent remain true and correct) and (ii) a good standing certificate (if relevant) as of a recent date for MVWC and each Borrower from its jurisdiction of organization;</w:t>
      </w:r>
    </w:p>
    <w:p>
      <w:pPr>
        <w:spacing w:after="0" w:line="158" w:lineRule="exact"/>
        <w:rPr>
          <w:rFonts w:ascii="Arial" w:cs="Arial" w:eastAsia="Arial" w:hAnsi="Arial"/>
          <w:sz w:val="16"/>
          <w:szCs w:val="16"/>
          <w:color w:val="auto"/>
        </w:rPr>
      </w:pPr>
    </w:p>
    <w:p>
      <w:pPr>
        <w:ind w:left="-540" w:firstLine="645"/>
        <w:spacing w:after="0" w:line="239" w:lineRule="auto"/>
        <w:tabs>
          <w:tab w:leader="none" w:pos="966" w:val="left"/>
        </w:tabs>
        <w:numPr>
          <w:ilvl w:val="0"/>
          <w:numId w:val="56"/>
        </w:numPr>
        <w:rPr>
          <w:rFonts w:ascii="Arial" w:cs="Arial" w:eastAsia="Arial" w:hAnsi="Arial"/>
          <w:sz w:val="18"/>
          <w:szCs w:val="18"/>
          <w:color w:val="auto"/>
        </w:rPr>
      </w:pPr>
      <w:r>
        <w:rPr>
          <w:rFonts w:ascii="Arial" w:cs="Arial" w:eastAsia="Arial" w:hAnsi="Arial"/>
          <w:sz w:val="22"/>
          <w:szCs w:val="22"/>
          <w:color w:val="auto"/>
        </w:rPr>
        <w:t>the Administrative Agent shall have received a Committed Loan Notice as required pursuant to Section 2.02 of the Existing Credit Agreement;</w:t>
      </w:r>
    </w:p>
    <w:p>
      <w:pPr>
        <w:spacing w:after="0" w:line="157" w:lineRule="exact"/>
        <w:rPr>
          <w:rFonts w:ascii="Arial" w:cs="Arial" w:eastAsia="Arial" w:hAnsi="Arial"/>
          <w:sz w:val="18"/>
          <w:szCs w:val="18"/>
          <w:color w:val="auto"/>
        </w:rPr>
      </w:pPr>
    </w:p>
    <w:p>
      <w:pPr>
        <w:jc w:val="both"/>
        <w:ind w:left="-540" w:firstLine="645"/>
        <w:spacing w:after="0" w:line="220" w:lineRule="auto"/>
        <w:tabs>
          <w:tab w:leader="none" w:pos="956" w:val="left"/>
        </w:tabs>
        <w:numPr>
          <w:ilvl w:val="0"/>
          <w:numId w:val="56"/>
        </w:numPr>
        <w:rPr>
          <w:rFonts w:ascii="Arial" w:cs="Arial" w:eastAsia="Arial" w:hAnsi="Arial"/>
          <w:sz w:val="17"/>
          <w:szCs w:val="17"/>
          <w:color w:val="auto"/>
        </w:rPr>
      </w:pPr>
      <w:r>
        <w:rPr>
          <w:rFonts w:ascii="Arial" w:cs="Arial" w:eastAsia="Arial" w:hAnsi="Arial"/>
          <w:sz w:val="21"/>
          <w:szCs w:val="21"/>
          <w:color w:val="auto"/>
        </w:rPr>
        <w:t xml:space="preserve">(i) the representations and warranties of each Loan Party set forth in the Credit Agreement and in each other Loan Document shall be true and correct in all material respects (except that any representation and warranty that is qualified as to “materiality” or “Material Adverse Effect” shall be true and correct in all respects as so qualified) on and as of the Amendment No. 1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references to the “Closing Date” and the “Transactions” in Section 5.15 of the Existing Credit Agreement shall be deemed to mean the “Amendment No. 1 Effective Date” and the transactions contemplated by this Agreement, respectively and (B) the representation and warranty in Section 5.13 of the Credit Agreement shall apply to the written information furnished by or on behalf of a Loan Party to any Agent, Lead Arranger or Lender in connection with the transactions contemplated by this Agreement, and (ii) no Default shall exist or would result from the effectiveness of this Agreement and the consummation of the transactions contemplated by this Agreement;</w:t>
      </w:r>
    </w:p>
    <w:p>
      <w:pPr>
        <w:spacing w:after="0" w:line="166" w:lineRule="exact"/>
        <w:rPr>
          <w:rFonts w:ascii="Arial" w:cs="Arial" w:eastAsia="Arial" w:hAnsi="Arial"/>
          <w:sz w:val="17"/>
          <w:szCs w:val="17"/>
          <w:color w:val="auto"/>
        </w:rPr>
      </w:pPr>
    </w:p>
    <w:p>
      <w:pPr>
        <w:jc w:val="both"/>
        <w:ind w:left="-540" w:firstLine="645"/>
        <w:spacing w:after="0" w:line="229" w:lineRule="auto"/>
        <w:tabs>
          <w:tab w:leader="none" w:pos="936" w:val="left"/>
        </w:tabs>
        <w:numPr>
          <w:ilvl w:val="0"/>
          <w:numId w:val="56"/>
        </w:numPr>
        <w:rPr>
          <w:rFonts w:ascii="Arial" w:cs="Arial" w:eastAsia="Arial" w:hAnsi="Arial"/>
          <w:sz w:val="17"/>
          <w:szCs w:val="17"/>
          <w:color w:val="auto"/>
        </w:rPr>
      </w:pPr>
      <w:r>
        <w:rPr>
          <w:rFonts w:ascii="Arial" w:cs="Arial" w:eastAsia="Arial" w:hAnsi="Arial"/>
          <w:sz w:val="21"/>
          <w:szCs w:val="21"/>
          <w:color w:val="auto"/>
        </w:rPr>
        <w:t>(i) the Administrative Agent shall have received, on behalf of the applicable Persons, all reasonable fees and other amounts due and payable to the Lead Arrangers and the Refinancing Lenders on or prior to the Amendment No. 1 Effective Date, including, to the extent invoiced at least three (3) Business Days prior to the Amendment No. 1 Effective Date, reimbursement or payment of all reasonable and documented or invoiced out-of- pocket costs and expenses required to be reimbursed or paid by the Borrowers in</w:t>
      </w:r>
    </w:p>
    <w:p>
      <w:pPr>
        <w:spacing w:after="0" w:line="1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537" w:right="239" w:bottom="1440" w:gutter="0" w:footer="0" w:header="0"/>
        </w:sectPr>
      </w:pPr>
    </w:p>
    <w:bookmarkStart w:id="168" w:name="page169"/>
    <w:bookmarkEnd w:id="168"/>
    <w:p>
      <w:pPr>
        <w:jc w:val="both"/>
        <w:ind w:left="660"/>
        <w:spacing w:after="0" w:line="312" w:lineRule="auto"/>
        <w:rPr>
          <w:sz w:val="20"/>
          <w:szCs w:val="20"/>
          <w:color w:val="auto"/>
        </w:rPr>
      </w:pPr>
      <w:r>
        <w:rPr>
          <w:rFonts w:ascii="Arial" w:cs="Arial" w:eastAsia="Arial" w:hAnsi="Arial"/>
          <w:sz w:val="19"/>
          <w:szCs w:val="19"/>
          <w:color w:val="auto"/>
        </w:rPr>
        <w:t>connection with this Agreement and (ii) prior to or substantially concurrently with effectiveness of this Agreement, the Borrowers shall have paid to the Administrative Agent in full all accrued and unpaid interest, fees and other amounts then due and payable in respect of the Initial Term Loans outstanding immediately prior to the Amendment No. 1 Effective Date;</w:t>
      </w:r>
    </w:p>
    <w:p>
      <w:pPr>
        <w:spacing w:after="0" w:line="107" w:lineRule="exact"/>
        <w:rPr>
          <w:sz w:val="20"/>
          <w:szCs w:val="20"/>
          <w:color w:val="auto"/>
        </w:rPr>
      </w:pPr>
    </w:p>
    <w:p>
      <w:pPr>
        <w:ind w:left="660" w:firstLine="645"/>
        <w:spacing w:after="0" w:line="313" w:lineRule="auto"/>
        <w:tabs>
          <w:tab w:leader="none" w:pos="2166" w:val="left"/>
        </w:tabs>
        <w:numPr>
          <w:ilvl w:val="0"/>
          <w:numId w:val="57"/>
        </w:numPr>
        <w:rPr>
          <w:rFonts w:ascii="Arial" w:cs="Arial" w:eastAsia="Arial" w:hAnsi="Arial"/>
          <w:sz w:val="16"/>
          <w:szCs w:val="16"/>
          <w:color w:val="auto"/>
        </w:rPr>
      </w:pPr>
      <w:r>
        <w:rPr>
          <w:rFonts w:ascii="Arial" w:cs="Arial" w:eastAsia="Arial" w:hAnsi="Arial"/>
          <w:sz w:val="19"/>
          <w:szCs w:val="19"/>
          <w:color w:val="auto"/>
        </w:rPr>
        <w:t>the Administrative Agent shall have received a written legal opinion from Kirkland &amp; Ellis LLP, counsel to MVWC and the Borrowers, in form and substance reasonably satisfactory to the Administrative Agent; and</w:t>
      </w:r>
    </w:p>
    <w:p>
      <w:pPr>
        <w:spacing w:after="0" w:line="91" w:lineRule="exact"/>
        <w:rPr>
          <w:rFonts w:ascii="Arial" w:cs="Arial" w:eastAsia="Arial" w:hAnsi="Arial"/>
          <w:sz w:val="16"/>
          <w:szCs w:val="16"/>
          <w:color w:val="auto"/>
        </w:rPr>
      </w:pPr>
    </w:p>
    <w:p>
      <w:pPr>
        <w:ind w:left="660" w:firstLine="645"/>
        <w:spacing w:after="0" w:line="313" w:lineRule="auto"/>
        <w:tabs>
          <w:tab w:leader="none" w:pos="2166" w:val="left"/>
        </w:tabs>
        <w:numPr>
          <w:ilvl w:val="0"/>
          <w:numId w:val="57"/>
        </w:numPr>
        <w:rPr>
          <w:rFonts w:ascii="Arial" w:cs="Arial" w:eastAsia="Arial" w:hAnsi="Arial"/>
          <w:sz w:val="16"/>
          <w:szCs w:val="16"/>
          <w:color w:val="auto"/>
        </w:rPr>
      </w:pPr>
      <w:r>
        <w:rPr>
          <w:rFonts w:ascii="Arial" w:cs="Arial" w:eastAsia="Arial" w:hAnsi="Arial"/>
          <w:sz w:val="19"/>
          <w:szCs w:val="19"/>
          <w:color w:val="auto"/>
        </w:rPr>
        <w:t>the Administrative Agent shall have received a certificate dated as of the Amendment No. 1 Effective Date and executed by a Responsible Officer of the Borrower Representative as to the matters set forth in Section 3(e) above.</w:t>
      </w:r>
    </w:p>
    <w:p>
      <w:pPr>
        <w:spacing w:after="0" w:line="11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Acknowledgment and Confirmation</w:t>
      </w:r>
      <w:r>
        <w:rPr>
          <w:rFonts w:ascii="Arial" w:cs="Arial" w:eastAsia="Arial" w:hAnsi="Arial"/>
          <w:sz w:val="22"/>
          <w:szCs w:val="22"/>
          <w:color w:val="auto"/>
        </w:rPr>
        <w:t>. MVWC and each of the Borrowers hereby confirm and agree, on behalf of each of the Loan Parties, with respect to each Loan Document to which such Loan Parties are party to, that (i) all of their obligations, liabilities and indebtedness under such Loan Document shall remain in full force and effect on a continuous basis regardless of the effectiveness of this Agreement and (ii) all of the Liens and security interests created and arising under such Loan Document remain in full force and effect on a continuous basis, and the perfected status and priority of each such Lien and security interest continues in full force and effect on a continuous basis, unimpaired, uninterrupted and undischarged, regardless of the effectiveness of this Agreement, as collateral security for its obligations, liabilities and indebtedness under the Credit Agreement and related guarantees.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Expenses</w:t>
      </w:r>
      <w:r>
        <w:rPr>
          <w:rFonts w:ascii="Arial" w:cs="Arial" w:eastAsia="Arial" w:hAnsi="Arial"/>
          <w:sz w:val="22"/>
          <w:szCs w:val="22"/>
          <w:color w:val="auto"/>
        </w:rPr>
        <w:t>. Each of the Loan Parties hereby reconfirms its respective obligations pursuant to Section 10.04 of the Credit Agreement to pay all reasonable and documented or invoiced out-of-pocket costs and expenses incurred by the Administrative Agent and the Lead Arrangers in connection with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Amendment, Modification and Waiver</w:t>
      </w:r>
      <w:r>
        <w:rPr>
          <w:rFonts w:ascii="Arial" w:cs="Arial" w:eastAsia="Arial" w:hAnsi="Arial"/>
          <w:sz w:val="22"/>
          <w:szCs w:val="22"/>
          <w:color w:val="auto"/>
        </w:rPr>
        <w:t>. This Agreement may not be amended, modified or waived except in accordance with Section 10.01 of the Credit Agreement.</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Credit Agreement, as amended hereby,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and thereof. Except as expressly set forth herein, this Agreement shall not by implication or otherwise limit, impair, constitute a waiver of, or otherwise affect the rights and remedies of any party under, the Existing Credit Agreement, nor alter, modify, amend or in any way affect any of the terms, conditions, obligations, covenants or agreements contained in the Existing Credit Agreement, all of which are ratified and affirmed in all respects and shall continue in full force and effect. It is understood and agreed that each reference in each Loan Document to the Credit Agreement, whether direct or indirect, shall hereafter be deemed to be a reference to the Existing Credit Agreement as amended hereby and that this Agreement is a Loan Document and an Incremental Facility. This Agreement shall not constitute a novation of any amount owing under the Existing Credit Agreement and all amounts owing in respect of principal, interest, fees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4" w:right="239" w:bottom="1440" w:gutter="0" w:footer="0" w:header="0"/>
        </w:sectPr>
      </w:pPr>
    </w:p>
    <w:bookmarkStart w:id="169" w:name="page170"/>
    <w:bookmarkEnd w:id="169"/>
    <w:p>
      <w:pPr>
        <w:jc w:val="both"/>
        <w:spacing w:after="0" w:line="297" w:lineRule="auto"/>
        <w:rPr>
          <w:sz w:val="20"/>
          <w:szCs w:val="20"/>
          <w:color w:val="auto"/>
        </w:rPr>
      </w:pPr>
      <w:r>
        <w:rPr>
          <w:rFonts w:ascii="Arial" w:cs="Arial" w:eastAsia="Arial" w:hAnsi="Arial"/>
          <w:sz w:val="19"/>
          <w:szCs w:val="19"/>
          <w:color w:val="auto"/>
        </w:rPr>
        <w:t>other amounts pursuant to the Existing Credit Agreement and the other Loan Documents shall, to the extent not paid or exchanged on or prior to the Amendment No. 1 Effective Date, shall continue to be owing under the Credit Agreement or such other Loan Documents until paid in accordance therewith. This Agreement is a “Loan Document” and an “Incremental Facility Amendment” in respect of Refinancing Term Loans, in each case as defined and described in the Credit Agreement, and the terms and provisions of the Credit Agreement relating to Loan Documents and Incremental Facility Amendments shall apply hereto.</w:t>
      </w:r>
    </w:p>
    <w:p>
      <w:pPr>
        <w:spacing w:after="0" w:line="147"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 OF THE STATE OF NEW YORK. SECTIONS 10.14 AND 10.15 OF THE EXISTING CREDIT AGREEMENT ARE HEREBY INCORPORATED BY REFERENCE INTO THIS AGREEMENT MUTATIS MUTANDIS AND SHALL APPLY HERETO.</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any one or more of the provisions contained in this Agreement should be held invalid, illegal or unenforceable in any respect, the validity, legality and enforceability of the remaining provisions contained herein and therein, to the fullest extent permitted by applicable law,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transmission or other customary means of electronic transmission (e.g., “pdf”) shall be as effective as delivery of an originally signed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4" w:right="239" w:bottom="1440" w:gutter="0" w:footer="0" w:header="0"/>
        </w:sectPr>
      </w:pPr>
    </w:p>
    <w:bookmarkStart w:id="170" w:name="page171"/>
    <w:bookmarkEnd w:id="170"/>
    <w:p>
      <w:pPr>
        <w:ind w:firstLine="1297"/>
        <w:spacing w:after="0" w:line="263" w:lineRule="auto"/>
        <w:rPr>
          <w:sz w:val="20"/>
          <w:szCs w:val="20"/>
          <w:color w:val="auto"/>
        </w:rPr>
      </w:pPr>
      <w:r>
        <w:rPr>
          <w:rFonts w:ascii="Arial" w:cs="Arial" w:eastAsia="Arial" w:hAnsi="Arial"/>
          <w:sz w:val="22"/>
          <w:szCs w:val="22"/>
          <w:color w:val="auto"/>
        </w:rPr>
        <w:t>IN WITNESS WHEREOF, each of the undersigned has caused its duly authorized officer to execute and deliver this Agreement as of the date first written above.</w:t>
      </w:r>
    </w:p>
    <w:p>
      <w:pPr>
        <w:spacing w:after="0" w:line="328"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MARRIOTT VACATIONS</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WORLDWIDE CORPORATION</w:t>
      </w:r>
    </w:p>
    <w:p>
      <w:pPr>
        <w:spacing w:after="0" w:line="256" w:lineRule="exact"/>
        <w:rPr>
          <w:sz w:val="20"/>
          <w:szCs w:val="20"/>
          <w:color w:val="auto"/>
        </w:rPr>
      </w:pPr>
    </w:p>
    <w:p>
      <w:pPr>
        <w:ind w:left="644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Joseph J. Bramuchi</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12"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MARRIOTT OWNERSHIP</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RESORTS,</w:t>
      </w:r>
    </w:p>
    <w:p>
      <w:pPr>
        <w:ind w:left="6440"/>
        <w:spacing w:after="0"/>
        <w:rPr>
          <w:sz w:val="20"/>
          <w:szCs w:val="20"/>
          <w:color w:val="auto"/>
        </w:rPr>
      </w:pPr>
      <w:r>
        <w:rPr>
          <w:rFonts w:ascii="Arial" w:cs="Arial" w:eastAsia="Arial" w:hAnsi="Arial"/>
          <w:sz w:val="20"/>
          <w:szCs w:val="20"/>
          <w:color w:val="auto"/>
        </w:rPr>
        <w:t>INC., as the MVW Borrower</w:t>
      </w:r>
    </w:p>
    <w:p>
      <w:pPr>
        <w:spacing w:after="0" w:line="40" w:lineRule="exact"/>
        <w:rPr>
          <w:sz w:val="20"/>
          <w:szCs w:val="20"/>
          <w:color w:val="auto"/>
        </w:rPr>
      </w:pPr>
    </w:p>
    <w:p>
      <w:pPr>
        <w:ind w:left="644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Joseph J. Bramuchi</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INTERVAL ACQUISITION CORP.,</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as the</w:t>
      </w:r>
    </w:p>
    <w:p>
      <w:pPr>
        <w:ind w:left="6440"/>
        <w:spacing w:after="0"/>
        <w:rPr>
          <w:sz w:val="20"/>
          <w:szCs w:val="20"/>
          <w:color w:val="auto"/>
        </w:rPr>
      </w:pPr>
      <w:r>
        <w:rPr>
          <w:rFonts w:ascii="Arial" w:cs="Arial" w:eastAsia="Arial" w:hAnsi="Arial"/>
          <w:sz w:val="20"/>
          <w:szCs w:val="20"/>
          <w:color w:val="auto"/>
        </w:rPr>
        <w:t>ILG Borrower</w:t>
      </w:r>
    </w:p>
    <w:p>
      <w:pPr>
        <w:spacing w:after="0" w:line="40" w:lineRule="exact"/>
        <w:rPr>
          <w:sz w:val="20"/>
          <w:szCs w:val="20"/>
          <w:color w:val="auto"/>
        </w:rPr>
      </w:pPr>
    </w:p>
    <w:p>
      <w:pPr>
        <w:ind w:left="644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John E. Geller, Jr.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as Administrative Agent</w:t>
      </w:r>
    </w:p>
    <w:p>
      <w:pPr>
        <w:spacing w:after="0" w:line="40" w:lineRule="exact"/>
        <w:rPr>
          <w:sz w:val="20"/>
          <w:szCs w:val="20"/>
          <w:color w:val="auto"/>
        </w:rPr>
      </w:pPr>
    </w:p>
    <w:p>
      <w:pPr>
        <w:ind w:left="644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Jeffrey C. Miller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as a Lender, a Fronting Bank and an</w:t>
      </w:r>
    </w:p>
    <w:p>
      <w:pPr>
        <w:ind w:left="6440"/>
        <w:spacing w:after="0"/>
        <w:rPr>
          <w:sz w:val="20"/>
          <w:szCs w:val="20"/>
          <w:color w:val="auto"/>
        </w:rPr>
      </w:pPr>
      <w:r>
        <w:rPr>
          <w:rFonts w:ascii="Arial" w:cs="Arial" w:eastAsia="Arial" w:hAnsi="Arial"/>
          <w:sz w:val="20"/>
          <w:szCs w:val="20"/>
          <w:color w:val="auto"/>
        </w:rPr>
        <w:t>Additional Bank</w:t>
      </w:r>
    </w:p>
    <w:p>
      <w:pPr>
        <w:spacing w:after="0" w:line="40" w:lineRule="exact"/>
        <w:rPr>
          <w:sz w:val="20"/>
          <w:szCs w:val="20"/>
          <w:color w:val="auto"/>
        </w:rPr>
      </w:pPr>
    </w:p>
    <w:p>
      <w:pPr>
        <w:ind w:left="644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17151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Jeffrey C. Miller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 Credit Agreement]</w:t>
      </w:r>
    </w:p>
    <w:p>
      <w:pPr>
        <w:sectPr>
          <w:pgSz w:w="11900" w:h="16838" w:orient="portrait"/>
          <w:cols w:equalWidth="0" w:num="1">
            <w:col w:w="11420"/>
          </w:cols>
          <w:pgMar w:left="240" w:top="348"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Refinancing Term Loan Commitment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Reference is made to Amendment No. 1 (the “</w:t>
      </w:r>
      <w:r>
        <w:rPr>
          <w:rFonts w:ascii="Arial" w:cs="Arial" w:eastAsia="Arial" w:hAnsi="Arial"/>
          <w:sz w:val="21"/>
          <w:szCs w:val="21"/>
          <w:u w:val="single" w:color="auto"/>
          <w:color w:val="auto"/>
        </w:rPr>
        <w:t>Amendment Agreement</w:t>
      </w:r>
      <w:r>
        <w:rPr>
          <w:rFonts w:ascii="Arial" w:cs="Arial" w:eastAsia="Arial" w:hAnsi="Arial"/>
          <w:sz w:val="21"/>
          <w:szCs w:val="21"/>
          <w:color w:val="auto"/>
        </w:rPr>
        <w:t>”) to that certain Credit Agreement, dated as of August 31, 2018 (as amended,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Marriott Vacations Worldwide Corporation, Marriott Ownership Resorts, Inc., as the MVW Borrower, Interval Acquisition Corp., as the ILG Borrower, the Lenders party thereto, and JPMorgan Chase Bank, N.A., as Administrative Agent and Collateral Agent. Capitalized terms not otherwise defined herein shall have the meanings set forth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Lenders of Initial Term Loans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0" w:right="640" w:hanging="5"/>
        <w:spacing w:after="0" w:line="319" w:lineRule="auto"/>
        <w:tabs>
          <w:tab w:leader="none" w:pos="324" w:val="left"/>
        </w:tabs>
        <w:numPr>
          <w:ilvl w:val="0"/>
          <w:numId w:val="58"/>
        </w:numPr>
        <w:rPr>
          <w:rFonts w:ascii="MS PGothic" w:cs="MS PGothic" w:eastAsia="MS PGothic" w:hAnsi="MS PGothic"/>
          <w:sz w:val="21"/>
          <w:szCs w:val="21"/>
          <w:color w:val="auto"/>
        </w:rPr>
      </w:pPr>
      <w:r>
        <w:rPr>
          <w:rFonts w:ascii="Arial" w:cs="Arial" w:eastAsia="Arial" w:hAnsi="Arial"/>
          <w:sz w:val="18"/>
          <w:szCs w:val="18"/>
          <w:color w:val="auto"/>
        </w:rPr>
        <w:t>1. Cashless Settlement Option:</w:t>
      </w:r>
    </w:p>
    <w:p>
      <w:pPr>
        <w:spacing w:after="0" w:line="200" w:lineRule="exact"/>
        <w:rPr>
          <w:rFonts w:ascii="MS PGothic" w:cs="MS PGothic" w:eastAsia="MS PGothic" w:hAnsi="MS PGothic"/>
          <w:sz w:val="21"/>
          <w:szCs w:val="21"/>
          <w:color w:val="auto"/>
        </w:rPr>
      </w:pPr>
    </w:p>
    <w:p>
      <w:pPr>
        <w:spacing w:after="0" w:line="228" w:lineRule="exact"/>
        <w:rPr>
          <w:rFonts w:ascii="MS PGothic" w:cs="MS PGothic" w:eastAsia="MS PGothic" w:hAnsi="MS PGothic"/>
          <w:sz w:val="21"/>
          <w:szCs w:val="21"/>
          <w:color w:val="auto"/>
        </w:rPr>
      </w:pPr>
    </w:p>
    <w:p>
      <w:pPr>
        <w:ind w:left="320" w:hanging="285"/>
        <w:spacing w:after="0"/>
        <w:tabs>
          <w:tab w:leader="none" w:pos="320" w:val="left"/>
        </w:tabs>
        <w:numPr>
          <w:ilvl w:val="0"/>
          <w:numId w:val="58"/>
        </w:numPr>
        <w:rPr>
          <w:rFonts w:ascii="MS PGothic" w:cs="MS PGothic" w:eastAsia="MS PGothic" w:hAnsi="MS PGothic"/>
          <w:sz w:val="22"/>
          <w:szCs w:val="22"/>
          <w:color w:val="auto"/>
        </w:rPr>
      </w:pPr>
      <w:r>
        <w:rPr>
          <w:rFonts w:ascii="Arial" w:cs="Arial" w:eastAsia="Arial" w:hAnsi="Arial"/>
          <w:sz w:val="19"/>
          <w:szCs w:val="19"/>
          <w:color w:val="auto"/>
        </w:rPr>
        <w:t>2. Consent Only: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2300"/>
        <w:spacing w:after="0" w:line="249" w:lineRule="auto"/>
        <w:rPr>
          <w:sz w:val="20"/>
          <w:szCs w:val="20"/>
          <w:color w:val="auto"/>
        </w:rPr>
      </w:pPr>
      <w:r>
        <w:rPr>
          <w:rFonts w:ascii="Arial" w:cs="Arial" w:eastAsia="Arial" w:hAnsi="Arial"/>
          <w:sz w:val="21"/>
          <w:szCs w:val="21"/>
          <w:color w:val="auto"/>
        </w:rPr>
        <w:t>If you wish to consent to the Amendment Agreement and exchange (on a cashless basis) 100% (no partial amounts will be rolled) of the outstanding principal amount of your Initial Term Loans for 2019 Refinancing Term Loans in an equal principal amount (or such lesser amount as allocated by the Lead Arrangers), please check this box.</w:t>
      </w:r>
    </w:p>
    <w:p>
      <w:pPr>
        <w:spacing w:after="0" w:line="17" w:lineRule="exact"/>
        <w:rPr>
          <w:sz w:val="20"/>
          <w:szCs w:val="20"/>
          <w:color w:val="auto"/>
        </w:rPr>
      </w:pPr>
    </w:p>
    <w:p>
      <w:pPr>
        <w:ind w:right="2180"/>
        <w:spacing w:after="0" w:line="248" w:lineRule="auto"/>
        <w:rPr>
          <w:sz w:val="20"/>
          <w:szCs w:val="20"/>
          <w:color w:val="auto"/>
        </w:rPr>
      </w:pPr>
      <w:r>
        <w:rPr>
          <w:rFonts w:ascii="Arial" w:cs="Arial" w:eastAsia="Arial" w:hAnsi="Arial"/>
          <w:sz w:val="21"/>
          <w:szCs w:val="21"/>
          <w:color w:val="auto"/>
        </w:rPr>
        <w:t>If you wish to consent to the Amendment Agreement and have 100% of the outstanding principal amount of your Initial Term Loans prepaid on the Amendment No. 1 Effective Date please check this box. If you wish to purchase by assignment 2019 Refinancing Term Loans in an equal principal amount (or such lesser amount as allocated by the Lead Arrangers), please reach out to your JPMorgan salesperson.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[LENDER],</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as a Lender</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31750</wp:posOffset>
            </wp:positionV>
            <wp:extent cx="29330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ectPr>
          <w:pgSz w:w="11900" w:h="16838" w:orient="portrait"/>
          <w:cols w:equalWidth="0" w:num="2">
            <w:col w:w="1940" w:space="720"/>
            <w:col w:w="876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LENDER SIGNATURE PAGE TO AMENDMENT NO. 1, RELATING TO THE CREDIT AGREEMENT OF MARRIOTT OWNERSHIP RESORTS, INC.</w:t>
      </w:r>
    </w:p>
    <w:p>
      <w:pPr>
        <w:sectPr>
          <w:pgSz w:w="11900" w:h="16838" w:orient="portrait"/>
          <w:cols w:equalWidth="0" w:num="1">
            <w:col w:w="11420"/>
          </w:cols>
          <w:pgMar w:left="240" w:top="121" w:right="239" w:bottom="144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34"/>
        </w:trPr>
        <w:tc>
          <w:tcPr>
            <w:tcW w:w="8380" w:type="dxa"/>
            <w:vAlign w:val="bottom"/>
            <w:gridSpan w:val="3"/>
            <w:vMerge w:val="restart"/>
          </w:tcPr>
          <w:p>
            <w:pPr>
              <w:jc w:val="center"/>
              <w:ind w:left="2990"/>
              <w:spacing w:after="0"/>
              <w:rPr>
                <w:sz w:val="20"/>
                <w:szCs w:val="20"/>
                <w:color w:val="auto"/>
              </w:rPr>
            </w:pPr>
            <w:r>
              <w:rPr>
                <w:rFonts w:ascii="Arial" w:cs="Arial" w:eastAsia="Arial" w:hAnsi="Arial"/>
                <w:sz w:val="18"/>
                <w:szCs w:val="18"/>
                <w:b w:val="1"/>
                <w:bCs w:val="1"/>
                <w:color w:val="auto"/>
              </w:rPr>
              <w:t>MARRIOTT VACATIONS WORLDWIDE CORPORATION</w:t>
            </w:r>
          </w:p>
        </w:tc>
        <w:tc>
          <w:tcPr>
            <w:tcW w:w="3040" w:type="dxa"/>
            <w:vAlign w:val="bottom"/>
          </w:tcPr>
          <w:p>
            <w:pPr>
              <w:ind w:left="21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216"/>
        </w:trPr>
        <w:tc>
          <w:tcPr>
            <w:tcW w:w="838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gridSpan w:val="3"/>
          </w:tcPr>
          <w:p>
            <w:pPr>
              <w:jc w:val="center"/>
              <w:ind w:left="2950"/>
              <w:spacing w:after="0"/>
              <w:rPr>
                <w:sz w:val="20"/>
                <w:szCs w:val="20"/>
                <w:color w:val="auto"/>
              </w:rPr>
            </w:pPr>
            <w:r>
              <w:rPr>
                <w:rFonts w:ascii="Arial" w:cs="Arial" w:eastAsia="Arial" w:hAnsi="Arial"/>
                <w:sz w:val="18"/>
                <w:szCs w:val="18"/>
                <w:b w:val="1"/>
                <w:bCs w:val="1"/>
                <w:color w:val="auto"/>
                <w:w w:val="98"/>
              </w:rPr>
              <w:t>SUBSIDIARIES</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3"/>
          </w:tcPr>
          <w:p>
            <w:pPr>
              <w:jc w:val="center"/>
              <w:ind w:left="2970"/>
              <w:spacing w:after="0"/>
              <w:rPr>
                <w:sz w:val="20"/>
                <w:szCs w:val="20"/>
                <w:color w:val="auto"/>
              </w:rPr>
            </w:pPr>
            <w:r>
              <w:rPr>
                <w:rFonts w:ascii="Arial" w:cs="Arial" w:eastAsia="Arial" w:hAnsi="Arial"/>
                <w:sz w:val="18"/>
                <w:szCs w:val="18"/>
                <w:color w:val="auto"/>
                <w:w w:val="89"/>
              </w:rPr>
              <w:t>(as of December 31, 2019)</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838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040" w:type="dxa"/>
            <w:vAlign w:val="bottom"/>
          </w:tcPr>
          <w:p>
            <w:pPr>
              <w:jc w:val="center"/>
              <w:ind w:right="390"/>
              <w:spacing w:after="0"/>
              <w:rPr>
                <w:sz w:val="20"/>
                <w:szCs w:val="20"/>
                <w:color w:val="auto"/>
              </w:rPr>
            </w:pPr>
            <w:r>
              <w:rPr>
                <w:rFonts w:ascii="Arial" w:cs="Arial" w:eastAsia="Arial" w:hAnsi="Arial"/>
                <w:sz w:val="16"/>
                <w:szCs w:val="16"/>
                <w:b w:val="1"/>
                <w:bCs w:val="1"/>
                <w:color w:val="auto"/>
                <w:w w:val="92"/>
              </w:rPr>
              <w:t>Jurisdiction of Organization</w:t>
            </w:r>
          </w:p>
        </w:tc>
        <w:tc>
          <w:tcPr>
            <w:tcW w:w="0" w:type="dxa"/>
            <w:vAlign w:val="bottom"/>
          </w:tcPr>
          <w:p>
            <w:pPr>
              <w:spacing w:after="0"/>
              <w:rPr>
                <w:sz w:val="1"/>
                <w:szCs w:val="1"/>
                <w:color w:val="auto"/>
              </w:rPr>
            </w:pP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Aqua Hospitality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Aqua-Aston Hospitality,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6"/>
              </w:rPr>
              <w:t>Hawaii</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Flex Collection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GDVI,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Great Destinations,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Hard Carbon,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Highlands Inn Investors II, L.P.*</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HPC Developer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HTS-CHC (Sedona),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HTS-Maui,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HTS-San Antonio, L.P.</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HTS-Sedona,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HV Global Group,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838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Arial" w:cs="Arial" w:eastAsia="Arial" w:hAnsi="Arial"/>
                <w:sz w:val="18"/>
                <w:szCs w:val="18"/>
                <w:color w:val="auto"/>
              </w:rPr>
              <w:t>• Hyatt Vacation Ownership</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HV Global Management Corporation</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838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Arial" w:cs="Arial" w:eastAsia="Arial" w:hAnsi="Arial"/>
                <w:sz w:val="18"/>
                <w:szCs w:val="18"/>
                <w:color w:val="auto"/>
              </w:rPr>
              <w:t>• Hyatt Vacation Ownership</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HV Global Marketing Corporation</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270"/>
        </w:trPr>
        <w:tc>
          <w:tcPr>
            <w:tcW w:w="838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Arial" w:cs="Arial" w:eastAsia="Arial" w:hAnsi="Arial"/>
                <w:sz w:val="18"/>
                <w:szCs w:val="18"/>
                <w:color w:val="auto"/>
              </w:rPr>
              <w:t>• Hyatt Vacation Ownership</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ILG,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Interval Acquisition Corp.</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Interval International,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Kauai Blue,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70"/>
        </w:trPr>
        <w:tc>
          <w:tcPr>
            <w:tcW w:w="838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80" w:type="dxa"/>
            <w:vAlign w:val="bottom"/>
            <w:gridSpan w:val="3"/>
          </w:tcPr>
          <w:p>
            <w:pPr>
              <w:ind w:left="500"/>
              <w:spacing w:after="0"/>
              <w:rPr>
                <w:sz w:val="20"/>
                <w:szCs w:val="20"/>
                <w:color w:val="auto"/>
              </w:rPr>
            </w:pPr>
            <w:r>
              <w:rPr>
                <w:rFonts w:ascii="Arial" w:cs="Arial" w:eastAsia="Arial" w:hAnsi="Arial"/>
                <w:sz w:val="18"/>
                <w:szCs w:val="18"/>
                <w:color w:val="auto"/>
              </w:rPr>
              <w:t>• Sheraton Kauai</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Lagunamar Cancun Mexico,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94"/>
              </w:rPr>
              <w:t>Florida</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Marriott Ownership Resorts Procurement, LLC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8380" w:type="dxa"/>
            <w:vAlign w:val="bottom"/>
            <w:gridSpan w:val="3"/>
          </w:tcPr>
          <w:p>
            <w:pPr>
              <w:ind w:left="40"/>
              <w:spacing w:after="0"/>
              <w:rPr>
                <w:sz w:val="20"/>
                <w:szCs w:val="20"/>
                <w:color w:val="auto"/>
              </w:rPr>
            </w:pPr>
            <w:r>
              <w:rPr>
                <w:rFonts w:ascii="Arial" w:cs="Arial" w:eastAsia="Arial" w:hAnsi="Arial"/>
                <w:sz w:val="18"/>
                <w:szCs w:val="18"/>
                <w:color w:val="auto"/>
              </w:rPr>
              <w:t>Marriott Ownership Resorts, Inc.</w:t>
            </w:r>
          </w:p>
        </w:tc>
        <w:tc>
          <w:tcPr>
            <w:tcW w:w="3040" w:type="dxa"/>
            <w:vAlign w:val="bottom"/>
          </w:tcPr>
          <w:p>
            <w:pPr>
              <w:jc w:val="center"/>
              <w:ind w:right="39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54" w:right="23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10"/>
        </w:trPr>
        <w:tc>
          <w:tcPr>
            <w:tcW w:w="790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names:</w:t>
            </w:r>
          </w:p>
        </w:tc>
        <w:tc>
          <w:tcPr>
            <w:tcW w:w="3520" w:type="dxa"/>
            <w:vAlign w:val="bottom"/>
          </w:tcPr>
          <w:p>
            <w:pPr>
              <w:spacing w:after="0"/>
              <w:rPr>
                <w:sz w:val="20"/>
                <w:szCs w:val="20"/>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Deck 12</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Declan</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Grande Pines Golf Club</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Grand Residence by Marriott</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Grand Residences by Marriott</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Horizons by Marriott Vacation Club</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International Golf Club</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Marriott Golf Academy</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 Corp.</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Custom House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Mountainside Resort</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Marriott’s Summit Watch</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Waiohai Beach Resort</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The Declan Suites</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The Declan Suites San Diego</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The Marketplace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The Pool Patio and Grill</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Marriott Resorts Hospitality Corporation</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270"/>
        </w:trPr>
        <w:tc>
          <w:tcPr>
            <w:tcW w:w="790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names:</w:t>
            </w:r>
          </w:p>
        </w:tc>
        <w:tc>
          <w:tcPr>
            <w:tcW w:w="3520" w:type="dxa"/>
            <w:vAlign w:val="bottom"/>
          </w:tcPr>
          <w:p>
            <w:pPr>
              <w:spacing w:after="0"/>
              <w:rPr>
                <w:sz w:val="23"/>
                <w:szCs w:val="23"/>
                <w:color w:val="auto"/>
              </w:rPr>
            </w:pPr>
          </w:p>
        </w:tc>
      </w:tr>
    </w:tbl>
    <w:p>
      <w:pPr>
        <w:spacing w:after="0" w:line="40" w:lineRule="exact"/>
        <w:rPr>
          <w:sz w:val="20"/>
          <w:szCs w:val="20"/>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 Vacation Club International Inc.</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 Vacation Club, New York City</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 Vacation Club, South Beach</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 Vacation Club Pulse, New York City</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Marriott’s Custom House</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Marriott’s Legends Edge at Bay Point</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Marriott’s Oceana Palms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Marriott’s Villas at Doral</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Marriott’s Willow Ridge Lodge</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Reflections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Strand Bistro</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Place</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Tidewater’s Sweets and Sundries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Top of the Strand</w:t>
      </w:r>
    </w:p>
    <w:p>
      <w:pPr>
        <w:spacing w:after="0" w:line="252"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18"/>
          <w:szCs w:val="18"/>
          <w:color w:val="auto"/>
        </w:rPr>
        <w:t>Marriott Resorts Title Company, Inc.</w:t>
      </w:r>
      <w:r>
        <w:rPr>
          <w:sz w:val="20"/>
          <w:szCs w:val="20"/>
          <w:color w:val="auto"/>
        </w:rPr>
        <w:tab/>
      </w:r>
      <w:r>
        <w:rPr>
          <w:rFonts w:ascii="Arial" w:cs="Arial" w:eastAsia="Arial" w:hAnsi="Arial"/>
          <w:sz w:val="17"/>
          <w:szCs w:val="17"/>
          <w:color w:val="auto"/>
        </w:rPr>
        <w:t>Florida</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Entity also does business under the name: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Marriott Resorts Title, Inc.</w:t>
      </w:r>
    </w:p>
    <w:p>
      <w:pPr>
        <w:spacing w:after="0" w:line="252" w:lineRule="exact"/>
        <w:rPr>
          <w:sz w:val="20"/>
          <w:szCs w:val="20"/>
          <w:color w:val="auto"/>
        </w:rPr>
      </w:pPr>
    </w:p>
    <w:p>
      <w:pPr>
        <w:ind w:left="40"/>
        <w:spacing w:after="0"/>
        <w:tabs>
          <w:tab w:leader="none" w:pos="9300" w:val="left"/>
        </w:tabs>
        <w:rPr>
          <w:sz w:val="20"/>
          <w:szCs w:val="20"/>
          <w:color w:val="auto"/>
        </w:rPr>
      </w:pPr>
      <w:r>
        <w:rPr>
          <w:rFonts w:ascii="Arial" w:cs="Arial" w:eastAsia="Arial" w:hAnsi="Arial"/>
          <w:sz w:val="18"/>
          <w:szCs w:val="18"/>
          <w:color w:val="auto"/>
        </w:rPr>
        <w:t>Marriott Resorts, Travel Company,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Entity also does business under the names:</w:t>
      </w:r>
    </w:p>
    <w:p>
      <w:pPr>
        <w:sectPr>
          <w:pgSz w:w="11900" w:h="16838" w:orient="portrait"/>
          <w:cols w:equalWidth="0" w:num="1">
            <w:col w:w="11420"/>
          </w:cols>
          <w:pgMar w:left="240" w:top="73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34" w:right="2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10"/>
        </w:trPr>
        <w:tc>
          <w:tcPr>
            <w:tcW w:w="790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60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w:t>
            </w:r>
          </w:p>
        </w:tc>
        <w:tc>
          <w:tcPr>
            <w:tcW w:w="3520" w:type="dxa"/>
            <w:vAlign w:val="bottom"/>
          </w:tcPr>
          <w:p>
            <w:pPr>
              <w:spacing w:after="0"/>
              <w:rPr>
                <w:sz w:val="20"/>
                <w:szCs w:val="20"/>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 Two</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MVC Exchange Company</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Maui Condo and Home,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Hawaii</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MORI SPC Series Corp.</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MVCO Series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2019-1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2019-2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of Hawaii,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790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Marketplace Express</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Ko Olina Beach Club</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Marriott’s Maui Ocean Club</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Waiohai Beach Club</w:t>
            </w:r>
          </w:p>
        </w:tc>
        <w:tc>
          <w:tcPr>
            <w:tcW w:w="3520" w:type="dxa"/>
            <w:vAlign w:val="bottom"/>
          </w:tcPr>
          <w:p>
            <w:pPr>
              <w:spacing w:after="0"/>
              <w:rPr>
                <w:sz w:val="23"/>
                <w:szCs w:val="23"/>
                <w:color w:val="auto"/>
              </w:rPr>
            </w:pPr>
          </w:p>
        </w:tc>
      </w:tr>
      <w:tr>
        <w:trPr>
          <w:trHeight w:val="270"/>
        </w:trPr>
        <w:tc>
          <w:tcPr>
            <w:tcW w:w="7900" w:type="dxa"/>
            <w:vAlign w:val="bottom"/>
            <w:gridSpan w:val="3"/>
          </w:tcPr>
          <w:p>
            <w:pPr>
              <w:ind w:left="500"/>
              <w:spacing w:after="0"/>
              <w:rPr>
                <w:sz w:val="20"/>
                <w:szCs w:val="20"/>
                <w:color w:val="auto"/>
              </w:rPr>
            </w:pPr>
            <w:r>
              <w:rPr>
                <w:rFonts w:ascii="Arial" w:cs="Arial" w:eastAsia="Arial" w:hAnsi="Arial"/>
                <w:sz w:val="18"/>
                <w:szCs w:val="18"/>
                <w:color w:val="auto"/>
              </w:rPr>
              <w:t>• The Marketplace at Ko Olina</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of Nevada,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270"/>
        </w:trPr>
        <w:tc>
          <w:tcPr>
            <w:tcW w:w="790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Marriott’s Grand Chateau</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SSC,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US Holdings,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US Services,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MVW Warehouse I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Owners' Resorts &amp; Exchange,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Pelican Landing Timeshare Ventures Limited Partnership</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Points of Colorado,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Colorado</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R.C. Chronicle Building, L.P.</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Sheraton Flex Vacations, LLC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Steamboat Resort Village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The Ritz-Carlton Development Company,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7900" w:type="dxa"/>
            <w:vAlign w:val="bottom"/>
            <w:gridSpan w:val="3"/>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The Ritz-Carlton Destination Club</w:t>
            </w:r>
          </w:p>
        </w:tc>
        <w:tc>
          <w:tcPr>
            <w:tcW w:w="3520" w:type="dxa"/>
            <w:vAlign w:val="bottom"/>
          </w:tcPr>
          <w:p>
            <w:pPr>
              <w:spacing w:after="0"/>
              <w:rPr>
                <w:sz w:val="23"/>
                <w:szCs w:val="23"/>
                <w:color w:val="auto"/>
              </w:rPr>
            </w:pP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The Ritz-Carlton Management Company,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Trading Places International,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459"/>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Vacanza 2019-A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200" w:lineRule="exact"/>
        <w:rPr>
          <w:sz w:val="20"/>
          <w:szCs w:val="20"/>
          <w:color w:val="auto"/>
        </w:rPr>
      </w:pPr>
    </w:p>
    <w:p>
      <w:pPr>
        <w:sectPr>
          <w:pgSz w:w="11900" w:h="16838" w:orient="portrait"/>
          <w:cols w:equalWidth="0" w:num="1">
            <w:col w:w="11420"/>
          </w:cols>
          <w:pgMar w:left="240" w:top="734"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34" w:right="23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1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Vacation Resorts International</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Arizona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Aventuras,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California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California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Colorado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Colorado</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Development,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 Vistana Development, Ltd.</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Hawaii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6"/>
              </w:rPr>
              <w:t>Hawaii</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 Vistana Management, Ltd.</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MB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Scottsdale Management,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Arizona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Signature Experiences,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Signature Network,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Vistana Vacation Ownership,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VSE 2016-A VOI Mortgage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VSE 2017-A VOI Mortgage,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VSE 2018-A VOI Mortgage, LLC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VSE Myrtle Beach, LLC</w:t>
            </w: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VSE Pacific,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Entity also does business under the names:</w:t>
            </w:r>
          </w:p>
        </w:tc>
        <w:tc>
          <w:tcPr>
            <w:tcW w:w="3520" w:type="dxa"/>
            <w:vAlign w:val="bottom"/>
          </w:tcPr>
          <w:p>
            <w:pPr>
              <w:spacing w:after="0"/>
              <w:rPr>
                <w:sz w:val="23"/>
                <w:szCs w:val="23"/>
                <w:color w:val="auto"/>
              </w:rPr>
            </w:pPr>
          </w:p>
        </w:tc>
      </w:tr>
    </w:tbl>
    <w:p>
      <w:pPr>
        <w:spacing w:after="0" w:line="40" w:lineRule="exact"/>
        <w:rPr>
          <w:sz w:val="20"/>
          <w:szCs w:val="20"/>
          <w:color w:val="auto"/>
        </w:rPr>
      </w:pPr>
    </w:p>
    <w:p>
      <w:pPr>
        <w:ind w:left="640" w:hanging="14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Hawaii Activity Planners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West Nanea Ocean Villas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Westin Ka'anapali Ocean Resort Villas</w:t>
      </w:r>
    </w:p>
    <w:p>
      <w:pPr>
        <w:spacing w:after="0" w:line="63" w:lineRule="exact"/>
        <w:rPr>
          <w:rFonts w:ascii="Arial" w:cs="Arial" w:eastAsia="Arial" w:hAnsi="Arial"/>
          <w:sz w:val="18"/>
          <w:szCs w:val="18"/>
          <w:color w:val="auto"/>
        </w:rPr>
      </w:pPr>
    </w:p>
    <w:p>
      <w:pPr>
        <w:ind w:left="640" w:hanging="14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Westin Vacation Club</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VSE Villas Arizona, Inc.</w:t>
            </w:r>
          </w:p>
        </w:tc>
        <w:tc>
          <w:tcPr>
            <w:tcW w:w="3580" w:type="dxa"/>
            <w:vAlign w:val="bottom"/>
          </w:tcPr>
          <w:p>
            <w:pPr>
              <w:jc w:val="center"/>
              <w:ind w:left="2910"/>
              <w:spacing w:after="0"/>
              <w:rPr>
                <w:sz w:val="20"/>
                <w:szCs w:val="20"/>
                <w:color w:val="auto"/>
              </w:rPr>
            </w:pPr>
            <w:r>
              <w:rPr>
                <w:rFonts w:ascii="Arial" w:cs="Arial" w:eastAsia="Arial" w:hAnsi="Arial"/>
                <w:sz w:val="18"/>
                <w:szCs w:val="18"/>
                <w:color w:val="auto"/>
                <w:w w:val="94"/>
              </w:rPr>
              <w:t>Arizona</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VSE Vistana Villages, Inc.</w:t>
            </w:r>
          </w:p>
        </w:tc>
        <w:tc>
          <w:tcPr>
            <w:tcW w:w="3580" w:type="dxa"/>
            <w:vAlign w:val="bottom"/>
          </w:tcPr>
          <w:p>
            <w:pPr>
              <w:jc w:val="center"/>
              <w:ind w:left="2930"/>
              <w:spacing w:after="0"/>
              <w:rPr>
                <w:sz w:val="20"/>
                <w:szCs w:val="20"/>
                <w:color w:val="auto"/>
              </w:rPr>
            </w:pPr>
            <w:r>
              <w:rPr>
                <w:rFonts w:ascii="Arial" w:cs="Arial" w:eastAsia="Arial" w:hAnsi="Arial"/>
                <w:sz w:val="18"/>
                <w:szCs w:val="18"/>
                <w:color w:val="auto"/>
                <w:w w:val="94"/>
              </w:rPr>
              <w:t>Florida</w:t>
            </w: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Westin Sheraton Vacation Services, Inc.</w:t>
            </w:r>
          </w:p>
        </w:tc>
        <w:tc>
          <w:tcPr>
            <w:tcW w:w="3580" w:type="dxa"/>
            <w:vAlign w:val="bottom"/>
          </w:tcPr>
          <w:p>
            <w:pPr>
              <w:jc w:val="center"/>
              <w:ind w:left="2930"/>
              <w:spacing w:after="0"/>
              <w:rPr>
                <w:sz w:val="20"/>
                <w:szCs w:val="20"/>
                <w:color w:val="auto"/>
              </w:rPr>
            </w:pPr>
            <w:r>
              <w:rPr>
                <w:rFonts w:ascii="Arial" w:cs="Arial" w:eastAsia="Arial" w:hAnsi="Arial"/>
                <w:sz w:val="18"/>
                <w:szCs w:val="18"/>
                <w:color w:val="auto"/>
                <w:w w:val="94"/>
              </w:rPr>
              <w:t>Florida</w:t>
            </w:r>
          </w:p>
        </w:tc>
      </w:tr>
      <w:tr>
        <w:trPr>
          <w:trHeight w:val="270"/>
        </w:trPr>
        <w:tc>
          <w:tcPr>
            <w:tcW w:w="6320" w:type="dxa"/>
            <w:vAlign w:val="bottom"/>
          </w:tcPr>
          <w:p>
            <w:pPr>
              <w:ind w:left="240"/>
              <w:spacing w:after="0"/>
              <w:rPr>
                <w:sz w:val="20"/>
                <w:szCs w:val="20"/>
                <w:color w:val="auto"/>
              </w:rPr>
            </w:pPr>
            <w:r>
              <w:rPr>
                <w:rFonts w:ascii="Arial" w:cs="Arial" w:eastAsia="Arial" w:hAnsi="Arial"/>
                <w:sz w:val="18"/>
                <w:szCs w:val="18"/>
                <w:color w:val="auto"/>
              </w:rPr>
              <w:t>Entity also does business under the names:</w:t>
            </w:r>
          </w:p>
        </w:tc>
        <w:tc>
          <w:tcPr>
            <w:tcW w:w="3580" w:type="dxa"/>
            <w:vAlign w:val="bottom"/>
          </w:tcPr>
          <w:p>
            <w:pPr>
              <w:spacing w:after="0"/>
              <w:rPr>
                <w:sz w:val="23"/>
                <w:szCs w:val="23"/>
                <w:color w:val="auto"/>
              </w:rPr>
            </w:pPr>
          </w:p>
        </w:tc>
      </w:tr>
      <w:tr>
        <w:trPr>
          <w:trHeight w:val="270"/>
        </w:trPr>
        <w:tc>
          <w:tcPr>
            <w:tcW w:w="6320" w:type="dxa"/>
            <w:vAlign w:val="bottom"/>
          </w:tcPr>
          <w:p>
            <w:pPr>
              <w:ind w:left="460"/>
              <w:spacing w:after="0"/>
              <w:rPr>
                <w:sz w:val="20"/>
                <w:szCs w:val="20"/>
                <w:color w:val="auto"/>
              </w:rPr>
            </w:pPr>
            <w:r>
              <w:rPr>
                <w:rFonts w:ascii="Arial" w:cs="Arial" w:eastAsia="Arial" w:hAnsi="Arial"/>
                <w:sz w:val="18"/>
                <w:szCs w:val="18"/>
                <w:color w:val="auto"/>
              </w:rPr>
              <w:t>• Westin Vacations</w:t>
            </w:r>
          </w:p>
        </w:tc>
        <w:tc>
          <w:tcPr>
            <w:tcW w:w="3580" w:type="dxa"/>
            <w:vAlign w:val="bottom"/>
          </w:tcPr>
          <w:p>
            <w:pPr>
              <w:spacing w:after="0"/>
              <w:rPr>
                <w:sz w:val="23"/>
                <w:szCs w:val="23"/>
                <w:color w:val="auto"/>
              </w:rPr>
            </w:pPr>
          </w:p>
        </w:tc>
      </w:tr>
      <w:tr>
        <w:trPr>
          <w:trHeight w:val="270"/>
        </w:trPr>
        <w:tc>
          <w:tcPr>
            <w:tcW w:w="6320" w:type="dxa"/>
            <w:vAlign w:val="bottom"/>
          </w:tcPr>
          <w:p>
            <w:pPr>
              <w:ind w:left="460"/>
              <w:spacing w:after="0"/>
              <w:rPr>
                <w:sz w:val="20"/>
                <w:szCs w:val="20"/>
                <w:color w:val="auto"/>
              </w:rPr>
            </w:pPr>
            <w:r>
              <w:rPr>
                <w:rFonts w:ascii="Arial" w:cs="Arial" w:eastAsia="Arial" w:hAnsi="Arial"/>
                <w:sz w:val="18"/>
                <w:szCs w:val="18"/>
                <w:color w:val="auto"/>
              </w:rPr>
              <w:t>• Sheraton Vacations</w:t>
            </w:r>
          </w:p>
        </w:tc>
        <w:tc>
          <w:tcPr>
            <w:tcW w:w="3580" w:type="dxa"/>
            <w:vAlign w:val="bottom"/>
          </w:tcPr>
          <w:p>
            <w:pPr>
              <w:spacing w:after="0"/>
              <w:rPr>
                <w:sz w:val="23"/>
                <w:szCs w:val="23"/>
                <w:color w:val="auto"/>
              </w:rPr>
            </w:pPr>
          </w:p>
        </w:tc>
      </w:tr>
      <w:tr>
        <w:trPr>
          <w:trHeight w:val="459"/>
        </w:trPr>
        <w:tc>
          <w:tcPr>
            <w:tcW w:w="6320" w:type="dxa"/>
            <w:vAlign w:val="bottom"/>
          </w:tcPr>
          <w:p>
            <w:pPr>
              <w:spacing w:after="0"/>
              <w:rPr>
                <w:sz w:val="20"/>
                <w:szCs w:val="20"/>
                <w:color w:val="auto"/>
              </w:rPr>
            </w:pPr>
            <w:r>
              <w:rPr>
                <w:rFonts w:ascii="Arial" w:cs="Arial" w:eastAsia="Arial" w:hAnsi="Arial"/>
                <w:sz w:val="18"/>
                <w:szCs w:val="18"/>
                <w:color w:val="auto"/>
              </w:rPr>
              <w:t>Worldwide Vacation &amp; Travel, Inc.</w:t>
            </w:r>
          </w:p>
        </w:tc>
        <w:tc>
          <w:tcPr>
            <w:tcW w:w="3580" w:type="dxa"/>
            <w:vAlign w:val="bottom"/>
          </w:tcPr>
          <w:p>
            <w:pPr>
              <w:jc w:val="center"/>
              <w:ind w:left="2930"/>
              <w:spacing w:after="0"/>
              <w:rPr>
                <w:sz w:val="20"/>
                <w:szCs w:val="20"/>
                <w:color w:val="auto"/>
              </w:rPr>
            </w:pPr>
            <w:r>
              <w:rPr>
                <w:rFonts w:ascii="Arial" w:cs="Arial" w:eastAsia="Arial" w:hAnsi="Arial"/>
                <w:sz w:val="18"/>
                <w:szCs w:val="18"/>
                <w:color w:val="auto"/>
                <w:w w:val="94"/>
              </w:rPr>
              <w:t>Florida</w:t>
            </w: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33" w:right="23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1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Organized in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WVC Rancho Mirage, Inc.</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804"/>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Organized Outside the United States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33"/>
        </w:trPr>
        <w:tc>
          <w:tcPr>
            <w:tcW w:w="7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426"/>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Club Resorts No. 1 Australia Pty Ltd</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Costa Del Sol Development Company N.V.</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Aruba</w:t>
            </w:r>
          </w:p>
        </w:tc>
      </w:tr>
      <w:tr>
        <w:trPr>
          <w:trHeight w:val="270"/>
        </w:trPr>
        <w:tc>
          <w:tcPr>
            <w:tcW w:w="7900" w:type="dxa"/>
            <w:vAlign w:val="bottom"/>
            <w:gridSpan w:val="2"/>
          </w:tcPr>
          <w:p>
            <w:pPr>
              <w:ind w:left="280"/>
              <w:spacing w:after="0"/>
              <w:rPr>
                <w:sz w:val="20"/>
                <w:szCs w:val="20"/>
                <w:color w:val="auto"/>
              </w:rPr>
            </w:pPr>
            <w:r>
              <w:rPr>
                <w:rFonts w:ascii="Arial" w:cs="Arial" w:eastAsia="Arial" w:hAnsi="Arial"/>
                <w:sz w:val="18"/>
                <w:szCs w:val="18"/>
                <w:color w:val="auto"/>
              </w:rPr>
              <w:t>Entity also does business under the name:</w:t>
            </w:r>
          </w:p>
        </w:tc>
        <w:tc>
          <w:tcPr>
            <w:tcW w:w="3520" w:type="dxa"/>
            <w:vAlign w:val="bottom"/>
          </w:tcPr>
          <w:p>
            <w:pPr>
              <w:spacing w:after="0"/>
              <w:rPr>
                <w:sz w:val="23"/>
                <w:szCs w:val="23"/>
                <w:color w:val="auto"/>
              </w:rPr>
            </w:pPr>
          </w:p>
        </w:tc>
      </w:tr>
      <w:tr>
        <w:trPr>
          <w:trHeight w:val="270"/>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 Aruba Surf Club Development and Management Company</w:t>
            </w:r>
          </w:p>
        </w:tc>
        <w:tc>
          <w:tcPr>
            <w:tcW w:w="3520" w:type="dxa"/>
            <w:vAlign w:val="bottom"/>
          </w:tcPr>
          <w:p>
            <w:pPr>
              <w:spacing w:after="0"/>
              <w:rPr>
                <w:sz w:val="23"/>
                <w:szCs w:val="23"/>
                <w:color w:val="auto"/>
              </w:rPr>
            </w:pP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Hoteles Cabos K22.5, S. de R.L. de C.V.</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Mexico-Baja California Sur</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Hoteles Cancun K20, S. de R.L. de C.V.</w:t>
            </w: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Hoteles Vallarta 205, S. de R.L. de C.V.</w:t>
            </w: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Intercambios Internacionales de Vacaciones S.A. de C.V.</w:t>
            </w: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Interval International Limited</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England and Wales</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Marriott Ownership Resorts (St. Thomas), Inc.</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Virgin Islands - US</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Marriott Resorts Hospitality of Aruba N.V.</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Aruba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Marriott Vacation Club International of Aruba N.V.</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Aruba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MGRC Management Limited</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Asia Pacific (Hong Kong) Pte. Limited</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Asia Pacific Pte. Ltd.</w:t>
            </w: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Australia Pty Ltd.</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France SAS</w:t>
            </w: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Holidays France S.A.S.</w:t>
            </w:r>
          </w:p>
        </w:tc>
        <w:tc>
          <w:tcPr>
            <w:tcW w:w="352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Holidays, S.L.</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Management, S.L.</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Playa Andaluza Holidays, S.L.</w:t>
            </w: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Services Designated Activity Company</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Ireland</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St. Kitts Company Limited</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Saint Kitts &amp; Nieves</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MVCI (Thailand) Limited</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Thailand</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MVW International Holding Company S.à r.l.</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PT. Indonesia Bali Resort</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Indonesia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PT. Indonesia MOC Services</w:t>
            </w: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Indonesia</w:t>
            </w:r>
          </w:p>
        </w:tc>
      </w:tr>
      <w:tr>
        <w:trPr>
          <w:trHeight w:val="459"/>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R.M. Mexicana S.A. de C.V.</w:t>
            </w: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Mexico</w:t>
            </w: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33" w:right="239" w:bottom="1440" w:gutter="0" w:footer="0" w:header="0"/>
          <w:type w:val="continuous"/>
        </w:sectPr>
      </w:pPr>
    </w:p>
    <w:bookmarkStart w:id="177" w:name="page178"/>
    <w:bookmarkEnd w:id="177"/>
    <w:p>
      <w:pPr>
        <w:ind w:left="5"/>
        <w:spacing w:after="0"/>
        <w:rPr>
          <w:sz w:val="20"/>
          <w:szCs w:val="20"/>
          <w:color w:val="auto"/>
        </w:rPr>
      </w:pPr>
      <w:r>
        <w:rPr>
          <w:rFonts w:ascii="Arial" w:cs="Arial" w:eastAsia="Arial" w:hAnsi="Arial"/>
          <w:sz w:val="16"/>
          <w:szCs w:val="16"/>
          <w:b w:val="1"/>
          <w:bCs w:val="1"/>
          <w:color w:val="auto"/>
        </w:rPr>
        <w:t>Subsidiaries Organized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49314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0">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55" w:lineRule="exact"/>
        <w:rPr>
          <w:sz w:val="20"/>
          <w:szCs w:val="20"/>
          <w:color w:val="auto"/>
        </w:rPr>
      </w:pPr>
    </w:p>
    <w:p>
      <w:pPr>
        <w:ind w:left="5"/>
        <w:spacing w:after="0"/>
        <w:rPr>
          <w:sz w:val="20"/>
          <w:szCs w:val="20"/>
          <w:color w:val="auto"/>
        </w:rPr>
      </w:pPr>
      <w:r>
        <w:rPr>
          <w:rFonts w:ascii="Arial" w:cs="Arial" w:eastAsia="Arial" w:hAnsi="Arial"/>
          <w:sz w:val="18"/>
          <w:szCs w:val="18"/>
          <w:color w:val="auto"/>
        </w:rPr>
        <w:t>RC St. Thomas, LLC</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Turistica Cancun S. de R.L. de C.V.</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Vistana Bahamas Investments Limited</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VSE Cancun Sales, S. de R.L. de C.V.</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VSE Mexico Holding, S. de R.L. de C.V.</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VSE Villas Los Cabos, S. de R.L. de C.V.</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Westin St. John Hotel Company, Inc.</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Westin Vacation Management Company</w:t>
      </w:r>
    </w:p>
    <w:p>
      <w:pPr>
        <w:spacing w:after="0" w:line="252" w:lineRule="exact"/>
        <w:rPr>
          <w:sz w:val="20"/>
          <w:szCs w:val="20"/>
          <w:color w:val="auto"/>
        </w:rPr>
      </w:pPr>
    </w:p>
    <w:p>
      <w:pPr>
        <w:ind w:left="5"/>
        <w:spacing w:after="0"/>
        <w:rPr>
          <w:sz w:val="20"/>
          <w:szCs w:val="20"/>
          <w:color w:val="auto"/>
        </w:rPr>
      </w:pPr>
      <w:r>
        <w:rPr>
          <w:rFonts w:ascii="Arial" w:cs="Arial" w:eastAsia="Arial" w:hAnsi="Arial"/>
          <w:sz w:val="18"/>
          <w:szCs w:val="18"/>
          <w:color w:val="auto"/>
        </w:rPr>
        <w:t>WVC St. John, Inc.</w:t>
      </w:r>
    </w:p>
    <w:p>
      <w:pPr>
        <w:spacing w:after="0" w:line="198" w:lineRule="exact"/>
        <w:rPr>
          <w:sz w:val="20"/>
          <w:szCs w:val="20"/>
          <w:color w:val="auto"/>
        </w:rPr>
      </w:pPr>
    </w:p>
    <w:p>
      <w:pPr>
        <w:ind w:left="685" w:hanging="685"/>
        <w:spacing w:after="0"/>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Marriott Vacations Worldwide Corporation owns less than 100%.</w:t>
      </w:r>
    </w:p>
    <w:p>
      <w:pPr>
        <w:spacing w:after="0" w:line="264" w:lineRule="exact"/>
        <w:rPr>
          <w:sz w:val="20"/>
          <w:szCs w:val="20"/>
          <w:color w:val="auto"/>
        </w:rPr>
      </w:pPr>
    </w:p>
    <w:p>
      <w:pPr>
        <w:jc w:val="right"/>
        <w:ind w:right="20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5"/>
          <w:szCs w:val="15"/>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45085</wp:posOffset>
            </wp:positionV>
            <wp:extent cx="22383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Virgin Islands -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Mexico-Cancun, Quintana Roo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Bahama Islands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Mexico-Cancun, Quintana Roo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Mexico-Cancun, Quintana Roo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Mexico-Mexico, D.F.</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Virgin Islands (US)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Virgin Islands (US)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Virgin Islands (US)</w:t>
      </w:r>
    </w:p>
    <w:p>
      <w:pPr>
        <w:sectPr>
          <w:pgSz w:w="11900" w:h="16838" w:orient="portrait"/>
          <w:cols w:equalWidth="0" w:num="2">
            <w:col w:w="7785" w:space="720"/>
            <w:col w:w="2240"/>
          </w:cols>
          <w:pgMar w:left="275" w:top="734" w:right="87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79" w:lineRule="exact"/>
        <w:rPr>
          <w:sz w:val="20"/>
          <w:szCs w:val="20"/>
          <w:color w:val="auto"/>
        </w:rPr>
      </w:pPr>
    </w:p>
    <w:p>
      <w:pPr>
        <w:ind w:left="580" w:hanging="545"/>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S-3 No. 333-216203) of Marriott Vacations Worldwide Corporation,</w:t>
      </w:r>
    </w:p>
    <w:p>
      <w:pPr>
        <w:spacing w:after="0" w:line="306" w:lineRule="exact"/>
        <w:rPr>
          <w:rFonts w:ascii="Arial" w:cs="Arial" w:eastAsia="Arial" w:hAnsi="Arial"/>
          <w:sz w:val="18"/>
          <w:szCs w:val="18"/>
          <w:color w:val="auto"/>
        </w:rPr>
      </w:pPr>
    </w:p>
    <w:p>
      <w:pPr>
        <w:ind w:left="580" w:right="2300" w:hanging="5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333-177798) pertaining to the Marriott Vacations Worldwide Corporation Stock and Cash Incentive Plan,</w:t>
      </w:r>
    </w:p>
    <w:p>
      <w:pPr>
        <w:spacing w:after="0" w:line="251"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333-205808) pertaining to the Marriott Vacations Worldwide Corporation Employee Stock Purchase Plan,</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80" w:right="2760" w:hanging="5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333-211037) pertaining to the Marriott Vacations Worldwide Corporation Deferred Compensation Plan, and</w:t>
      </w:r>
    </w:p>
    <w:p>
      <w:pPr>
        <w:spacing w:after="0" w:line="251" w:lineRule="exact"/>
        <w:rPr>
          <w:rFonts w:ascii="Arial" w:cs="Arial" w:eastAsia="Arial" w:hAnsi="Arial"/>
          <w:sz w:val="18"/>
          <w:szCs w:val="18"/>
          <w:color w:val="auto"/>
        </w:rPr>
      </w:pPr>
    </w:p>
    <w:p>
      <w:pPr>
        <w:ind w:left="580" w:right="2440" w:hanging="5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Registration Statement (Form S-8 No. 333-227187) pertaining to the Amended and Restated Interval Leisure Group, Inc. 2013 Stock and Incentive Compensation Plan;</w:t>
      </w:r>
    </w:p>
    <w:p>
      <w:pPr>
        <w:spacing w:after="0" w:line="306" w:lineRule="exact"/>
        <w:rPr>
          <w:sz w:val="20"/>
          <w:szCs w:val="20"/>
          <w:color w:val="auto"/>
        </w:rPr>
      </w:pPr>
    </w:p>
    <w:p>
      <w:pPr>
        <w:jc w:val="both"/>
        <w:ind w:right="140" w:firstLine="27"/>
        <w:spacing w:after="0" w:line="279" w:lineRule="auto"/>
        <w:rPr>
          <w:sz w:val="20"/>
          <w:szCs w:val="20"/>
          <w:color w:val="auto"/>
        </w:rPr>
      </w:pPr>
      <w:r>
        <w:rPr>
          <w:rFonts w:ascii="Arial" w:cs="Arial" w:eastAsia="Arial" w:hAnsi="Arial"/>
          <w:sz w:val="18"/>
          <w:szCs w:val="18"/>
          <w:color w:val="auto"/>
        </w:rPr>
        <w:t>of our reports dated March 2, 2020,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553"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80" w:hanging="724"/>
        <w:spacing w:after="0" w:line="264" w:lineRule="auto"/>
        <w:tabs>
          <w:tab w:leader="none" w:pos="13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300" w:right="260" w:hanging="1292"/>
        <w:spacing w:after="0" w:line="342" w:lineRule="auto"/>
        <w:tabs>
          <w:tab w:leader="none" w:pos="6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23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300" w:right="260" w:hanging="1292"/>
        <w:spacing w:after="0" w:line="342" w:lineRule="auto"/>
        <w:tabs>
          <w:tab w:leader="none" w:pos="6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225" w:lineRule="exact"/>
        <w:rPr>
          <w:sz w:val="20"/>
          <w:szCs w:val="20"/>
          <w:color w:val="auto"/>
        </w:rPr>
      </w:pPr>
    </w:p>
    <w:p>
      <w:pPr>
        <w:ind w:left="660" w:right="78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2019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58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right="300" w:firstLine="662"/>
        <w:spacing w:after="0" w:line="277" w:lineRule="auto"/>
        <w:rPr>
          <w:sz w:val="20"/>
          <w:szCs w:val="20"/>
          <w:color w:val="auto"/>
        </w:rPr>
      </w:pPr>
      <w:r>
        <w:rPr>
          <w:rFonts w:ascii="Arial" w:cs="Arial" w:eastAsia="Arial" w:hAnsi="Arial"/>
          <w:sz w:val="18"/>
          <w:szCs w:val="18"/>
          <w:color w:val="auto"/>
        </w:rPr>
        <w:t>I, John E. Geller, Jr., Executive Vice President and Chief Financial and Administrative Officer of Marriott Vacations Worldwide Corporation (the “Company”) certify that:</w:t>
      </w:r>
    </w:p>
    <w:p>
      <w:pPr>
        <w:spacing w:after="0" w:line="170" w:lineRule="exact"/>
        <w:rPr>
          <w:sz w:val="20"/>
          <w:szCs w:val="20"/>
          <w:color w:val="auto"/>
        </w:rPr>
      </w:pPr>
    </w:p>
    <w:p>
      <w:pPr>
        <w:ind w:left="660" w:right="78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December 31, 2019 (the “Annual Report”), fully complies with the requirements of section 13(a) or 15(d) of the Securities Exchange Act of 1934 (15 U.S.C. 78m or 78o(d)); and</w:t>
      </w:r>
    </w:p>
    <w:p>
      <w:pPr>
        <w:spacing w:after="0" w:line="146" w:lineRule="exact"/>
        <w:rPr>
          <w:rFonts w:ascii="Arial" w:cs="Arial" w:eastAsia="Arial" w:hAnsi="Arial"/>
          <w:sz w:val="17"/>
          <w:szCs w:val="17"/>
          <w:color w:val="auto"/>
        </w:rPr>
      </w:pPr>
    </w:p>
    <w:p>
      <w:pPr>
        <w:ind w:left="660" w:right="58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Roman"/>
      <w:start w:val="2"/>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upperLetter"/>
      <w:start w:val="4"/>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4"/>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lvl w:ilvl="1">
      <w:lvlJc w:val="left"/>
      <w:lvlText w:val="•"/>
      <w:numFmt w:val="bullet"/>
      <w:start w:val="1"/>
    </w:lvl>
  </w:abstractNum>
  <w:abstractNum w:abstractNumId="15">
    <w:nsid w:val="153EA438"/>
    <w:multiLevelType w:val="hybridMultilevel"/>
    <w:lvl w:ilvl="0">
      <w:lvlJc w:val="left"/>
      <w:lvlText w:val="•"/>
      <w:numFmt w:val="bullet"/>
      <w:start w:val="1"/>
    </w:lvl>
    <w:lvl w:ilvl="1">
      <w:lvlJc w:val="left"/>
      <w:lvlText w:val="•"/>
      <w:numFmt w:val="bullet"/>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lvl w:ilvl="1">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01"/>
    </w:lvl>
  </w:abstractNum>
  <w:abstractNum w:abstractNumId="43">
    <w:nsid w:val="23F9C13C"/>
    <w:multiLevelType w:val="hybridMultilevel"/>
    <w:lvl w:ilvl="0">
      <w:lvlJc w:val="left"/>
      <w:lvlText w:val="*"/>
      <w:numFmt w:val="bullet"/>
      <w:start w:val="1"/>
    </w:lvl>
    <w:lvl w:ilvl="1">
      <w:lvlJc w:val="left"/>
      <w:lvlText w:val="%2"/>
      <w:numFmt w:val="decimal"/>
      <w:start w:val="104"/>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2"/>
    </w:lvl>
  </w:abstractNum>
  <w:abstractNum w:abstractNumId="48">
    <w:nsid w:val="180115BE"/>
    <w:multiLevelType w:val="hybridMultilevel"/>
    <w:lvl w:ilvl="0">
      <w:lvlJc w:val="left"/>
      <w:lvlText w:val="(%1)"/>
      <w:numFmt w:val="lowerLetter"/>
      <w:start w:val="1"/>
    </w:lvl>
    <w:lvl w:ilvl="1">
      <w:lvlJc w:val="left"/>
      <w:lvlText w:val="(%2)"/>
      <w:numFmt w:val="lowerRoman"/>
      <w:start w:val="1"/>
    </w:lvl>
  </w:abstractNum>
  <w:abstractNum w:abstractNumId="49">
    <w:nsid w:val="235BA861"/>
    <w:multiLevelType w:val="hybridMultilevel"/>
    <w:lvl w:ilvl="0">
      <w:lvlJc w:val="left"/>
      <w:lvlText w:val="%1"/>
      <w:numFmt w:val="upperLetter"/>
      <w:start w:val="1"/>
    </w:lvl>
    <w:lvl w:ilvl="1">
      <w:lvlJc w:val="left"/>
      <w:lvlText w:val="(%2)"/>
      <w:numFmt w:val="lowerRoman"/>
      <w:start w:val="3"/>
    </w:lvl>
  </w:abstractNum>
  <w:abstractNum w:abstractNumId="50">
    <w:nsid w:val="47398C89"/>
    <w:multiLevelType w:val="hybridMultilevel"/>
    <w:lvl w:ilvl="0">
      <w:lvlJc w:val="left"/>
      <w:lvlText w:val="(%1)"/>
      <w:numFmt w:val="upperLetter"/>
      <w:start w:val="2"/>
    </w:lvl>
    <w:lvl w:ilvl="1">
      <w:lvlJc w:val="left"/>
      <w:lvlText w:val="(%2)"/>
      <w:numFmt w:val="lowerRoman"/>
      <w:start w:val="5"/>
    </w:lvl>
  </w:abstractNum>
  <w:abstractNum w:abstractNumId="51">
    <w:nsid w:val="354FE9F9"/>
    <w:multiLevelType w:val="hybridMultilevel"/>
    <w:lvl w:ilvl="0">
      <w:lvlJc w:val="left"/>
      <w:lvlText w:val="(%1)"/>
      <w:numFmt w:val="lowerLetter"/>
      <w:start w:val="2"/>
    </w:lvl>
    <w:lvl w:ilvl="1">
      <w:lvlJc w:val="left"/>
      <w:lvlText w:val="(%2)"/>
      <w:numFmt w:val="lowerLetter"/>
      <w:start w:val="9"/>
    </w:lvl>
  </w:abstractNum>
  <w:abstractNum w:abstractNumId="52">
    <w:nsid w:val="15B5AF5C"/>
    <w:multiLevelType w:val="hybridMultilevel"/>
    <w:lvl w:ilvl="0">
      <w:lvlJc w:val="left"/>
      <w:lvlText w:val="%1"/>
      <w:numFmt w:val="lowerLetter"/>
      <w:start w:val="1"/>
    </w:lvl>
    <w:lvl w:ilvl="1">
      <w:lvlJc w:val="left"/>
      <w:lvlText w:val="(%2)"/>
      <w:numFmt w:val="lowerRoman"/>
      <w:start w:val="2"/>
    </w:lvl>
  </w:abstractNum>
  <w:abstractNum w:abstractNumId="53">
    <w:nsid w:val="741226BB"/>
    <w:multiLevelType w:val="hybridMultilevel"/>
    <w:lvl w:ilvl="0">
      <w:lvlJc w:val="left"/>
      <w:lvlText w:val="(%1)"/>
      <w:numFmt w:val="lowerLetter"/>
      <w:start w:val="25"/>
    </w:lvl>
    <w:lvl w:ilvl="1">
      <w:lvlJc w:val="left"/>
      <w:lvlText w:val="(%2)"/>
      <w:numFmt w:val="lowerRoman"/>
      <w:start w:val="4"/>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lowerLetter"/>
      <w:start w:val="7"/>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98" Type="http://schemas.openxmlformats.org/officeDocument/2006/relationships/image" Target="media/image51.png"/><Relationship Id="rId99" Type="http://schemas.openxmlformats.org/officeDocument/2006/relationships/image" Target="media/image52.png"/><Relationship Id="rId100" Type="http://schemas.openxmlformats.org/officeDocument/2006/relationships/image" Target="media/image53.png"/><Relationship Id="rId101" Type="http://schemas.openxmlformats.org/officeDocument/2006/relationships/image" Target="media/image54.png"/><Relationship Id="rId102" Type="http://schemas.openxmlformats.org/officeDocument/2006/relationships/image" Target="media/image55.png"/><Relationship Id="rId103" Type="http://schemas.openxmlformats.org/officeDocument/2006/relationships/image" Target="media/image56.png"/><Relationship Id="rId104" Type="http://schemas.openxmlformats.org/officeDocument/2006/relationships/image" Target="media/image57.png"/><Relationship Id="rId105"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18" Type="http://schemas.openxmlformats.org/officeDocument/2006/relationships/image" Target="media/image62.png"/><Relationship Id="rId119" Type="http://schemas.openxmlformats.org/officeDocument/2006/relationships/image" Target="media/image63.png"/><Relationship Id="rId120" Type="http://schemas.openxmlformats.org/officeDocument/2006/relationships/image" Target="media/image64.png"/><Relationship Id="rId121" Type="http://schemas.openxmlformats.org/officeDocument/2006/relationships/image" Target="media/image65.png"/><Relationship Id="rId122" Type="http://schemas.openxmlformats.org/officeDocument/2006/relationships/image" Target="media/image66.png"/><Relationship Id="rId124" Type="http://schemas.openxmlformats.org/officeDocument/2006/relationships/image" Target="media/image67.png"/><Relationship Id="rId125" Type="http://schemas.openxmlformats.org/officeDocument/2006/relationships/image" Target="media/image68.png"/><Relationship Id="rId141" Type="http://schemas.openxmlformats.org/officeDocument/2006/relationships/image" Target="media/image69.png"/><Relationship Id="rId142" Type="http://schemas.openxmlformats.org/officeDocument/2006/relationships/image" Target="media/image70.png"/><Relationship Id="rId143" Type="http://schemas.openxmlformats.org/officeDocument/2006/relationships/image" Target="media/image71.png"/><Relationship Id="rId144" Type="http://schemas.openxmlformats.org/officeDocument/2006/relationships/image" Target="media/image72.png"/><Relationship Id="rId145" Type="http://schemas.openxmlformats.org/officeDocument/2006/relationships/image" Target="media/image73.png"/><Relationship Id="rId146" Type="http://schemas.openxmlformats.org/officeDocument/2006/relationships/image" Target="media/image74.png"/><Relationship Id="rId147" Type="http://schemas.openxmlformats.org/officeDocument/2006/relationships/image" Target="media/image75.png"/><Relationship Id="rId148" Type="http://schemas.openxmlformats.org/officeDocument/2006/relationships/image" Target="media/image76.png"/><Relationship Id="rId149" Type="http://schemas.openxmlformats.org/officeDocument/2006/relationships/image" Target="media/image77.png"/><Relationship Id="rId150" Type="http://schemas.openxmlformats.org/officeDocument/2006/relationships/image" Target="media/image78.png"/><Relationship Id="rId151" Type="http://schemas.openxmlformats.org/officeDocument/2006/relationships/image" Target="media/image79.png"/><Relationship Id="rId152" Type="http://schemas.openxmlformats.org/officeDocument/2006/relationships/image" Target="media/image80.png"/><Relationship Id="rId153" Type="http://schemas.openxmlformats.org/officeDocument/2006/relationships/image" Target="media/image81.png"/><Relationship Id="rId154" Type="http://schemas.openxmlformats.org/officeDocument/2006/relationships/image" Target="media/image82.png"/><Relationship Id="rId155" Type="http://schemas.openxmlformats.org/officeDocument/2006/relationships/image" Target="media/image83.png"/><Relationship Id="rId156" Type="http://schemas.openxmlformats.org/officeDocument/2006/relationships/image" Target="media/image84.png"/><Relationship Id="rId157" Type="http://schemas.openxmlformats.org/officeDocument/2006/relationships/image" Target="media/image85.png"/><Relationship Id="rId158" Type="http://schemas.openxmlformats.org/officeDocument/2006/relationships/image" Target="media/image86.png"/><Relationship Id="rId159" Type="http://schemas.openxmlformats.org/officeDocument/2006/relationships/image" Target="media/image87.png"/><Relationship Id="rId160" Type="http://schemas.openxmlformats.org/officeDocument/2006/relationships/image" Target="media/image88.png"/><Relationship Id="rId161"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190" Type="http://schemas.openxmlformats.org/officeDocument/2006/relationships/image" Target="media/image118.png"/><Relationship Id="rId191" Type="http://schemas.openxmlformats.org/officeDocument/2006/relationships/image" Target="media/image119.png"/><Relationship Id="rId192" Type="http://schemas.openxmlformats.org/officeDocument/2006/relationships/image" Target="media/image120.png"/><Relationship Id="rId193" Type="http://schemas.openxmlformats.org/officeDocument/2006/relationships/image" Target="media/image121.png"/><Relationship Id="rId194" Type="http://schemas.openxmlformats.org/officeDocument/2006/relationships/image" Target="media/image122.png"/><Relationship Id="rId195" Type="http://schemas.openxmlformats.org/officeDocument/2006/relationships/image" Target="media/image123.png"/><Relationship Id="rId42" Type="http://schemas.openxmlformats.org/officeDocument/2006/relationships/hyperlink" Target="http://www.sec.gov/Archives/edgar/data/1524358/000119312511320045/d256766dex21.htm" TargetMode="External"/><Relationship Id="rId43" Type="http://schemas.openxmlformats.org/officeDocument/2006/relationships/hyperlink" Target="http://www.sec.gov/Archives/edgar/data/1524358/000119312518144431/d577638dex21.htm" TargetMode="External"/><Relationship Id="rId44" Type="http://schemas.openxmlformats.org/officeDocument/2006/relationships/hyperlink" Target="http://www.sec.gov/Archives/edgar/data/1524358/000119312511320045/d256766dex31.htm" TargetMode="External"/><Relationship Id="rId45" Type="http://schemas.openxmlformats.org/officeDocument/2006/relationships/hyperlink" Target="http://www.sec.gov/Archives/edgar/data/1524358/000119312511320045/d256766dex32.htm" TargetMode="External"/><Relationship Id="rId46" Type="http://schemas.openxmlformats.org/officeDocument/2006/relationships/hyperlink" Target="http://www.sec.gov/Archives/edgar/data/1524358/000119312511271851/d197736dex41.htm" TargetMode="External"/><Relationship Id="rId47" Type="http://schemas.openxmlformats.org/officeDocument/2006/relationships/hyperlink" Target="http://www.sec.gov/Archives/edgar/data/1524358/000152435817000036/q3201710-qexhibit41xindent.htm" TargetMode="External"/><Relationship Id="rId48" Type="http://schemas.openxmlformats.org/officeDocument/2006/relationships/hyperlink" Target="http://www.sec.gov/Archives/edgar/data/1524358/000119312518256374/d608569dex41.htm" TargetMode="External"/><Relationship Id="rId49" Type="http://schemas.openxmlformats.org/officeDocument/2006/relationships/hyperlink" Target="http://www.sec.gov/Archives/edgar/data/1524358/000119312518266807/d597652dex47.htm" TargetMode="External"/><Relationship Id="rId57" Type="http://schemas.openxmlformats.org/officeDocument/2006/relationships/hyperlink" Target="http://www.sec.gov/Archives/edgar/data/1524358/000119312518256374/d608569dex43.htm" TargetMode="External"/><Relationship Id="rId58" Type="http://schemas.openxmlformats.org/officeDocument/2006/relationships/hyperlink" Target="http://www.sec.gov/Archives/edgar/data/1524358/000119312518266807/d597652dex48.htm" TargetMode="External"/><Relationship Id="rId59" Type="http://schemas.openxmlformats.org/officeDocument/2006/relationships/hyperlink" Target="http://www.sec.gov/Archives/edgar/data/1524358/000119312519259964/d812229dex41.htm" TargetMode="External"/><Relationship Id="rId60" Type="http://schemas.openxmlformats.org/officeDocument/2006/relationships/hyperlink" Target="http://www.sec.gov/Archives/edgar/data/1524358/000119312519259964/d812229dex43.htm" TargetMode="External"/><Relationship Id="rId61" Type="http://schemas.openxmlformats.org/officeDocument/2006/relationships/hyperlink" Target="http://www.sec.gov/Archives/edgar/data/1524358/000119312511320045/d256766dex101.htm" TargetMode="External"/><Relationship Id="rId62" Type="http://schemas.openxmlformats.org/officeDocument/2006/relationships/hyperlink" Target="http://www.sec.gov/Archives/edgar/data/1524358/000119312513173034/d500890dex101.htm" TargetMode="External"/><Relationship Id="rId63" Type="http://schemas.openxmlformats.org/officeDocument/2006/relationships/hyperlink" Target="http://www.sec.gov/Archives/edgar/data/1524358/000119312516653231/d205528dex103.htm" TargetMode="External"/><Relationship Id="rId64" Type="http://schemas.openxmlformats.org/officeDocument/2006/relationships/hyperlink" Target="http://www.sec.gov/Archives/edgar/data/1524358/000152435818000007/mvw201710kex104.htm" TargetMode="External"/><Relationship Id="rId65" Type="http://schemas.openxmlformats.org/officeDocument/2006/relationships/hyperlink" Target="http://www.sec.gov/Archives/edgar/data/1524358/000152435818000007/a201710-kex105.htm" TargetMode="External"/><Relationship Id="rId66" Type="http://schemas.openxmlformats.org/officeDocument/2006/relationships/hyperlink" Target="http://www.sec.gov/Archives/edgar/data/1524358/000119312511320045/d256766dex102.htm" TargetMode="External"/><Relationship Id="rId67" Type="http://schemas.openxmlformats.org/officeDocument/2006/relationships/hyperlink" Target="http://www.sec.gov/Archives/edgar/data/1524358/000152435818000007/mvw201710-kex107.htm" TargetMode="External"/><Relationship Id="rId68" Type="http://schemas.openxmlformats.org/officeDocument/2006/relationships/hyperlink" Target="http://www.sec.gov/Archives/edgar/data/1524358/000119312511320045/d256766dex103.htm" TargetMode="External"/><Relationship Id="rId78" Type="http://schemas.openxmlformats.org/officeDocument/2006/relationships/hyperlink" Target="http://www.sec.gov/Archives/edgar/data/1524358/000119312511320045/d256766dex104.htm" TargetMode="External"/><Relationship Id="rId79" Type="http://schemas.openxmlformats.org/officeDocument/2006/relationships/hyperlink" Target="http://www.sec.gov/Archives/edgar/data/1524358/000119312512426822/d401766dex101.htm" TargetMode="External"/><Relationship Id="rId80" Type="http://schemas.openxmlformats.org/officeDocument/2006/relationships/hyperlink" Target="http://www.sec.gov/Archives/edgar/data/1524358/000119312511320045/d256766dex105.htm" TargetMode="External"/><Relationship Id="rId81" Type="http://schemas.openxmlformats.org/officeDocument/2006/relationships/hyperlink" Target="http://www.sec.gov/Archives/edgar/data/1524358/000152435818000007/a201710-kex1012.htm" TargetMode="External"/><Relationship Id="rId82" Type="http://schemas.openxmlformats.org/officeDocument/2006/relationships/hyperlink" Target="http://www.sec.gov/Archives/edgar/data/1524358/000152435818000007/a201710-kex1014.htm" TargetMode="External"/><Relationship Id="rId83" Type="http://schemas.openxmlformats.org/officeDocument/2006/relationships/hyperlink" Target="http://www.sec.gov/Archives/edgar/data/1524358/000152435817000004/ex1014-amendedandrestateds.htm" TargetMode="External"/><Relationship Id="rId84" Type="http://schemas.openxmlformats.org/officeDocument/2006/relationships/hyperlink" Target="http://www.sec.gov/Archives/edgar/data/1524358/000119312511336723/d264428dex101.htm" TargetMode="External"/><Relationship Id="rId85" Type="http://schemas.openxmlformats.org/officeDocument/2006/relationships/hyperlink" Target="http://www.sec.gov/Archives/edgar/data/1524358/000119312511336723/d264428dex102.htm" TargetMode="External"/><Relationship Id="rId86" Type="http://schemas.openxmlformats.org/officeDocument/2006/relationships/hyperlink" Target="http://www.sec.gov/Archives/edgar/data/1524358/000119312512119944/d317362dex101.htm" TargetMode="External"/><Relationship Id="rId87" Type="http://schemas.openxmlformats.org/officeDocument/2006/relationships/hyperlink" Target="http://www.sec.gov/Archives/edgar/data/1524358/000119312516477463/d84315dex1017.htm" TargetMode="External"/><Relationship Id="rId88" Type="http://schemas.openxmlformats.org/officeDocument/2006/relationships/hyperlink" Target="http://www.sec.gov/Archives/edgar/data/1524358/000119312512125188/d268132dex1016.htm" TargetMode="External"/><Relationship Id="rId89" Type="http://schemas.openxmlformats.org/officeDocument/2006/relationships/hyperlink" Target="http://www.sec.gov/Archives/edgar/data/1524358/000119312515159812/d904131dex101.htm" TargetMode="External"/><Relationship Id="rId90" Type="http://schemas.openxmlformats.org/officeDocument/2006/relationships/hyperlink" Target="http://www.sec.gov/Archives/edgar/data/1524358/000119312512119944/d317362dex102.htm" TargetMode="External"/><Relationship Id="rId91" Type="http://schemas.openxmlformats.org/officeDocument/2006/relationships/hyperlink" Target="http://www.sec.gov/Archives/edgar/data/1524358/000119312512119944/d317362dex103.htm" TargetMode="External"/><Relationship Id="rId92" Type="http://schemas.openxmlformats.org/officeDocument/2006/relationships/hyperlink" Target="http://www.sec.gov/Archives/edgar/data/1524358/000119312513257763/d552895dex103.htm" TargetMode="External"/><Relationship Id="rId93" Type="http://schemas.openxmlformats.org/officeDocument/2006/relationships/hyperlink" Target="http://www.sec.gov/Archives/edgar/data/1524358/000119312515064836/d843780dex1021.htm" TargetMode="External"/><Relationship Id="rId94" Type="http://schemas.openxmlformats.org/officeDocument/2006/relationships/hyperlink" Target="http://www.sec.gov/Archives/edgar/data/1524358/000119312515220625/d940607dex101.htm" TargetMode="External"/><Relationship Id="rId95" Type="http://schemas.openxmlformats.org/officeDocument/2006/relationships/hyperlink" Target="http://www.sec.gov/Archives/edgar/data/1524358/000119312514343148/d788810dex102.htm" TargetMode="External"/><Relationship Id="rId96" Type="http://schemas.openxmlformats.org/officeDocument/2006/relationships/hyperlink" Target="http://www.sec.gov/Archives/edgar/data/1524358/000119312515260792/d947787dex102.htm" TargetMode="External"/><Relationship Id="rId97" Type="http://schemas.openxmlformats.org/officeDocument/2006/relationships/hyperlink" Target="http://www.sec.gov/Archives/edgar/data/1524358/000119312514343148/d788810dex101.htm" TargetMode="External"/><Relationship Id="rId109" Type="http://schemas.openxmlformats.org/officeDocument/2006/relationships/hyperlink" Target="http://www.sec.gov/Archives/edgar/data/1524358/000119312515388201/d16564dex101.htm" TargetMode="External"/><Relationship Id="rId110" Type="http://schemas.openxmlformats.org/officeDocument/2006/relationships/hyperlink" Target="http://www.sec.gov/Archives/edgar/data/1524358/000119312516653231/d205528dex102.htm" TargetMode="External"/><Relationship Id="rId111" Type="http://schemas.openxmlformats.org/officeDocument/2006/relationships/hyperlink" Target="http://www.sec.gov/Archives/edgar/data/1524358/000119312516653231/d205528dex101.htm" TargetMode="External"/><Relationship Id="rId112" Type="http://schemas.openxmlformats.org/officeDocument/2006/relationships/hyperlink" Target="http://www.sec.gov/Archives/edgar/data/1524358/000152435817000008/ex-101.htm" TargetMode="External"/><Relationship Id="rId113" Type="http://schemas.openxmlformats.org/officeDocument/2006/relationships/hyperlink" Target="http://www.sec.gov/Archives/edgar/data/1524358/000119312517263681/d440518dex103.htm" TargetMode="External"/><Relationship Id="rId114" Type="http://schemas.openxmlformats.org/officeDocument/2006/relationships/hyperlink" Target="http://www.sec.gov/Archives/edgar/data/1524358/000152435817000036/q3201710-qexhibit101xformo.htm" TargetMode="External"/><Relationship Id="rId115" Type="http://schemas.openxmlformats.org/officeDocument/2006/relationships/hyperlink" Target="http://www.sec.gov/Archives/edgar/data/1524358/000152435817000036/q3201710-qexhibit102xformo.htm" TargetMode="External"/><Relationship Id="rId116" Type="http://schemas.openxmlformats.org/officeDocument/2006/relationships/hyperlink" Target="http://www.sec.gov/Archives/edgar/data/1524358/000152435819000008/exhibit1054formofamend.htm" TargetMode="External"/><Relationship Id="rId117" Type="http://schemas.openxmlformats.org/officeDocument/2006/relationships/hyperlink" Target="http://www.sec.gov/Archives/edgar/data/1524358/000119312518266807/d597652dex49.htm" TargetMode="External"/><Relationship Id="rId123" Type="http://schemas.openxmlformats.org/officeDocument/2006/relationships/hyperlink" Target="http://www.sec.gov/Archives/edgar/data/1524358/000119312518266807/d597652dex410.htm" TargetMode="External"/><Relationship Id="rId126" Type="http://schemas.openxmlformats.org/officeDocument/2006/relationships/hyperlink" Target="http://www.sec.gov/Archives/edgar/data/1524358/000152435818000060/a2018q310-qexhibit103x.htm" TargetMode="External"/><Relationship Id="rId127" Type="http://schemas.openxmlformats.org/officeDocument/2006/relationships/hyperlink" Target="http://www.sec.gov/Archives/edgar/data/1434620/000104746908008612/a2187111zex-10_12.htm" TargetMode="External"/><Relationship Id="rId128" Type="http://schemas.openxmlformats.org/officeDocument/2006/relationships/hyperlink" Target="http://www.sec.gov/Archives/edgar/data/1434620/000110465916137604/a16-16129_1ex10d1.htm" TargetMode="External"/><Relationship Id="rId129" Type="http://schemas.openxmlformats.org/officeDocument/2006/relationships/hyperlink" Target="http://www.sec.gov/Archives/edgar/data/1434620/000104746914004700/a2220043zex-10_1.htm" TargetMode="External"/><Relationship Id="rId130" Type="http://schemas.openxmlformats.org/officeDocument/2006/relationships/hyperlink" Target="http://www.sec.gov/Archives/edgar/data/1434620/000104746914004700/a2220043zex-10_2.htm" TargetMode="External"/><Relationship Id="rId131" Type="http://schemas.openxmlformats.org/officeDocument/2006/relationships/hyperlink" Target="http://www.sec.gov/Archives/edgar/data/1434620/000104746914004700/a2220043zex-10_3.htm" TargetMode="External"/><Relationship Id="rId132" Type="http://schemas.openxmlformats.org/officeDocument/2006/relationships/hyperlink" Target="http://www.sec.gov/Archives/edgar/data/1434620/000110465916120265/a16-11085_1ex10d6.htm" TargetMode="External"/><Relationship Id="rId133" Type="http://schemas.openxmlformats.org/officeDocument/2006/relationships/hyperlink" Target="http://www.sec.gov/Archives/edgar/data/1434620/000110465916120265/a16-11085_1ex10d1.htm" TargetMode="External"/><Relationship Id="rId134" Type="http://schemas.openxmlformats.org/officeDocument/2006/relationships/hyperlink" Target="http://www.sec.gov/Archives/edgar/data/1434620/000110465916120265/a16-11085_1ex10d3.htm" TargetMode="External"/><Relationship Id="rId135" Type="http://schemas.openxmlformats.org/officeDocument/2006/relationships/hyperlink" Target="http://www.sec.gov/Archives/edgar/data/1434620/000110465916120265/a16-11085_1ex10d5.htm" TargetMode="External"/><Relationship Id="rId136" Type="http://schemas.openxmlformats.org/officeDocument/2006/relationships/hyperlink" Target="http://www.sec.gov/Archives/edgar/data/1524358/000152435818000051/a9-20x20188kexhibit102.htm" TargetMode="External"/><Relationship Id="rId137" Type="http://schemas.openxmlformats.org/officeDocument/2006/relationships/hyperlink" Target="http://www.sec.gov/Archives/edgar/data/1524358/000152435818000051/a9-20x20188kexhibit101.htm" TargetMode="External"/><Relationship Id="rId138" Type="http://schemas.openxmlformats.org/officeDocument/2006/relationships/hyperlink" Target="http://www.sec.gov/Archives/edgar/data/1434620/000155837018003932/ilg-20180331ex1021fc800.htm" TargetMode="External"/><Relationship Id="rId139" Type="http://schemas.openxmlformats.org/officeDocument/2006/relationships/hyperlink" Target="http://www.sec.gov/Archives/edgar/data/1434620/000155837017003568/ilg-20170331ex102a5cc7c.htm" TargetMode="External"/><Relationship Id="rId140" Type="http://schemas.openxmlformats.org/officeDocument/2006/relationships/hyperlink" Target="http://www.sec.gov/Archives/edgar/data/1434620/000155837018003932/ilg-20180331ex101f7f4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2020-03-02T16:33:14Z</dcterms:created>
  <dcterms:modified xsi:type="dcterms:W3CDTF">2020-03-02T16:33:14Z</dcterms:modified>
</cp:coreProperties>
</file>