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7"/>
          <w:szCs w:val="17"/>
          <w:b w:val="1"/>
          <w:bCs w:val="1"/>
          <w:u w:val="single" w:color="auto"/>
          <w:color w:val="0000EE"/>
        </w:rPr>
      </w:pP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205740</wp:posOffset>
            </wp:positionV>
            <wp:extent cx="6642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254635</wp:posOffset>
            </wp:positionV>
            <wp:extent cx="6642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ind w:left="3520"/>
        <w:spacing w:after="0"/>
        <w:rPr>
          <w:sz w:val="20"/>
          <w:szCs w:val="20"/>
          <w:color w:val="auto"/>
        </w:rPr>
      </w:pPr>
      <w:r>
        <w:rPr>
          <w:rFonts w:ascii="Arial" w:cs="Arial" w:eastAsia="Arial" w:hAnsi="Arial"/>
          <w:sz w:val="28"/>
          <w:szCs w:val="28"/>
          <w:b w:val="1"/>
          <w:bCs w:val="1"/>
          <w:color w:val="auto"/>
        </w:rPr>
        <w:t>SCHEDULE 14A INFORMATION</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100"/>
        <w:spacing w:after="0"/>
        <w:tabs>
          <w:tab w:leader="none" w:pos="220" w:val="left"/>
        </w:tabs>
        <w:rPr>
          <w:sz w:val="20"/>
          <w:szCs w:val="20"/>
          <w:color w:val="auto"/>
        </w:rPr>
      </w:pPr>
      <w:r>
        <w:rPr>
          <w:rFonts w:ascii="Arial" w:cs="Arial" w:eastAsia="Arial" w:hAnsi="Arial"/>
          <w:sz w:val="18"/>
          <w:szCs w:val="18"/>
          <w:b w:val="1"/>
          <w:bCs w:val="1"/>
          <w:color w:val="auto"/>
        </w:rPr>
        <w:t>Securities Exchange Act of 1934 (Amendment No.</w:t>
        <w:tab/>
        <w:t>)</w:t>
      </w:r>
    </w:p>
    <w:p>
      <w:pPr>
        <w:spacing w:after="0" w:line="69" w:lineRule="exact"/>
        <w:rPr>
          <w:sz w:val="24"/>
          <w:szCs w:val="24"/>
          <w:color w:val="auto"/>
        </w:rPr>
      </w:pPr>
    </w:p>
    <w:p>
      <w:pPr>
        <w:ind w:left="400"/>
        <w:spacing w:after="0" w:line="173" w:lineRule="exact"/>
        <w:tabs>
          <w:tab w:leader="none" w:pos="1940" w:val="left"/>
          <w:tab w:leader="none" w:pos="3280" w:val="left"/>
          <w:tab w:leader="none" w:pos="6040" w:val="left"/>
        </w:tabs>
        <w:rPr>
          <w:sz w:val="20"/>
          <w:szCs w:val="20"/>
          <w:color w:val="auto"/>
        </w:rPr>
      </w:pPr>
      <w:r>
        <w:rPr>
          <w:rFonts w:ascii="Arial" w:cs="Arial" w:eastAsia="Arial" w:hAnsi="Arial"/>
          <w:sz w:val="15"/>
          <w:szCs w:val="15"/>
          <w:color w:val="auto"/>
        </w:rPr>
        <w:t>Filed by the Registrant</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Filed by a party other than the Registrant</w:t>
      </w:r>
      <w:r>
        <w:rPr>
          <w:sz w:val="20"/>
          <w:szCs w:val="20"/>
          <w:color w:val="auto"/>
        </w:rPr>
        <w:tab/>
      </w:r>
      <w:r>
        <w:rPr>
          <w:rFonts w:ascii="MS PGothic" w:cs="MS PGothic" w:eastAsia="MS PGothic" w:hAnsi="MS PGothic"/>
          <w:sz w:val="12"/>
          <w:szCs w:val="12"/>
          <w:color w:val="auto"/>
        </w:rPr>
        <w:t>☐</w:t>
      </w:r>
    </w:p>
    <w:p>
      <w:pPr>
        <w:spacing w:after="0" w:line="12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Check the appropriate box:</w:t>
      </w:r>
    </w:p>
    <w:p>
      <w:pPr>
        <w:spacing w:after="0" w:line="119" w:lineRule="exact"/>
        <w:rPr>
          <w:sz w:val="24"/>
          <w:szCs w:val="24"/>
          <w:color w:val="auto"/>
        </w:rPr>
      </w:pPr>
    </w:p>
    <w:p>
      <w:pPr>
        <w:ind w:left="980" w:hanging="518"/>
        <w:spacing w:after="0"/>
        <w:tabs>
          <w:tab w:leader="none" w:pos="9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7" w:lineRule="exact"/>
        <w:rPr>
          <w:rFonts w:ascii="MS PGothic" w:cs="MS PGothic" w:eastAsia="MS PGothic" w:hAnsi="MS PGothic"/>
          <w:sz w:val="14"/>
          <w:szCs w:val="14"/>
          <w:color w:val="auto"/>
        </w:rPr>
      </w:pPr>
    </w:p>
    <w:p>
      <w:pPr>
        <w:ind w:left="980" w:hanging="518"/>
        <w:spacing w:after="0"/>
        <w:tabs>
          <w:tab w:leader="none" w:pos="9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5"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3"/>
          <w:szCs w:val="13"/>
          <w:color w:val="auto"/>
        </w:rPr>
        <w:t>Definitive Proxy Statement</w:t>
      </w:r>
    </w:p>
    <w:p>
      <w:pPr>
        <w:spacing w:after="0" w:line="105" w:lineRule="exact"/>
        <w:rPr>
          <w:rFonts w:ascii="MS PGothic" w:cs="MS PGothic" w:eastAsia="MS PGothic" w:hAnsi="MS PGothic"/>
          <w:sz w:val="14"/>
          <w:szCs w:val="14"/>
          <w:color w:val="auto"/>
        </w:rPr>
      </w:pPr>
    </w:p>
    <w:p>
      <w:pPr>
        <w:ind w:left="980" w:hanging="518"/>
        <w:spacing w:after="0"/>
        <w:tabs>
          <w:tab w:leader="none" w:pos="9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69" w:lineRule="exact"/>
        <w:rPr>
          <w:rFonts w:ascii="MS PGothic" w:cs="MS PGothic" w:eastAsia="MS PGothic" w:hAnsi="MS PGothic"/>
          <w:sz w:val="14"/>
          <w:szCs w:val="14"/>
          <w:color w:val="auto"/>
        </w:rPr>
      </w:pPr>
    </w:p>
    <w:p>
      <w:pPr>
        <w:ind w:left="980" w:hanging="518"/>
        <w:spacing w:after="0"/>
        <w:tabs>
          <w:tab w:leader="none" w:pos="9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2850515</wp:posOffset>
            </wp:positionH>
            <wp:positionV relativeFrom="paragraph">
              <wp:posOffset>301625</wp:posOffset>
            </wp:positionV>
            <wp:extent cx="1440815" cy="699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699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3940"/>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217"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ind w:left="400"/>
        <w:spacing w:after="0"/>
        <w:rPr>
          <w:sz w:val="20"/>
          <w:szCs w:val="20"/>
          <w:color w:val="auto"/>
        </w:rPr>
      </w:pPr>
      <w:r>
        <w:rPr>
          <w:rFonts w:ascii="Arial" w:cs="Arial" w:eastAsia="Arial" w:hAnsi="Arial"/>
          <w:sz w:val="15"/>
          <w:szCs w:val="15"/>
          <w:color w:val="auto"/>
        </w:rPr>
        <w:t>Payment of Filing Fee (Check the appropriate box):</w:t>
      </w:r>
    </w:p>
    <w:p>
      <w:pPr>
        <w:spacing w:after="0" w:line="107" w:lineRule="exact"/>
        <w:rPr>
          <w:sz w:val="24"/>
          <w:szCs w:val="24"/>
          <w:color w:val="auto"/>
        </w:rPr>
      </w:pPr>
    </w:p>
    <w:p>
      <w:pPr>
        <w:ind w:left="980" w:hanging="518"/>
        <w:spacing w:after="0"/>
        <w:tabs>
          <w:tab w:leader="none" w:pos="9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08" w:lineRule="exact"/>
        <w:rPr>
          <w:sz w:val="24"/>
          <w:szCs w:val="24"/>
          <w:color w:val="auto"/>
        </w:rPr>
      </w:pPr>
    </w:p>
    <w:p>
      <w:pPr>
        <w:ind w:left="980" w:hanging="518"/>
        <w:spacing w:after="0"/>
        <w:tabs>
          <w:tab w:leader="none" w:pos="9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0" w:lineRule="exact"/>
        <w:rPr>
          <w:rFonts w:ascii="MS PGothic" w:cs="MS PGothic" w:eastAsia="MS PGothic" w:hAnsi="MS PGothic"/>
          <w:sz w:val="14"/>
          <w:szCs w:val="14"/>
          <w:color w:val="auto"/>
        </w:rPr>
      </w:pPr>
    </w:p>
    <w:p>
      <w:pPr>
        <w:ind w:left="980" w:hanging="518"/>
        <w:spacing w:after="0"/>
        <w:tabs>
          <w:tab w:leader="none" w:pos="980" w:val="left"/>
        </w:tabs>
        <w:numPr>
          <w:ilvl w:val="0"/>
          <w:numId w:val="3"/>
        </w:numPr>
        <w:rPr>
          <w:rFonts w:ascii="MS PGothic" w:cs="MS PGothic" w:eastAsia="MS PGothic" w:hAnsi="MS PGothic"/>
          <w:sz w:val="27"/>
          <w:szCs w:val="27"/>
          <w:color w:val="auto"/>
          <w:vertAlign w:val="superscript"/>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127000</wp:posOffset>
            </wp:positionV>
            <wp:extent cx="6642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175260</wp:posOffset>
            </wp:positionV>
            <wp:extent cx="6642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139"/>
          </w:cols>
          <w:pgMar w:left="320" w:top="222" w:right="1440" w:bottom="1440" w:gutter="0" w:footer="0" w:header="0"/>
        </w:sectPr>
      </w:pPr>
    </w:p>
    <w:bookmarkStart w:id="1" w:name="page2"/>
    <w:bookmarkEnd w:id="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205105</wp:posOffset>
            </wp:positionV>
            <wp:extent cx="6447155" cy="8401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7155" cy="8401050"/>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2" w:name="page3"/>
    <w:bookmarkEnd w:id="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198120</wp:posOffset>
            </wp:positionV>
            <wp:extent cx="1440815" cy="699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Marriott Vacations Worldwide Corporation</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9002 San Marco Court</w:t>
      </w:r>
    </w:p>
    <w:p>
      <w:pPr>
        <w:spacing w:after="0" w:line="7"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Orlando, Florida 32819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31, 2022</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Dear Marriott Vacations Worldwide Stockholders:</w:t>
      </w:r>
    </w:p>
    <w:p>
      <w:pPr>
        <w:spacing w:after="0" w:line="110" w:lineRule="exact"/>
        <w:rPr>
          <w:sz w:val="20"/>
          <w:szCs w:val="20"/>
          <w:color w:val="auto"/>
        </w:rPr>
      </w:pPr>
    </w:p>
    <w:p>
      <w:pPr>
        <w:ind w:left="400" w:right="20"/>
        <w:spacing w:after="0" w:line="254" w:lineRule="auto"/>
        <w:rPr>
          <w:sz w:val="20"/>
          <w:szCs w:val="20"/>
          <w:color w:val="auto"/>
        </w:rPr>
      </w:pPr>
      <w:r>
        <w:rPr>
          <w:rFonts w:ascii="Arial" w:cs="Arial" w:eastAsia="Arial" w:hAnsi="Arial"/>
          <w:sz w:val="15"/>
          <w:szCs w:val="15"/>
          <w:color w:val="auto"/>
        </w:rPr>
        <w:t>It is my pleasure to inform you that the 2022 Annual Meeting of Stockholders of Marriott Vacations Worldwide Corporation (the “Annual Meeting”) will be conducted online on Friday, May 13, 2022 beginning at 12:00 noon, Eastern Daylight Time. Stockholders of record may attend and vote during the Annual Meeting via the Internet at www.virtualshareholdermeeting.com/VAC2022. You may also attend the meeting by proxy. You may submit questions in advance of the meeting at</w:t>
      </w:r>
    </w:p>
    <w:p>
      <w:pPr>
        <w:spacing w:after="0" w:line="2" w:lineRule="exact"/>
        <w:rPr>
          <w:sz w:val="20"/>
          <w:szCs w:val="20"/>
          <w:color w:val="auto"/>
        </w:rPr>
      </w:pPr>
    </w:p>
    <w:p>
      <w:pPr>
        <w:ind w:left="400" w:right="460"/>
        <w:spacing w:after="0" w:line="259" w:lineRule="auto"/>
        <w:rPr>
          <w:sz w:val="20"/>
          <w:szCs w:val="20"/>
          <w:color w:val="auto"/>
        </w:rPr>
      </w:pPr>
      <w:r>
        <w:rPr>
          <w:rFonts w:ascii="Arial" w:cs="Arial" w:eastAsia="Arial" w:hAnsi="Arial"/>
          <w:sz w:val="15"/>
          <w:szCs w:val="15"/>
          <w:color w:val="auto"/>
        </w:rPr>
        <w:t>www.proxyvote.com. Beneficial owners should review their voting instruction form or Notice of Internet Availability for how to vote in advance and participate in the Annual Meeting online. For further information about the virtual Annual Meeting, please see the Questions and Answers About the Meeting beginning on page 4.</w:t>
      </w:r>
    </w:p>
    <w:p>
      <w:pPr>
        <w:spacing w:after="0" w:line="69" w:lineRule="exact"/>
        <w:rPr>
          <w:sz w:val="20"/>
          <w:szCs w:val="20"/>
          <w:color w:val="auto"/>
        </w:rPr>
      </w:pPr>
    </w:p>
    <w:p>
      <w:pPr>
        <w:ind w:left="400" w:right="100"/>
        <w:spacing w:after="0" w:line="269" w:lineRule="auto"/>
        <w:rPr>
          <w:sz w:val="20"/>
          <w:szCs w:val="20"/>
          <w:color w:val="auto"/>
        </w:rPr>
      </w:pPr>
      <w:r>
        <w:rPr>
          <w:rFonts w:ascii="Arial" w:cs="Arial" w:eastAsia="Arial" w:hAnsi="Arial"/>
          <w:sz w:val="15"/>
          <w:szCs w:val="15"/>
          <w:color w:val="auto"/>
        </w:rPr>
        <w:t>The following Notice of Annual Meeting of Stockholders and Proxy Statement includes information about the matters to be acted upon by stockholders at the Annual Meeting. We hope that you will exercise your right to vote as promptly as possible. You may vote through the Internet, by telephone or by mailing your completed proxy card (or voting instruction form, if you hold your shares through a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98085" cy="464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8085" cy="464185"/>
                    </a:xfrm>
                    <a:prstGeom prst="rect">
                      <a:avLst/>
                    </a:prstGeom>
                    <a:noFill/>
                  </pic:spPr>
                </pic:pic>
              </a:graphicData>
            </a:graphic>
          </wp:anchor>
        </w:drawing>
      </w: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IMPORTANT NOTICE REGARDING THE AVAILABILITY OF PROXY MATERIALS</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FOR THE 2022 ANNUAL MEETING OF STOCKHOLDERS:</w:t>
      </w:r>
    </w:p>
    <w:p>
      <w:pPr>
        <w:spacing w:after="0" w:line="326" w:lineRule="exact"/>
        <w:rPr>
          <w:sz w:val="20"/>
          <w:szCs w:val="20"/>
          <w:color w:val="auto"/>
        </w:rPr>
      </w:pPr>
    </w:p>
    <w:p>
      <w:pPr>
        <w:jc w:val="both"/>
        <w:ind w:left="400" w:right="60"/>
        <w:spacing w:after="0" w:line="263" w:lineRule="auto"/>
        <w:rPr>
          <w:sz w:val="20"/>
          <w:szCs w:val="20"/>
          <w:color w:val="auto"/>
        </w:rPr>
      </w:pPr>
      <w:r>
        <w:rPr>
          <w:rFonts w:ascii="Arial" w:cs="Arial" w:eastAsia="Arial" w:hAnsi="Arial"/>
          <w:sz w:val="15"/>
          <w:szCs w:val="15"/>
          <w:color w:val="auto"/>
        </w:rPr>
        <w:t>We are mailing many of our stockholders a Notice Regarding the Availability of Proxy Materials (the “Notice”)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of record who do not receive the Notice will receive a full set of our proxy materials.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appreciate your continued support and interest in Marriott Vacations Worldwide.</w:t>
      </w:r>
    </w:p>
    <w:p>
      <w:pPr>
        <w:spacing w:after="0" w:line="122"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77470</wp:posOffset>
            </wp:positionV>
            <wp:extent cx="1741805" cy="431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805" cy="43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William J. Shaw</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68580</wp:posOffset>
            </wp:positionV>
            <wp:extent cx="952500" cy="537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00"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Stephen P. Weisz</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0860"/>
          </w:cols>
          <w:pgMar w:left="320" w:top="440" w:right="719"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198120</wp:posOffset>
            </wp:positionV>
            <wp:extent cx="1440815" cy="699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Marriott Vacations Worldwide Corporation</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9002 San Marco Court</w:t>
      </w:r>
    </w:p>
    <w:p>
      <w:pPr>
        <w:spacing w:after="0" w:line="7"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Orlando, Florida 32819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149860</wp:posOffset>
            </wp:positionV>
            <wp:extent cx="5063490" cy="464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3490" cy="464185"/>
                    </a:xfrm>
                    <a:prstGeom prst="rect">
                      <a:avLst/>
                    </a:prstGeom>
                    <a:noFill/>
                  </pic:spPr>
                </pic:pic>
              </a:graphicData>
            </a:graphic>
          </wp:anchor>
        </w:drawing>
      </w:r>
    </w:p>
    <w:p>
      <w:pPr>
        <w:spacing w:after="0" w:line="343"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NOTICE OF ANNUAL MEETING OF STOCKHOLDERS</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TO BE HELD FRIDAY, MAY 13, 2022</w:t>
      </w:r>
    </w:p>
    <w:p>
      <w:pPr>
        <w:spacing w:after="0" w:line="317"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March 31, 2022</w:t>
      </w:r>
    </w:p>
    <w:p>
      <w:pPr>
        <w:spacing w:after="0" w:line="108" w:lineRule="exact"/>
        <w:rPr>
          <w:sz w:val="20"/>
          <w:szCs w:val="20"/>
          <w:color w:val="auto"/>
        </w:rPr>
      </w:pPr>
    </w:p>
    <w:p>
      <w:pPr>
        <w:ind w:left="400" w:right="420"/>
        <w:spacing w:after="0" w:line="269" w:lineRule="auto"/>
        <w:rPr>
          <w:sz w:val="20"/>
          <w:szCs w:val="20"/>
          <w:color w:val="auto"/>
        </w:rPr>
      </w:pPr>
      <w:r>
        <w:rPr>
          <w:rFonts w:ascii="Arial" w:cs="Arial" w:eastAsia="Arial" w:hAnsi="Arial"/>
          <w:sz w:val="15"/>
          <w:szCs w:val="15"/>
          <w:color w:val="auto"/>
        </w:rPr>
        <w:t>The 2022 Annual Meeting of Stockholders (the “Annual Meeting”) of Marriott Vacations Worldwide Corporation (the “Company”) will be held at 12:00 noon, Eastern Daylight Time, on Friday, May 13, 2022 virtually, via the Internet at www.virtualshareholdermeeting.com/VAC2022. At the meeting, stockholders will act on the following matters:</w:t>
      </w:r>
    </w:p>
    <w:p>
      <w:pPr>
        <w:spacing w:after="0" w:line="35" w:lineRule="exact"/>
        <w:rPr>
          <w:sz w:val="20"/>
          <w:szCs w:val="20"/>
          <w:color w:val="auto"/>
        </w:rPr>
      </w:pPr>
    </w:p>
    <w:p>
      <w:pPr>
        <w:ind w:left="800" w:hanging="201"/>
        <w:spacing w:after="0"/>
        <w:tabs>
          <w:tab w:leader="none" w:pos="80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Election of the three director nominees named in the Proxy Statement;</w:t>
      </w:r>
    </w:p>
    <w:p>
      <w:pPr>
        <w:spacing w:after="0" w:line="83" w:lineRule="exact"/>
        <w:rPr>
          <w:rFonts w:ascii="Arial" w:cs="Arial" w:eastAsia="Arial" w:hAnsi="Arial"/>
          <w:sz w:val="15"/>
          <w:szCs w:val="15"/>
          <w:b w:val="1"/>
          <w:bCs w:val="1"/>
          <w:color w:val="auto"/>
        </w:rPr>
      </w:pPr>
    </w:p>
    <w:p>
      <w:pPr>
        <w:ind w:left="800" w:hanging="201"/>
        <w:spacing w:after="0"/>
        <w:tabs>
          <w:tab w:leader="none" w:pos="80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Ratification of the appointment of Ernst &amp; Young LLP as the Company’s independent registered public accounting firm for its 2022 fiscal year;</w:t>
      </w:r>
    </w:p>
    <w:p>
      <w:pPr>
        <w:spacing w:after="0" w:line="83" w:lineRule="exact"/>
        <w:rPr>
          <w:rFonts w:ascii="Arial" w:cs="Arial" w:eastAsia="Arial" w:hAnsi="Arial"/>
          <w:sz w:val="15"/>
          <w:szCs w:val="15"/>
          <w:b w:val="1"/>
          <w:bCs w:val="1"/>
          <w:color w:val="auto"/>
        </w:rPr>
      </w:pPr>
    </w:p>
    <w:p>
      <w:pPr>
        <w:ind w:left="800" w:hanging="201"/>
        <w:spacing w:after="0"/>
        <w:tabs>
          <w:tab w:leader="none" w:pos="80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Advisory vote to approve named executive officer compensation; and</w:t>
      </w:r>
    </w:p>
    <w:p>
      <w:pPr>
        <w:spacing w:after="0" w:line="83" w:lineRule="exact"/>
        <w:rPr>
          <w:rFonts w:ascii="Arial" w:cs="Arial" w:eastAsia="Arial" w:hAnsi="Arial"/>
          <w:sz w:val="15"/>
          <w:szCs w:val="15"/>
          <w:b w:val="1"/>
          <w:bCs w:val="1"/>
          <w:color w:val="auto"/>
        </w:rPr>
      </w:pPr>
    </w:p>
    <w:p>
      <w:pPr>
        <w:ind w:left="800" w:hanging="201"/>
        <w:spacing w:after="0"/>
        <w:tabs>
          <w:tab w:leader="none" w:pos="80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Any other matters that may properly be presented at the meeting.</w:t>
      </w:r>
    </w:p>
    <w:p>
      <w:pPr>
        <w:spacing w:after="0" w:line="110" w:lineRule="exact"/>
        <w:rPr>
          <w:sz w:val="20"/>
          <w:szCs w:val="20"/>
          <w:color w:val="auto"/>
        </w:rPr>
      </w:pPr>
    </w:p>
    <w:p>
      <w:pPr>
        <w:jc w:val="both"/>
        <w:ind w:left="400" w:right="480"/>
        <w:spacing w:after="0" w:line="269" w:lineRule="auto"/>
        <w:rPr>
          <w:sz w:val="20"/>
          <w:szCs w:val="20"/>
          <w:color w:val="auto"/>
        </w:rPr>
      </w:pPr>
      <w:r>
        <w:rPr>
          <w:rFonts w:ascii="Arial" w:cs="Arial" w:eastAsia="Arial" w:hAnsi="Arial"/>
          <w:sz w:val="15"/>
          <w:szCs w:val="15"/>
          <w:color w:val="auto"/>
        </w:rPr>
        <w:t>Only stockholders of the Company at the close of business on March 14, 2022, the record date, are entitled to notice of, and to vote at, the Annual Meeting. For instructions on voting, please refer to the notice you received in the mail or, if you requested a hard copy of the Proxy Statement, your enclosed proxy card.</w:t>
      </w:r>
    </w:p>
    <w:p>
      <w:pPr>
        <w:spacing w:after="0" w:line="61" w:lineRule="exact"/>
        <w:rPr>
          <w:sz w:val="20"/>
          <w:szCs w:val="20"/>
          <w:color w:val="auto"/>
        </w:rPr>
      </w:pPr>
    </w:p>
    <w:p>
      <w:pPr>
        <w:ind w:left="400" w:right="320"/>
        <w:spacing w:after="0" w:line="259" w:lineRule="auto"/>
        <w:rPr>
          <w:sz w:val="20"/>
          <w:szCs w:val="20"/>
          <w:color w:val="auto"/>
        </w:rPr>
      </w:pPr>
      <w:r>
        <w:rPr>
          <w:rFonts w:ascii="Arial" w:cs="Arial" w:eastAsia="Arial" w:hAnsi="Arial"/>
          <w:sz w:val="15"/>
          <w:szCs w:val="15"/>
          <w:color w:val="auto"/>
        </w:rPr>
        <w:t>In the event of a technical malfunction in connection with the virtual Annual Meeting, the chair of the meeting will convene the meeting at 12:30 p.m. Eastern Daylight Time on the date specified above and at the JW Marriott Desert Springs Resort &amp; Spa, 74-855 Country Club Drive, Palm Desert, CA 92260 solely for the purpose of adjourning the meeting to reconvene at a date, time and physical or virtual location announced by the meeting chair. Under these circumstances, we will post information regarding the announcement on the investors page of the Company’s website at ir.marriottvacationsworldwide.com.</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Internet Availability</w:t>
      </w:r>
    </w:p>
    <w:p>
      <w:pPr>
        <w:spacing w:after="0" w:line="98" w:lineRule="exact"/>
        <w:rPr>
          <w:sz w:val="20"/>
          <w:szCs w:val="20"/>
          <w:color w:val="auto"/>
        </w:rPr>
      </w:pPr>
    </w:p>
    <w:p>
      <w:pPr>
        <w:ind w:left="400" w:right="20"/>
        <w:spacing w:after="0" w:line="255" w:lineRule="auto"/>
        <w:rPr>
          <w:sz w:val="20"/>
          <w:szCs w:val="20"/>
          <w:color w:val="auto"/>
        </w:rPr>
      </w:pPr>
      <w:r>
        <w:rPr>
          <w:rFonts w:ascii="Arial" w:cs="Arial" w:eastAsia="Arial" w:hAnsi="Arial"/>
          <w:sz w:val="15"/>
          <w:szCs w:val="15"/>
          <w:color w:val="auto"/>
        </w:rPr>
        <w:t>We are taking advantage of the U.S.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March 31, 2022, a Notice Regarding the Availability of Proxy Materials (the “Notice”) or the proxy statement and form of proxy will be mailed to stockholders as of the record date. If you received a Notice by mail, you will not receive printed copies of the proxy materials, unless you specifically request them. Instead, the Notice instructs you on how to access and review all of the important information contained in the Proxy Statement and in our 2021 Annual Report,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38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142240</wp:posOffset>
            </wp:positionV>
            <wp:extent cx="1457325" cy="561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325" cy="56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James H Hunter, IV</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Executive Vice President,</w:t>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General Counsel and Secretary</w:t>
      </w:r>
    </w:p>
    <w:p>
      <w:pPr>
        <w:sectPr>
          <w:pgSz w:w="11900" w:h="16838" w:orient="portrait"/>
          <w:cols w:equalWidth="0" w:num="1">
            <w:col w:w="10860"/>
          </w:cols>
          <w:pgMar w:left="320" w:top="440" w:right="719" w:bottom="1440" w:gutter="0" w:footer="0" w:header="0"/>
        </w:sectPr>
      </w:pPr>
    </w:p>
    <w:bookmarkStart w:id="4" w:name="page5"/>
    <w:bookmarkEnd w:id="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9" w:lineRule="exact"/>
        <w:rPr>
          <w:sz w:val="20"/>
          <w:szCs w:val="20"/>
          <w:color w:val="auto"/>
        </w:rPr>
      </w:pPr>
    </w:p>
    <w:p>
      <w:pPr>
        <w:jc w:val="right"/>
        <w:ind w:right="4560"/>
        <w:spacing w:after="0"/>
        <w:rPr>
          <w:sz w:val="20"/>
          <w:szCs w:val="20"/>
          <w:color w:val="auto"/>
        </w:rPr>
      </w:pPr>
      <w:r>
        <w:rPr>
          <w:rFonts w:ascii="Arial" w:cs="Arial" w:eastAsia="Arial" w:hAnsi="Arial"/>
          <w:sz w:val="51"/>
          <w:szCs w:val="5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-338455</wp:posOffset>
            </wp:positionV>
            <wp:extent cx="81280" cy="423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280" cy="423545"/>
                    </a:xfrm>
                    <a:prstGeom prst="rect">
                      <a:avLst/>
                    </a:prstGeom>
                    <a:noFill/>
                  </pic:spPr>
                </pic:pic>
              </a:graphicData>
            </a:graphic>
          </wp:anchor>
        </w:drawing>
      </w:r>
    </w:p>
    <w:p>
      <w:pPr>
        <w:sectPr>
          <w:pgSz w:w="11900" w:h="16838" w:orient="portrait"/>
          <w:cols w:equalWidth="0" w:num="1">
            <w:col w:w="10820"/>
          </w:cols>
          <w:pgMar w:left="320" w:top="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60" w:hanging="281"/>
        <w:spacing w:after="0"/>
        <w:tabs>
          <w:tab w:leader="none" w:pos="860" w:val="left"/>
        </w:tabs>
        <w:numPr>
          <w:ilvl w:val="0"/>
          <w:numId w:val="5"/>
        </w:numPr>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Proxy Summary</w:t>
        </w:r>
      </w:hyperlink>
    </w:p>
    <w:p>
      <w:pPr>
        <w:spacing w:after="0" w:line="194" w:lineRule="exact"/>
        <w:rPr>
          <w:sz w:val="20"/>
          <w:szCs w:val="20"/>
          <w:color w:val="auto"/>
        </w:rPr>
      </w:pPr>
    </w:p>
    <w:p>
      <w:pPr>
        <w:ind w:left="860" w:hanging="281"/>
        <w:spacing w:after="0"/>
        <w:tabs>
          <w:tab w:leader="none" w:pos="860" w:val="left"/>
        </w:tabs>
        <w:numPr>
          <w:ilvl w:val="0"/>
          <w:numId w:val="6"/>
        </w:numPr>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Questions and Answers About the Meeting</w:t>
        </w:r>
      </w:hyperlink>
    </w:p>
    <w:p>
      <w:pPr>
        <w:spacing w:after="0" w:line="193" w:lineRule="exact"/>
        <w:rPr>
          <w:sz w:val="20"/>
          <w:szCs w:val="20"/>
          <w:color w:val="auto"/>
        </w:rPr>
      </w:pPr>
    </w:p>
    <w:p>
      <w:pPr>
        <w:ind w:left="860" w:hanging="281"/>
        <w:spacing w:after="0"/>
        <w:tabs>
          <w:tab w:leader="none" w:pos="860" w:val="left"/>
        </w:tabs>
        <w:numPr>
          <w:ilvl w:val="0"/>
          <w:numId w:val="7"/>
        </w:numPr>
        <w:rPr>
          <w:rFonts w:ascii="Arial" w:cs="Arial" w:eastAsia="Arial" w:hAnsi="Arial"/>
          <w:sz w:val="16"/>
          <w:szCs w:val="16"/>
          <w:b w:val="1"/>
          <w:bCs w:val="1"/>
          <w:u w:val="single" w:color="auto"/>
          <w:color w:val="0000EE"/>
        </w:rPr>
      </w:pPr>
      <w:hyperlink w:anchor="page12">
        <w:r>
          <w:rPr>
            <w:rFonts w:ascii="Arial" w:cs="Arial" w:eastAsia="Arial" w:hAnsi="Arial"/>
            <w:sz w:val="16"/>
            <w:szCs w:val="16"/>
            <w:b w:val="1"/>
            <w:bCs w:val="1"/>
            <w:u w:val="single" w:color="auto"/>
            <w:color w:val="0000EE"/>
          </w:rPr>
          <w:t>Proposals for Vote</w:t>
        </w:r>
      </w:hyperlink>
    </w:p>
    <w:p>
      <w:pPr>
        <w:ind w:left="1240" w:hanging="279"/>
        <w:spacing w:after="0"/>
        <w:tabs>
          <w:tab w:leader="none" w:pos="1240" w:val="left"/>
        </w:tabs>
        <w:numPr>
          <w:ilvl w:val="0"/>
          <w:numId w:val="8"/>
        </w:numPr>
        <w:rPr>
          <w:rFonts w:ascii="Arial" w:cs="Arial" w:eastAsia="Arial" w:hAnsi="Arial"/>
          <w:sz w:val="16"/>
          <w:szCs w:val="16"/>
          <w:b w:val="1"/>
          <w:bCs w:val="1"/>
          <w:u w:val="single" w:color="auto"/>
          <w:color w:val="0000EE"/>
        </w:rPr>
      </w:pPr>
      <w:hyperlink w:anchor="page12">
        <w:r>
          <w:rPr>
            <w:rFonts w:ascii="Arial" w:cs="Arial" w:eastAsia="Arial" w:hAnsi="Arial"/>
            <w:sz w:val="16"/>
            <w:szCs w:val="16"/>
            <w:b w:val="1"/>
            <w:bCs w:val="1"/>
            <w:u w:val="single" w:color="auto"/>
            <w:color w:val="0000EE"/>
          </w:rPr>
          <w:t xml:space="preserve">Item 1 </w:t>
        </w:r>
        <w:r>
          <w:rPr>
            <w:rFonts w:ascii="Arial" w:cs="Arial" w:eastAsia="Arial" w:hAnsi="Arial"/>
            <w:sz w:val="16"/>
            <w:szCs w:val="16"/>
            <w:u w:val="single" w:color="auto"/>
            <w:color w:val="0000EE"/>
          </w:rPr>
          <w:t>– Election of Directors</w:t>
        </w:r>
      </w:hyperlink>
    </w:p>
    <w:p>
      <w:pPr>
        <w:spacing w:after="0" w:line="21" w:lineRule="exact"/>
        <w:rPr>
          <w:rFonts w:ascii="Arial" w:cs="Arial" w:eastAsia="Arial" w:hAnsi="Arial"/>
          <w:sz w:val="16"/>
          <w:szCs w:val="16"/>
          <w:b w:val="1"/>
          <w:bCs w:val="1"/>
          <w:u w:val="single" w:color="auto"/>
          <w:color w:val="0000EE"/>
        </w:rPr>
      </w:pPr>
    </w:p>
    <w:p>
      <w:pPr>
        <w:ind w:left="1240" w:right="680" w:hanging="279"/>
        <w:spacing w:after="0" w:line="246" w:lineRule="auto"/>
        <w:tabs>
          <w:tab w:leader="none" w:pos="1240" w:val="left"/>
        </w:tabs>
        <w:numPr>
          <w:ilvl w:val="0"/>
          <w:numId w:val="8"/>
        </w:numPr>
        <w:rPr>
          <w:rFonts w:ascii="Arial" w:cs="Arial" w:eastAsia="Arial" w:hAnsi="Arial"/>
          <w:sz w:val="16"/>
          <w:szCs w:val="16"/>
          <w:u w:val="single" w:color="auto"/>
          <w:color w:val="0000EE"/>
        </w:rPr>
      </w:pPr>
      <w:hyperlink w:anchor="page12">
        <w:r>
          <w:rPr>
            <w:rFonts w:ascii="Arial" w:cs="Arial" w:eastAsia="Arial" w:hAnsi="Arial"/>
            <w:sz w:val="16"/>
            <w:szCs w:val="16"/>
            <w:b w:val="1"/>
            <w:bCs w:val="1"/>
            <w:u w:val="single" w:color="auto"/>
            <w:color w:val="0000EE"/>
          </w:rPr>
          <w:t xml:space="preserve">Item 2 </w:t>
        </w:r>
        <w:r>
          <w:rPr>
            <w:rFonts w:ascii="Arial" w:cs="Arial" w:eastAsia="Arial" w:hAnsi="Arial"/>
            <w:sz w:val="16"/>
            <w:szCs w:val="16"/>
            <w:u w:val="single" w:color="auto"/>
            <w:color w:val="0000EE"/>
          </w:rPr>
          <w:t>– Ratification of Appointment of</w:t>
        </w:r>
      </w:hyperlink>
      <w:r>
        <w:rPr>
          <w:rFonts w:ascii="Arial" w:cs="Arial" w:eastAsia="Arial" w:hAnsi="Arial"/>
          <w:sz w:val="16"/>
          <w:szCs w:val="16"/>
          <w:b w:val="1"/>
          <w:bCs w:val="1"/>
          <w:u w:val="single" w:color="auto"/>
          <w:color w:val="0000EE"/>
        </w:rPr>
        <w:t xml:space="preserve"> </w:t>
      </w:r>
      <w:hyperlink w:anchor="page12">
        <w:r>
          <w:rPr>
            <w:rFonts w:ascii="Arial" w:cs="Arial" w:eastAsia="Arial" w:hAnsi="Arial"/>
            <w:sz w:val="16"/>
            <w:szCs w:val="16"/>
            <w:u w:val="single" w:color="auto"/>
            <w:color w:val="0000EE"/>
          </w:rPr>
          <w:t>Independent Registered Public Accounting Firm</w:t>
        </w:r>
      </w:hyperlink>
    </w:p>
    <w:p>
      <w:pPr>
        <w:spacing w:after="0" w:line="1" w:lineRule="exact"/>
        <w:rPr>
          <w:rFonts w:ascii="Arial" w:cs="Arial" w:eastAsia="Arial" w:hAnsi="Arial"/>
          <w:sz w:val="16"/>
          <w:szCs w:val="16"/>
          <w:color w:val="auto"/>
        </w:rPr>
      </w:pPr>
    </w:p>
    <w:p>
      <w:pPr>
        <w:ind w:left="1240" w:right="1060" w:hanging="279"/>
        <w:spacing w:after="0" w:line="261" w:lineRule="auto"/>
        <w:tabs>
          <w:tab w:leader="none" w:pos="1240" w:val="left"/>
        </w:tabs>
        <w:numPr>
          <w:ilvl w:val="0"/>
          <w:numId w:val="9"/>
        </w:numPr>
        <w:rPr>
          <w:rFonts w:ascii="Arial" w:cs="Arial" w:eastAsia="Arial" w:hAnsi="Arial"/>
          <w:sz w:val="16"/>
          <w:szCs w:val="16"/>
          <w:u w:val="single" w:color="auto"/>
          <w:color w:val="0000EE"/>
        </w:rPr>
      </w:pPr>
      <w:hyperlink w:anchor="page13">
        <w:r>
          <w:rPr>
            <w:rFonts w:ascii="Arial" w:cs="Arial" w:eastAsia="Arial" w:hAnsi="Arial"/>
            <w:sz w:val="16"/>
            <w:szCs w:val="16"/>
            <w:b w:val="1"/>
            <w:bCs w:val="1"/>
            <w:u w:val="single" w:color="auto"/>
            <w:color w:val="0000EE"/>
          </w:rPr>
          <w:t xml:space="preserve">Item 3 </w:t>
        </w:r>
        <w:r>
          <w:rPr>
            <w:rFonts w:ascii="Arial" w:cs="Arial" w:eastAsia="Arial" w:hAnsi="Arial"/>
            <w:sz w:val="16"/>
            <w:szCs w:val="16"/>
            <w:u w:val="single" w:color="auto"/>
            <w:color w:val="0000EE"/>
          </w:rPr>
          <w:t>– Advisory Vote to Approve Named</w:t>
        </w:r>
      </w:hyperlink>
      <w:r>
        <w:rPr>
          <w:rFonts w:ascii="Arial" w:cs="Arial" w:eastAsia="Arial" w:hAnsi="Arial"/>
          <w:sz w:val="16"/>
          <w:szCs w:val="16"/>
          <w:b w:val="1"/>
          <w:bCs w:val="1"/>
          <w:u w:val="single" w:color="auto"/>
          <w:color w:val="0000EE"/>
        </w:rPr>
        <w:t xml:space="preserve"> </w:t>
      </w:r>
      <w:hyperlink w:anchor="page13">
        <w:r>
          <w:rPr>
            <w:rFonts w:ascii="Arial" w:cs="Arial" w:eastAsia="Arial" w:hAnsi="Arial"/>
            <w:sz w:val="16"/>
            <w:szCs w:val="16"/>
            <w:u w:val="single" w:color="auto"/>
            <w:color w:val="0000EE"/>
          </w:rPr>
          <w:t>Executive Officer Compensation</w:t>
        </w:r>
      </w:hyperlink>
    </w:p>
    <w:p>
      <w:pPr>
        <w:spacing w:after="0" w:line="185" w:lineRule="exact"/>
        <w:rPr>
          <w:rFonts w:ascii="Arial" w:cs="Arial" w:eastAsia="Arial" w:hAnsi="Arial"/>
          <w:sz w:val="16"/>
          <w:szCs w:val="16"/>
          <w:color w:val="auto"/>
        </w:rPr>
      </w:pPr>
    </w:p>
    <w:p>
      <w:pPr>
        <w:ind w:left="860" w:hanging="281"/>
        <w:spacing w:after="0"/>
        <w:tabs>
          <w:tab w:leader="none" w:pos="860" w:val="left"/>
        </w:tabs>
        <w:numPr>
          <w:ilvl w:val="0"/>
          <w:numId w:val="10"/>
        </w:numPr>
        <w:rPr>
          <w:rFonts w:ascii="Arial" w:cs="Arial" w:eastAsia="Arial" w:hAnsi="Arial"/>
          <w:sz w:val="16"/>
          <w:szCs w:val="16"/>
          <w:b w:val="1"/>
          <w:bCs w:val="1"/>
          <w:u w:val="single" w:color="auto"/>
          <w:color w:val="0000EE"/>
        </w:rPr>
      </w:pPr>
      <w:hyperlink w:anchor="page14">
        <w:r>
          <w:rPr>
            <w:rFonts w:ascii="Arial" w:cs="Arial" w:eastAsia="Arial" w:hAnsi="Arial"/>
            <w:sz w:val="16"/>
            <w:szCs w:val="16"/>
            <w:b w:val="1"/>
            <w:bCs w:val="1"/>
            <w:u w:val="single" w:color="auto"/>
            <w:color w:val="0000EE"/>
          </w:rPr>
          <w:t>Report on the Board of Directors and its Committees</w:t>
        </w:r>
      </w:hyperlink>
    </w:p>
    <w:p>
      <w:pPr>
        <w:ind w:left="1240" w:hanging="279"/>
        <w:spacing w:after="0"/>
        <w:tabs>
          <w:tab w:leader="none" w:pos="1240" w:val="left"/>
        </w:tabs>
        <w:numPr>
          <w:ilvl w:val="0"/>
          <w:numId w:val="11"/>
        </w:numPr>
        <w:rPr>
          <w:rFonts w:ascii="Arial" w:cs="Arial" w:eastAsia="Arial" w:hAnsi="Arial"/>
          <w:sz w:val="16"/>
          <w:szCs w:val="16"/>
          <w:b w:val="1"/>
          <w:bCs w:val="1"/>
          <w:u w:val="single" w:color="auto"/>
          <w:color w:val="0000EE"/>
        </w:rPr>
      </w:pPr>
      <w:hyperlink w:anchor="page14">
        <w:r>
          <w:rPr>
            <w:rFonts w:ascii="Arial" w:cs="Arial" w:eastAsia="Arial" w:hAnsi="Arial"/>
            <w:sz w:val="16"/>
            <w:szCs w:val="16"/>
            <w:b w:val="1"/>
            <w:bCs w:val="1"/>
            <w:u w:val="single" w:color="auto"/>
            <w:color w:val="0000EE"/>
          </w:rPr>
          <w:t>Our Board of Directors</w:t>
        </w:r>
      </w:hyperlink>
    </w:p>
    <w:p>
      <w:pPr>
        <w:spacing w:after="0" w:line="21" w:lineRule="exact"/>
        <w:rPr>
          <w:rFonts w:ascii="Arial" w:cs="Arial" w:eastAsia="Arial" w:hAnsi="Arial"/>
          <w:sz w:val="16"/>
          <w:szCs w:val="16"/>
          <w:b w:val="1"/>
          <w:bCs w:val="1"/>
          <w:u w:val="single" w:color="auto"/>
          <w:color w:val="0000EE"/>
        </w:rPr>
      </w:pPr>
    </w:p>
    <w:p>
      <w:pPr>
        <w:ind w:left="1240" w:hanging="279"/>
        <w:spacing w:after="0"/>
        <w:tabs>
          <w:tab w:leader="none" w:pos="1240" w:val="left"/>
        </w:tabs>
        <w:numPr>
          <w:ilvl w:val="0"/>
          <w:numId w:val="11"/>
        </w:numPr>
        <w:rPr>
          <w:rFonts w:ascii="Arial" w:cs="Arial" w:eastAsia="Arial" w:hAnsi="Arial"/>
          <w:sz w:val="16"/>
          <w:szCs w:val="16"/>
          <w:b w:val="1"/>
          <w:bCs w:val="1"/>
          <w:u w:val="single" w:color="auto"/>
          <w:color w:val="0000EE"/>
        </w:rPr>
      </w:pPr>
      <w:hyperlink w:anchor="page14">
        <w:r>
          <w:rPr>
            <w:rFonts w:ascii="Arial" w:cs="Arial" w:eastAsia="Arial" w:hAnsi="Arial"/>
            <w:sz w:val="16"/>
            <w:szCs w:val="16"/>
            <w:b w:val="1"/>
            <w:bCs w:val="1"/>
            <w:u w:val="single" w:color="auto"/>
            <w:color w:val="0000EE"/>
          </w:rPr>
          <w:t>Nominees for Director</w:t>
        </w:r>
      </w:hyperlink>
    </w:p>
    <w:p>
      <w:pPr>
        <w:spacing w:after="0" w:line="21" w:lineRule="exact"/>
        <w:rPr>
          <w:rFonts w:ascii="Arial" w:cs="Arial" w:eastAsia="Arial" w:hAnsi="Arial"/>
          <w:sz w:val="16"/>
          <w:szCs w:val="16"/>
          <w:color w:val="auto"/>
        </w:rPr>
      </w:pPr>
    </w:p>
    <w:p>
      <w:pPr>
        <w:ind w:left="1240" w:hanging="357"/>
        <w:spacing w:after="0"/>
        <w:tabs>
          <w:tab w:leader="none" w:pos="1240" w:val="left"/>
        </w:tabs>
        <w:numPr>
          <w:ilvl w:val="0"/>
          <w:numId w:val="12"/>
        </w:numPr>
        <w:rPr>
          <w:rFonts w:ascii="Arial" w:cs="Arial" w:eastAsia="Arial" w:hAnsi="Arial"/>
          <w:sz w:val="16"/>
          <w:szCs w:val="16"/>
          <w:b w:val="1"/>
          <w:bCs w:val="1"/>
          <w:u w:val="single" w:color="auto"/>
          <w:color w:val="0000EE"/>
        </w:rPr>
      </w:pPr>
      <w:hyperlink w:anchor="page16">
        <w:r>
          <w:rPr>
            <w:rFonts w:ascii="Arial" w:cs="Arial" w:eastAsia="Arial" w:hAnsi="Arial"/>
            <w:sz w:val="16"/>
            <w:szCs w:val="16"/>
            <w:b w:val="1"/>
            <w:bCs w:val="1"/>
            <w:u w:val="single" w:color="auto"/>
            <w:color w:val="0000EE"/>
          </w:rPr>
          <w:t>Directors Remaining in Office</w:t>
        </w:r>
      </w:hyperlink>
    </w:p>
    <w:p>
      <w:pPr>
        <w:spacing w:after="0" w:line="21" w:lineRule="exact"/>
        <w:rPr>
          <w:rFonts w:ascii="Arial" w:cs="Arial" w:eastAsia="Arial" w:hAnsi="Arial"/>
          <w:sz w:val="16"/>
          <w:szCs w:val="16"/>
          <w:color w:val="auto"/>
        </w:rPr>
      </w:pPr>
    </w:p>
    <w:p>
      <w:pPr>
        <w:ind w:left="1240" w:hanging="369"/>
        <w:spacing w:after="0"/>
        <w:tabs>
          <w:tab w:leader="none" w:pos="1240" w:val="left"/>
        </w:tabs>
        <w:numPr>
          <w:ilvl w:val="0"/>
          <w:numId w:val="13"/>
        </w:numPr>
        <w:rPr>
          <w:rFonts w:ascii="Arial" w:cs="Arial" w:eastAsia="Arial" w:hAnsi="Arial"/>
          <w:sz w:val="16"/>
          <w:szCs w:val="16"/>
          <w:b w:val="1"/>
          <w:bCs w:val="1"/>
          <w:u w:val="single" w:color="auto"/>
          <w:color w:val="0000EE"/>
        </w:rPr>
      </w:pPr>
      <w:hyperlink w:anchor="page20">
        <w:r>
          <w:rPr>
            <w:rFonts w:ascii="Arial" w:cs="Arial" w:eastAsia="Arial" w:hAnsi="Arial"/>
            <w:sz w:val="16"/>
            <w:szCs w:val="16"/>
            <w:b w:val="1"/>
            <w:bCs w:val="1"/>
            <w:u w:val="single" w:color="auto"/>
            <w:color w:val="0000EE"/>
          </w:rPr>
          <w:t>Summary of Director Attributes and Skills</w:t>
        </w:r>
      </w:hyperlink>
    </w:p>
    <w:p>
      <w:pPr>
        <w:spacing w:after="0" w:line="21" w:lineRule="exact"/>
        <w:rPr>
          <w:rFonts w:ascii="Arial" w:cs="Arial" w:eastAsia="Arial" w:hAnsi="Arial"/>
          <w:sz w:val="16"/>
          <w:szCs w:val="16"/>
          <w:b w:val="1"/>
          <w:bCs w:val="1"/>
          <w:u w:val="single" w:color="auto"/>
          <w:color w:val="0000EE"/>
        </w:rPr>
      </w:pPr>
    </w:p>
    <w:p>
      <w:pPr>
        <w:ind w:left="1240" w:hanging="369"/>
        <w:spacing w:after="0"/>
        <w:tabs>
          <w:tab w:leader="none" w:pos="1240" w:val="left"/>
        </w:tabs>
        <w:numPr>
          <w:ilvl w:val="0"/>
          <w:numId w:val="13"/>
        </w:numPr>
        <w:rPr>
          <w:rFonts w:ascii="Arial" w:cs="Arial" w:eastAsia="Arial" w:hAnsi="Arial"/>
          <w:sz w:val="16"/>
          <w:szCs w:val="16"/>
          <w:b w:val="1"/>
          <w:bCs w:val="1"/>
          <w:u w:val="single" w:color="auto"/>
          <w:color w:val="0000EE"/>
        </w:rPr>
      </w:pPr>
      <w:hyperlink w:anchor="page21">
        <w:r>
          <w:rPr>
            <w:rFonts w:ascii="Arial" w:cs="Arial" w:eastAsia="Arial" w:hAnsi="Arial"/>
            <w:sz w:val="16"/>
            <w:szCs w:val="16"/>
            <w:b w:val="1"/>
            <w:bCs w:val="1"/>
            <w:u w:val="single" w:color="auto"/>
            <w:color w:val="0000EE"/>
          </w:rPr>
          <w:t>2021 Board and Committee Meetings and Attendance</w:t>
        </w:r>
      </w:hyperlink>
    </w:p>
    <w:p>
      <w:pPr>
        <w:spacing w:after="0" w:line="21" w:lineRule="exact"/>
        <w:rPr>
          <w:rFonts w:ascii="Arial" w:cs="Arial" w:eastAsia="Arial" w:hAnsi="Arial"/>
          <w:sz w:val="16"/>
          <w:szCs w:val="16"/>
          <w:b w:val="1"/>
          <w:bCs w:val="1"/>
          <w:u w:val="single" w:color="auto"/>
          <w:color w:val="0000EE"/>
        </w:rPr>
      </w:pPr>
    </w:p>
    <w:p>
      <w:pPr>
        <w:ind w:left="1240" w:hanging="369"/>
        <w:spacing w:after="0"/>
        <w:tabs>
          <w:tab w:leader="none" w:pos="1240" w:val="left"/>
        </w:tabs>
        <w:numPr>
          <w:ilvl w:val="0"/>
          <w:numId w:val="14"/>
        </w:numPr>
        <w:rPr>
          <w:rFonts w:ascii="Arial" w:cs="Arial" w:eastAsia="Arial" w:hAnsi="Arial"/>
          <w:sz w:val="16"/>
          <w:szCs w:val="16"/>
          <w:b w:val="1"/>
          <w:bCs w:val="1"/>
          <w:u w:val="single" w:color="auto"/>
          <w:color w:val="0000EE"/>
        </w:rPr>
      </w:pPr>
      <w:hyperlink w:anchor="page21">
        <w:r>
          <w:rPr>
            <w:rFonts w:ascii="Arial" w:cs="Arial" w:eastAsia="Arial" w:hAnsi="Arial"/>
            <w:sz w:val="16"/>
            <w:szCs w:val="16"/>
            <w:b w:val="1"/>
            <w:bCs w:val="1"/>
            <w:u w:val="single" w:color="auto"/>
            <w:color w:val="0000EE"/>
          </w:rPr>
          <w:t>Committees of the Board of Directors</w:t>
        </w:r>
      </w:hyperlink>
    </w:p>
    <w:p>
      <w:pPr>
        <w:spacing w:after="0" w:line="21" w:lineRule="exact"/>
        <w:rPr>
          <w:rFonts w:ascii="Arial" w:cs="Arial" w:eastAsia="Arial" w:hAnsi="Arial"/>
          <w:sz w:val="16"/>
          <w:szCs w:val="16"/>
          <w:b w:val="1"/>
          <w:bCs w:val="1"/>
          <w:u w:val="single" w:color="auto"/>
          <w:color w:val="0000EE"/>
        </w:rPr>
      </w:pPr>
    </w:p>
    <w:p>
      <w:pPr>
        <w:ind w:left="1240" w:right="380" w:hanging="369"/>
        <w:spacing w:after="0" w:line="263" w:lineRule="auto"/>
        <w:tabs>
          <w:tab w:leader="none" w:pos="1240" w:val="left"/>
        </w:tabs>
        <w:numPr>
          <w:ilvl w:val="0"/>
          <w:numId w:val="14"/>
        </w:numPr>
        <w:rPr>
          <w:rFonts w:ascii="Arial" w:cs="Arial" w:eastAsia="Arial" w:hAnsi="Arial"/>
          <w:sz w:val="16"/>
          <w:szCs w:val="16"/>
          <w:b w:val="1"/>
          <w:bCs w:val="1"/>
          <w:u w:val="single" w:color="auto"/>
          <w:color w:val="0000EE"/>
        </w:rPr>
      </w:pPr>
      <w:hyperlink w:anchor="page22">
        <w:r>
          <w:rPr>
            <w:rFonts w:ascii="Arial" w:cs="Arial" w:eastAsia="Arial" w:hAnsi="Arial"/>
            <w:sz w:val="16"/>
            <w:szCs w:val="16"/>
            <w:b w:val="1"/>
            <w:bCs w:val="1"/>
            <w:u w:val="single" w:color="auto"/>
            <w:color w:val="0000EE"/>
          </w:rPr>
          <w:t>Compensation Committee Interlocks and Insider</w:t>
        </w:r>
      </w:hyperlink>
      <w:r>
        <w:rPr>
          <w:rFonts w:ascii="Arial" w:cs="Arial" w:eastAsia="Arial" w:hAnsi="Arial"/>
          <w:sz w:val="16"/>
          <w:szCs w:val="16"/>
          <w:b w:val="1"/>
          <w:bCs w:val="1"/>
          <w:u w:val="single" w:color="auto"/>
          <w:color w:val="0000EE"/>
        </w:rPr>
        <w:t xml:space="preserve"> </w:t>
      </w:r>
      <w:hyperlink w:anchor="page22">
        <w:r>
          <w:rPr>
            <w:rFonts w:ascii="Arial" w:cs="Arial" w:eastAsia="Arial" w:hAnsi="Arial"/>
            <w:sz w:val="16"/>
            <w:szCs w:val="16"/>
            <w:b w:val="1"/>
            <w:bCs w:val="1"/>
            <w:u w:val="single" w:color="auto"/>
            <w:color w:val="0000EE"/>
          </w:rPr>
          <w:t>Participation</w:t>
        </w:r>
      </w:hyperlink>
    </w:p>
    <w:p>
      <w:pPr>
        <w:spacing w:after="0" w:line="176" w:lineRule="exact"/>
        <w:rPr>
          <w:rFonts w:ascii="Arial" w:cs="Arial" w:eastAsia="Arial" w:hAnsi="Arial"/>
          <w:sz w:val="16"/>
          <w:szCs w:val="16"/>
          <w:color w:val="auto"/>
        </w:rPr>
      </w:pPr>
    </w:p>
    <w:p>
      <w:pPr>
        <w:ind w:left="860" w:hanging="396"/>
        <w:spacing w:after="0"/>
        <w:tabs>
          <w:tab w:leader="none" w:pos="860" w:val="left"/>
        </w:tabs>
        <w:numPr>
          <w:ilvl w:val="0"/>
          <w:numId w:val="15"/>
        </w:numPr>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Corporate Governance</w:t>
        </w:r>
      </w:hyperlink>
    </w:p>
    <w:p>
      <w:pPr>
        <w:ind w:left="88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18  </w:t>
      </w:r>
      <w:hyperlink w:anchor="page23">
        <w:r>
          <w:rPr>
            <w:rFonts w:ascii="Arial" w:cs="Arial" w:eastAsia="Arial" w:hAnsi="Arial"/>
            <w:sz w:val="16"/>
            <w:szCs w:val="16"/>
            <w:b w:val="1"/>
            <w:bCs w:val="1"/>
            <w:u w:val="single" w:color="auto"/>
            <w:color w:val="0000EE"/>
          </w:rPr>
          <w:t>Separation of Board Chairman and Chief Executive</w:t>
        </w:r>
      </w:hyperlink>
    </w:p>
    <w:p>
      <w:pPr>
        <w:ind w:left="1240"/>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Officer</w:t>
        </w:r>
      </w:hyperlink>
    </w:p>
    <w:p>
      <w:pPr>
        <w:spacing w:after="0" w:line="21" w:lineRule="exact"/>
        <w:rPr>
          <w:rFonts w:ascii="Arial" w:cs="Arial" w:eastAsia="Arial" w:hAnsi="Arial"/>
          <w:sz w:val="16"/>
          <w:szCs w:val="16"/>
          <w:b w:val="1"/>
          <w:bCs w:val="1"/>
          <w:u w:val="single" w:color="auto"/>
          <w:color w:val="0000EE"/>
        </w:rPr>
      </w:pPr>
    </w:p>
    <w:p>
      <w:pPr>
        <w:ind w:left="880"/>
        <w:spacing w:after="0"/>
        <w:rPr>
          <w:rFonts w:ascii="Arial" w:cs="Arial" w:eastAsia="Arial" w:hAnsi="Arial"/>
          <w:sz w:val="16"/>
          <w:szCs w:val="16"/>
          <w:color w:val="auto"/>
        </w:rPr>
      </w:pPr>
      <w:r>
        <w:rPr>
          <w:rFonts w:ascii="Arial" w:cs="Arial" w:eastAsia="Arial" w:hAnsi="Arial"/>
          <w:sz w:val="16"/>
          <w:szCs w:val="16"/>
          <w:color w:val="auto"/>
        </w:rPr>
        <w:t xml:space="preserve">18  </w:t>
      </w:r>
      <w:hyperlink w:anchor="page23">
        <w:r>
          <w:rPr>
            <w:rFonts w:ascii="Arial" w:cs="Arial" w:eastAsia="Arial" w:hAnsi="Arial"/>
            <w:sz w:val="16"/>
            <w:szCs w:val="16"/>
            <w:b w:val="1"/>
            <w:bCs w:val="1"/>
            <w:u w:val="single" w:color="auto"/>
            <w:color w:val="0000EE"/>
          </w:rPr>
          <w:t>Director Independence</w:t>
        </w:r>
      </w:hyperlink>
    </w:p>
    <w:p>
      <w:pPr>
        <w:spacing w:after="0" w:line="2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 xml:space="preserve">19  </w:t>
      </w:r>
      <w:hyperlink w:anchor="page24">
        <w:r>
          <w:rPr>
            <w:rFonts w:ascii="Arial" w:cs="Arial" w:eastAsia="Arial" w:hAnsi="Arial"/>
            <w:sz w:val="16"/>
            <w:szCs w:val="16"/>
            <w:b w:val="1"/>
            <w:bCs w:val="1"/>
            <w:u w:val="single" w:color="auto"/>
            <w:color w:val="0000EE"/>
          </w:rPr>
          <w:t>Risk Oversight</w:t>
        </w:r>
      </w:hyperlink>
    </w:p>
    <w:p>
      <w:pPr>
        <w:spacing w:after="0" w:line="2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 xml:space="preserve">20  </w:t>
      </w:r>
      <w:hyperlink w:anchor="page25">
        <w:r>
          <w:rPr>
            <w:rFonts w:ascii="Arial" w:cs="Arial" w:eastAsia="Arial" w:hAnsi="Arial"/>
            <w:sz w:val="16"/>
            <w:szCs w:val="16"/>
            <w:b w:val="1"/>
            <w:bCs w:val="1"/>
            <w:u w:val="single" w:color="auto"/>
            <w:color w:val="0000EE"/>
          </w:rPr>
          <w:t>Communications with the Board</w:t>
        </w:r>
      </w:hyperlink>
    </w:p>
    <w:p>
      <w:pPr>
        <w:spacing w:after="0" w:line="2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 xml:space="preserve">20  </w:t>
      </w:r>
      <w:hyperlink w:anchor="page25">
        <w:r>
          <w:rPr>
            <w:rFonts w:ascii="Arial" w:cs="Arial" w:eastAsia="Arial" w:hAnsi="Arial"/>
            <w:sz w:val="16"/>
            <w:szCs w:val="16"/>
            <w:b w:val="1"/>
            <w:bCs w:val="1"/>
            <w:u w:val="single" w:color="auto"/>
            <w:color w:val="0000EE"/>
          </w:rPr>
          <w:t>Code of Conduct</w:t>
        </w:r>
      </w:hyperlink>
    </w:p>
    <w:p>
      <w:pPr>
        <w:spacing w:after="0" w:line="236" w:lineRule="exact"/>
        <w:rPr>
          <w:rFonts w:ascii="Arial" w:cs="Arial" w:eastAsia="Arial" w:hAnsi="Arial"/>
          <w:sz w:val="16"/>
          <w:szCs w:val="16"/>
          <w:color w:val="auto"/>
        </w:rPr>
      </w:pPr>
    </w:p>
    <w:p>
      <w:pPr>
        <w:ind w:left="880" w:right="240" w:hanging="416"/>
        <w:spacing w:after="0"/>
        <w:tabs>
          <w:tab w:leader="none" w:pos="868" w:val="left"/>
        </w:tabs>
        <w:numPr>
          <w:ilvl w:val="0"/>
          <w:numId w:val="16"/>
        </w:numPr>
        <w:rPr>
          <w:rFonts w:ascii="Arial" w:cs="Arial" w:eastAsia="Arial" w:hAnsi="Arial"/>
          <w:sz w:val="16"/>
          <w:szCs w:val="16"/>
          <w:color w:val="000000"/>
        </w:rPr>
      </w:pPr>
      <w:hyperlink w:anchor="page26">
        <w:r>
          <w:rPr>
            <w:rFonts w:ascii="Arial" w:cs="Arial" w:eastAsia="Arial" w:hAnsi="Arial"/>
            <w:sz w:val="16"/>
            <w:szCs w:val="16"/>
            <w:b w:val="1"/>
            <w:bCs w:val="1"/>
            <w:u w:val="single" w:color="auto"/>
            <w:color w:val="0000EE"/>
          </w:rPr>
          <w:t>Audit Committee Report and Independent Auditor Fees</w:t>
        </w:r>
      </w:hyperlink>
      <w:r>
        <w:rPr>
          <w:rFonts w:ascii="Arial" w:cs="Arial" w:eastAsia="Arial" w:hAnsi="Arial"/>
          <w:sz w:val="16"/>
          <w:szCs w:val="16"/>
          <w:b w:val="1"/>
          <w:bCs w:val="1"/>
          <w:u w:val="single" w:color="auto"/>
          <w:color w:val="0000EE"/>
        </w:rPr>
        <w:t xml:space="preserve"> </w:t>
      </w:r>
      <w:r>
        <w:rPr>
          <w:rFonts w:ascii="Arial" w:cs="Arial" w:eastAsia="Arial" w:hAnsi="Arial"/>
          <w:sz w:val="16"/>
          <w:szCs w:val="16"/>
          <w:color w:val="000000"/>
        </w:rPr>
        <w:t xml:space="preserve">21 </w:t>
      </w:r>
      <w:hyperlink w:anchor="page26">
        <w:r>
          <w:rPr>
            <w:rFonts w:ascii="Arial" w:cs="Arial" w:eastAsia="Arial" w:hAnsi="Arial"/>
            <w:sz w:val="16"/>
            <w:szCs w:val="16"/>
            <w:b w:val="1"/>
            <w:bCs w:val="1"/>
            <w:u w:val="single" w:color="auto"/>
            <w:color w:val="0000EE"/>
          </w:rPr>
          <w:t>Report of the Audit Committee</w:t>
        </w:r>
      </w:hyperlink>
    </w:p>
    <w:p>
      <w:pPr>
        <w:ind w:left="1240" w:right="840" w:hanging="360"/>
        <w:spacing w:after="0" w:line="250" w:lineRule="auto"/>
        <w:rPr>
          <w:rFonts w:ascii="Arial" w:cs="Arial" w:eastAsia="Arial" w:hAnsi="Arial"/>
          <w:sz w:val="16"/>
          <w:szCs w:val="16"/>
          <w:b w:val="1"/>
          <w:bCs w:val="1"/>
          <w:u w:val="single" w:color="auto"/>
          <w:color w:val="0000EE"/>
        </w:rPr>
      </w:pPr>
      <w:r>
        <w:rPr>
          <w:rFonts w:ascii="Arial" w:cs="Arial" w:eastAsia="Arial" w:hAnsi="Arial"/>
          <w:sz w:val="16"/>
          <w:szCs w:val="16"/>
          <w:color w:val="auto"/>
        </w:rPr>
        <w:t xml:space="preserve">22 </w:t>
      </w:r>
      <w:hyperlink w:anchor="page27">
        <w:r>
          <w:rPr>
            <w:rFonts w:ascii="Arial" w:cs="Arial" w:eastAsia="Arial" w:hAnsi="Arial"/>
            <w:sz w:val="16"/>
            <w:szCs w:val="16"/>
            <w:b w:val="1"/>
            <w:bCs w:val="1"/>
            <w:u w:val="single" w:color="auto"/>
            <w:color w:val="0000EE"/>
          </w:rPr>
          <w:t>Pre-Approval of Independent Auditor Fees</w:t>
        </w:r>
      </w:hyperlink>
      <w:r>
        <w:rPr>
          <w:rFonts w:ascii="Arial" w:cs="Arial" w:eastAsia="Arial" w:hAnsi="Arial"/>
          <w:sz w:val="16"/>
          <w:szCs w:val="16"/>
          <w:color w:val="auto"/>
        </w:rPr>
        <w:t xml:space="preserve"> </w:t>
      </w:r>
      <w:hyperlink w:anchor="page27">
        <w:r>
          <w:rPr>
            <w:rFonts w:ascii="Arial" w:cs="Arial" w:eastAsia="Arial" w:hAnsi="Arial"/>
            <w:sz w:val="16"/>
            <w:szCs w:val="16"/>
            <w:b w:val="1"/>
            <w:bCs w:val="1"/>
            <w:u w:val="single" w:color="auto"/>
            <w:color w:val="0000EE"/>
          </w:rPr>
          <w:t>and Services Policy</w:t>
        </w:r>
      </w:hyperlink>
    </w:p>
    <w:p>
      <w:pPr>
        <w:spacing w:after="0" w:line="1" w:lineRule="exact"/>
        <w:rPr>
          <w:rFonts w:ascii="Arial" w:cs="Arial" w:eastAsia="Arial" w:hAnsi="Arial"/>
          <w:sz w:val="16"/>
          <w:szCs w:val="16"/>
          <w:b w:val="1"/>
          <w:bCs w:val="1"/>
          <w:u w:val="single" w:color="auto"/>
          <w:color w:val="0000EE"/>
        </w:rPr>
      </w:pPr>
    </w:p>
    <w:p>
      <w:pPr>
        <w:ind w:left="88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22  </w:t>
      </w:r>
      <w:hyperlink w:anchor="page27">
        <w:r>
          <w:rPr>
            <w:rFonts w:ascii="Arial" w:cs="Arial" w:eastAsia="Arial" w:hAnsi="Arial"/>
            <w:sz w:val="16"/>
            <w:szCs w:val="16"/>
            <w:b w:val="1"/>
            <w:bCs w:val="1"/>
            <w:u w:val="single" w:color="auto"/>
            <w:color w:val="0000EE"/>
          </w:rPr>
          <w:t>Independent Registered Public Accounting</w:t>
        </w:r>
      </w:hyperlink>
    </w:p>
    <w:p>
      <w:pPr>
        <w:ind w:left="1240"/>
        <w:spacing w:after="0"/>
        <w:rPr>
          <w:rFonts w:ascii="Arial" w:cs="Arial" w:eastAsia="Arial" w:hAnsi="Arial"/>
          <w:sz w:val="16"/>
          <w:szCs w:val="16"/>
          <w:b w:val="1"/>
          <w:bCs w:val="1"/>
          <w:u w:val="single" w:color="auto"/>
          <w:color w:val="0000EE"/>
        </w:rPr>
      </w:pPr>
      <w:hyperlink w:anchor="page27">
        <w:r>
          <w:rPr>
            <w:rFonts w:ascii="Arial" w:cs="Arial" w:eastAsia="Arial" w:hAnsi="Arial"/>
            <w:sz w:val="16"/>
            <w:szCs w:val="16"/>
            <w:b w:val="1"/>
            <w:bCs w:val="1"/>
            <w:u w:val="single" w:color="auto"/>
            <w:color w:val="0000EE"/>
          </w:rPr>
          <w:t>Firm Fee Disclosure</w:t>
        </w:r>
      </w:hyperlink>
    </w:p>
    <w:p>
      <w:pPr>
        <w:spacing w:after="0" w:line="200" w:lineRule="exact"/>
        <w:rPr>
          <w:rFonts w:ascii="Arial" w:cs="Arial" w:eastAsia="Arial" w:hAnsi="Arial"/>
          <w:sz w:val="16"/>
          <w:szCs w:val="16"/>
          <w:b w:val="1"/>
          <w:bCs w:val="1"/>
          <w:u w:val="single" w:color="auto"/>
          <w:color w:val="0000EE"/>
        </w:rPr>
      </w:pPr>
    </w:p>
    <w:p>
      <w:pPr>
        <w:spacing w:after="0" w:line="267" w:lineRule="exact"/>
        <w:rPr>
          <w:rFonts w:ascii="Arial" w:cs="Arial" w:eastAsia="Arial" w:hAnsi="Arial"/>
          <w:sz w:val="16"/>
          <w:szCs w:val="16"/>
          <w:b w:val="1"/>
          <w:bCs w:val="1"/>
          <w:u w:val="single" w:color="auto"/>
          <w:color w:val="0000EE"/>
        </w:rPr>
      </w:pPr>
    </w:p>
    <w:p>
      <w:pPr>
        <w:ind w:left="400"/>
        <w:spacing w:after="0"/>
        <w:rPr>
          <w:sz w:val="20"/>
          <w:szCs w:val="20"/>
          <w:color w:val="auto"/>
        </w:rPr>
      </w:pPr>
      <w:r>
        <w:rPr>
          <w:rFonts w:ascii="Arial" w:cs="Arial" w:eastAsia="Arial" w:hAnsi="Arial"/>
          <w:sz w:val="19"/>
          <w:szCs w:val="19"/>
          <w:b w:val="1"/>
          <w:bCs w:val="1"/>
          <w:color w:val="auto"/>
        </w:rPr>
        <w:t>Forward-Looking Statements and Website References</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br w:type="column"/>
      </w:r>
    </w:p>
    <w:p>
      <w:pPr>
        <w:spacing w:after="0" w:line="200" w:lineRule="exact"/>
        <w:rPr>
          <w:rFonts w:ascii="Arial" w:cs="Arial" w:eastAsia="Arial" w:hAnsi="Arial"/>
          <w:sz w:val="16"/>
          <w:szCs w:val="16"/>
          <w:b w:val="1"/>
          <w:bCs w:val="1"/>
          <w:u w:val="single" w:color="auto"/>
          <w:color w:val="0000EE"/>
        </w:rPr>
      </w:pPr>
    </w:p>
    <w:p>
      <w:pPr>
        <w:spacing w:after="0" w:line="200" w:lineRule="exact"/>
        <w:rPr>
          <w:rFonts w:ascii="Arial" w:cs="Arial" w:eastAsia="Arial" w:hAnsi="Arial"/>
          <w:sz w:val="16"/>
          <w:szCs w:val="16"/>
          <w:b w:val="1"/>
          <w:bCs w:val="1"/>
          <w:u w:val="single" w:color="auto"/>
          <w:color w:val="0000EE"/>
        </w:rPr>
      </w:pPr>
    </w:p>
    <w:p>
      <w:pPr>
        <w:spacing w:after="0" w:line="247" w:lineRule="exact"/>
        <w:rPr>
          <w:rFonts w:ascii="Arial" w:cs="Arial" w:eastAsia="Arial" w:hAnsi="Arial"/>
          <w:sz w:val="16"/>
          <w:szCs w:val="16"/>
          <w:b w:val="1"/>
          <w:bCs w:val="1"/>
          <w:u w:val="single" w:color="auto"/>
          <w:color w:val="0000EE"/>
        </w:rPr>
      </w:pPr>
    </w:p>
    <w:p>
      <w:pPr>
        <w:ind w:left="480" w:hanging="390"/>
        <w:spacing w:after="0"/>
        <w:tabs>
          <w:tab w:leader="none" w:pos="480" w:val="left"/>
        </w:tabs>
        <w:numPr>
          <w:ilvl w:val="0"/>
          <w:numId w:val="17"/>
        </w:numPr>
        <w:rPr>
          <w:rFonts w:ascii="Arial" w:cs="Arial" w:eastAsia="Arial" w:hAnsi="Arial"/>
          <w:sz w:val="16"/>
          <w:szCs w:val="16"/>
          <w:b w:val="1"/>
          <w:bCs w:val="1"/>
          <w:u w:val="single" w:color="auto"/>
          <w:color w:val="0000EE"/>
        </w:rPr>
      </w:pPr>
      <w:hyperlink w:anchor="page28">
        <w:r>
          <w:rPr>
            <w:rFonts w:ascii="Arial" w:cs="Arial" w:eastAsia="Arial" w:hAnsi="Arial"/>
            <w:sz w:val="16"/>
            <w:szCs w:val="16"/>
            <w:b w:val="1"/>
            <w:bCs w:val="1"/>
            <w:u w:val="single" w:color="auto"/>
            <w:color w:val="0000EE"/>
          </w:rPr>
          <w:t>Executive and Director Compensation</w:t>
        </w:r>
      </w:hyperlink>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23  </w:t>
      </w:r>
      <w:hyperlink w:anchor="page28">
        <w:r>
          <w:rPr>
            <w:rFonts w:ascii="Arial" w:cs="Arial" w:eastAsia="Arial" w:hAnsi="Arial"/>
            <w:sz w:val="16"/>
            <w:szCs w:val="16"/>
            <w:b w:val="1"/>
            <w:bCs w:val="1"/>
            <w:u w:val="single" w:color="auto"/>
            <w:color w:val="0000EE"/>
          </w:rPr>
          <w:t>Compensation Discussion and Analysis</w:t>
        </w:r>
      </w:hyperlink>
    </w:p>
    <w:p>
      <w:pPr>
        <w:spacing w:after="0" w:line="2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35  </w:t>
      </w:r>
      <w:hyperlink w:anchor="page40">
        <w:r>
          <w:rPr>
            <w:rFonts w:ascii="Arial" w:cs="Arial" w:eastAsia="Arial" w:hAnsi="Arial"/>
            <w:sz w:val="16"/>
            <w:szCs w:val="16"/>
            <w:b w:val="1"/>
            <w:bCs w:val="1"/>
            <w:u w:val="single" w:color="auto"/>
            <w:color w:val="0000EE"/>
          </w:rPr>
          <w:t>Report of the Compensation Policy Committee</w:t>
        </w:r>
      </w:hyperlink>
    </w:p>
    <w:p>
      <w:pPr>
        <w:spacing w:after="0" w:line="2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36  </w:t>
      </w:r>
      <w:hyperlink w:anchor="page41">
        <w:r>
          <w:rPr>
            <w:rFonts w:ascii="Arial" w:cs="Arial" w:eastAsia="Arial" w:hAnsi="Arial"/>
            <w:sz w:val="16"/>
            <w:szCs w:val="16"/>
            <w:b w:val="1"/>
            <w:bCs w:val="1"/>
            <w:u w:val="single" w:color="auto"/>
            <w:color w:val="0000EE"/>
          </w:rPr>
          <w:t>Executive Compensation Tables and Discussion</w:t>
        </w:r>
      </w:hyperlink>
    </w:p>
    <w:p>
      <w:pPr>
        <w:spacing w:after="0" w:line="2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 xml:space="preserve">44  </w:t>
      </w:r>
      <w:hyperlink w:anchor="page49">
        <w:r>
          <w:rPr>
            <w:rFonts w:ascii="Arial" w:cs="Arial" w:eastAsia="Arial" w:hAnsi="Arial"/>
            <w:sz w:val="16"/>
            <w:szCs w:val="16"/>
            <w:b w:val="1"/>
            <w:bCs w:val="1"/>
            <w:u w:val="single" w:color="auto"/>
            <w:color w:val="0000EE"/>
          </w:rPr>
          <w:t>CEO Pay Ratio</w:t>
        </w:r>
      </w:hyperlink>
    </w:p>
    <w:p>
      <w:pPr>
        <w:spacing w:after="0" w:line="21" w:lineRule="exact"/>
        <w:rPr>
          <w:rFonts w:ascii="Arial" w:cs="Arial" w:eastAsia="Arial" w:hAnsi="Arial"/>
          <w:sz w:val="16"/>
          <w:szCs w:val="16"/>
          <w:color w:val="auto"/>
        </w:rPr>
      </w:pPr>
    </w:p>
    <w:p>
      <w:pPr>
        <w:ind w:left="50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44  </w:t>
      </w:r>
      <w:hyperlink w:anchor="page49">
        <w:r>
          <w:rPr>
            <w:rFonts w:ascii="Arial" w:cs="Arial" w:eastAsia="Arial" w:hAnsi="Arial"/>
            <w:sz w:val="16"/>
            <w:szCs w:val="16"/>
            <w:b w:val="1"/>
            <w:bCs w:val="1"/>
            <w:u w:val="single" w:color="auto"/>
            <w:color w:val="0000EE"/>
          </w:rPr>
          <w:t>Compensation Arrangements for</w:t>
        </w:r>
      </w:hyperlink>
    </w:p>
    <w:p>
      <w:pPr>
        <w:ind w:left="860"/>
        <w:spacing w:after="0"/>
        <w:rPr>
          <w:rFonts w:ascii="Arial" w:cs="Arial" w:eastAsia="Arial" w:hAnsi="Arial"/>
          <w:sz w:val="16"/>
          <w:szCs w:val="16"/>
          <w:b w:val="1"/>
          <w:bCs w:val="1"/>
          <w:u w:val="single" w:color="auto"/>
          <w:color w:val="0000EE"/>
        </w:rPr>
      </w:pPr>
      <w:hyperlink w:anchor="page49">
        <w:r>
          <w:rPr>
            <w:rFonts w:ascii="Arial" w:cs="Arial" w:eastAsia="Arial" w:hAnsi="Arial"/>
            <w:sz w:val="16"/>
            <w:szCs w:val="16"/>
            <w:b w:val="1"/>
            <w:bCs w:val="1"/>
            <w:u w:val="single" w:color="auto"/>
            <w:color w:val="0000EE"/>
          </w:rPr>
          <w:t>Non-Employee Directors</w:t>
        </w:r>
      </w:hyperlink>
    </w:p>
    <w:p>
      <w:pPr>
        <w:spacing w:after="0" w:line="21" w:lineRule="exact"/>
        <w:rPr>
          <w:rFonts w:ascii="Arial" w:cs="Arial" w:eastAsia="Arial" w:hAnsi="Arial"/>
          <w:sz w:val="16"/>
          <w:szCs w:val="16"/>
          <w:b w:val="1"/>
          <w:bCs w:val="1"/>
          <w:u w:val="single" w:color="auto"/>
          <w:color w:val="0000EE"/>
        </w:rPr>
      </w:pPr>
    </w:p>
    <w:p>
      <w:pPr>
        <w:ind w:left="50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46  </w:t>
      </w:r>
      <w:hyperlink w:anchor="page51">
        <w:r>
          <w:rPr>
            <w:rFonts w:ascii="Arial" w:cs="Arial" w:eastAsia="Arial" w:hAnsi="Arial"/>
            <w:sz w:val="16"/>
            <w:szCs w:val="16"/>
            <w:b w:val="1"/>
            <w:bCs w:val="1"/>
            <w:u w:val="single" w:color="auto"/>
            <w:color w:val="0000EE"/>
          </w:rPr>
          <w:t>Securities Authorized for Issuance under</w:t>
        </w:r>
      </w:hyperlink>
    </w:p>
    <w:p>
      <w:pPr>
        <w:ind w:left="860"/>
        <w:spacing w:after="0"/>
        <w:rPr>
          <w:rFonts w:ascii="Arial" w:cs="Arial" w:eastAsia="Arial" w:hAnsi="Arial"/>
          <w:sz w:val="16"/>
          <w:szCs w:val="16"/>
          <w:b w:val="1"/>
          <w:bCs w:val="1"/>
          <w:u w:val="single" w:color="auto"/>
          <w:color w:val="0000EE"/>
        </w:rPr>
      </w:pPr>
      <w:hyperlink w:anchor="page51">
        <w:r>
          <w:rPr>
            <w:rFonts w:ascii="Arial" w:cs="Arial" w:eastAsia="Arial" w:hAnsi="Arial"/>
            <w:sz w:val="16"/>
            <w:szCs w:val="16"/>
            <w:b w:val="1"/>
            <w:bCs w:val="1"/>
            <w:u w:val="single" w:color="auto"/>
            <w:color w:val="0000EE"/>
          </w:rPr>
          <w:t>Equity Compensation Plans</w:t>
        </w:r>
      </w:hyperlink>
    </w:p>
    <w:p>
      <w:pPr>
        <w:spacing w:after="0" w:line="216" w:lineRule="exact"/>
        <w:rPr>
          <w:rFonts w:ascii="Arial" w:cs="Arial" w:eastAsia="Arial" w:hAnsi="Arial"/>
          <w:sz w:val="16"/>
          <w:szCs w:val="16"/>
          <w:b w:val="1"/>
          <w:bCs w:val="1"/>
          <w:u w:val="single" w:color="auto"/>
          <w:color w:val="0000EE"/>
        </w:rPr>
      </w:pPr>
    </w:p>
    <w:p>
      <w:pPr>
        <w:ind w:left="480" w:hanging="390"/>
        <w:spacing w:after="0"/>
        <w:tabs>
          <w:tab w:leader="none" w:pos="480" w:val="left"/>
        </w:tabs>
        <w:numPr>
          <w:ilvl w:val="0"/>
          <w:numId w:val="18"/>
        </w:numPr>
        <w:rPr>
          <w:rFonts w:ascii="Arial" w:cs="Arial" w:eastAsia="Arial" w:hAnsi="Arial"/>
          <w:sz w:val="16"/>
          <w:szCs w:val="16"/>
          <w:b w:val="1"/>
          <w:bCs w:val="1"/>
          <w:u w:val="single" w:color="auto"/>
          <w:color w:val="0000EE"/>
        </w:rPr>
      </w:pPr>
      <w:hyperlink w:anchor="page52">
        <w:r>
          <w:rPr>
            <w:rFonts w:ascii="Arial" w:cs="Arial" w:eastAsia="Arial" w:hAnsi="Arial"/>
            <w:sz w:val="16"/>
            <w:szCs w:val="16"/>
            <w:b w:val="1"/>
            <w:bCs w:val="1"/>
            <w:u w:val="single" w:color="auto"/>
            <w:color w:val="0000EE"/>
          </w:rPr>
          <w:t>Stock Ownership</w:t>
        </w:r>
      </w:hyperlink>
    </w:p>
    <w:p>
      <w:pPr>
        <w:ind w:left="50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47  </w:t>
      </w:r>
      <w:hyperlink w:anchor="page52">
        <w:r>
          <w:rPr>
            <w:rFonts w:ascii="Arial" w:cs="Arial" w:eastAsia="Arial" w:hAnsi="Arial"/>
            <w:sz w:val="16"/>
            <w:szCs w:val="16"/>
            <w:b w:val="1"/>
            <w:bCs w:val="1"/>
            <w:u w:val="single" w:color="auto"/>
            <w:color w:val="0000EE"/>
          </w:rPr>
          <w:t>Stock Ownership of our Directors, Executive</w:t>
        </w:r>
      </w:hyperlink>
    </w:p>
    <w:p>
      <w:pPr>
        <w:ind w:left="860"/>
        <w:spacing w:after="0"/>
        <w:rPr>
          <w:rFonts w:ascii="Arial" w:cs="Arial" w:eastAsia="Arial" w:hAnsi="Arial"/>
          <w:sz w:val="16"/>
          <w:szCs w:val="16"/>
          <w:b w:val="1"/>
          <w:bCs w:val="1"/>
          <w:u w:val="single" w:color="auto"/>
          <w:color w:val="0000EE"/>
        </w:rPr>
      </w:pPr>
      <w:hyperlink w:anchor="page52">
        <w:r>
          <w:rPr>
            <w:rFonts w:ascii="Arial" w:cs="Arial" w:eastAsia="Arial" w:hAnsi="Arial"/>
            <w:sz w:val="16"/>
            <w:szCs w:val="16"/>
            <w:b w:val="1"/>
            <w:bCs w:val="1"/>
            <w:u w:val="single" w:color="auto"/>
            <w:color w:val="0000EE"/>
          </w:rPr>
          <w:t>Officers and Certain Beneficial Owners</w:t>
        </w:r>
      </w:hyperlink>
    </w:p>
    <w:p>
      <w:pPr>
        <w:spacing w:after="0" w:line="216" w:lineRule="exact"/>
        <w:rPr>
          <w:rFonts w:ascii="Arial" w:cs="Arial" w:eastAsia="Arial" w:hAnsi="Arial"/>
          <w:sz w:val="16"/>
          <w:szCs w:val="16"/>
          <w:b w:val="1"/>
          <w:bCs w:val="1"/>
          <w:u w:val="single" w:color="auto"/>
          <w:color w:val="0000EE"/>
        </w:rPr>
      </w:pPr>
    </w:p>
    <w:p>
      <w:pPr>
        <w:ind w:left="480" w:hanging="390"/>
        <w:spacing w:after="0"/>
        <w:tabs>
          <w:tab w:leader="none" w:pos="480" w:val="left"/>
        </w:tabs>
        <w:numPr>
          <w:ilvl w:val="0"/>
          <w:numId w:val="19"/>
        </w:numPr>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Transactions with Related Persons</w:t>
        </w:r>
      </w:hyperlink>
    </w:p>
    <w:p>
      <w:pPr>
        <w:ind w:left="860" w:right="920" w:hanging="360"/>
        <w:spacing w:after="0" w:line="250" w:lineRule="auto"/>
        <w:rPr>
          <w:rFonts w:ascii="Arial" w:cs="Arial" w:eastAsia="Arial" w:hAnsi="Arial"/>
          <w:sz w:val="16"/>
          <w:szCs w:val="16"/>
          <w:b w:val="1"/>
          <w:bCs w:val="1"/>
          <w:u w:val="single" w:color="auto"/>
          <w:color w:val="0000EE"/>
        </w:rPr>
      </w:pPr>
      <w:r>
        <w:rPr>
          <w:rFonts w:ascii="Arial" w:cs="Arial" w:eastAsia="Arial" w:hAnsi="Arial"/>
          <w:sz w:val="16"/>
          <w:szCs w:val="16"/>
          <w:color w:val="auto"/>
        </w:rPr>
        <w:t xml:space="preserve">49 </w:t>
      </w:r>
      <w:hyperlink w:anchor="page54">
        <w:r>
          <w:rPr>
            <w:rFonts w:ascii="Arial" w:cs="Arial" w:eastAsia="Arial" w:hAnsi="Arial"/>
            <w:sz w:val="16"/>
            <w:szCs w:val="16"/>
            <w:b w:val="1"/>
            <w:bCs w:val="1"/>
            <w:u w:val="single" w:color="auto"/>
            <w:color w:val="0000EE"/>
          </w:rPr>
          <w:t>Policy on Transactions and Arrangements</w:t>
        </w:r>
      </w:hyperlink>
      <w:r>
        <w:rPr>
          <w:rFonts w:ascii="Arial" w:cs="Arial" w:eastAsia="Arial" w:hAnsi="Arial"/>
          <w:sz w:val="16"/>
          <w:szCs w:val="16"/>
          <w:color w:val="auto"/>
        </w:rPr>
        <w:t xml:space="preserve"> </w:t>
      </w:r>
      <w:hyperlink w:anchor="page54">
        <w:r>
          <w:rPr>
            <w:rFonts w:ascii="Arial" w:cs="Arial" w:eastAsia="Arial" w:hAnsi="Arial"/>
            <w:sz w:val="16"/>
            <w:szCs w:val="16"/>
            <w:b w:val="1"/>
            <w:bCs w:val="1"/>
            <w:u w:val="single" w:color="auto"/>
            <w:color w:val="0000EE"/>
          </w:rPr>
          <w:t>with Related Persons</w:t>
        </w:r>
      </w:hyperlink>
    </w:p>
    <w:p>
      <w:pPr>
        <w:spacing w:after="0" w:line="1" w:lineRule="exact"/>
        <w:rPr>
          <w:rFonts w:ascii="Arial" w:cs="Arial" w:eastAsia="Arial" w:hAnsi="Arial"/>
          <w:sz w:val="16"/>
          <w:szCs w:val="16"/>
          <w:b w:val="1"/>
          <w:bCs w:val="1"/>
          <w:u w:val="single" w:color="auto"/>
          <w:color w:val="0000EE"/>
        </w:rPr>
      </w:pPr>
    </w:p>
    <w:p>
      <w:pPr>
        <w:ind w:left="500"/>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50  </w:t>
      </w:r>
      <w:hyperlink w:anchor="page55">
        <w:r>
          <w:rPr>
            <w:rFonts w:ascii="Arial" w:cs="Arial" w:eastAsia="Arial" w:hAnsi="Arial"/>
            <w:sz w:val="16"/>
            <w:szCs w:val="16"/>
            <w:b w:val="1"/>
            <w:bCs w:val="1"/>
            <w:u w:val="single" w:color="auto"/>
            <w:color w:val="0000EE"/>
          </w:rPr>
          <w:t>Certain Relationships and Potential</w:t>
        </w:r>
      </w:hyperlink>
    </w:p>
    <w:p>
      <w:pPr>
        <w:ind w:left="860"/>
        <w:spacing w:after="0"/>
        <w:rPr>
          <w:rFonts w:ascii="Arial" w:cs="Arial" w:eastAsia="Arial" w:hAnsi="Arial"/>
          <w:sz w:val="16"/>
          <w:szCs w:val="16"/>
          <w:b w:val="1"/>
          <w:bCs w:val="1"/>
          <w:u w:val="single" w:color="auto"/>
          <w:color w:val="0000EE"/>
        </w:rPr>
      </w:pPr>
      <w:hyperlink w:anchor="page55">
        <w:r>
          <w:rPr>
            <w:rFonts w:ascii="Arial" w:cs="Arial" w:eastAsia="Arial" w:hAnsi="Arial"/>
            <w:sz w:val="16"/>
            <w:szCs w:val="16"/>
            <w:b w:val="1"/>
            <w:bCs w:val="1"/>
            <w:u w:val="single" w:color="auto"/>
            <w:color w:val="0000EE"/>
          </w:rPr>
          <w:t>Conflicts of Interest</w:t>
        </w:r>
      </w:hyperlink>
    </w:p>
    <w:p>
      <w:pPr>
        <w:spacing w:after="0" w:line="185" w:lineRule="exact"/>
        <w:rPr>
          <w:rFonts w:ascii="Arial" w:cs="Arial" w:eastAsia="Arial" w:hAnsi="Arial"/>
          <w:sz w:val="16"/>
          <w:szCs w:val="16"/>
          <w:b w:val="1"/>
          <w:bCs w:val="1"/>
          <w:u w:val="single" w:color="auto"/>
          <w:color w:val="0000EE"/>
        </w:rPr>
      </w:pPr>
    </w:p>
    <w:p>
      <w:pPr>
        <w:ind w:left="480" w:right="1140" w:hanging="390"/>
        <w:spacing w:after="0" w:line="182" w:lineRule="auto"/>
        <w:tabs>
          <w:tab w:leader="none" w:pos="480" w:val="left"/>
        </w:tabs>
        <w:numPr>
          <w:ilvl w:val="0"/>
          <w:numId w:val="20"/>
        </w:numPr>
        <w:rPr>
          <w:rFonts w:ascii="Arial" w:cs="Arial" w:eastAsia="Arial" w:hAnsi="Arial"/>
          <w:sz w:val="14"/>
          <w:szCs w:val="14"/>
          <w:b w:val="1"/>
          <w:bCs w:val="1"/>
          <w:u w:val="single" w:color="auto"/>
          <w:color w:val="0000EE"/>
        </w:rPr>
      </w:pPr>
      <w:hyperlink w:anchor="page56">
        <w:r>
          <w:rPr>
            <w:rFonts w:ascii="Arial" w:cs="Arial" w:eastAsia="Arial" w:hAnsi="Arial"/>
            <w:sz w:val="14"/>
            <w:szCs w:val="14"/>
            <w:b w:val="1"/>
            <w:bCs w:val="1"/>
            <w:u w:val="single" w:color="auto"/>
            <w:color w:val="0000EE"/>
          </w:rPr>
          <w:t>Stockholder Proposals and Nominations for</w:t>
        </w:r>
      </w:hyperlink>
      <w:r>
        <w:rPr>
          <w:rFonts w:ascii="Arial" w:cs="Arial" w:eastAsia="Arial" w:hAnsi="Arial"/>
          <w:sz w:val="14"/>
          <w:szCs w:val="14"/>
          <w:b w:val="1"/>
          <w:bCs w:val="1"/>
          <w:u w:val="single" w:color="auto"/>
          <w:color w:val="0000EE"/>
        </w:rPr>
        <w:t xml:space="preserve"> </w:t>
      </w:r>
      <w:hyperlink w:anchor="page56">
        <w:r>
          <w:rPr>
            <w:rFonts w:ascii="Arial" w:cs="Arial" w:eastAsia="Arial" w:hAnsi="Arial"/>
            <w:sz w:val="14"/>
            <w:szCs w:val="14"/>
            <w:b w:val="1"/>
            <w:bCs w:val="1"/>
            <w:u w:val="single" w:color="auto"/>
            <w:color w:val="0000EE"/>
          </w:rPr>
          <w:t>Directors for the 2023 Annual Meeting</w:t>
        </w:r>
      </w:hyperlink>
    </w:p>
    <w:p>
      <w:pPr>
        <w:spacing w:after="0" w:line="20" w:lineRule="exact"/>
        <w:rPr>
          <w:rFonts w:ascii="Arial" w:cs="Arial" w:eastAsia="Arial" w:hAnsi="Arial"/>
          <w:sz w:val="32"/>
          <w:szCs w:val="32"/>
          <w:color w:val="auto"/>
          <w:vertAlign w:val="subscript"/>
        </w:rPr>
      </w:pPr>
      <w:r>
        <w:rPr>
          <w:rFonts w:ascii="Arial" w:cs="Arial" w:eastAsia="Arial" w:hAnsi="Arial"/>
          <w:sz w:val="32"/>
          <w:szCs w:val="32"/>
          <w:color w:val="auto"/>
          <w:vertAlign w:val="subscript"/>
        </w:rPr>
        <w:drawing>
          <wp:anchor simplePos="0" relativeHeight="251657728" behindDoc="1" locked="0" layoutInCell="0" allowOverlap="1">
            <wp:simplePos x="0" y="0"/>
            <wp:positionH relativeFrom="column">
              <wp:posOffset>275590</wp:posOffset>
            </wp:positionH>
            <wp:positionV relativeFrom="paragraph">
              <wp:posOffset>-28575</wp:posOffset>
            </wp:positionV>
            <wp:extent cx="28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6" w:lineRule="exact"/>
        <w:rPr>
          <w:rFonts w:ascii="Arial" w:cs="Arial" w:eastAsia="Arial" w:hAnsi="Arial"/>
          <w:sz w:val="32"/>
          <w:szCs w:val="32"/>
          <w:color w:val="auto"/>
          <w:vertAlign w:val="subscript"/>
        </w:rPr>
      </w:pPr>
    </w:p>
    <w:p>
      <w:pPr>
        <w:ind w:left="480" w:hanging="390"/>
        <w:spacing w:after="0"/>
        <w:tabs>
          <w:tab w:leader="none" w:pos="480" w:val="left"/>
        </w:tabs>
        <w:numPr>
          <w:ilvl w:val="0"/>
          <w:numId w:val="21"/>
        </w:numPr>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Other Information</w:t>
        </w:r>
      </w:hyperlink>
    </w:p>
    <w:p>
      <w:pPr>
        <w:spacing w:after="0" w:line="133" w:lineRule="exact"/>
        <w:rPr>
          <w:rFonts w:ascii="Arial" w:cs="Arial" w:eastAsia="Arial" w:hAnsi="Arial"/>
          <w:sz w:val="32"/>
          <w:szCs w:val="32"/>
          <w:color w:val="auto"/>
          <w:vertAlign w:val="subscript"/>
        </w:rPr>
      </w:pPr>
    </w:p>
    <w:tbl>
      <w:tblPr>
        <w:tblLayout w:type="fixed"/>
        <w:tblInd w:w="0" w:type="dxa"/>
        <w:tblCellMar>
          <w:top w:w="0" w:type="dxa"/>
          <w:left w:w="0" w:type="dxa"/>
          <w:bottom w:w="0" w:type="dxa"/>
          <w:right w:w="0" w:type="dxa"/>
        </w:tblCellMar>
      </w:tblPr>
      <w:tr>
        <w:trPr>
          <w:trHeight w:val="204"/>
        </w:trPr>
        <w:tc>
          <w:tcPr>
            <w:tcW w:w="480" w:type="dxa"/>
            <w:vAlign w:val="bottom"/>
            <w:vMerge w:val="restart"/>
          </w:tcPr>
          <w:p>
            <w:pPr>
              <w:spacing w:after="0"/>
              <w:rPr>
                <w:sz w:val="20"/>
                <w:szCs w:val="20"/>
                <w:color w:val="auto"/>
              </w:rPr>
            </w:pPr>
            <w:r>
              <w:rPr>
                <w:rFonts w:ascii="Arial" w:cs="Arial" w:eastAsia="Arial" w:hAnsi="Arial"/>
                <w:sz w:val="21"/>
                <w:szCs w:val="21"/>
                <w:color w:val="auto"/>
              </w:rPr>
              <w:t>A-1</w:t>
            </w:r>
          </w:p>
        </w:tc>
        <w:tc>
          <w:tcPr>
            <w:tcW w:w="3320" w:type="dxa"/>
            <w:vAlign w:val="bottom"/>
            <w:tcBorders>
              <w:bottom w:val="single" w:sz="8" w:color="0000EE"/>
            </w:tcBorders>
            <w:gridSpan w:val="2"/>
          </w:tcPr>
          <w:p>
            <w:pPr>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Appendix A – Reconciliation of Non-GAAP</w:t>
              </w:r>
            </w:hyperlink>
          </w:p>
        </w:tc>
        <w:tc>
          <w:tcPr>
            <w:tcW w:w="0" w:type="dxa"/>
            <w:vAlign w:val="bottom"/>
          </w:tcPr>
          <w:p>
            <w:pPr>
              <w:spacing w:after="0"/>
              <w:rPr>
                <w:sz w:val="1"/>
                <w:szCs w:val="1"/>
                <w:color w:val="auto"/>
              </w:rPr>
            </w:pPr>
          </w:p>
        </w:tc>
      </w:tr>
      <w:tr>
        <w:trPr>
          <w:trHeight w:val="72"/>
        </w:trPr>
        <w:tc>
          <w:tcPr>
            <w:tcW w:w="480" w:type="dxa"/>
            <w:vAlign w:val="bottom"/>
            <w:vMerge w:val="continue"/>
          </w:tcPr>
          <w:p>
            <w:pPr>
              <w:spacing w:after="0"/>
              <w:rPr>
                <w:sz w:val="6"/>
                <w:szCs w:val="6"/>
                <w:color w:val="auto"/>
              </w:rPr>
            </w:pPr>
          </w:p>
        </w:tc>
        <w:tc>
          <w:tcPr>
            <w:tcW w:w="3320" w:type="dxa"/>
            <w:vAlign w:val="bottom"/>
            <w:gridSpan w:val="2"/>
            <w:vMerge w:val="restart"/>
          </w:tcPr>
          <w:p>
            <w:pPr>
              <w:spacing w:after="0" w:line="160"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Measures to GAAP Measures (Unaudited)</w:t>
              </w:r>
            </w:hyperlink>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3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-7620</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564" w:lineRule="exact"/>
        <w:rPr>
          <w:sz w:val="20"/>
          <w:szCs w:val="20"/>
          <w:color w:val="auto"/>
        </w:rPr>
      </w:pPr>
    </w:p>
    <w:p>
      <w:pPr>
        <w:sectPr>
          <w:pgSz w:w="11900" w:h="16838" w:orient="portrait"/>
          <w:cols w:equalWidth="0" w:num="2">
            <w:col w:w="5340" w:space="460"/>
            <w:col w:w="5020"/>
          </w:cols>
          <w:pgMar w:left="320" w:top="440" w:right="759" w:bottom="1440" w:gutter="0" w:footer="0" w:header="0"/>
          <w:type w:val="continuous"/>
        </w:sectPr>
      </w:pPr>
    </w:p>
    <w:p>
      <w:pPr>
        <w:ind w:left="400"/>
        <w:spacing w:after="0" w:line="256" w:lineRule="auto"/>
        <w:rPr>
          <w:sz w:val="20"/>
          <w:szCs w:val="20"/>
          <w:color w:val="auto"/>
        </w:rPr>
      </w:pPr>
      <w:r>
        <w:rPr>
          <w:rFonts w:ascii="Arial" w:cs="Arial" w:eastAsia="Arial" w:hAnsi="Arial"/>
          <w:sz w:val="15"/>
          <w:szCs w:val="15"/>
          <w:color w:val="auto"/>
        </w:rPr>
        <w:t>This document includes forward-looking statements within the meaning of the Private Securities Litigation Reform Act of 1995. All statements other than statements of historical or current fact, including statements regarding our environmental and other sustainability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2021 Annual Report on Form 10-K. Website references throughout this document are provided for convenience only, and the content on the referenced websites is not incorporated by reference into this document.</w:t>
      </w:r>
    </w:p>
    <w:p>
      <w:pPr>
        <w:sectPr>
          <w:pgSz w:w="11900" w:h="16838" w:orient="portrait"/>
          <w:cols w:equalWidth="0" w:num="1">
            <w:col w:w="10820"/>
          </w:cols>
          <w:pgMar w:left="320" w:top="440" w:right="759" w:bottom="1440" w:gutter="0" w:footer="0" w:header="0"/>
          <w:type w:val="continuous"/>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199390</wp:posOffset>
            </wp:positionV>
            <wp:extent cx="6638925" cy="691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8925" cy="69157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51"/>
          <w:szCs w:val="51"/>
          <w:b w:val="1"/>
          <w:bCs w:val="1"/>
          <w:color w:val="auto"/>
        </w:rPr>
        <w:t>PROXY SUMMARY</w:t>
      </w:r>
    </w:p>
    <w:p>
      <w:pPr>
        <w:spacing w:after="0" w:line="200" w:lineRule="exact"/>
        <w:rPr>
          <w:sz w:val="20"/>
          <w:szCs w:val="20"/>
          <w:color w:val="auto"/>
        </w:rPr>
      </w:pPr>
    </w:p>
    <w:p>
      <w:pPr>
        <w:spacing w:after="0" w:line="333" w:lineRule="exact"/>
        <w:rPr>
          <w:sz w:val="20"/>
          <w:szCs w:val="20"/>
          <w:color w:val="auto"/>
        </w:rPr>
      </w:pPr>
    </w:p>
    <w:p>
      <w:pPr>
        <w:ind w:left="580" w:right="260"/>
        <w:spacing w:after="0" w:line="269" w:lineRule="auto"/>
        <w:rPr>
          <w:sz w:val="20"/>
          <w:szCs w:val="20"/>
          <w:color w:val="auto"/>
        </w:rPr>
      </w:pPr>
      <w:r>
        <w:rPr>
          <w:rFonts w:ascii="Arial" w:cs="Arial" w:eastAsia="Arial" w:hAnsi="Arial"/>
          <w:sz w:val="15"/>
          <w:szCs w:val="15"/>
          <w:color w:val="auto"/>
        </w:rPr>
        <w:t>This summary highlights information contained elsewhere in this Proxy Statement. It does not contain all of the information that you should consider in voting your shares. You should read the entire Proxy Statement as well as our Annual Report on Form 10-K for the fiscal year ended December 31, 2021 carefully before voting.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VOTING MATTERS AND BOARD RECOMMENDATIONS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160" w:type="dxa"/>
            <w:vAlign w:val="bottom"/>
            <w:tcBorders>
              <w:bottom w:val="single" w:sz="8" w:color="004987"/>
            </w:tcBorders>
            <w:gridSpan w:val="2"/>
          </w:tcPr>
          <w:p>
            <w:pPr>
              <w:spacing w:after="0"/>
              <w:rPr>
                <w:sz w:val="20"/>
                <w:szCs w:val="20"/>
                <w:color w:val="auto"/>
              </w:rPr>
            </w:pPr>
            <w:r>
              <w:rPr>
                <w:rFonts w:ascii="Arial" w:cs="Arial" w:eastAsia="Arial" w:hAnsi="Arial"/>
                <w:sz w:val="14"/>
                <w:szCs w:val="14"/>
                <w:b w:val="1"/>
                <w:bCs w:val="1"/>
                <w:color w:val="004987"/>
              </w:rPr>
              <w:t>Proposal</w:t>
            </w:r>
          </w:p>
        </w:tc>
        <w:tc>
          <w:tcPr>
            <w:tcW w:w="2700" w:type="dxa"/>
            <w:vAlign w:val="bottom"/>
            <w:tcBorders>
              <w:bottom w:val="single" w:sz="8" w:color="004987"/>
            </w:tcBorders>
          </w:tcPr>
          <w:p>
            <w:pPr>
              <w:jc w:val="center"/>
              <w:ind w:left="585"/>
              <w:spacing w:after="0"/>
              <w:rPr>
                <w:sz w:val="20"/>
                <w:szCs w:val="20"/>
                <w:color w:val="auto"/>
              </w:rPr>
            </w:pPr>
            <w:r>
              <w:rPr>
                <w:rFonts w:ascii="Arial" w:cs="Arial" w:eastAsia="Arial" w:hAnsi="Arial"/>
                <w:sz w:val="14"/>
                <w:szCs w:val="14"/>
                <w:b w:val="1"/>
                <w:bCs w:val="1"/>
                <w:color w:val="004987"/>
                <w:w w:val="96"/>
              </w:rPr>
              <w:t>Voting Recommendation</w:t>
            </w:r>
          </w:p>
        </w:tc>
        <w:tc>
          <w:tcPr>
            <w:tcW w:w="1220" w:type="dxa"/>
            <w:vAlign w:val="bottom"/>
            <w:tcBorders>
              <w:bottom w:val="single" w:sz="8" w:color="004987"/>
            </w:tcBorders>
          </w:tcPr>
          <w:p>
            <w:pPr>
              <w:jc w:val="center"/>
              <w:ind w:left="125"/>
              <w:spacing w:after="0"/>
              <w:rPr>
                <w:sz w:val="20"/>
                <w:szCs w:val="20"/>
                <w:color w:val="auto"/>
              </w:rPr>
            </w:pPr>
            <w:r>
              <w:rPr>
                <w:rFonts w:ascii="Arial" w:cs="Arial" w:eastAsia="Arial" w:hAnsi="Arial"/>
                <w:sz w:val="14"/>
                <w:szCs w:val="14"/>
                <w:b w:val="1"/>
                <w:bCs w:val="1"/>
                <w:color w:val="004987"/>
                <w:w w:val="97"/>
              </w:rPr>
              <w:t>Page Reference</w:t>
            </w:r>
          </w:p>
        </w:tc>
      </w:tr>
      <w:tr>
        <w:trPr>
          <w:trHeight w:val="179"/>
        </w:trPr>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1</w:t>
            </w:r>
          </w:p>
        </w:tc>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Election of three directors</w:t>
            </w:r>
          </w:p>
        </w:tc>
        <w:tc>
          <w:tcPr>
            <w:tcW w:w="2700" w:type="dxa"/>
            <w:vAlign w:val="bottom"/>
            <w:tcBorders>
              <w:bottom w:val="single" w:sz="8" w:color="auto"/>
            </w:tcBorders>
          </w:tcPr>
          <w:p>
            <w:pPr>
              <w:jc w:val="center"/>
              <w:ind w:left="585"/>
              <w:spacing w:after="0"/>
              <w:rPr>
                <w:sz w:val="20"/>
                <w:szCs w:val="20"/>
                <w:color w:val="auto"/>
              </w:rPr>
            </w:pPr>
            <w:r>
              <w:rPr>
                <w:rFonts w:ascii="Arial" w:cs="Arial" w:eastAsia="Arial" w:hAnsi="Arial"/>
                <w:sz w:val="15"/>
                <w:szCs w:val="15"/>
                <w:b w:val="1"/>
                <w:bCs w:val="1"/>
                <w:color w:val="004987"/>
              </w:rPr>
              <w:t>FOR each nominee</w:t>
            </w:r>
          </w:p>
        </w:tc>
        <w:tc>
          <w:tcPr>
            <w:tcW w:w="1220" w:type="dxa"/>
            <w:vAlign w:val="bottom"/>
            <w:tcBorders>
              <w:bottom w:val="single" w:sz="8" w:color="auto"/>
            </w:tcBorders>
          </w:tcPr>
          <w:p>
            <w:pPr>
              <w:jc w:val="center"/>
              <w:ind w:left="145"/>
              <w:spacing w:after="0"/>
              <w:rPr>
                <w:sz w:val="20"/>
                <w:szCs w:val="20"/>
                <w:color w:val="auto"/>
              </w:rPr>
            </w:pPr>
            <w:r>
              <w:rPr>
                <w:rFonts w:ascii="Arial" w:cs="Arial" w:eastAsia="Arial" w:hAnsi="Arial"/>
                <w:sz w:val="15"/>
                <w:szCs w:val="15"/>
                <w:b w:val="1"/>
                <w:bCs w:val="1"/>
                <w:color w:val="auto"/>
                <w:w w:val="95"/>
              </w:rPr>
              <w:t>7</w:t>
            </w:r>
          </w:p>
        </w:tc>
      </w:tr>
      <w:tr>
        <w:trPr>
          <w:trHeight w:val="172"/>
        </w:trPr>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2</w:t>
            </w:r>
          </w:p>
        </w:tc>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Ratification of appointment of independent registered public accounting firm</w:t>
            </w:r>
          </w:p>
        </w:tc>
        <w:tc>
          <w:tcPr>
            <w:tcW w:w="2700" w:type="dxa"/>
            <w:vAlign w:val="bottom"/>
            <w:tcBorders>
              <w:bottom w:val="single" w:sz="8" w:color="auto"/>
            </w:tcBorders>
          </w:tcPr>
          <w:p>
            <w:pPr>
              <w:jc w:val="center"/>
              <w:ind w:left="585"/>
              <w:spacing w:after="0"/>
              <w:rPr>
                <w:sz w:val="20"/>
                <w:szCs w:val="20"/>
                <w:color w:val="auto"/>
              </w:rPr>
            </w:pPr>
            <w:r>
              <w:rPr>
                <w:rFonts w:ascii="Arial" w:cs="Arial" w:eastAsia="Arial" w:hAnsi="Arial"/>
                <w:sz w:val="15"/>
                <w:szCs w:val="15"/>
                <w:b w:val="1"/>
                <w:bCs w:val="1"/>
                <w:color w:val="004987"/>
              </w:rPr>
              <w:t>FOR</w:t>
            </w:r>
          </w:p>
        </w:tc>
        <w:tc>
          <w:tcPr>
            <w:tcW w:w="1220" w:type="dxa"/>
            <w:vAlign w:val="bottom"/>
            <w:tcBorders>
              <w:bottom w:val="single" w:sz="8" w:color="auto"/>
            </w:tcBorders>
          </w:tcPr>
          <w:p>
            <w:pPr>
              <w:jc w:val="center"/>
              <w:ind w:left="145"/>
              <w:spacing w:after="0"/>
              <w:rPr>
                <w:sz w:val="20"/>
                <w:szCs w:val="20"/>
                <w:color w:val="auto"/>
              </w:rPr>
            </w:pPr>
            <w:r>
              <w:rPr>
                <w:rFonts w:ascii="Arial" w:cs="Arial" w:eastAsia="Arial" w:hAnsi="Arial"/>
                <w:sz w:val="15"/>
                <w:szCs w:val="15"/>
                <w:b w:val="1"/>
                <w:bCs w:val="1"/>
                <w:color w:val="auto"/>
                <w:w w:val="95"/>
              </w:rPr>
              <w:t>7</w:t>
            </w:r>
          </w:p>
        </w:tc>
      </w:tr>
      <w:tr>
        <w:trPr>
          <w:trHeight w:val="172"/>
        </w:trPr>
        <w:tc>
          <w:tcPr>
            <w:tcW w:w="6160" w:type="dxa"/>
            <w:vAlign w:val="bottom"/>
            <w:tcBorders>
              <w:bottom w:val="single" w:sz="8" w:color="004987"/>
            </w:tcBorders>
            <w:gridSpan w:val="2"/>
          </w:tcPr>
          <w:p>
            <w:pPr>
              <w:spacing w:after="0"/>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15"/>
                <w:szCs w:val="15"/>
                <w:color w:val="auto"/>
              </w:rPr>
              <w:t>Advisory vote to approve named executive officer compensation</w:t>
            </w:r>
          </w:p>
        </w:tc>
        <w:tc>
          <w:tcPr>
            <w:tcW w:w="2700" w:type="dxa"/>
            <w:vAlign w:val="bottom"/>
            <w:tcBorders>
              <w:bottom w:val="single" w:sz="8" w:color="004987"/>
            </w:tcBorders>
          </w:tcPr>
          <w:p>
            <w:pPr>
              <w:jc w:val="center"/>
              <w:ind w:left="585"/>
              <w:spacing w:after="0"/>
              <w:rPr>
                <w:sz w:val="20"/>
                <w:szCs w:val="20"/>
                <w:color w:val="auto"/>
              </w:rPr>
            </w:pPr>
            <w:r>
              <w:rPr>
                <w:rFonts w:ascii="Arial" w:cs="Arial" w:eastAsia="Arial" w:hAnsi="Arial"/>
                <w:sz w:val="15"/>
                <w:szCs w:val="15"/>
                <w:b w:val="1"/>
                <w:bCs w:val="1"/>
                <w:color w:val="004987"/>
              </w:rPr>
              <w:t>FOR</w:t>
            </w:r>
          </w:p>
        </w:tc>
        <w:tc>
          <w:tcPr>
            <w:tcW w:w="1220" w:type="dxa"/>
            <w:vAlign w:val="bottom"/>
            <w:tcBorders>
              <w:bottom w:val="single" w:sz="8" w:color="004987"/>
            </w:tcBorders>
          </w:tcPr>
          <w:p>
            <w:pPr>
              <w:jc w:val="center"/>
              <w:ind w:left="145"/>
              <w:spacing w:after="0"/>
              <w:rPr>
                <w:sz w:val="20"/>
                <w:szCs w:val="20"/>
                <w:color w:val="auto"/>
              </w:rPr>
            </w:pPr>
            <w:r>
              <w:rPr>
                <w:rFonts w:ascii="Arial" w:cs="Arial" w:eastAsia="Arial" w:hAnsi="Arial"/>
                <w:sz w:val="15"/>
                <w:szCs w:val="15"/>
                <w:b w:val="1"/>
                <w:bCs w:val="1"/>
                <w:color w:val="auto"/>
                <w:w w:val="95"/>
              </w:rPr>
              <w:t>8</w:t>
            </w:r>
          </w:p>
        </w:tc>
      </w:tr>
    </w:tbl>
    <w:p>
      <w:pPr>
        <w:spacing w:after="0" w:line="282"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CORPORATE GOVERNANCE HIGHLIGHTS</w:t>
      </w:r>
    </w:p>
    <w:p>
      <w:pPr>
        <w:spacing w:after="0" w:line="106" w:lineRule="exact"/>
        <w:rPr>
          <w:sz w:val="20"/>
          <w:szCs w:val="20"/>
          <w:color w:val="auto"/>
        </w:rPr>
      </w:pPr>
    </w:p>
    <w:p>
      <w:pPr>
        <w:ind w:left="580" w:right="400"/>
        <w:spacing w:after="0" w:line="269" w:lineRule="auto"/>
        <w:rPr>
          <w:sz w:val="20"/>
          <w:szCs w:val="20"/>
          <w:color w:val="auto"/>
        </w:rPr>
      </w:pPr>
      <w:r>
        <w:rPr>
          <w:rFonts w:ascii="Arial" w:cs="Arial" w:eastAsia="Arial" w:hAnsi="Arial"/>
          <w:sz w:val="15"/>
          <w:szCs w:val="15"/>
          <w:color w:val="auto"/>
        </w:rPr>
        <w:t>We believe that good corporate governance is integral to our business, and the Board monitors developments in governance best practices to assure that it continues to meet its commitment to representation of stockholder interests. Below are some highlights of our corporate governance practices:</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266"/>
        </w:trPr>
        <w:tc>
          <w:tcPr>
            <w:tcW w:w="5040" w:type="dxa"/>
            <w:vAlign w:val="bottom"/>
            <w:vMerge w:val="restart"/>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Independent Chairman of the Board</w:t>
            </w:r>
          </w:p>
        </w:tc>
        <w:tc>
          <w:tcPr>
            <w:tcW w:w="5040" w:type="dxa"/>
            <w:vAlign w:val="bottom"/>
            <w:shd w:val="clear" w:color="auto" w:fill="D8E3ED"/>
          </w:tcPr>
          <w:p>
            <w:pPr>
              <w:ind w:left="3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Commitment to seeking diversity on the Board</w:t>
            </w:r>
          </w:p>
        </w:tc>
        <w:tc>
          <w:tcPr>
            <w:tcW w:w="0" w:type="dxa"/>
            <w:vAlign w:val="bottom"/>
          </w:tcPr>
          <w:p>
            <w:pPr>
              <w:spacing w:after="0"/>
              <w:rPr>
                <w:sz w:val="1"/>
                <w:szCs w:val="1"/>
                <w:color w:val="auto"/>
              </w:rPr>
            </w:pPr>
          </w:p>
        </w:tc>
      </w:tr>
      <w:tr>
        <w:trPr>
          <w:trHeight w:val="77"/>
        </w:trPr>
        <w:tc>
          <w:tcPr>
            <w:tcW w:w="5040" w:type="dxa"/>
            <w:vAlign w:val="bottom"/>
            <w:vMerge w:val="continue"/>
            <w:shd w:val="clear" w:color="auto" w:fill="D8E3ED"/>
          </w:tcPr>
          <w:p>
            <w:pPr>
              <w:spacing w:after="0"/>
              <w:rPr>
                <w:sz w:val="6"/>
                <w:szCs w:val="6"/>
                <w:color w:val="auto"/>
              </w:rPr>
            </w:pPr>
          </w:p>
        </w:tc>
        <w:tc>
          <w:tcPr>
            <w:tcW w:w="5040" w:type="dxa"/>
            <w:vAlign w:val="bottom"/>
            <w:shd w:val="clear" w:color="auto" w:fill="D8E3ED"/>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5040" w:type="dxa"/>
            <w:vAlign w:val="bottom"/>
            <w:vMerge w:val="restart"/>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Separate Chairman and Chief Executive Officer (“CEO”)</w:t>
            </w:r>
          </w:p>
        </w:tc>
        <w:tc>
          <w:tcPr>
            <w:tcW w:w="5040" w:type="dxa"/>
            <w:vAlign w:val="bottom"/>
            <w:shd w:val="clear" w:color="auto" w:fill="D8E3ED"/>
          </w:tcPr>
          <w:p>
            <w:pPr>
              <w:ind w:left="3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Stock ownership guidelines for our Executive Officers and Board</w:t>
            </w:r>
          </w:p>
        </w:tc>
        <w:tc>
          <w:tcPr>
            <w:tcW w:w="0" w:type="dxa"/>
            <w:vAlign w:val="bottom"/>
          </w:tcPr>
          <w:p>
            <w:pPr>
              <w:spacing w:after="0"/>
              <w:rPr>
                <w:sz w:val="1"/>
                <w:szCs w:val="1"/>
                <w:color w:val="auto"/>
              </w:rPr>
            </w:pPr>
          </w:p>
        </w:tc>
      </w:tr>
      <w:tr>
        <w:trPr>
          <w:trHeight w:val="55"/>
        </w:trPr>
        <w:tc>
          <w:tcPr>
            <w:tcW w:w="5040" w:type="dxa"/>
            <w:vAlign w:val="bottom"/>
            <w:vMerge w:val="continue"/>
            <w:shd w:val="clear" w:color="auto" w:fill="D8E3ED"/>
          </w:tcPr>
          <w:p>
            <w:pPr>
              <w:spacing w:after="0"/>
              <w:rPr>
                <w:sz w:val="4"/>
                <w:szCs w:val="4"/>
                <w:color w:val="auto"/>
              </w:rPr>
            </w:pPr>
          </w:p>
        </w:tc>
        <w:tc>
          <w:tcPr>
            <w:tcW w:w="5040" w:type="dxa"/>
            <w:vAlign w:val="bottom"/>
            <w:shd w:val="clear" w:color="auto" w:fill="D8E3ED"/>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040" w:type="dxa"/>
            <w:vAlign w:val="bottom"/>
            <w:shd w:val="clear" w:color="auto" w:fill="D8E3ED"/>
          </w:tcPr>
          <w:p>
            <w:pPr>
              <w:ind w:left="400"/>
              <w:spacing w:after="0"/>
              <w:rPr>
                <w:sz w:val="20"/>
                <w:szCs w:val="20"/>
                <w:color w:val="auto"/>
              </w:rPr>
            </w:pPr>
            <w:r>
              <w:rPr>
                <w:rFonts w:ascii="Arial" w:cs="Arial" w:eastAsia="Arial" w:hAnsi="Arial"/>
                <w:sz w:val="15"/>
                <w:szCs w:val="15"/>
                <w:color w:val="auto"/>
              </w:rPr>
              <w:t>positions</w:t>
            </w:r>
          </w:p>
        </w:tc>
        <w:tc>
          <w:tcPr>
            <w:tcW w:w="5040" w:type="dxa"/>
            <w:vAlign w:val="bottom"/>
            <w:shd w:val="clear" w:color="auto" w:fill="D8E3ED"/>
          </w:tcPr>
          <w:p>
            <w:pPr>
              <w:ind w:left="3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Robust executive succession planning process</w:t>
            </w:r>
          </w:p>
        </w:tc>
        <w:tc>
          <w:tcPr>
            <w:tcW w:w="0" w:type="dxa"/>
            <w:vAlign w:val="bottom"/>
          </w:tcPr>
          <w:p>
            <w:pPr>
              <w:spacing w:after="0"/>
              <w:rPr>
                <w:sz w:val="1"/>
                <w:szCs w:val="1"/>
                <w:color w:val="auto"/>
              </w:rPr>
            </w:pPr>
          </w:p>
        </w:tc>
      </w:tr>
      <w:tr>
        <w:trPr>
          <w:trHeight w:val="247"/>
        </w:trPr>
        <w:tc>
          <w:tcPr>
            <w:tcW w:w="5040" w:type="dxa"/>
            <w:vAlign w:val="bottom"/>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Standing committees composed exclusively of independent</w:t>
            </w:r>
          </w:p>
        </w:tc>
        <w:tc>
          <w:tcPr>
            <w:tcW w:w="5040" w:type="dxa"/>
            <w:vAlign w:val="bottom"/>
            <w:shd w:val="clear" w:color="auto" w:fill="D8E3ED"/>
          </w:tcPr>
          <w:p>
            <w:pPr>
              <w:ind w:left="3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Strong risk management program</w:t>
            </w:r>
          </w:p>
        </w:tc>
        <w:tc>
          <w:tcPr>
            <w:tcW w:w="0" w:type="dxa"/>
            <w:vAlign w:val="bottom"/>
          </w:tcPr>
          <w:p>
            <w:pPr>
              <w:spacing w:after="0"/>
              <w:rPr>
                <w:sz w:val="1"/>
                <w:szCs w:val="1"/>
                <w:color w:val="auto"/>
              </w:rPr>
            </w:pPr>
          </w:p>
        </w:tc>
      </w:tr>
      <w:tr>
        <w:trPr>
          <w:trHeight w:val="201"/>
        </w:trPr>
        <w:tc>
          <w:tcPr>
            <w:tcW w:w="5040" w:type="dxa"/>
            <w:vAlign w:val="bottom"/>
            <w:shd w:val="clear" w:color="auto" w:fill="D8E3ED"/>
          </w:tcPr>
          <w:p>
            <w:pPr>
              <w:ind w:left="400"/>
              <w:spacing w:after="0"/>
              <w:rPr>
                <w:sz w:val="20"/>
                <w:szCs w:val="20"/>
                <w:color w:val="auto"/>
              </w:rPr>
            </w:pPr>
            <w:r>
              <w:rPr>
                <w:rFonts w:ascii="Arial" w:cs="Arial" w:eastAsia="Arial" w:hAnsi="Arial"/>
                <w:sz w:val="15"/>
                <w:szCs w:val="15"/>
                <w:color w:val="auto"/>
              </w:rPr>
              <w:t>directors</w:t>
            </w:r>
          </w:p>
        </w:tc>
        <w:tc>
          <w:tcPr>
            <w:tcW w:w="5040" w:type="dxa"/>
            <w:vAlign w:val="bottom"/>
            <w:vMerge w:val="restart"/>
            <w:shd w:val="clear" w:color="auto" w:fill="D8E3ED"/>
          </w:tcPr>
          <w:p>
            <w:pPr>
              <w:ind w:left="3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Comprehensive Code of Business Conduct and Corporate</w:t>
            </w:r>
          </w:p>
        </w:tc>
        <w:tc>
          <w:tcPr>
            <w:tcW w:w="0" w:type="dxa"/>
            <w:vAlign w:val="bottom"/>
          </w:tcPr>
          <w:p>
            <w:pPr>
              <w:spacing w:after="0"/>
              <w:rPr>
                <w:sz w:val="1"/>
                <w:szCs w:val="1"/>
                <w:color w:val="auto"/>
              </w:rPr>
            </w:pPr>
          </w:p>
        </w:tc>
      </w:tr>
      <w:tr>
        <w:trPr>
          <w:trHeight w:val="120"/>
        </w:trPr>
        <w:tc>
          <w:tcPr>
            <w:tcW w:w="5040" w:type="dxa"/>
            <w:vAlign w:val="bottom"/>
            <w:vMerge w:val="restart"/>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Regular executive sessions of the Board and Board committees</w:t>
            </w:r>
          </w:p>
        </w:tc>
        <w:tc>
          <w:tcPr>
            <w:tcW w:w="5040" w:type="dxa"/>
            <w:vAlign w:val="bottom"/>
            <w:vMerge w:val="continue"/>
            <w:shd w:val="clear" w:color="auto" w:fill="D8E3ED"/>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5040" w:type="dxa"/>
            <w:vAlign w:val="bottom"/>
            <w:vMerge w:val="continue"/>
            <w:shd w:val="clear" w:color="auto" w:fill="D8E3ED"/>
          </w:tcPr>
          <w:p>
            <w:pPr>
              <w:spacing w:after="0"/>
              <w:rPr>
                <w:sz w:val="17"/>
                <w:szCs w:val="17"/>
                <w:color w:val="auto"/>
              </w:rPr>
            </w:pPr>
          </w:p>
        </w:tc>
        <w:tc>
          <w:tcPr>
            <w:tcW w:w="5040" w:type="dxa"/>
            <w:vAlign w:val="bottom"/>
            <w:shd w:val="clear" w:color="auto" w:fill="D8E3ED"/>
          </w:tcPr>
          <w:p>
            <w:pPr>
              <w:ind w:left="500"/>
              <w:spacing w:after="0"/>
              <w:rPr>
                <w:sz w:val="20"/>
                <w:szCs w:val="20"/>
                <w:color w:val="auto"/>
              </w:rPr>
            </w:pPr>
            <w:r>
              <w:rPr>
                <w:rFonts w:ascii="Arial" w:cs="Arial" w:eastAsia="Arial" w:hAnsi="Arial"/>
                <w:sz w:val="15"/>
                <w:szCs w:val="15"/>
                <w:color w:val="auto"/>
              </w:rPr>
              <w:t>Governance Principles</w:t>
            </w:r>
          </w:p>
        </w:tc>
        <w:tc>
          <w:tcPr>
            <w:tcW w:w="0" w:type="dxa"/>
            <w:vAlign w:val="bottom"/>
          </w:tcPr>
          <w:p>
            <w:pPr>
              <w:spacing w:after="0"/>
              <w:rPr>
                <w:sz w:val="1"/>
                <w:szCs w:val="1"/>
                <w:color w:val="auto"/>
              </w:rPr>
            </w:pPr>
          </w:p>
        </w:tc>
      </w:tr>
      <w:tr>
        <w:trPr>
          <w:trHeight w:val="295"/>
        </w:trPr>
        <w:tc>
          <w:tcPr>
            <w:tcW w:w="5040" w:type="dxa"/>
            <w:vAlign w:val="bottom"/>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Annual Board and committee evaluations</w:t>
            </w:r>
          </w:p>
        </w:tc>
        <w:tc>
          <w:tcPr>
            <w:tcW w:w="5040" w:type="dxa"/>
            <w:vAlign w:val="bottom"/>
            <w:shd w:val="clear" w:color="auto" w:fill="D8E3ED"/>
          </w:tcPr>
          <w:p>
            <w:pPr>
              <w:ind w:left="3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Active Board oversight of Company strategy and risk management</w:t>
            </w:r>
          </w:p>
        </w:tc>
        <w:tc>
          <w:tcPr>
            <w:tcW w:w="0" w:type="dxa"/>
            <w:vAlign w:val="bottom"/>
          </w:tcPr>
          <w:p>
            <w:pPr>
              <w:spacing w:after="0"/>
              <w:rPr>
                <w:sz w:val="1"/>
                <w:szCs w:val="1"/>
                <w:color w:val="auto"/>
              </w:rPr>
            </w:pPr>
          </w:p>
        </w:tc>
      </w:tr>
      <w:tr>
        <w:trPr>
          <w:trHeight w:val="256"/>
        </w:trPr>
        <w:tc>
          <w:tcPr>
            <w:tcW w:w="5040" w:type="dxa"/>
            <w:vAlign w:val="bottom"/>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Global ethics and corporate compliance program</w:t>
            </w:r>
          </w:p>
        </w:tc>
        <w:tc>
          <w:tcPr>
            <w:tcW w:w="5040" w:type="dxa"/>
            <w:vAlign w:val="bottom"/>
            <w:shd w:val="clear" w:color="auto" w:fill="D8E3ED"/>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040" w:type="dxa"/>
            <w:vAlign w:val="bottom"/>
            <w:shd w:val="clear" w:color="auto" w:fill="D8E3ED"/>
          </w:tcPr>
          <w:p>
            <w:pPr>
              <w:ind w:left="2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Board and committee oversight of Environmental, Social and</w:t>
            </w:r>
          </w:p>
        </w:tc>
        <w:tc>
          <w:tcPr>
            <w:tcW w:w="5040" w:type="dxa"/>
            <w:vAlign w:val="bottom"/>
            <w:shd w:val="clear" w:color="auto" w:fill="D8E3ED"/>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5040" w:type="dxa"/>
            <w:vAlign w:val="bottom"/>
            <w:shd w:val="clear" w:color="auto" w:fill="D8E3ED"/>
          </w:tcPr>
          <w:p>
            <w:pPr>
              <w:ind w:left="400"/>
              <w:spacing w:after="0"/>
              <w:rPr>
                <w:sz w:val="20"/>
                <w:szCs w:val="20"/>
                <w:color w:val="auto"/>
              </w:rPr>
            </w:pPr>
            <w:r>
              <w:rPr>
                <w:rFonts w:ascii="Arial" w:cs="Arial" w:eastAsia="Arial" w:hAnsi="Arial"/>
                <w:sz w:val="15"/>
                <w:szCs w:val="15"/>
                <w:color w:val="auto"/>
              </w:rPr>
              <w:t>Governance (“ESG”) matters</w:t>
            </w:r>
          </w:p>
        </w:tc>
        <w:tc>
          <w:tcPr>
            <w:tcW w:w="5040" w:type="dxa"/>
            <w:vAlign w:val="bottom"/>
            <w:shd w:val="clear" w:color="auto" w:fill="D8E3ED"/>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D8E3ED"/>
          </w:tcPr>
          <w:p>
            <w:pPr>
              <w:spacing w:after="0"/>
              <w:rPr>
                <w:sz w:val="15"/>
                <w:szCs w:val="15"/>
                <w:color w:val="auto"/>
              </w:rPr>
            </w:pPr>
          </w:p>
        </w:tc>
        <w:tc>
          <w:tcPr>
            <w:tcW w:w="5040" w:type="dxa"/>
            <w:vAlign w:val="bottom"/>
            <w:shd w:val="clear" w:color="auto" w:fill="D8E3ED"/>
          </w:tcPr>
          <w:p>
            <w:pPr>
              <w:spacing w:after="0"/>
              <w:rPr>
                <w:sz w:val="15"/>
                <w:szCs w:val="15"/>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ENVIRONMENTAL, SOCIAL AND GOVERNANCE PRACTICES</w:t>
      </w:r>
    </w:p>
    <w:p>
      <w:pPr>
        <w:spacing w:after="0" w:line="106" w:lineRule="exact"/>
        <w:rPr>
          <w:sz w:val="20"/>
          <w:szCs w:val="20"/>
          <w:color w:val="auto"/>
        </w:rPr>
      </w:pPr>
    </w:p>
    <w:p>
      <w:pPr>
        <w:ind w:left="580" w:right="200"/>
        <w:spacing w:after="0" w:line="257" w:lineRule="auto"/>
        <w:rPr>
          <w:sz w:val="20"/>
          <w:szCs w:val="20"/>
          <w:color w:val="auto"/>
        </w:rPr>
      </w:pPr>
      <w:r>
        <w:rPr>
          <w:rFonts w:ascii="Arial" w:cs="Arial" w:eastAsia="Arial" w:hAnsi="Arial"/>
          <w:sz w:val="15"/>
          <w:szCs w:val="15"/>
          <w:color w:val="auto"/>
        </w:rPr>
        <w:t>We aspire to operate in a manner that advances strong ESG practices and to increase disclosure of our activities and progress accordingly. During 2021, we made progress in establishing our ESG program, building on our well-established Corporate Social Responsibility activities that include inclusion and diversity efforts, customer and community engagement, and associate recruitment and development. In December 2021, we published our Task Force on Climate-related Financial Disclosure (“TCFD”) report and also published our Sustainability Accounting Standards Board (“SASB”) tables. The TCFD report and SASB tables are available on our website at www.marriottvacationsworldwide.com. In 2022, we intend to publish our first full Sustainability Report.</w:t>
      </w:r>
    </w:p>
    <w:p>
      <w:pPr>
        <w:spacing w:after="0" w:line="262"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STOCKHOLDER ENGAGEMENT</w:t>
      </w:r>
    </w:p>
    <w:p>
      <w:pPr>
        <w:spacing w:after="0" w:line="106" w:lineRule="exact"/>
        <w:rPr>
          <w:sz w:val="20"/>
          <w:szCs w:val="20"/>
          <w:color w:val="auto"/>
        </w:rPr>
      </w:pPr>
    </w:p>
    <w:p>
      <w:pPr>
        <w:ind w:left="580" w:right="460"/>
        <w:spacing w:after="0" w:line="259" w:lineRule="auto"/>
        <w:rPr>
          <w:sz w:val="20"/>
          <w:szCs w:val="20"/>
          <w:color w:val="auto"/>
        </w:rPr>
      </w:pPr>
      <w:r>
        <w:rPr>
          <w:rFonts w:ascii="Arial" w:cs="Arial" w:eastAsia="Arial" w:hAnsi="Arial"/>
          <w:sz w:val="15"/>
          <w:szCs w:val="15"/>
          <w:color w:val="auto"/>
        </w:rPr>
        <w:t>We value our stockholders’ perspective on our business and each year regularly engage with stockholders through a variety of engagement activities to stay informed on the evolving perspectives of the investor community. We engage with stockholders on various matters, including industry trends, company performance, corporate governance, and executive compensation. In 2021, our key stockholder engagement activities were primarily conducted virtually due to health and safety concerns arising from the ongoing COVID-19 pandemic, and included seven non-deal investor road shows, 11 investor conferences and our 2021 annual meeting of stockholders.</w:t>
      </w:r>
    </w:p>
    <w:p>
      <w:pPr>
        <w:spacing w:after="0" w:line="286" w:lineRule="exact"/>
        <w:rPr>
          <w:sz w:val="20"/>
          <w:szCs w:val="20"/>
          <w:color w:val="auto"/>
        </w:rPr>
      </w:pPr>
    </w:p>
    <w:p>
      <w:pPr>
        <w:ind w:left="400"/>
        <w:spacing w:after="0"/>
        <w:tabs>
          <w:tab w:leader="none" w:pos="5260" w:val="left"/>
          <w:tab w:leader="none" w:pos="1078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Proxy Summary</w:t>
      </w:r>
      <w:r>
        <w:rPr>
          <w:sz w:val="20"/>
          <w:szCs w:val="20"/>
          <w:color w:val="auto"/>
        </w:rPr>
        <w:tab/>
      </w:r>
      <w:r>
        <w:rPr>
          <w:rFonts w:ascii="Arial" w:cs="Arial" w:eastAsia="Arial" w:hAnsi="Arial"/>
          <w:sz w:val="10"/>
          <w:szCs w:val="10"/>
          <w:b w:val="1"/>
          <w:bCs w:val="1"/>
          <w:color w:val="00498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6" w:name="page7"/>
    <w:bookmarkEnd w:id="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199390</wp:posOffset>
            </wp:positionV>
            <wp:extent cx="6638925" cy="6663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8925" cy="66636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SELECT PERFORMANCE AND BUSINESS HIGHLIGHTS</w:t>
      </w:r>
    </w:p>
    <w:p>
      <w:pPr>
        <w:spacing w:after="0" w:line="119" w:lineRule="exact"/>
        <w:rPr>
          <w:sz w:val="20"/>
          <w:szCs w:val="20"/>
          <w:color w:val="auto"/>
        </w:rPr>
      </w:pPr>
    </w:p>
    <w:p>
      <w:pPr>
        <w:ind w:left="760" w:hanging="185"/>
        <w:spacing w:after="0"/>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Consolidated Vacation Ownership contract sales totaled nearly $1.4 billion for full year 2021.</w:t>
      </w:r>
    </w:p>
    <w:p>
      <w:pPr>
        <w:spacing w:after="0" w:line="122" w:lineRule="exact"/>
        <w:rPr>
          <w:rFonts w:ascii="Arial" w:cs="Arial" w:eastAsia="Arial" w:hAnsi="Arial"/>
          <w:sz w:val="15"/>
          <w:szCs w:val="15"/>
          <w:color w:val="004987"/>
        </w:rPr>
      </w:pPr>
    </w:p>
    <w:p>
      <w:pPr>
        <w:ind w:left="760" w:hanging="185"/>
        <w:spacing w:after="0"/>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Net income attributable to common shareholders was $49 million, or $1.13 per fully diluted earnings per share.</w:t>
      </w:r>
    </w:p>
    <w:p>
      <w:pPr>
        <w:spacing w:after="0" w:line="122" w:lineRule="exact"/>
        <w:rPr>
          <w:rFonts w:ascii="Arial" w:cs="Arial" w:eastAsia="Arial" w:hAnsi="Arial"/>
          <w:sz w:val="15"/>
          <w:szCs w:val="15"/>
          <w:color w:val="004987"/>
        </w:rPr>
      </w:pPr>
    </w:p>
    <w:p>
      <w:pPr>
        <w:ind w:left="760" w:hanging="185"/>
        <w:spacing w:after="0"/>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Adjusted net income attributable to common shareholders was $190 million and adjusted fully diluted earnings per share was $4.40.</w:t>
      </w:r>
    </w:p>
    <w:p>
      <w:pPr>
        <w:spacing w:after="0" w:line="122" w:lineRule="exact"/>
        <w:rPr>
          <w:rFonts w:ascii="Arial" w:cs="Arial" w:eastAsia="Arial" w:hAnsi="Arial"/>
          <w:sz w:val="15"/>
          <w:szCs w:val="15"/>
          <w:color w:val="004987"/>
        </w:rPr>
      </w:pPr>
    </w:p>
    <w:p>
      <w:pPr>
        <w:ind w:left="760" w:hanging="185"/>
        <w:spacing w:after="0"/>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Adjusted EBITDA totaled $657 million for the full year 2021.</w:t>
      </w:r>
    </w:p>
    <w:p>
      <w:pPr>
        <w:spacing w:after="0" w:line="122" w:lineRule="exact"/>
        <w:rPr>
          <w:rFonts w:ascii="Arial" w:cs="Arial" w:eastAsia="Arial" w:hAnsi="Arial"/>
          <w:sz w:val="15"/>
          <w:szCs w:val="15"/>
          <w:color w:val="004987"/>
        </w:rPr>
      </w:pPr>
    </w:p>
    <w:p>
      <w:pPr>
        <w:ind w:left="760" w:hanging="185"/>
        <w:spacing w:after="0"/>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The Company ended 2021 with approximately $1.1 billion of liquidity, including $342 million in cash and cash equivalents.</w:t>
      </w:r>
    </w:p>
    <w:p>
      <w:pPr>
        <w:spacing w:after="0" w:line="122" w:lineRule="exact"/>
        <w:rPr>
          <w:rFonts w:ascii="Arial" w:cs="Arial" w:eastAsia="Arial" w:hAnsi="Arial"/>
          <w:sz w:val="15"/>
          <w:szCs w:val="15"/>
          <w:color w:val="004987"/>
        </w:rPr>
      </w:pPr>
    </w:p>
    <w:p>
      <w:pPr>
        <w:ind w:left="760" w:hanging="185"/>
        <w:spacing w:after="0"/>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The Company generated net cash provided by operating activities of $343 million and Adjusted free cash flow of $417 million.</w:t>
      </w:r>
    </w:p>
    <w:p>
      <w:pPr>
        <w:spacing w:after="0" w:line="122" w:lineRule="exact"/>
        <w:rPr>
          <w:rFonts w:ascii="Arial" w:cs="Arial" w:eastAsia="Arial" w:hAnsi="Arial"/>
          <w:sz w:val="15"/>
          <w:szCs w:val="15"/>
          <w:color w:val="004987"/>
        </w:rPr>
      </w:pPr>
    </w:p>
    <w:p>
      <w:pPr>
        <w:ind w:left="760" w:right="460" w:hanging="185"/>
        <w:spacing w:after="0" w:line="263" w:lineRule="auto"/>
        <w:tabs>
          <w:tab w:leader="none" w:pos="760" w:val="left"/>
        </w:tabs>
        <w:numPr>
          <w:ilvl w:val="0"/>
          <w:numId w:val="22"/>
        </w:numPr>
        <w:rPr>
          <w:rFonts w:ascii="Arial" w:cs="Arial" w:eastAsia="Arial" w:hAnsi="Arial"/>
          <w:sz w:val="15"/>
          <w:szCs w:val="15"/>
          <w:color w:val="004987"/>
        </w:rPr>
      </w:pPr>
      <w:r>
        <w:rPr>
          <w:rFonts w:ascii="Arial" w:cs="Arial" w:eastAsia="Arial" w:hAnsi="Arial"/>
          <w:sz w:val="15"/>
          <w:szCs w:val="15"/>
          <w:color w:val="auto"/>
        </w:rPr>
        <w:t>Adjusted net income attributable to common shareholders, Adjusted fully diluted earnings per share, Adjusted EBITDA and Adjusted free cash flow are financial measures that are not prescribed by United States generally accepted accounting principles (“U.S. GAAP”). Please refer to Appendix A for a reconciliation of these non-GAAP financial measures to the most directly comparable financial measures prescribed by U.S. GAAP, as well as our reasons for presenting these measures.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EXECUTIVE COMPENSATION HIGHLIGHTS</w:t>
      </w:r>
    </w:p>
    <w:p>
      <w:pPr>
        <w:spacing w:after="0" w:line="106" w:lineRule="exact"/>
        <w:rPr>
          <w:sz w:val="20"/>
          <w:szCs w:val="20"/>
          <w:color w:val="auto"/>
        </w:rPr>
      </w:pPr>
    </w:p>
    <w:p>
      <w:pPr>
        <w:ind w:left="580" w:right="220"/>
        <w:spacing w:after="0" w:line="289" w:lineRule="auto"/>
        <w:rPr>
          <w:sz w:val="20"/>
          <w:szCs w:val="20"/>
          <w:color w:val="auto"/>
        </w:rPr>
      </w:pPr>
      <w:r>
        <w:rPr>
          <w:rFonts w:ascii="Arial" w:cs="Arial" w:eastAsia="Arial" w:hAnsi="Arial"/>
          <w:sz w:val="15"/>
          <w:szCs w:val="15"/>
          <w:color w:val="auto"/>
        </w:rPr>
        <w:t>We seek to align the interests of our named executive officers (“NEOs”) with the interests of the Company’s stockholders. Certain important features of our executive compensation program include:</w:t>
      </w:r>
    </w:p>
    <w:p>
      <w:pPr>
        <w:spacing w:after="0" w:line="59" w:lineRule="exact"/>
        <w:rPr>
          <w:sz w:val="20"/>
          <w:szCs w:val="20"/>
          <w:color w:val="auto"/>
        </w:rPr>
      </w:pPr>
    </w:p>
    <w:p>
      <w:pPr>
        <w:ind w:left="760" w:hanging="185"/>
        <w:spacing w:after="0"/>
        <w:tabs>
          <w:tab w:leader="none" w:pos="760" w:val="left"/>
        </w:tabs>
        <w:numPr>
          <w:ilvl w:val="0"/>
          <w:numId w:val="23"/>
        </w:numPr>
        <w:rPr>
          <w:rFonts w:ascii="Arial" w:cs="Arial" w:eastAsia="Arial" w:hAnsi="Arial"/>
          <w:sz w:val="15"/>
          <w:szCs w:val="15"/>
          <w:color w:val="004987"/>
        </w:rPr>
      </w:pPr>
      <w:r>
        <w:rPr>
          <w:rFonts w:ascii="Arial" w:cs="Arial" w:eastAsia="Arial" w:hAnsi="Arial"/>
          <w:sz w:val="15"/>
          <w:szCs w:val="15"/>
          <w:color w:val="auto"/>
        </w:rPr>
        <w:t>The program is designed to align financial results and sustainable stockholder value creation with the compensation of our executives.</w:t>
      </w:r>
    </w:p>
    <w:p>
      <w:pPr>
        <w:spacing w:after="0" w:line="122" w:lineRule="exact"/>
        <w:rPr>
          <w:rFonts w:ascii="Arial" w:cs="Arial" w:eastAsia="Arial" w:hAnsi="Arial"/>
          <w:sz w:val="15"/>
          <w:szCs w:val="15"/>
          <w:color w:val="004987"/>
        </w:rPr>
      </w:pPr>
    </w:p>
    <w:p>
      <w:pPr>
        <w:ind w:left="760" w:right="600" w:hanging="185"/>
        <w:spacing w:after="0" w:line="289" w:lineRule="auto"/>
        <w:tabs>
          <w:tab w:leader="none" w:pos="760" w:val="left"/>
        </w:tabs>
        <w:numPr>
          <w:ilvl w:val="0"/>
          <w:numId w:val="23"/>
        </w:numPr>
        <w:rPr>
          <w:rFonts w:ascii="Arial" w:cs="Arial" w:eastAsia="Arial" w:hAnsi="Arial"/>
          <w:sz w:val="15"/>
          <w:szCs w:val="15"/>
          <w:color w:val="004987"/>
        </w:rPr>
      </w:pPr>
      <w:r>
        <w:rPr>
          <w:rFonts w:ascii="Arial" w:cs="Arial" w:eastAsia="Arial" w:hAnsi="Arial"/>
          <w:sz w:val="15"/>
          <w:szCs w:val="15"/>
          <w:color w:val="auto"/>
        </w:rPr>
        <w:t>Pay is tied to performance. Approximately 53% of our CEO’s and approximately 49% of the other NEOs’ fiscal 2021 total compensation was performance based.</w:t>
      </w:r>
    </w:p>
    <w:p>
      <w:pPr>
        <w:spacing w:after="0" w:line="58" w:lineRule="exact"/>
        <w:rPr>
          <w:rFonts w:ascii="Arial" w:cs="Arial" w:eastAsia="Arial" w:hAnsi="Arial"/>
          <w:sz w:val="15"/>
          <w:szCs w:val="15"/>
          <w:color w:val="004987"/>
        </w:rPr>
      </w:pPr>
    </w:p>
    <w:p>
      <w:pPr>
        <w:ind w:left="1040" w:hanging="170"/>
        <w:spacing w:after="0"/>
        <w:tabs>
          <w:tab w:leader="none" w:pos="1040" w:val="left"/>
        </w:tabs>
        <w:numPr>
          <w:ilvl w:val="1"/>
          <w:numId w:val="23"/>
        </w:numPr>
        <w:rPr>
          <w:rFonts w:ascii="Arial" w:cs="Arial" w:eastAsia="Arial" w:hAnsi="Arial"/>
          <w:sz w:val="15"/>
          <w:szCs w:val="15"/>
          <w:color w:val="004987"/>
        </w:rPr>
      </w:pPr>
      <w:r>
        <w:rPr>
          <w:rFonts w:ascii="Arial" w:cs="Arial" w:eastAsia="Arial" w:hAnsi="Arial"/>
          <w:sz w:val="15"/>
          <w:szCs w:val="15"/>
          <w:color w:val="auto"/>
        </w:rPr>
        <w:t>Approximately 68% of our CEO’s and approximately 52% of the other NEOs’ fiscal 2021 total compensation is tied to stock performance.</w:t>
      </w:r>
    </w:p>
    <w:p>
      <w:pPr>
        <w:spacing w:after="0" w:line="228" w:lineRule="exact"/>
        <w:rPr>
          <w:sz w:val="20"/>
          <w:szCs w:val="20"/>
          <w:color w:val="auto"/>
        </w:rPr>
      </w:pPr>
    </w:p>
    <w:p>
      <w:pPr>
        <w:ind w:left="1980"/>
        <w:spacing w:after="0"/>
        <w:tabs>
          <w:tab w:leader="none" w:pos="6440" w:val="left"/>
        </w:tabs>
        <w:rPr>
          <w:sz w:val="20"/>
          <w:szCs w:val="20"/>
          <w:color w:val="auto"/>
        </w:rPr>
      </w:pPr>
      <w:r>
        <w:rPr>
          <w:rFonts w:ascii="Arial" w:cs="Arial" w:eastAsia="Arial" w:hAnsi="Arial"/>
          <w:sz w:val="16"/>
          <w:szCs w:val="16"/>
          <w:b w:val="1"/>
          <w:bCs w:val="1"/>
          <w:color w:val="auto"/>
        </w:rPr>
        <w:t>2021 Target Pay Matrix — CEO</w:t>
      </w:r>
      <w:r>
        <w:rPr>
          <w:sz w:val="20"/>
          <w:szCs w:val="20"/>
          <w:color w:val="auto"/>
        </w:rPr>
        <w:tab/>
      </w:r>
      <w:r>
        <w:rPr>
          <w:rFonts w:ascii="Arial" w:cs="Arial" w:eastAsia="Arial" w:hAnsi="Arial"/>
          <w:sz w:val="16"/>
          <w:szCs w:val="16"/>
          <w:b w:val="1"/>
          <w:bCs w:val="1"/>
          <w:color w:val="auto"/>
        </w:rPr>
        <w:t>2021 Target Pay Matrix — Other NEOs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60" w:hanging="185"/>
        <w:spacing w:after="0"/>
        <w:tabs>
          <w:tab w:leader="none" w:pos="760" w:val="left"/>
        </w:tabs>
        <w:numPr>
          <w:ilvl w:val="0"/>
          <w:numId w:val="24"/>
        </w:numPr>
        <w:rPr>
          <w:rFonts w:ascii="Arial" w:cs="Arial" w:eastAsia="Arial" w:hAnsi="Arial"/>
          <w:sz w:val="15"/>
          <w:szCs w:val="15"/>
          <w:color w:val="004987"/>
        </w:rPr>
      </w:pPr>
      <w:r>
        <w:rPr>
          <w:rFonts w:ascii="Arial" w:cs="Arial" w:eastAsia="Arial" w:hAnsi="Arial"/>
          <w:sz w:val="15"/>
          <w:szCs w:val="15"/>
          <w:color w:val="auto"/>
        </w:rPr>
        <w:t>The Company maintains stock ownership guidelines that apply to all executive officers and directors.</w:t>
      </w:r>
    </w:p>
    <w:p>
      <w:pPr>
        <w:spacing w:after="0" w:line="122" w:lineRule="exact"/>
        <w:rPr>
          <w:rFonts w:ascii="Arial" w:cs="Arial" w:eastAsia="Arial" w:hAnsi="Arial"/>
          <w:sz w:val="15"/>
          <w:szCs w:val="15"/>
          <w:color w:val="004987"/>
        </w:rPr>
      </w:pPr>
    </w:p>
    <w:p>
      <w:pPr>
        <w:ind w:left="760" w:right="680" w:hanging="185"/>
        <w:spacing w:after="0" w:line="289" w:lineRule="auto"/>
        <w:tabs>
          <w:tab w:leader="none" w:pos="760" w:val="left"/>
        </w:tabs>
        <w:numPr>
          <w:ilvl w:val="0"/>
          <w:numId w:val="24"/>
        </w:numPr>
        <w:rPr>
          <w:rFonts w:ascii="Arial" w:cs="Arial" w:eastAsia="Arial" w:hAnsi="Arial"/>
          <w:sz w:val="15"/>
          <w:szCs w:val="15"/>
          <w:color w:val="004987"/>
        </w:rPr>
      </w:pPr>
      <w:r>
        <w:rPr>
          <w:rFonts w:ascii="Arial" w:cs="Arial" w:eastAsia="Arial" w:hAnsi="Arial"/>
          <w:sz w:val="15"/>
          <w:szCs w:val="15"/>
          <w:color w:val="auto"/>
        </w:rPr>
        <w:t>The Company has strong governance policies related to executive compensation, and we employ appropriate compensation risk mitigating features.</w:t>
      </w:r>
    </w:p>
    <w:p>
      <w:pPr>
        <w:spacing w:after="0" w:line="263" w:lineRule="exact"/>
        <w:rPr>
          <w:sz w:val="20"/>
          <w:szCs w:val="20"/>
          <w:color w:val="auto"/>
        </w:rPr>
      </w:pPr>
    </w:p>
    <w:p>
      <w:pPr>
        <w:ind w:left="400"/>
        <w:spacing w:after="0"/>
        <w:tabs>
          <w:tab w:leader="none" w:pos="5260" w:val="left"/>
          <w:tab w:leader="none" w:pos="7720" w:val="left"/>
        </w:tabs>
        <w:rPr>
          <w:sz w:val="20"/>
          <w:szCs w:val="20"/>
          <w:color w:val="auto"/>
        </w:rPr>
      </w:pPr>
      <w:r>
        <w:rPr>
          <w:rFonts w:ascii="Arial" w:cs="Arial" w:eastAsia="Arial" w:hAnsi="Arial"/>
          <w:sz w:val="10"/>
          <w:szCs w:val="10"/>
          <w:b w:val="1"/>
          <w:bCs w:val="1"/>
          <w:color w:val="004987"/>
        </w:rPr>
        <w:t>2</w:t>
      </w:r>
      <w:r>
        <w:rPr>
          <w:sz w:val="20"/>
          <w:szCs w:val="20"/>
          <w:color w:val="auto"/>
        </w:rPr>
        <w:tab/>
      </w:r>
      <w:r>
        <w:rPr>
          <w:rFonts w:ascii="Arial" w:cs="Arial" w:eastAsia="Arial" w:hAnsi="Arial"/>
          <w:sz w:val="10"/>
          <w:szCs w:val="10"/>
          <w:color w:val="auto"/>
        </w:rPr>
        <w:t>Proxy Summary</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7" w:name="page8"/>
    <w:bookmarkEnd w:id="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199390</wp:posOffset>
            </wp:positionV>
            <wp:extent cx="6638925" cy="21615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8925" cy="21615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004987"/>
        </w:rPr>
        <w:t>DIRECTOR NOMINEES</w:t>
      </w:r>
    </w:p>
    <w:p>
      <w:pPr>
        <w:spacing w:after="0" w:line="106" w:lineRule="exact"/>
        <w:rPr>
          <w:sz w:val="20"/>
          <w:szCs w:val="20"/>
          <w:color w:val="auto"/>
        </w:rPr>
      </w:pPr>
    </w:p>
    <w:p>
      <w:pPr>
        <w:ind w:left="580" w:right="220"/>
        <w:spacing w:after="0" w:line="269" w:lineRule="auto"/>
        <w:rPr>
          <w:sz w:val="20"/>
          <w:szCs w:val="20"/>
          <w:color w:val="auto"/>
        </w:rPr>
      </w:pPr>
      <w:r>
        <w:rPr>
          <w:rFonts w:ascii="Arial" w:cs="Arial" w:eastAsia="Arial" w:hAnsi="Arial"/>
          <w:sz w:val="15"/>
          <w:szCs w:val="15"/>
          <w:color w:val="auto"/>
        </w:rPr>
        <w:t>As of the date of our Annual Meeting, our Board will consist of ten members divided into three classes. Each class serves a three-year term. The following table provides summary information regarding each nominee to the Board. Information about each director’s experience, qualifications and skills can be found in Report on the Board of Directors and its Committees.</w:t>
      </w:r>
    </w:p>
    <w:tbl>
      <w:tblPr>
        <w:tblLayout w:type="fixed"/>
        <w:tblInd w:w="580" w:type="dxa"/>
        <w:tblCellMar>
          <w:top w:w="0" w:type="dxa"/>
          <w:left w:w="0" w:type="dxa"/>
          <w:bottom w:w="0" w:type="dxa"/>
          <w:right w:w="0" w:type="dxa"/>
        </w:tblCellMar>
      </w:tblPr>
      <w:tr>
        <w:trPr>
          <w:trHeight w:val="227"/>
        </w:trPr>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004987"/>
                <w:w w:val="98"/>
              </w:rPr>
              <w:t>DIRECTOR</w:t>
            </w:r>
          </w:p>
        </w:tc>
        <w:tc>
          <w:tcPr>
            <w:tcW w:w="2260" w:type="dxa"/>
            <w:vAlign w:val="bottom"/>
          </w:tcPr>
          <w:p>
            <w:pPr>
              <w:spacing w:after="0"/>
              <w:rPr>
                <w:sz w:val="19"/>
                <w:szCs w:val="19"/>
                <w:color w:val="auto"/>
              </w:rPr>
            </w:pPr>
          </w:p>
        </w:tc>
        <w:tc>
          <w:tcPr>
            <w:tcW w:w="800" w:type="dxa"/>
            <w:vAlign w:val="bottom"/>
          </w:tcPr>
          <w:p>
            <w:pPr>
              <w:jc w:val="center"/>
              <w:ind w:left="67"/>
              <w:spacing w:after="0"/>
              <w:rPr>
                <w:sz w:val="20"/>
                <w:szCs w:val="20"/>
                <w:color w:val="auto"/>
              </w:rPr>
            </w:pPr>
            <w:r>
              <w:rPr>
                <w:rFonts w:ascii="Arial" w:cs="Arial" w:eastAsia="Arial" w:hAnsi="Arial"/>
                <w:sz w:val="14"/>
                <w:szCs w:val="14"/>
                <w:b w:val="1"/>
                <w:bCs w:val="1"/>
                <w:color w:val="004987"/>
                <w:w w:val="99"/>
              </w:rPr>
              <w:t>INDE-</w:t>
            </w:r>
          </w:p>
        </w:tc>
        <w:tc>
          <w:tcPr>
            <w:tcW w:w="2080" w:type="dxa"/>
            <w:vAlign w:val="bottom"/>
            <w:tcBorders>
              <w:bottom w:val="single" w:sz="8" w:color="004987"/>
            </w:tcBorders>
            <w:gridSpan w:val="3"/>
          </w:tcPr>
          <w:p>
            <w:pPr>
              <w:jc w:val="center"/>
              <w:ind w:left="32"/>
              <w:spacing w:after="0" w:line="228" w:lineRule="exact"/>
              <w:rPr>
                <w:sz w:val="20"/>
                <w:szCs w:val="20"/>
                <w:color w:val="auto"/>
              </w:rPr>
            </w:pPr>
            <w:r>
              <w:rPr>
                <w:rFonts w:ascii="Arial" w:cs="Arial" w:eastAsia="Arial" w:hAnsi="Arial"/>
                <w:sz w:val="14"/>
                <w:szCs w:val="14"/>
                <w:b w:val="1"/>
                <w:bCs w:val="1"/>
                <w:color w:val="004987"/>
                <w:w w:val="96"/>
              </w:rPr>
              <w:t>COMMITTEE MEMBERSHIPS</w:t>
            </w:r>
            <w:r>
              <w:rPr>
                <w:rFonts w:ascii="Arial" w:cs="Arial" w:eastAsia="Arial" w:hAnsi="Arial"/>
                <w:sz w:val="23"/>
                <w:szCs w:val="23"/>
                <w:color w:val="004987"/>
                <w:w w:val="96"/>
                <w:vertAlign w:val="superscript"/>
              </w:rPr>
              <w:t>1</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680" w:type="dxa"/>
            <w:vAlign w:val="bottom"/>
            <w:tcBorders>
              <w:bottom w:val="single" w:sz="8" w:color="004987"/>
            </w:tcBorders>
          </w:tcPr>
          <w:p>
            <w:pPr>
              <w:spacing w:after="0" w:line="147" w:lineRule="exact"/>
              <w:rPr>
                <w:sz w:val="20"/>
                <w:szCs w:val="20"/>
                <w:color w:val="auto"/>
              </w:rPr>
            </w:pPr>
            <w:r>
              <w:rPr>
                <w:rFonts w:ascii="Arial" w:cs="Arial" w:eastAsia="Arial" w:hAnsi="Arial"/>
                <w:sz w:val="14"/>
                <w:szCs w:val="14"/>
                <w:b w:val="1"/>
                <w:bCs w:val="1"/>
                <w:color w:val="004987"/>
              </w:rPr>
              <w:t>NAME</w:t>
            </w:r>
          </w:p>
        </w:tc>
        <w:tc>
          <w:tcPr>
            <w:tcW w:w="420" w:type="dxa"/>
            <w:vAlign w:val="bottom"/>
            <w:tcBorders>
              <w:bottom w:val="single" w:sz="8" w:color="004987"/>
            </w:tcBorders>
          </w:tcPr>
          <w:p>
            <w:pPr>
              <w:jc w:val="center"/>
              <w:spacing w:after="0" w:line="147" w:lineRule="exact"/>
              <w:rPr>
                <w:sz w:val="20"/>
                <w:szCs w:val="20"/>
                <w:color w:val="auto"/>
              </w:rPr>
            </w:pPr>
            <w:r>
              <w:rPr>
                <w:rFonts w:ascii="Arial" w:cs="Arial" w:eastAsia="Arial" w:hAnsi="Arial"/>
                <w:sz w:val="14"/>
                <w:szCs w:val="14"/>
                <w:b w:val="1"/>
                <w:bCs w:val="1"/>
                <w:color w:val="004987"/>
                <w:w w:val="98"/>
              </w:rPr>
              <w:t>AGE</w:t>
            </w:r>
          </w:p>
        </w:tc>
        <w:tc>
          <w:tcPr>
            <w:tcW w:w="800" w:type="dxa"/>
            <w:vAlign w:val="bottom"/>
            <w:tcBorders>
              <w:bottom w:val="single" w:sz="8" w:color="004987"/>
            </w:tcBorders>
          </w:tcPr>
          <w:p>
            <w:pPr>
              <w:jc w:val="center"/>
              <w:spacing w:after="0" w:line="147" w:lineRule="exact"/>
              <w:rPr>
                <w:sz w:val="20"/>
                <w:szCs w:val="20"/>
                <w:color w:val="auto"/>
              </w:rPr>
            </w:pPr>
            <w:r>
              <w:rPr>
                <w:rFonts w:ascii="Arial" w:cs="Arial" w:eastAsia="Arial" w:hAnsi="Arial"/>
                <w:sz w:val="14"/>
                <w:szCs w:val="14"/>
                <w:b w:val="1"/>
                <w:bCs w:val="1"/>
                <w:color w:val="004987"/>
                <w:w w:val="93"/>
              </w:rPr>
              <w:t>SINCE</w:t>
            </w:r>
          </w:p>
        </w:tc>
        <w:tc>
          <w:tcPr>
            <w:tcW w:w="2260" w:type="dxa"/>
            <w:vAlign w:val="bottom"/>
            <w:tcBorders>
              <w:bottom w:val="single" w:sz="8" w:color="004987"/>
            </w:tcBorders>
          </w:tcPr>
          <w:p>
            <w:pPr>
              <w:jc w:val="right"/>
              <w:ind w:right="164"/>
              <w:spacing w:after="0" w:line="147" w:lineRule="exact"/>
              <w:rPr>
                <w:sz w:val="20"/>
                <w:szCs w:val="20"/>
                <w:color w:val="auto"/>
              </w:rPr>
            </w:pPr>
            <w:r>
              <w:rPr>
                <w:rFonts w:ascii="Arial" w:cs="Arial" w:eastAsia="Arial" w:hAnsi="Arial"/>
                <w:sz w:val="14"/>
                <w:szCs w:val="14"/>
                <w:b w:val="1"/>
                <w:bCs w:val="1"/>
                <w:color w:val="004987"/>
              </w:rPr>
              <w:t>PRINCIPAL OCCUPATION</w:t>
            </w:r>
          </w:p>
        </w:tc>
        <w:tc>
          <w:tcPr>
            <w:tcW w:w="800" w:type="dxa"/>
            <w:vAlign w:val="bottom"/>
            <w:tcBorders>
              <w:bottom w:val="single" w:sz="8" w:color="004987"/>
            </w:tcBorders>
          </w:tcPr>
          <w:p>
            <w:pPr>
              <w:jc w:val="center"/>
              <w:ind w:left="67"/>
              <w:spacing w:after="0" w:line="147" w:lineRule="exact"/>
              <w:rPr>
                <w:sz w:val="20"/>
                <w:szCs w:val="20"/>
                <w:color w:val="auto"/>
              </w:rPr>
            </w:pPr>
            <w:r>
              <w:rPr>
                <w:rFonts w:ascii="Arial" w:cs="Arial" w:eastAsia="Arial" w:hAnsi="Arial"/>
                <w:sz w:val="14"/>
                <w:szCs w:val="14"/>
                <w:b w:val="1"/>
                <w:bCs w:val="1"/>
                <w:color w:val="004987"/>
                <w:w w:val="98"/>
              </w:rPr>
              <w:t>PENDENT</w:t>
            </w:r>
          </w:p>
        </w:tc>
        <w:tc>
          <w:tcPr>
            <w:tcW w:w="720" w:type="dxa"/>
            <w:vAlign w:val="bottom"/>
            <w:tcBorders>
              <w:bottom w:val="single" w:sz="8" w:color="004987"/>
            </w:tcBorders>
          </w:tcPr>
          <w:p>
            <w:pPr>
              <w:ind w:left="300"/>
              <w:spacing w:after="0" w:line="147" w:lineRule="exact"/>
              <w:rPr>
                <w:sz w:val="20"/>
                <w:szCs w:val="20"/>
                <w:color w:val="auto"/>
              </w:rPr>
            </w:pPr>
            <w:r>
              <w:rPr>
                <w:rFonts w:ascii="Arial" w:cs="Arial" w:eastAsia="Arial" w:hAnsi="Arial"/>
                <w:sz w:val="14"/>
                <w:szCs w:val="14"/>
                <w:b w:val="1"/>
                <w:bCs w:val="1"/>
                <w:color w:val="004987"/>
              </w:rPr>
              <w:t>AC</w:t>
            </w:r>
          </w:p>
        </w:tc>
        <w:tc>
          <w:tcPr>
            <w:tcW w:w="700" w:type="dxa"/>
            <w:vAlign w:val="bottom"/>
            <w:tcBorders>
              <w:bottom w:val="single" w:sz="8" w:color="004987"/>
            </w:tcBorders>
          </w:tcPr>
          <w:p>
            <w:pPr>
              <w:jc w:val="center"/>
              <w:spacing w:after="0" w:line="147" w:lineRule="exact"/>
              <w:rPr>
                <w:sz w:val="20"/>
                <w:szCs w:val="20"/>
                <w:color w:val="auto"/>
              </w:rPr>
            </w:pPr>
            <w:r>
              <w:rPr>
                <w:rFonts w:ascii="Arial" w:cs="Arial" w:eastAsia="Arial" w:hAnsi="Arial"/>
                <w:sz w:val="14"/>
                <w:szCs w:val="14"/>
                <w:b w:val="1"/>
                <w:bCs w:val="1"/>
                <w:color w:val="004987"/>
                <w:w w:val="94"/>
              </w:rPr>
              <w:t>CPC</w:t>
            </w:r>
          </w:p>
        </w:tc>
        <w:tc>
          <w:tcPr>
            <w:tcW w:w="660" w:type="dxa"/>
            <w:vAlign w:val="bottom"/>
            <w:tcBorders>
              <w:bottom w:val="single" w:sz="8" w:color="004987"/>
            </w:tcBorders>
          </w:tcPr>
          <w:p>
            <w:pPr>
              <w:jc w:val="center"/>
              <w:spacing w:after="0" w:line="147" w:lineRule="exact"/>
              <w:rPr>
                <w:sz w:val="20"/>
                <w:szCs w:val="20"/>
                <w:color w:val="auto"/>
              </w:rPr>
            </w:pPr>
            <w:r>
              <w:rPr>
                <w:rFonts w:ascii="Arial" w:cs="Arial" w:eastAsia="Arial" w:hAnsi="Arial"/>
                <w:sz w:val="14"/>
                <w:szCs w:val="14"/>
                <w:b w:val="1"/>
                <w:bCs w:val="1"/>
                <w:color w:val="004987"/>
                <w:w w:val="96"/>
              </w:rPr>
              <w:t>NCG</w:t>
            </w:r>
          </w:p>
        </w:tc>
        <w:tc>
          <w:tcPr>
            <w:tcW w:w="2040" w:type="dxa"/>
            <w:vAlign w:val="bottom"/>
            <w:tcBorders>
              <w:bottom w:val="single" w:sz="8" w:color="004987"/>
            </w:tcBorders>
          </w:tcPr>
          <w:p>
            <w:pPr>
              <w:jc w:val="center"/>
              <w:ind w:left="25"/>
              <w:spacing w:after="0" w:line="147" w:lineRule="exact"/>
              <w:rPr>
                <w:sz w:val="20"/>
                <w:szCs w:val="20"/>
                <w:color w:val="auto"/>
              </w:rPr>
            </w:pPr>
            <w:r>
              <w:rPr>
                <w:rFonts w:ascii="Arial" w:cs="Arial" w:eastAsia="Arial" w:hAnsi="Arial"/>
                <w:sz w:val="14"/>
                <w:szCs w:val="14"/>
                <w:b w:val="1"/>
                <w:bCs w:val="1"/>
                <w:color w:val="004987"/>
                <w:w w:val="97"/>
              </w:rPr>
              <w:t>OTHER PUBLIC CO. BOARDS</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60" w:type="dxa"/>
            <w:vAlign w:val="bottom"/>
          </w:tcPr>
          <w:p>
            <w:pPr>
              <w:ind w:left="40"/>
              <w:spacing w:after="0" w:line="167" w:lineRule="exact"/>
              <w:rPr>
                <w:sz w:val="20"/>
                <w:szCs w:val="20"/>
                <w:color w:val="auto"/>
              </w:rPr>
            </w:pPr>
            <w:r>
              <w:rPr>
                <w:rFonts w:ascii="Arial" w:cs="Arial" w:eastAsia="Arial" w:hAnsi="Arial"/>
                <w:sz w:val="15"/>
                <w:szCs w:val="15"/>
                <w:color w:val="auto"/>
              </w:rPr>
              <w:t>Retired, Chairman, CEO and</w:t>
            </w:r>
          </w:p>
        </w:tc>
        <w:tc>
          <w:tcPr>
            <w:tcW w:w="800" w:type="dxa"/>
            <w:vAlign w:val="bottom"/>
            <w:vMerge w:val="restart"/>
          </w:tcPr>
          <w:p>
            <w:pPr>
              <w:jc w:val="center"/>
              <w:ind w:left="67"/>
              <w:spacing w:after="0" w:line="151" w:lineRule="exact"/>
              <w:rPr>
                <w:sz w:val="20"/>
                <w:szCs w:val="20"/>
                <w:color w:val="auto"/>
              </w:rPr>
            </w:pPr>
            <w:r>
              <w:rPr>
                <w:rFonts w:ascii="MS PGothic" w:cs="MS PGothic" w:eastAsia="MS PGothic" w:hAnsi="MS PGothic"/>
                <w:sz w:val="15"/>
                <w:szCs w:val="15"/>
                <w:color w:val="auto"/>
                <w:w w:val="93"/>
              </w:rPr>
              <w:t>✓</w:t>
            </w:r>
          </w:p>
        </w:tc>
        <w:tc>
          <w:tcPr>
            <w:tcW w:w="720" w:type="dxa"/>
            <w:vAlign w:val="bottom"/>
          </w:tcPr>
          <w:p>
            <w:pPr>
              <w:spacing w:after="0"/>
              <w:rPr>
                <w:sz w:val="14"/>
                <w:szCs w:val="14"/>
                <w:color w:val="auto"/>
              </w:rPr>
            </w:pPr>
          </w:p>
        </w:tc>
        <w:tc>
          <w:tcPr>
            <w:tcW w:w="70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80" w:type="dxa"/>
            <w:vAlign w:val="bottom"/>
          </w:tcPr>
          <w:p>
            <w:pPr>
              <w:spacing w:after="0"/>
              <w:rPr>
                <w:sz w:val="20"/>
                <w:szCs w:val="20"/>
                <w:color w:val="auto"/>
              </w:rPr>
            </w:pPr>
            <w:r>
              <w:rPr>
                <w:rFonts w:ascii="Arial" w:cs="Arial" w:eastAsia="Arial" w:hAnsi="Arial"/>
                <w:sz w:val="15"/>
                <w:szCs w:val="15"/>
                <w:color w:val="auto"/>
              </w:rPr>
              <w:t>Raymond L. Gellein, Jr.</w:t>
            </w:r>
          </w:p>
        </w:tc>
        <w:tc>
          <w:tcPr>
            <w:tcW w:w="420" w:type="dxa"/>
            <w:vAlign w:val="bottom"/>
          </w:tcPr>
          <w:p>
            <w:pPr>
              <w:jc w:val="center"/>
              <w:spacing w:after="0"/>
              <w:rPr>
                <w:sz w:val="20"/>
                <w:szCs w:val="20"/>
                <w:color w:val="auto"/>
              </w:rPr>
            </w:pPr>
            <w:r>
              <w:rPr>
                <w:rFonts w:ascii="Arial" w:cs="Arial" w:eastAsia="Arial" w:hAnsi="Arial"/>
                <w:sz w:val="15"/>
                <w:szCs w:val="15"/>
                <w:color w:val="auto"/>
                <w:w w:val="95"/>
              </w:rPr>
              <w:t>74</w:t>
            </w:r>
          </w:p>
        </w:tc>
        <w:tc>
          <w:tcPr>
            <w:tcW w:w="3060" w:type="dxa"/>
            <w:vAlign w:val="bottom"/>
            <w:gridSpan w:val="2"/>
          </w:tcPr>
          <w:p>
            <w:pPr>
              <w:jc w:val="right"/>
              <w:ind w:right="164"/>
              <w:spacing w:after="0"/>
              <w:rPr>
                <w:sz w:val="20"/>
                <w:szCs w:val="20"/>
                <w:color w:val="auto"/>
              </w:rPr>
            </w:pPr>
            <w:r>
              <w:rPr>
                <w:rFonts w:ascii="Arial" w:cs="Arial" w:eastAsia="Arial" w:hAnsi="Arial"/>
                <w:sz w:val="15"/>
                <w:szCs w:val="15"/>
                <w:color w:val="auto"/>
              </w:rPr>
              <w:t>2011    President, Strategic Hotels &amp;</w:t>
            </w:r>
          </w:p>
        </w:tc>
        <w:tc>
          <w:tcPr>
            <w:tcW w:w="8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40" w:type="dxa"/>
            <w:vAlign w:val="bottom"/>
          </w:tcPr>
          <w:p>
            <w:pPr>
              <w:jc w:val="center"/>
              <w:ind w:left="25"/>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Resorts, Inc.</w:t>
            </w:r>
          </w:p>
        </w:tc>
        <w:tc>
          <w:tcPr>
            <w:tcW w:w="8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60" w:type="dxa"/>
            <w:vAlign w:val="bottom"/>
          </w:tcPr>
          <w:p>
            <w:pPr>
              <w:ind w:left="40"/>
              <w:spacing w:after="0" w:line="160" w:lineRule="exact"/>
              <w:rPr>
                <w:sz w:val="20"/>
                <w:szCs w:val="20"/>
                <w:color w:val="auto"/>
              </w:rPr>
            </w:pPr>
            <w:r>
              <w:rPr>
                <w:rFonts w:ascii="Arial" w:cs="Arial" w:eastAsia="Arial" w:hAnsi="Arial"/>
                <w:sz w:val="15"/>
                <w:szCs w:val="15"/>
                <w:color w:val="auto"/>
              </w:rPr>
              <w:t>Retired Senior Vice President,</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40" w:type="dxa"/>
            <w:vAlign w:val="bottom"/>
            <w:vMerge w:val="restart"/>
          </w:tcPr>
          <w:p>
            <w:pPr>
              <w:jc w:val="center"/>
              <w:ind w:left="5"/>
              <w:spacing w:after="0"/>
              <w:rPr>
                <w:sz w:val="20"/>
                <w:szCs w:val="20"/>
                <w:color w:val="auto"/>
              </w:rPr>
            </w:pPr>
            <w:r>
              <w:rPr>
                <w:rFonts w:ascii="Arial" w:cs="Arial" w:eastAsia="Arial" w:hAnsi="Arial"/>
                <w:sz w:val="15"/>
                <w:szCs w:val="15"/>
                <w:color w:val="auto"/>
              </w:rPr>
              <w:t>Chesapeake Utilities</w:t>
            </w: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60" w:type="dxa"/>
            <w:vAlign w:val="bottom"/>
            <w:vMerge w:val="restart"/>
          </w:tcPr>
          <w:p>
            <w:pPr>
              <w:ind w:left="40"/>
              <w:spacing w:after="0"/>
              <w:rPr>
                <w:sz w:val="20"/>
                <w:szCs w:val="20"/>
                <w:color w:val="auto"/>
              </w:rPr>
            </w:pPr>
            <w:r>
              <w:rPr>
                <w:rFonts w:ascii="Arial" w:cs="Arial" w:eastAsia="Arial" w:hAnsi="Arial"/>
                <w:sz w:val="15"/>
                <w:szCs w:val="15"/>
                <w:color w:val="auto"/>
              </w:rPr>
              <w:t>Public Affairs and Human</w:t>
            </w:r>
          </w:p>
        </w:tc>
        <w:tc>
          <w:tcPr>
            <w:tcW w:w="800" w:type="dxa"/>
            <w:vAlign w:val="bottom"/>
            <w:vMerge w:val="restart"/>
          </w:tcPr>
          <w:p>
            <w:pPr>
              <w:jc w:val="center"/>
              <w:ind w:left="67"/>
              <w:spacing w:after="0" w:line="151" w:lineRule="exact"/>
              <w:rPr>
                <w:sz w:val="20"/>
                <w:szCs w:val="20"/>
                <w:color w:val="auto"/>
              </w:rPr>
            </w:pPr>
            <w:r>
              <w:rPr>
                <w:rFonts w:ascii="MS PGothic" w:cs="MS PGothic" w:eastAsia="MS PGothic" w:hAnsi="MS PGothic"/>
                <w:sz w:val="15"/>
                <w:szCs w:val="15"/>
                <w:color w:val="auto"/>
                <w:w w:val="93"/>
              </w:rPr>
              <w:t>✓</w:t>
            </w:r>
          </w:p>
        </w:tc>
        <w:tc>
          <w:tcPr>
            <w:tcW w:w="720" w:type="dxa"/>
            <w:vAlign w:val="bottom"/>
          </w:tcPr>
          <w:p>
            <w:pPr>
              <w:spacing w:after="0"/>
              <w:rPr>
                <w:sz w:val="7"/>
                <w:szCs w:val="7"/>
                <w:color w:val="auto"/>
              </w:rPr>
            </w:pPr>
          </w:p>
        </w:tc>
        <w:tc>
          <w:tcPr>
            <w:tcW w:w="70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60" w:type="dxa"/>
            <w:vAlign w:val="bottom"/>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vMerge w:val="restart"/>
          </w:tcPr>
          <w:p>
            <w:pPr>
              <w:spacing w:after="0"/>
              <w:rPr>
                <w:sz w:val="20"/>
                <w:szCs w:val="20"/>
                <w:color w:val="auto"/>
              </w:rPr>
            </w:pPr>
            <w:r>
              <w:rPr>
                <w:rFonts w:ascii="Arial" w:cs="Arial" w:eastAsia="Arial" w:hAnsi="Arial"/>
                <w:sz w:val="15"/>
                <w:szCs w:val="15"/>
                <w:color w:val="auto"/>
              </w:rPr>
              <w:t>Dianna F. Morgan</w:t>
            </w:r>
          </w:p>
        </w:tc>
        <w:tc>
          <w:tcPr>
            <w:tcW w:w="420" w:type="dxa"/>
            <w:vAlign w:val="bottom"/>
            <w:vMerge w:val="restart"/>
          </w:tcPr>
          <w:p>
            <w:pPr>
              <w:jc w:val="center"/>
              <w:spacing w:after="0"/>
              <w:rPr>
                <w:sz w:val="20"/>
                <w:szCs w:val="20"/>
                <w:color w:val="auto"/>
              </w:rPr>
            </w:pPr>
            <w:r>
              <w:rPr>
                <w:rFonts w:ascii="Arial" w:cs="Arial" w:eastAsia="Arial" w:hAnsi="Arial"/>
                <w:sz w:val="15"/>
                <w:szCs w:val="15"/>
                <w:color w:val="auto"/>
                <w:w w:val="95"/>
              </w:rPr>
              <w:t>70</w:t>
            </w:r>
          </w:p>
        </w:tc>
        <w:tc>
          <w:tcPr>
            <w:tcW w:w="800" w:type="dxa"/>
            <w:vAlign w:val="bottom"/>
            <w:vMerge w:val="restart"/>
          </w:tcPr>
          <w:p>
            <w:pPr>
              <w:jc w:val="center"/>
              <w:spacing w:after="0"/>
              <w:rPr>
                <w:sz w:val="20"/>
                <w:szCs w:val="20"/>
                <w:color w:val="auto"/>
              </w:rPr>
            </w:pPr>
            <w:r>
              <w:rPr>
                <w:rFonts w:ascii="Arial" w:cs="Arial" w:eastAsia="Arial" w:hAnsi="Arial"/>
                <w:sz w:val="15"/>
                <w:szCs w:val="15"/>
                <w:color w:val="auto"/>
              </w:rPr>
              <w:t>2018</w:t>
            </w:r>
          </w:p>
        </w:tc>
        <w:tc>
          <w:tcPr>
            <w:tcW w:w="22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40" w:type="dxa"/>
            <w:vAlign w:val="bottom"/>
            <w:vMerge w:val="restart"/>
          </w:tcPr>
          <w:p>
            <w:pPr>
              <w:jc w:val="center"/>
              <w:ind w:left="25"/>
              <w:spacing w:after="0"/>
              <w:rPr>
                <w:sz w:val="20"/>
                <w:szCs w:val="20"/>
                <w:color w:val="auto"/>
              </w:rPr>
            </w:pPr>
            <w:r>
              <w:rPr>
                <w:rFonts w:ascii="Arial" w:cs="Arial" w:eastAsia="Arial" w:hAnsi="Arial"/>
                <w:sz w:val="15"/>
                <w:szCs w:val="15"/>
                <w:color w:val="auto"/>
              </w:rPr>
              <w:t>Corporation, Hersha</w:t>
            </w:r>
          </w:p>
        </w:tc>
        <w:tc>
          <w:tcPr>
            <w:tcW w:w="0" w:type="dxa"/>
            <w:vAlign w:val="bottom"/>
          </w:tcPr>
          <w:p>
            <w:pPr>
              <w:spacing w:after="0"/>
              <w:rPr>
                <w:sz w:val="1"/>
                <w:szCs w:val="1"/>
                <w:color w:val="auto"/>
              </w:rPr>
            </w:pPr>
          </w:p>
        </w:tc>
      </w:tr>
      <w:tr>
        <w:trPr>
          <w:trHeight w:val="90"/>
        </w:trPr>
        <w:tc>
          <w:tcPr>
            <w:tcW w:w="16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60" w:type="dxa"/>
            <w:vAlign w:val="bottom"/>
            <w:vMerge w:val="restart"/>
          </w:tcPr>
          <w:p>
            <w:pPr>
              <w:ind w:left="40"/>
              <w:spacing w:after="0"/>
              <w:rPr>
                <w:sz w:val="20"/>
                <w:szCs w:val="20"/>
                <w:color w:val="auto"/>
              </w:rPr>
            </w:pPr>
            <w:r>
              <w:rPr>
                <w:rFonts w:ascii="Arial" w:cs="Arial" w:eastAsia="Arial" w:hAnsi="Arial"/>
                <w:sz w:val="15"/>
                <w:szCs w:val="15"/>
                <w:color w:val="auto"/>
              </w:rPr>
              <w:t>Relations, Walt Disney World</w:t>
            </w:r>
          </w:p>
        </w:tc>
        <w:tc>
          <w:tcPr>
            <w:tcW w:w="8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40" w:type="dxa"/>
            <w:vAlign w:val="bottom"/>
            <w:vMerge w:val="restart"/>
          </w:tcPr>
          <w:p>
            <w:pPr>
              <w:jc w:val="center"/>
              <w:ind w:left="25"/>
              <w:spacing w:after="0"/>
              <w:rPr>
                <w:sz w:val="20"/>
                <w:szCs w:val="20"/>
                <w:color w:val="auto"/>
              </w:rPr>
            </w:pPr>
            <w:r>
              <w:rPr>
                <w:rFonts w:ascii="Arial" w:cs="Arial" w:eastAsia="Arial" w:hAnsi="Arial"/>
                <w:sz w:val="15"/>
                <w:szCs w:val="15"/>
                <w:color w:val="auto"/>
              </w:rPr>
              <w:t>Hospitality Trust</w:t>
            </w:r>
          </w:p>
        </w:tc>
        <w:tc>
          <w:tcPr>
            <w:tcW w:w="0" w:type="dxa"/>
            <w:vAlign w:val="bottom"/>
          </w:tcPr>
          <w:p>
            <w:pPr>
              <w:spacing w:after="0"/>
              <w:rPr>
                <w:sz w:val="1"/>
                <w:szCs w:val="1"/>
                <w:color w:val="auto"/>
              </w:rPr>
            </w:pPr>
          </w:p>
        </w:tc>
      </w:tr>
      <w:tr>
        <w:trPr>
          <w:trHeight w:val="111"/>
        </w:trPr>
        <w:tc>
          <w:tcPr>
            <w:tcW w:w="1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60" w:type="dxa"/>
            <w:vAlign w:val="bottom"/>
            <w:vMerge w:val="restart"/>
          </w:tcPr>
          <w:p>
            <w:pPr>
              <w:ind w:left="40"/>
              <w:spacing w:after="0"/>
              <w:rPr>
                <w:sz w:val="20"/>
                <w:szCs w:val="20"/>
                <w:color w:val="auto"/>
              </w:rPr>
            </w:pPr>
            <w:r>
              <w:rPr>
                <w:rFonts w:ascii="Arial" w:cs="Arial" w:eastAsia="Arial" w:hAnsi="Arial"/>
                <w:sz w:val="15"/>
                <w:szCs w:val="15"/>
                <w:color w:val="auto"/>
              </w:rPr>
              <w:t>Company</w:t>
            </w: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68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Jonice Gray Tucker</w:t>
            </w:r>
          </w:p>
        </w:tc>
        <w:tc>
          <w:tcPr>
            <w:tcW w:w="420" w:type="dxa"/>
            <w:vAlign w:val="bottom"/>
            <w:tcBorders>
              <w:bottom w:val="single" w:sz="8" w:color="004987"/>
            </w:tcBorders>
          </w:tcPr>
          <w:p>
            <w:pPr>
              <w:jc w:val="center"/>
              <w:spacing w:after="0"/>
              <w:rPr>
                <w:sz w:val="20"/>
                <w:szCs w:val="20"/>
                <w:color w:val="auto"/>
              </w:rPr>
            </w:pPr>
            <w:r>
              <w:rPr>
                <w:rFonts w:ascii="Arial" w:cs="Arial" w:eastAsia="Arial" w:hAnsi="Arial"/>
                <w:sz w:val="15"/>
                <w:szCs w:val="15"/>
                <w:color w:val="auto"/>
                <w:w w:val="95"/>
              </w:rPr>
              <w:t>47</w:t>
            </w:r>
          </w:p>
        </w:tc>
        <w:tc>
          <w:tcPr>
            <w:tcW w:w="800" w:type="dxa"/>
            <w:vAlign w:val="bottom"/>
            <w:tcBorders>
              <w:bottom w:val="single" w:sz="8" w:color="004987"/>
            </w:tcBorders>
          </w:tcPr>
          <w:p>
            <w:pPr>
              <w:jc w:val="center"/>
              <w:spacing w:after="0"/>
              <w:rPr>
                <w:sz w:val="20"/>
                <w:szCs w:val="20"/>
                <w:color w:val="auto"/>
              </w:rPr>
            </w:pPr>
            <w:r>
              <w:rPr>
                <w:rFonts w:ascii="Arial" w:cs="Arial" w:eastAsia="Arial" w:hAnsi="Arial"/>
                <w:sz w:val="15"/>
                <w:szCs w:val="15"/>
                <w:color w:val="auto"/>
              </w:rPr>
              <w:t>2021</w:t>
            </w:r>
          </w:p>
        </w:tc>
        <w:tc>
          <w:tcPr>
            <w:tcW w:w="2260" w:type="dxa"/>
            <w:vAlign w:val="bottom"/>
            <w:tcBorders>
              <w:bottom w:val="single" w:sz="8" w:color="004987"/>
            </w:tcBorders>
          </w:tcPr>
          <w:p>
            <w:pPr>
              <w:ind w:left="40"/>
              <w:spacing w:after="0"/>
              <w:rPr>
                <w:sz w:val="20"/>
                <w:szCs w:val="20"/>
                <w:color w:val="auto"/>
              </w:rPr>
            </w:pPr>
            <w:r>
              <w:rPr>
                <w:rFonts w:ascii="Arial" w:cs="Arial" w:eastAsia="Arial" w:hAnsi="Arial"/>
                <w:sz w:val="15"/>
                <w:szCs w:val="15"/>
                <w:color w:val="auto"/>
              </w:rPr>
              <w:t>Partner, Buckley LLP</w:t>
            </w:r>
          </w:p>
        </w:tc>
        <w:tc>
          <w:tcPr>
            <w:tcW w:w="800" w:type="dxa"/>
            <w:vAlign w:val="bottom"/>
            <w:tcBorders>
              <w:bottom w:val="single" w:sz="8" w:color="004987"/>
            </w:tcBorders>
          </w:tcPr>
          <w:p>
            <w:pPr>
              <w:jc w:val="center"/>
              <w:ind w:left="67"/>
              <w:spacing w:after="0" w:line="151" w:lineRule="exact"/>
              <w:rPr>
                <w:sz w:val="20"/>
                <w:szCs w:val="20"/>
                <w:color w:val="auto"/>
              </w:rPr>
            </w:pPr>
            <w:r>
              <w:rPr>
                <w:rFonts w:ascii="MS PGothic" w:cs="MS PGothic" w:eastAsia="MS PGothic" w:hAnsi="MS PGothic"/>
                <w:sz w:val="15"/>
                <w:szCs w:val="15"/>
                <w:color w:val="auto"/>
                <w:w w:val="93"/>
              </w:rPr>
              <w:t>✓</w:t>
            </w:r>
          </w:p>
        </w:tc>
        <w:tc>
          <w:tcPr>
            <w:tcW w:w="720" w:type="dxa"/>
            <w:vAlign w:val="bottom"/>
            <w:tcBorders>
              <w:bottom w:val="single" w:sz="8" w:color="004987"/>
            </w:tcBorders>
          </w:tcPr>
          <w:p>
            <w:pPr>
              <w:spacing w:after="0"/>
              <w:rPr>
                <w:sz w:val="16"/>
                <w:szCs w:val="16"/>
                <w:color w:val="auto"/>
              </w:rPr>
            </w:pPr>
          </w:p>
        </w:tc>
        <w:tc>
          <w:tcPr>
            <w:tcW w:w="700" w:type="dxa"/>
            <w:vAlign w:val="bottom"/>
            <w:tcBorders>
              <w:bottom w:val="single" w:sz="8" w:color="004987"/>
            </w:tcBorders>
          </w:tcPr>
          <w:p>
            <w:pPr>
              <w:spacing w:after="0"/>
              <w:rPr>
                <w:sz w:val="16"/>
                <w:szCs w:val="16"/>
                <w:color w:val="auto"/>
              </w:rPr>
            </w:pPr>
          </w:p>
        </w:tc>
        <w:tc>
          <w:tcPr>
            <w:tcW w:w="660" w:type="dxa"/>
            <w:vAlign w:val="bottom"/>
            <w:tcBorders>
              <w:bottom w:val="single" w:sz="8" w:color="004987"/>
            </w:tcBorders>
          </w:tcPr>
          <w:p>
            <w:pPr>
              <w:spacing w:after="0"/>
              <w:rPr>
                <w:sz w:val="16"/>
                <w:szCs w:val="16"/>
                <w:color w:val="auto"/>
              </w:rPr>
            </w:pPr>
          </w:p>
        </w:tc>
        <w:tc>
          <w:tcPr>
            <w:tcW w:w="2040" w:type="dxa"/>
            <w:vAlign w:val="bottom"/>
            <w:tcBorders>
              <w:bottom w:val="single" w:sz="8" w:color="004987"/>
            </w:tcBorders>
          </w:tcPr>
          <w:p>
            <w:pPr>
              <w:jc w:val="center"/>
              <w:ind w:left="25"/>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bl>
    <w:p>
      <w:pPr>
        <w:ind w:left="880" w:hanging="305"/>
        <w:spacing w:after="0" w:line="226" w:lineRule="auto"/>
        <w:tabs>
          <w:tab w:leader="none" w:pos="880" w:val="left"/>
        </w:tabs>
        <w:numPr>
          <w:ilvl w:val="0"/>
          <w:numId w:val="25"/>
        </w:numPr>
        <w:rPr>
          <w:rFonts w:ascii="Arial" w:cs="Arial" w:eastAsia="Arial" w:hAnsi="Arial"/>
          <w:sz w:val="23"/>
          <w:szCs w:val="23"/>
          <w:color w:val="auto"/>
          <w:vertAlign w:val="superscript"/>
        </w:rPr>
      </w:pPr>
      <w:r>
        <w:rPr>
          <w:rFonts w:ascii="Arial" w:cs="Arial" w:eastAsia="Arial" w:hAnsi="Arial"/>
          <w:sz w:val="14"/>
          <w:szCs w:val="14"/>
          <w:color w:val="auto"/>
        </w:rPr>
        <w:t>Audit Committee (“AC”), Compensation Policy Committee (“CPC”), Nominating and Corporate Governance Committee (“NCG”).</w:t>
      </w:r>
    </w:p>
    <w:p>
      <w:pPr>
        <w:spacing w:after="0" w:line="289" w:lineRule="exact"/>
        <w:rPr>
          <w:sz w:val="20"/>
          <w:szCs w:val="20"/>
          <w:color w:val="auto"/>
        </w:rPr>
      </w:pPr>
    </w:p>
    <w:p>
      <w:pPr>
        <w:ind w:left="400"/>
        <w:spacing w:after="0"/>
        <w:tabs>
          <w:tab w:leader="none" w:pos="5260" w:val="left"/>
          <w:tab w:leader="none" w:pos="1078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Proxy Summary</w:t>
      </w:r>
      <w:r>
        <w:rPr>
          <w:sz w:val="20"/>
          <w:szCs w:val="20"/>
          <w:color w:val="auto"/>
        </w:rPr>
        <w:tab/>
      </w:r>
      <w:r>
        <w:rPr>
          <w:rFonts w:ascii="Arial" w:cs="Arial" w:eastAsia="Arial" w:hAnsi="Arial"/>
          <w:sz w:val="10"/>
          <w:szCs w:val="10"/>
          <w:b w:val="1"/>
          <w:bCs w:val="1"/>
          <w:color w:val="00498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8" w:name="page9"/>
    <w:bookmarkEnd w:id="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2640"/>
        <w:spacing w:after="0"/>
        <w:rPr>
          <w:sz w:val="20"/>
          <w:szCs w:val="20"/>
          <w:color w:val="auto"/>
        </w:rPr>
      </w:pPr>
      <w:r>
        <w:rPr>
          <w:rFonts w:ascii="Arial" w:cs="Arial" w:eastAsia="Arial" w:hAnsi="Arial"/>
          <w:sz w:val="62"/>
          <w:szCs w:val="62"/>
          <w:color w:val="004987"/>
        </w:rPr>
        <w:t>PROXY STATEMENT</w:t>
      </w:r>
    </w:p>
    <w:p>
      <w:pPr>
        <w:spacing w:after="0" w:line="200" w:lineRule="exact"/>
        <w:rPr>
          <w:sz w:val="20"/>
          <w:szCs w:val="20"/>
          <w:color w:val="auto"/>
        </w:rPr>
      </w:pPr>
    </w:p>
    <w:p>
      <w:pPr>
        <w:spacing w:after="0" w:line="245" w:lineRule="exact"/>
        <w:rPr>
          <w:sz w:val="20"/>
          <w:szCs w:val="20"/>
          <w:color w:val="auto"/>
        </w:rPr>
      </w:pPr>
    </w:p>
    <w:p>
      <w:pPr>
        <w:ind w:left="400" w:right="160"/>
        <w:spacing w:after="0" w:line="263" w:lineRule="auto"/>
        <w:rPr>
          <w:sz w:val="20"/>
          <w:szCs w:val="20"/>
          <w:color w:val="auto"/>
        </w:rPr>
      </w:pPr>
      <w:r>
        <w:rPr>
          <w:rFonts w:ascii="Arial" w:cs="Arial" w:eastAsia="Arial" w:hAnsi="Arial"/>
          <w:sz w:val="15"/>
          <w:szCs w:val="15"/>
          <w:color w:val="auto"/>
        </w:rPr>
        <w:t>The Board of Directors (the “Board”) of Marriott Vacations Worldwide Corporation (“we,” “us,” “Marriott Vacations Worldwide” or the “Company”) is soliciting stockholders’ proxies in connection with the 2022 Annual Meeting of Stockholders of the Company, and at any adjournment or postponement thereof (the “Annual Meeting”). The mailing to stockholders of the Notice Regarding the Availability of Proxy Materials (the “Notice”) will take place on or about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130175</wp:posOffset>
            </wp:positionV>
            <wp:extent cx="4664710" cy="765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64710" cy="765175"/>
                    </a:xfrm>
                    <a:prstGeom prst="rect">
                      <a:avLst/>
                    </a:prstGeom>
                    <a:noFill/>
                  </pic:spPr>
                </pic:pic>
              </a:graphicData>
            </a:graphic>
          </wp:anchor>
        </w:drawing>
      </w:r>
    </w:p>
    <w:p>
      <w:pPr>
        <w:spacing w:after="0" w:line="312"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IMPORTANT NOTICE REGARDING THE AVAILABILITY OF PROXY MATERIALS FOR THE</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ANNUAL MEETING OF STOCKHOLDERS TO BE HELD ON MAY 13, 2022</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The Notice of Annual Meeting and Proxy Statement and our</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color w:val="004987"/>
        </w:rPr>
        <w:t>2021 annual report to stockholders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right="3000"/>
        <w:spacing w:after="0" w:line="285" w:lineRule="auto"/>
        <w:rPr>
          <w:sz w:val="20"/>
          <w:szCs w:val="20"/>
          <w:color w:val="auto"/>
        </w:rPr>
      </w:pPr>
      <w:r>
        <w:rPr>
          <w:rFonts w:ascii="Arial" w:cs="Arial" w:eastAsia="Arial" w:hAnsi="Arial"/>
          <w:sz w:val="51"/>
          <w:szCs w:val="51"/>
          <w:b w:val="1"/>
          <w:bCs w:val="1"/>
          <w:color w:val="auto"/>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-848995</wp:posOffset>
            </wp:positionV>
            <wp:extent cx="81280" cy="789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280" cy="789940"/>
                    </a:xfrm>
                    <a:prstGeom prst="rect">
                      <a:avLst/>
                    </a:prstGeom>
                    <a:noFill/>
                  </pic:spPr>
                </pic:pic>
              </a:graphicData>
            </a:graphic>
          </wp:anchor>
        </w:drawing>
      </w:r>
    </w:p>
    <w:p>
      <w:pPr>
        <w:spacing w:after="0" w:line="12"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Why am I receiving these materials?</w:t>
      </w:r>
    </w:p>
    <w:p>
      <w:pPr>
        <w:spacing w:after="0" w:line="179" w:lineRule="exact"/>
        <w:rPr>
          <w:sz w:val="20"/>
          <w:szCs w:val="20"/>
          <w:color w:val="auto"/>
        </w:rPr>
      </w:pPr>
    </w:p>
    <w:p>
      <w:pPr>
        <w:ind w:left="400" w:right="20"/>
        <w:spacing w:after="0" w:line="259" w:lineRule="auto"/>
        <w:rPr>
          <w:sz w:val="20"/>
          <w:szCs w:val="20"/>
          <w:color w:val="auto"/>
        </w:rPr>
      </w:pPr>
      <w:r>
        <w:rPr>
          <w:rFonts w:ascii="Arial" w:cs="Arial" w:eastAsia="Arial" w:hAnsi="Arial"/>
          <w:sz w:val="15"/>
          <w:szCs w:val="15"/>
          <w:color w:val="auto"/>
        </w:rPr>
        <w:t>Marriott Vacations Worldwide has made these materials available to you on the Internet or has delivered printed versions of these materials to you by mail in connection with the solicitation of proxies on behalf of the Board of Directors for use at our Annual Meeting. This Proxy Statement describes the matters on which you, as a stockholder, are entitled to vote. It also gives you information on these matters so that you can make an informed decision.</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How do I attend the virtual Annual Meeting?</w:t>
      </w:r>
    </w:p>
    <w:p>
      <w:pPr>
        <w:spacing w:after="0" w:line="80" w:lineRule="exact"/>
        <w:rPr>
          <w:sz w:val="20"/>
          <w:szCs w:val="20"/>
          <w:color w:val="auto"/>
        </w:rPr>
      </w:pPr>
    </w:p>
    <w:p>
      <w:pPr>
        <w:ind w:left="400" w:right="340"/>
        <w:spacing w:after="0" w:line="289" w:lineRule="auto"/>
        <w:rPr>
          <w:sz w:val="20"/>
          <w:szCs w:val="20"/>
          <w:color w:val="auto"/>
        </w:rPr>
      </w:pPr>
      <w:r>
        <w:rPr>
          <w:rFonts w:ascii="Arial" w:cs="Arial" w:eastAsia="Arial" w:hAnsi="Arial"/>
          <w:sz w:val="15"/>
          <w:szCs w:val="15"/>
          <w:color w:val="auto"/>
        </w:rPr>
        <w:t>You may attend the Annual Meeting online, including to vote, by logging in at www.virtualshareholdermeeting.com/VAC2022. The Annual Meeting will begin at approximately 12:00 noon, Eastern Daylight Time, with log-in beginning at 11:45 a.m. on Friday, May 13, 2022.</w:t>
      </w:r>
    </w:p>
    <w:p>
      <w:pPr>
        <w:spacing w:after="0" w:line="46" w:lineRule="exact"/>
        <w:rPr>
          <w:sz w:val="20"/>
          <w:szCs w:val="20"/>
          <w:color w:val="auto"/>
        </w:rPr>
      </w:pPr>
    </w:p>
    <w:p>
      <w:pPr>
        <w:ind w:left="400" w:right="180"/>
        <w:spacing w:after="0" w:line="264" w:lineRule="auto"/>
        <w:rPr>
          <w:sz w:val="20"/>
          <w:szCs w:val="20"/>
          <w:color w:val="auto"/>
        </w:rPr>
      </w:pPr>
      <w:r>
        <w:rPr>
          <w:rFonts w:ascii="Arial" w:cs="Arial" w:eastAsia="Arial" w:hAnsi="Arial"/>
          <w:sz w:val="15"/>
          <w:szCs w:val="15"/>
          <w:color w:val="auto"/>
        </w:rPr>
        <w:t>You may attend and vote during the Annual Meeting via the Internet at www.virtualshareholdermeeting.com/VAC2022. You may also attend the meeting by proxy. You may submit questions in advance of the meeting at www.proxyvote.com.</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How do I gain admission to the virtual Annual Meeting?</w:t>
      </w:r>
    </w:p>
    <w:p>
      <w:pPr>
        <w:spacing w:after="0" w:line="79" w:lineRule="exact"/>
        <w:rPr>
          <w:sz w:val="20"/>
          <w:szCs w:val="20"/>
          <w:color w:val="auto"/>
        </w:rPr>
      </w:pPr>
    </w:p>
    <w:p>
      <w:pPr>
        <w:jc w:val="both"/>
        <w:ind w:left="400" w:right="20"/>
        <w:spacing w:after="0" w:line="269" w:lineRule="auto"/>
        <w:rPr>
          <w:sz w:val="20"/>
          <w:szCs w:val="20"/>
          <w:color w:val="auto"/>
        </w:rPr>
      </w:pPr>
      <w:r>
        <w:rPr>
          <w:rFonts w:ascii="Arial" w:cs="Arial" w:eastAsia="Arial" w:hAnsi="Arial"/>
          <w:sz w:val="15"/>
          <w:szCs w:val="15"/>
          <w:color w:val="auto"/>
        </w:rPr>
        <w:t>You are entitled to participate in the virtual Annual Meeting only if you were a stockholder of record who owned the Company’s common stock at the close of business on March 14, 2022. Each holder of record is entitled to one vote per share. There were 41,978,486 shares of common stock outstanding and entitled to vote on March 14, 2022.</w:t>
      </w:r>
    </w:p>
    <w:p>
      <w:pPr>
        <w:spacing w:after="0" w:line="61" w:lineRule="exact"/>
        <w:rPr>
          <w:sz w:val="20"/>
          <w:szCs w:val="20"/>
          <w:color w:val="auto"/>
        </w:rPr>
      </w:pPr>
    </w:p>
    <w:p>
      <w:pPr>
        <w:ind w:left="400" w:right="140"/>
        <w:spacing w:after="0" w:line="263" w:lineRule="auto"/>
        <w:rPr>
          <w:sz w:val="20"/>
          <w:szCs w:val="20"/>
          <w:color w:val="auto"/>
        </w:rPr>
      </w:pPr>
      <w:r>
        <w:rPr>
          <w:rFonts w:ascii="Arial" w:cs="Arial" w:eastAsia="Arial" w:hAnsi="Arial"/>
          <w:sz w:val="15"/>
          <w:szCs w:val="15"/>
          <w:color w:val="auto"/>
        </w:rPr>
        <w:t>To attend online and participate in the Annual Meeting, stockholders of record will need to use their control number on their Notice or proxy card to log into www.virtualshareholdermeeting.com/VAC2022; beneficial owners who do not have a control number may gain access to the meeting by logging into their brokerage firm’s website and selecting the stockholder communications mailbox to link through to the virtual Annual Meeting. Instructions should also be provided on the voting instruction card provided by their broker, bank, or other nominee.</w:t>
      </w:r>
    </w:p>
    <w:p>
      <w:pPr>
        <w:spacing w:after="0" w:line="64" w:lineRule="exact"/>
        <w:rPr>
          <w:sz w:val="20"/>
          <w:szCs w:val="20"/>
          <w:color w:val="auto"/>
        </w:rPr>
      </w:pPr>
    </w:p>
    <w:p>
      <w:pPr>
        <w:ind w:left="400" w:right="260"/>
        <w:spacing w:after="0" w:line="259" w:lineRule="auto"/>
        <w:rPr>
          <w:sz w:val="20"/>
          <w:szCs w:val="20"/>
          <w:color w:val="auto"/>
        </w:rPr>
      </w:pPr>
      <w:r>
        <w:rPr>
          <w:rFonts w:ascii="Arial" w:cs="Arial" w:eastAsia="Arial" w:hAnsi="Arial"/>
          <w:sz w:val="15"/>
          <w:szCs w:val="15"/>
          <w:color w:val="auto"/>
        </w:rPr>
        <w:t>We encourage you to access the meeting prior to the start time. Please allow time for online check-in, which will begin at 11:45 a.m. Eastern Daylight Time. If you encounter any difficulties accessing the Annual Meeting during the check-in or meeting time, please call the technical support number that will be posted on the virtual Annual Meeting landing page at www.virtualshareholdermeeting.com/VAC2022.</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How do I ask questions?</w:t>
      </w:r>
    </w:p>
    <w:p>
      <w:pPr>
        <w:spacing w:after="0" w:line="80" w:lineRule="exact"/>
        <w:rPr>
          <w:sz w:val="20"/>
          <w:szCs w:val="20"/>
          <w:color w:val="auto"/>
        </w:rPr>
      </w:pPr>
    </w:p>
    <w:p>
      <w:pPr>
        <w:ind w:left="400" w:right="80"/>
        <w:spacing w:after="0" w:line="257" w:lineRule="auto"/>
        <w:rPr>
          <w:sz w:val="20"/>
          <w:szCs w:val="20"/>
          <w:color w:val="auto"/>
        </w:rPr>
      </w:pPr>
      <w:r>
        <w:rPr>
          <w:rFonts w:ascii="Arial" w:cs="Arial" w:eastAsia="Arial" w:hAnsi="Arial"/>
          <w:sz w:val="15"/>
          <w:szCs w:val="15"/>
          <w:color w:val="auto"/>
        </w:rPr>
        <w:t>You may submit a question in advance of the meeting at www.proxyvote.com. The Company will try to answer as many questions as possible during the time scheduled. Answers to appropriate investor questions received before the Annual Meeting will be posted on the Investor Relations page of the Company’s website as soon as practicable after the Annual Meeting to the extent such questions were not answered at the Annual Meeting. Additional information regarding the question and answer process, including the types of questions permitted, the time allotted for the question and answer session, and how questions will be address and disclosed, will be available in the Annual Meeting Rules of Conduct, which will be posted at the virtual Annual Meeting website during the Annual Meeting.</w:t>
      </w:r>
    </w:p>
    <w:p>
      <w:pPr>
        <w:spacing w:after="0" w:line="109" w:lineRule="exact"/>
        <w:rPr>
          <w:sz w:val="20"/>
          <w:szCs w:val="20"/>
          <w:color w:val="auto"/>
        </w:rPr>
      </w:pPr>
    </w:p>
    <w:p>
      <w:pPr>
        <w:ind w:left="400"/>
        <w:spacing w:after="0"/>
        <w:tabs>
          <w:tab w:leader="none" w:pos="4660" w:val="left"/>
          <w:tab w:leader="none" w:pos="7720" w:val="left"/>
        </w:tabs>
        <w:rPr>
          <w:sz w:val="20"/>
          <w:szCs w:val="20"/>
          <w:color w:val="auto"/>
        </w:rPr>
      </w:pPr>
      <w:r>
        <w:rPr>
          <w:rFonts w:ascii="Arial" w:cs="Arial" w:eastAsia="Arial" w:hAnsi="Arial"/>
          <w:sz w:val="10"/>
          <w:szCs w:val="10"/>
          <w:b w:val="1"/>
          <w:bCs w:val="1"/>
          <w:color w:val="004987"/>
        </w:rPr>
        <w:t>4</w:t>
      </w:r>
      <w:r>
        <w:rPr>
          <w:sz w:val="20"/>
          <w:szCs w:val="20"/>
          <w:color w:val="auto"/>
        </w:rPr>
        <w:tab/>
      </w:r>
      <w:r>
        <w:rPr>
          <w:rFonts w:ascii="Arial" w:cs="Arial" w:eastAsia="Arial" w:hAnsi="Arial"/>
          <w:sz w:val="10"/>
          <w:szCs w:val="10"/>
          <w:color w:val="auto"/>
        </w:rPr>
        <w:t>Questions and Answers about the Meeting</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9" w:name="page10"/>
    <w:bookmarkEnd w:id="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Why did I receive a one-page notice in the mail regarding the Internet availability of proxy materials instead of printed proxy materials?</w:t>
      </w:r>
    </w:p>
    <w:p>
      <w:pPr>
        <w:spacing w:after="0" w:line="113" w:lineRule="exact"/>
        <w:rPr>
          <w:sz w:val="20"/>
          <w:szCs w:val="20"/>
          <w:color w:val="auto"/>
        </w:rPr>
      </w:pPr>
    </w:p>
    <w:p>
      <w:pPr>
        <w:ind w:left="400" w:right="60"/>
        <w:spacing w:after="0" w:line="257" w:lineRule="auto"/>
        <w:rPr>
          <w:sz w:val="20"/>
          <w:szCs w:val="20"/>
          <w:color w:val="auto"/>
        </w:rPr>
      </w:pPr>
      <w:r>
        <w:rPr>
          <w:rFonts w:ascii="Arial" w:cs="Arial" w:eastAsia="Arial" w:hAnsi="Arial"/>
          <w:sz w:val="15"/>
          <w:szCs w:val="15"/>
          <w:color w:val="auto"/>
        </w:rPr>
        <w:t>The U.S. Securities and Exchange Commission (the “SEC”) permits companies to furnish proxy materials to stockholders by providing access to these documents over the Internet instead of mailing a printed copy. Accordingly, we mailed a Notice to stockholders who elected to receive proxy materials by email. These stockholders have the ability to access, view and print the proxy materials on a website referred to in the Notice and request a printed set of proxy materials.</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Can I get electronic access to the proxy materials if I received printed materials?</w:t>
      </w:r>
    </w:p>
    <w:p>
      <w:pPr>
        <w:spacing w:after="0" w:line="79" w:lineRule="exact"/>
        <w:rPr>
          <w:sz w:val="20"/>
          <w:szCs w:val="20"/>
          <w:color w:val="auto"/>
        </w:rPr>
      </w:pPr>
    </w:p>
    <w:p>
      <w:pPr>
        <w:jc w:val="both"/>
        <w:ind w:left="400" w:right="160"/>
        <w:spacing w:after="0" w:line="257" w:lineRule="auto"/>
        <w:rPr>
          <w:sz w:val="20"/>
          <w:szCs w:val="20"/>
          <w:color w:val="auto"/>
        </w:rPr>
      </w:pPr>
      <w:r>
        <w:rPr>
          <w:rFonts w:ascii="Arial" w:cs="Arial" w:eastAsia="Arial" w:hAnsi="Arial"/>
          <w:sz w:val="15"/>
          <w:szCs w:val="15"/>
          <w:color w:val="auto"/>
        </w:rPr>
        <w:t>If you received a printed copy of our proxy materials, you may choose to receive future proxy materials by email. Choosing to receive your future proxy materials by email will lower our costs of delivery and reduce the environmental impact of our Annual Meeting. If you choose to receive our future proxy materials by email, you will receive an email next year with instructions containing a link to view those proxy materials and a link to the proxy voting site. Your election to receive proxy materials by email will remain in effect until you terminate it or for so long as the email address provided by you is valid.</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What items will be voted on at the Annual Meeting?</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Stockholders will vote on the following items at the Annual Meeting, if each is properly presented at the meeting:</w:t>
      </w:r>
    </w:p>
    <w:p>
      <w:pPr>
        <w:spacing w:after="0" w:line="122" w:lineRule="exact"/>
        <w:rPr>
          <w:sz w:val="20"/>
          <w:szCs w:val="20"/>
          <w:color w:val="auto"/>
        </w:rPr>
      </w:pPr>
    </w:p>
    <w:p>
      <w:pPr>
        <w:ind w:left="800" w:hanging="201"/>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Election of the three director nominees named in this Proxy Statement;</w:t>
      </w:r>
    </w:p>
    <w:p>
      <w:pPr>
        <w:spacing w:after="0" w:line="122" w:lineRule="exact"/>
        <w:rPr>
          <w:rFonts w:ascii="Arial" w:cs="Arial" w:eastAsia="Arial" w:hAnsi="Arial"/>
          <w:sz w:val="15"/>
          <w:szCs w:val="15"/>
          <w:color w:val="auto"/>
        </w:rPr>
      </w:pPr>
    </w:p>
    <w:p>
      <w:pPr>
        <w:ind w:left="800" w:right="20" w:hanging="201"/>
        <w:spacing w:after="0" w:line="289" w:lineRule="auto"/>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Ratification of the appointment of Ernst &amp; Young LLP (“Ernst &amp; Young”) as the Company’s independent registered public accounting firm for its 2022 fiscal year;</w:t>
      </w:r>
    </w:p>
    <w:p>
      <w:pPr>
        <w:spacing w:after="0" w:line="58" w:lineRule="exact"/>
        <w:rPr>
          <w:rFonts w:ascii="Arial" w:cs="Arial" w:eastAsia="Arial" w:hAnsi="Arial"/>
          <w:sz w:val="15"/>
          <w:szCs w:val="15"/>
          <w:color w:val="auto"/>
        </w:rPr>
      </w:pPr>
    </w:p>
    <w:p>
      <w:pPr>
        <w:ind w:left="800" w:hanging="201"/>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Advisory vote to approve named executive officer compensation; and</w:t>
      </w:r>
    </w:p>
    <w:p>
      <w:pPr>
        <w:spacing w:after="0" w:line="122" w:lineRule="exact"/>
        <w:rPr>
          <w:rFonts w:ascii="Arial" w:cs="Arial" w:eastAsia="Arial" w:hAnsi="Arial"/>
          <w:sz w:val="15"/>
          <w:szCs w:val="15"/>
          <w:color w:val="auto"/>
        </w:rPr>
      </w:pPr>
    </w:p>
    <w:p>
      <w:pPr>
        <w:ind w:left="800" w:hanging="201"/>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other matters that may properly be presented at the meeting.</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addition, management will respond to questions from stockholders submitted in advance of the meeting.</w:t>
      </w:r>
    </w:p>
    <w:p>
      <w:pPr>
        <w:spacing w:after="0" w:line="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What are the Board’s voting recommendations?</w:t>
      </w:r>
    </w:p>
    <w:p>
      <w:pPr>
        <w:spacing w:after="0" w:line="76" w:lineRule="exact"/>
        <w:rPr>
          <w:sz w:val="20"/>
          <w:szCs w:val="20"/>
          <w:color w:val="auto"/>
        </w:rPr>
      </w:pPr>
    </w:p>
    <w:p>
      <w:pPr>
        <w:ind w:left="400" w:right="280"/>
        <w:spacing w:after="0" w:line="271" w:lineRule="auto"/>
        <w:rPr>
          <w:sz w:val="20"/>
          <w:szCs w:val="20"/>
          <w:color w:val="auto"/>
        </w:rPr>
      </w:pPr>
      <w:r>
        <w:rPr>
          <w:rFonts w:ascii="Arial" w:cs="Arial" w:eastAsia="Arial" w:hAnsi="Arial"/>
          <w:sz w:val="15"/>
          <w:szCs w:val="15"/>
          <w:color w:val="auto"/>
        </w:rPr>
        <w:t xml:space="preserve">The Board’s recommendation is set forth together with the description of each Item in this Proxy Statement. The Board recommends a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each nominee for director in Item 1, and </w:t>
      </w:r>
      <w:r>
        <w:rPr>
          <w:rFonts w:ascii="Arial" w:cs="Arial" w:eastAsia="Arial" w:hAnsi="Arial"/>
          <w:sz w:val="15"/>
          <w:szCs w:val="15"/>
          <w:b w:val="1"/>
          <w:bCs w:val="1"/>
          <w:color w:val="auto"/>
        </w:rPr>
        <w:t>FOR</w:t>
      </w:r>
      <w:r>
        <w:rPr>
          <w:rFonts w:ascii="Arial" w:cs="Arial" w:eastAsia="Arial" w:hAnsi="Arial"/>
          <w:sz w:val="15"/>
          <w:szCs w:val="15"/>
          <w:color w:val="auto"/>
        </w:rPr>
        <w:t xml:space="preserve"> Items 2 and 3.</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What is the difference between being a record holder and a beneficial owner of shares held in street name?</w:t>
      </w:r>
    </w:p>
    <w:p>
      <w:pPr>
        <w:spacing w:after="0" w:line="80" w:lineRule="exact"/>
        <w:rPr>
          <w:sz w:val="20"/>
          <w:szCs w:val="20"/>
          <w:color w:val="auto"/>
        </w:rPr>
      </w:pPr>
    </w:p>
    <w:p>
      <w:pPr>
        <w:ind w:left="400"/>
        <w:spacing w:after="0" w:line="263" w:lineRule="auto"/>
        <w:rPr>
          <w:sz w:val="20"/>
          <w:szCs w:val="20"/>
          <w:color w:val="auto"/>
        </w:rPr>
      </w:pPr>
      <w:r>
        <w:rPr>
          <w:rFonts w:ascii="Arial" w:cs="Arial" w:eastAsia="Arial" w:hAnsi="Arial"/>
          <w:sz w:val="15"/>
          <w:szCs w:val="15"/>
          <w:color w:val="auto"/>
        </w:rPr>
        <w:t>A record holder holds shares directly in his or her own name with the Company’s transfer agent. Shares held in “street name” refer to shares that are held in the name of a bank or broker on a person’s behalf. Many stockholders hold their shares in street name. For such shares, the bank or broker is considered the record holder for purposes of voting at the Annual Meeting. As a beneficial owner, you have the right to direct that organization how to vote the shares held in your account.</w:t>
      </w:r>
    </w:p>
    <w:p>
      <w:pPr>
        <w:sectPr>
          <w:pgSz w:w="11900" w:h="16838" w:orient="portrait"/>
          <w:cols w:equalWidth="0" w:num="1">
            <w:col w:w="10860"/>
          </w:cols>
          <w:pgMar w:left="320" w:top="440" w:right="719" w:bottom="1440" w:gutter="0" w:footer="0" w:header="0"/>
        </w:sectPr>
      </w:pPr>
    </w:p>
    <w:p>
      <w:pPr>
        <w:spacing w:after="0" w:line="182" w:lineRule="exact"/>
        <w:rPr>
          <w:sz w:val="20"/>
          <w:szCs w:val="20"/>
          <w:color w:val="auto"/>
        </w:rPr>
      </w:pPr>
    </w:p>
    <w:p>
      <w:pPr>
        <w:ind w:left="400"/>
        <w:spacing w:after="0"/>
        <w:rPr>
          <w:sz w:val="20"/>
          <w:szCs w:val="20"/>
          <w:color w:val="auto"/>
        </w:rPr>
      </w:pPr>
      <w:r>
        <w:rPr>
          <w:rFonts w:ascii="Arial" w:cs="Arial" w:eastAsia="Arial" w:hAnsi="Arial"/>
          <w:sz w:val="22"/>
          <w:szCs w:val="22"/>
          <w:color w:val="004987"/>
        </w:rPr>
        <w:t>Q.</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004987"/>
        </w:rPr>
        <w:t>How do I vote?</w:t>
      </w:r>
    </w:p>
    <w:p>
      <w:pPr>
        <w:spacing w:after="0" w:line="223" w:lineRule="exact"/>
        <w:rPr>
          <w:sz w:val="20"/>
          <w:szCs w:val="20"/>
          <w:color w:val="auto"/>
        </w:rPr>
      </w:pPr>
    </w:p>
    <w:p>
      <w:pPr>
        <w:sectPr>
          <w:pgSz w:w="11900" w:h="16838" w:orient="portrait"/>
          <w:cols w:equalWidth="0" w:num="2">
            <w:col w:w="640" w:space="160"/>
            <w:col w:w="10060"/>
          </w:cols>
          <w:pgMar w:left="320" w:top="440" w:right="719" w:bottom="1440" w:gutter="0" w:footer="0" w:header="0"/>
          <w:type w:val="continuous"/>
        </w:sectPr>
      </w:pPr>
    </w:p>
    <w:p>
      <w:pPr>
        <w:ind w:left="1000"/>
        <w:spacing w:after="0"/>
        <w:rPr>
          <w:sz w:val="20"/>
          <w:szCs w:val="20"/>
          <w:color w:val="auto"/>
        </w:rPr>
      </w:pPr>
      <w:r>
        <w:rPr>
          <w:rFonts w:ascii="Arial" w:cs="Arial" w:eastAsia="Arial" w:hAnsi="Arial"/>
          <w:sz w:val="15"/>
          <w:szCs w:val="15"/>
          <w:b w:val="1"/>
          <w:bCs w:val="1"/>
          <w:color w:val="004987"/>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-99695</wp:posOffset>
            </wp:positionV>
            <wp:extent cx="32575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4987"/>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13335</wp:posOffset>
            </wp:positionV>
            <wp:extent cx="32575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4987"/>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13335</wp:posOffset>
            </wp:positionV>
            <wp:extent cx="325755" cy="325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4987"/>
        </w:rPr>
        <w:t>AT THE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13335</wp:posOffset>
            </wp:positionV>
            <wp:extent cx="3257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4">
            <w:col w:w="2260" w:space="720"/>
            <w:col w:w="1460" w:space="720"/>
            <w:col w:w="2580" w:space="720"/>
            <w:col w:w="2400"/>
          </w:cols>
          <w:pgMar w:left="320" w:top="440" w:right="719" w:bottom="1440" w:gutter="0" w:footer="0" w:header="0"/>
          <w:type w:val="continuous"/>
        </w:sectPr>
      </w:pPr>
    </w:p>
    <w:p>
      <w:pPr>
        <w:ind w:left="1000"/>
        <w:spacing w:after="0"/>
        <w:rPr>
          <w:sz w:val="20"/>
          <w:szCs w:val="20"/>
          <w:color w:val="auto"/>
        </w:rPr>
      </w:pPr>
      <w:r>
        <w:rPr>
          <w:rFonts w:ascii="Arial" w:cs="Arial" w:eastAsia="Arial" w:hAnsi="Arial"/>
          <w:sz w:val="15"/>
          <w:szCs w:val="15"/>
          <w:b w:val="1"/>
          <w:bCs w:val="1"/>
          <w:color w:val="004987"/>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www.proxyvote.com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completing and returning your proxy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by electronic vote at the virtual meeting</w:t>
      </w:r>
    </w:p>
    <w:p>
      <w:pPr>
        <w:spacing w:after="0" w:line="29" w:lineRule="exact"/>
        <w:rPr>
          <w:sz w:val="20"/>
          <w:szCs w:val="20"/>
          <w:color w:val="auto"/>
        </w:rPr>
      </w:pPr>
    </w:p>
    <w:p>
      <w:pPr>
        <w:sectPr>
          <w:pgSz w:w="11900" w:h="16838" w:orient="portrait"/>
          <w:cols w:equalWidth="0" w:num="4">
            <w:col w:w="2260" w:space="720"/>
            <w:col w:w="1460" w:space="720"/>
            <w:col w:w="2580" w:space="720"/>
            <w:col w:w="2400"/>
          </w:cols>
          <w:pgMar w:left="320" w:top="440" w:right="719" w:bottom="1440" w:gutter="0" w:footer="0" w:header="0"/>
          <w:type w:val="continuous"/>
        </w:sectPr>
      </w:pPr>
    </w:p>
    <w:p>
      <w:pPr>
        <w:ind w:left="1000" w:right="8880"/>
        <w:spacing w:after="0" w:line="255" w:lineRule="auto"/>
        <w:rPr>
          <w:sz w:val="20"/>
          <w:szCs w:val="20"/>
          <w:color w:val="auto"/>
        </w:rPr>
      </w:pPr>
      <w:r>
        <w:rPr>
          <w:rFonts w:ascii="Arial" w:cs="Arial" w:eastAsia="Arial" w:hAnsi="Arial"/>
          <w:sz w:val="13"/>
          <w:szCs w:val="13"/>
          <w:color w:val="auto"/>
        </w:rPr>
        <w:t>800-690-6903 (record holders)</w:t>
      </w:r>
    </w:p>
    <w:p>
      <w:pPr>
        <w:sectPr>
          <w:pgSz w:w="11900" w:h="16838" w:orient="portrait"/>
          <w:cols w:equalWidth="0" w:num="1">
            <w:col w:w="10860"/>
          </w:cols>
          <w:pgMar w:left="320" w:top="440" w:right="719" w:bottom="1440" w:gutter="0" w:footer="0" w:header="0"/>
          <w:type w:val="continuous"/>
        </w:sectPr>
      </w:pPr>
    </w:p>
    <w:p>
      <w:pPr>
        <w:spacing w:after="0" w:line="217" w:lineRule="exact"/>
        <w:rPr>
          <w:sz w:val="20"/>
          <w:szCs w:val="20"/>
          <w:color w:val="auto"/>
        </w:rPr>
      </w:pPr>
    </w:p>
    <w:p>
      <w:pPr>
        <w:ind w:left="400" w:right="140"/>
        <w:spacing w:after="0" w:line="263" w:lineRule="auto"/>
        <w:rPr>
          <w:sz w:val="20"/>
          <w:szCs w:val="20"/>
          <w:color w:val="auto"/>
        </w:rPr>
      </w:pPr>
      <w:r>
        <w:rPr>
          <w:rFonts w:ascii="Arial" w:cs="Arial" w:eastAsia="Arial" w:hAnsi="Arial"/>
          <w:sz w:val="15"/>
          <w:szCs w:val="15"/>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online or by telephone, or, if they received printed copies of materials, by mailing their proxy cards. Stockholders can vote via the Internet in advance or during the Annual Meeting.</w:t>
      </w:r>
    </w:p>
    <w:p>
      <w:pPr>
        <w:spacing w:after="0" w:line="64" w:lineRule="exact"/>
        <w:rPr>
          <w:sz w:val="20"/>
          <w:szCs w:val="20"/>
          <w:color w:val="auto"/>
        </w:rPr>
      </w:pPr>
    </w:p>
    <w:p>
      <w:pPr>
        <w:ind w:left="400" w:right="340"/>
        <w:spacing w:after="0" w:line="289" w:lineRule="auto"/>
        <w:rPr>
          <w:sz w:val="20"/>
          <w:szCs w:val="20"/>
          <w:color w:val="auto"/>
        </w:rPr>
      </w:pPr>
      <w:r>
        <w:rPr>
          <w:rFonts w:ascii="Arial" w:cs="Arial" w:eastAsia="Arial" w:hAnsi="Arial"/>
          <w:sz w:val="15"/>
          <w:szCs w:val="15"/>
          <w:color w:val="auto"/>
        </w:rPr>
        <w:t>Stockholders who attend the virtual Annual Meeting should follow the instructions at www.virtualshareholdermeeting.com/VAC2022 to vote during the meeting. Voting online during the meeting will replace any previous votes.</w:t>
      </w:r>
    </w:p>
    <w:p>
      <w:pPr>
        <w:spacing w:after="0" w:line="46" w:lineRule="exact"/>
        <w:rPr>
          <w:sz w:val="20"/>
          <w:szCs w:val="20"/>
          <w:color w:val="auto"/>
        </w:rPr>
      </w:pPr>
    </w:p>
    <w:p>
      <w:pPr>
        <w:ind w:left="400" w:right="20"/>
        <w:spacing w:after="0" w:line="269" w:lineRule="auto"/>
        <w:rPr>
          <w:sz w:val="20"/>
          <w:szCs w:val="20"/>
          <w:color w:val="auto"/>
        </w:rPr>
      </w:pPr>
      <w:r>
        <w:rPr>
          <w:rFonts w:ascii="Arial" w:cs="Arial" w:eastAsia="Arial" w:hAnsi="Arial"/>
          <w:sz w:val="15"/>
          <w:szCs w:val="15"/>
          <w:color w:val="auto"/>
        </w:rPr>
        <w:t>Record holders who received a copy of this Proxy Statement and accompanying proxy card in the mail can vote by filling out the proxy card, signing it and returning it in the postage paid return envelope. Record holders can also vote by telephone (800-690-6903) or by Internet (www.proxyvote.com). Voting instructions are provided on the proxy card.</w:t>
      </w:r>
    </w:p>
    <w:p>
      <w:pPr>
        <w:spacing w:after="0" w:line="61" w:lineRule="exact"/>
        <w:rPr>
          <w:sz w:val="20"/>
          <w:szCs w:val="20"/>
          <w:color w:val="auto"/>
        </w:rPr>
      </w:pPr>
    </w:p>
    <w:p>
      <w:pPr>
        <w:ind w:left="400" w:right="280"/>
        <w:spacing w:after="0" w:line="289" w:lineRule="auto"/>
        <w:rPr>
          <w:sz w:val="20"/>
          <w:szCs w:val="20"/>
          <w:color w:val="auto"/>
        </w:rPr>
      </w:pPr>
      <w:r>
        <w:rPr>
          <w:rFonts w:ascii="Arial" w:cs="Arial" w:eastAsia="Arial" w:hAnsi="Arial"/>
          <w:sz w:val="15"/>
          <w:szCs w:val="15"/>
          <w:color w:val="auto"/>
        </w:rPr>
        <w:t>If you are a beneficial owner, you must vote by giving instructions to your bank or broker. You should follow the voting instructions on the form that you receive from your bank or broker.</w:t>
      </w:r>
    </w:p>
    <w:p>
      <w:pPr>
        <w:spacing w:after="0" w:line="84" w:lineRule="exact"/>
        <w:rPr>
          <w:sz w:val="20"/>
          <w:szCs w:val="20"/>
          <w:color w:val="auto"/>
        </w:rPr>
      </w:pPr>
    </w:p>
    <w:p>
      <w:pPr>
        <w:ind w:left="400"/>
        <w:spacing w:after="0"/>
        <w:tabs>
          <w:tab w:leader="none" w:pos="4660" w:val="left"/>
          <w:tab w:leader="none" w:pos="1078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Questions and Answers about the Meeting</w:t>
      </w:r>
      <w:r>
        <w:rPr>
          <w:sz w:val="20"/>
          <w:szCs w:val="20"/>
          <w:color w:val="auto"/>
        </w:rPr>
        <w:tab/>
      </w:r>
      <w:r>
        <w:rPr>
          <w:rFonts w:ascii="Arial" w:cs="Arial" w:eastAsia="Arial" w:hAnsi="Arial"/>
          <w:sz w:val="10"/>
          <w:szCs w:val="10"/>
          <w:b w:val="1"/>
          <w:bCs w:val="1"/>
          <w:color w:val="00498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type w:val="continuous"/>
        </w:sectPr>
      </w:pPr>
    </w:p>
    <w:bookmarkStart w:id="10" w:name="page11"/>
    <w:bookmarkEnd w:id="1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How will my proxy be voted?</w:t>
      </w:r>
    </w:p>
    <w:p>
      <w:pPr>
        <w:spacing w:after="0" w:line="113" w:lineRule="exact"/>
        <w:rPr>
          <w:sz w:val="20"/>
          <w:szCs w:val="20"/>
          <w:color w:val="auto"/>
        </w:rPr>
      </w:pPr>
    </w:p>
    <w:p>
      <w:pPr>
        <w:ind w:left="400" w:right="300"/>
        <w:spacing w:after="0" w:line="269" w:lineRule="auto"/>
        <w:rPr>
          <w:sz w:val="20"/>
          <w:szCs w:val="20"/>
          <w:color w:val="auto"/>
        </w:rPr>
      </w:pPr>
      <w:r>
        <w:rPr>
          <w:rFonts w:ascii="Arial" w:cs="Arial" w:eastAsia="Arial" w:hAnsi="Arial"/>
          <w:sz w:val="15"/>
          <w:szCs w:val="15"/>
          <w:color w:val="auto"/>
        </w:rPr>
        <w:t>Your proxy card, when properly signed and returned to us, or processed by telephone or via the Internet, and not revoked, will be voted in accordance with your instructions. We are not aware of any other matter that may be properly presented other than those described above. If any other matter is properly presented, the persons named in the enclosed proxy card will have discretion to vote in their best judgment.</w:t>
      </w:r>
    </w:p>
    <w:p>
      <w:pPr>
        <w:spacing w:after="0" w:line="61" w:lineRule="exact"/>
        <w:rPr>
          <w:sz w:val="20"/>
          <w:szCs w:val="20"/>
          <w:color w:val="auto"/>
        </w:rPr>
      </w:pPr>
    </w:p>
    <w:p>
      <w:pPr>
        <w:ind w:left="400" w:right="40"/>
        <w:spacing w:after="0" w:line="254" w:lineRule="auto"/>
        <w:rPr>
          <w:sz w:val="20"/>
          <w:szCs w:val="20"/>
          <w:color w:val="auto"/>
        </w:rPr>
      </w:pPr>
      <w:r>
        <w:rPr>
          <w:rFonts w:ascii="Arial" w:cs="Arial" w:eastAsia="Arial" w:hAnsi="Arial"/>
          <w:sz w:val="15"/>
          <w:szCs w:val="15"/>
          <w:color w:val="auto"/>
        </w:rPr>
        <w:t xml:space="preserve">If you are a beneficial owner, your bank or broker is permitted to use its own discretion and vote your shares on certain routine matters (such as Item 2) even if you have not provided voting instructions. Your bank or broker is not permitted to use its discretion and vote your shares on non-routine matters (such as Items 1 and 3) if it has not received instructions from you as to how to vote the shares. </w:t>
      </w:r>
      <w:r>
        <w:rPr>
          <w:rFonts w:ascii="Arial" w:cs="Arial" w:eastAsia="Arial" w:hAnsi="Arial"/>
          <w:sz w:val="15"/>
          <w:szCs w:val="15"/>
          <w:i w:val="1"/>
          <w:iCs w:val="1"/>
          <w:color w:val="auto"/>
        </w:rPr>
        <w:t>Therefore, we urge you to give voting instructions to your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broker on all three voting items. </w:t>
      </w:r>
      <w:r>
        <w:rPr>
          <w:rFonts w:ascii="Arial" w:cs="Arial" w:eastAsia="Arial" w:hAnsi="Arial"/>
          <w:sz w:val="15"/>
          <w:szCs w:val="15"/>
          <w:color w:val="auto"/>
        </w:rPr>
        <w:t>Shares that are not permitted to be voted by your broker with respect to any non-routine matter are called “broker</w:t>
      </w:r>
      <w:r>
        <w:rPr>
          <w:rFonts w:ascii="Arial" w:cs="Arial" w:eastAsia="Arial" w:hAnsi="Arial"/>
          <w:sz w:val="15"/>
          <w:szCs w:val="15"/>
          <w:i w:val="1"/>
          <w:iCs w:val="1"/>
          <w:color w:val="auto"/>
        </w:rPr>
        <w:t xml:space="preserve"> </w:t>
      </w:r>
      <w:r>
        <w:rPr>
          <w:rFonts w:ascii="Arial" w:cs="Arial" w:eastAsia="Arial" w:hAnsi="Arial"/>
          <w:sz w:val="15"/>
          <w:szCs w:val="15"/>
          <w:color w:val="auto"/>
        </w:rPr>
        <w:t>non-votes.” Broker non-votes are not considered votes for or against, or entitled to vote with respect to, any of the non-routine proposals to be voted on at the Annual Meeting and will have no direct impact on the outcome of any such non-routine proposal.</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What if I don’t mark the boxes on my proxy?</w:t>
      </w:r>
    </w:p>
    <w:p>
      <w:pPr>
        <w:spacing w:after="0" w:line="79" w:lineRule="exact"/>
        <w:rPr>
          <w:sz w:val="20"/>
          <w:szCs w:val="20"/>
          <w:color w:val="auto"/>
        </w:rPr>
      </w:pPr>
    </w:p>
    <w:p>
      <w:pPr>
        <w:ind w:left="400" w:right="380"/>
        <w:spacing w:after="0" w:line="264" w:lineRule="auto"/>
        <w:rPr>
          <w:sz w:val="20"/>
          <w:szCs w:val="20"/>
          <w:color w:val="auto"/>
        </w:rPr>
      </w:pPr>
      <w:r>
        <w:rPr>
          <w:rFonts w:ascii="Arial" w:cs="Arial" w:eastAsia="Arial" w:hAnsi="Arial"/>
          <w:sz w:val="15"/>
          <w:szCs w:val="15"/>
          <w:color w:val="auto"/>
        </w:rPr>
        <w:t>Unless you give other instructions on your proxy card, or unless you give other instructions when you cast your vote by telephone or the Internet, the persons named as proxies will vote in accordance with the recommendations of the Board of Directors.</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What constitutes a quorum?</w:t>
      </w:r>
    </w:p>
    <w:p>
      <w:pPr>
        <w:spacing w:after="0" w:line="79" w:lineRule="exact"/>
        <w:rPr>
          <w:sz w:val="20"/>
          <w:szCs w:val="20"/>
          <w:color w:val="auto"/>
        </w:rPr>
      </w:pPr>
    </w:p>
    <w:p>
      <w:pPr>
        <w:ind w:left="400" w:right="160"/>
        <w:spacing w:after="0" w:line="259" w:lineRule="auto"/>
        <w:rPr>
          <w:sz w:val="20"/>
          <w:szCs w:val="20"/>
          <w:color w:val="auto"/>
        </w:rPr>
      </w:pPr>
      <w:r>
        <w:rPr>
          <w:rFonts w:ascii="Arial" w:cs="Arial" w:eastAsia="Arial" w:hAnsi="Arial"/>
          <w:sz w:val="15"/>
          <w:szCs w:val="15"/>
          <w:color w:val="auto"/>
        </w:rPr>
        <w:t>The presence at the meeting, online or by proxy, of the holders of a majority in voting power of the issued and outstanding shares of common stock entitled to vote at the Annual Meeting will constitute a quorum. Proxies received will be included in the calculation of the number of shares considered to be present at the meeting, even if marked as broker non-votes or with abstentions on certain items.</w:t>
      </w: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How many votes are needed to approve an item?</w:t>
      </w:r>
    </w:p>
    <w:p>
      <w:pPr>
        <w:spacing w:after="0" w:line="80" w:lineRule="exact"/>
        <w:rPr>
          <w:sz w:val="20"/>
          <w:szCs w:val="20"/>
          <w:color w:val="auto"/>
        </w:rPr>
      </w:pPr>
    </w:p>
    <w:p>
      <w:pPr>
        <w:ind w:left="400" w:right="440"/>
        <w:spacing w:after="0" w:line="269" w:lineRule="auto"/>
        <w:rPr>
          <w:sz w:val="20"/>
          <w:szCs w:val="20"/>
          <w:color w:val="auto"/>
        </w:rPr>
      </w:pPr>
      <w:r>
        <w:rPr>
          <w:rFonts w:ascii="Arial" w:cs="Arial" w:eastAsia="Arial" w:hAnsi="Arial"/>
          <w:sz w:val="15"/>
          <w:szCs w:val="15"/>
          <w:color w:val="auto"/>
        </w:rPr>
        <w:t>Directors will be elected by a plurality of all the votes cast at the Annual Meeting, either online or represented by a properly completed or authorized proxy. This means that the three nominees who receive the highest number of “FOR” votes cast will be elected as directors. Stockholders cannot cumulate votes in the election of directors.</w:t>
      </w:r>
    </w:p>
    <w:p>
      <w:pPr>
        <w:spacing w:after="0" w:line="61" w:lineRule="exact"/>
        <w:rPr>
          <w:sz w:val="20"/>
          <w:szCs w:val="20"/>
          <w:color w:val="auto"/>
        </w:rPr>
      </w:pPr>
    </w:p>
    <w:p>
      <w:pPr>
        <w:ind w:left="400" w:right="20"/>
        <w:spacing w:after="0" w:line="269" w:lineRule="auto"/>
        <w:rPr>
          <w:sz w:val="20"/>
          <w:szCs w:val="20"/>
          <w:color w:val="auto"/>
        </w:rPr>
      </w:pPr>
      <w:r>
        <w:rPr>
          <w:rFonts w:ascii="Arial" w:cs="Arial" w:eastAsia="Arial" w:hAnsi="Arial"/>
          <w:sz w:val="15"/>
          <w:szCs w:val="15"/>
          <w:color w:val="auto"/>
        </w:rPr>
        <w:t>The affirmative vote of holders of shares representing a majority in voting power of the votes cast, present online or represented by proxy and entitled to vote at the meeting, is necessary for approval of Items 2 and 3. Proxy cards marked as abstentions on Items 2 and 3 will not be counted as votes cast but will count as present and entitled to vote and therefore will have the effect of a negative vote.</w:t>
      </w:r>
    </w:p>
    <w:p>
      <w:pPr>
        <w:spacing w:after="0" w:line="61" w:lineRule="exact"/>
        <w:rPr>
          <w:sz w:val="20"/>
          <w:szCs w:val="20"/>
          <w:color w:val="auto"/>
        </w:rPr>
      </w:pPr>
    </w:p>
    <w:p>
      <w:pPr>
        <w:jc w:val="both"/>
        <w:ind w:left="400" w:right="20"/>
        <w:spacing w:after="0" w:line="279" w:lineRule="auto"/>
        <w:rPr>
          <w:sz w:val="20"/>
          <w:szCs w:val="20"/>
          <w:color w:val="auto"/>
        </w:rPr>
      </w:pPr>
      <w:r>
        <w:rPr>
          <w:rFonts w:ascii="Arial" w:cs="Arial" w:eastAsia="Arial" w:hAnsi="Arial"/>
          <w:sz w:val="15"/>
          <w:szCs w:val="15"/>
          <w:color w:val="auto"/>
        </w:rPr>
        <w:t>Broker non-votes will not be counted as entitled to vote for Items 1 or 3 and therefore will have no effect on the outcome of these Items. Item 2 is a routine matter on which brokers may vote even if they have not received voting instructions; therefore, there will not be any broker non-votes with respect to Item 2.</w:t>
      </w:r>
    </w:p>
    <w:p>
      <w:pPr>
        <w:spacing w:after="0" w:line="13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Who can attend the Annual Meeting?</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Only stockholders as of the record date, their proxy holders and our invited guests may attend the Annual Meeting.</w:t>
      </w:r>
    </w:p>
    <w:p>
      <w:pPr>
        <w:spacing w:after="0" w:line="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Can I attend and participate in the Annual Meeting online if I vote by proxy?</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Yes. Attending the Annual Meeting online does not revoke your proxy.</w:t>
      </w:r>
    </w:p>
    <w:p>
      <w:pPr>
        <w:spacing w:after="0" w:line="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47"/>
          <w:szCs w:val="47"/>
          <w:color w:val="004987"/>
          <w:vertAlign w:val="subscript"/>
        </w:rPr>
        <w:t>Q.</w:t>
      </w:r>
      <w:r>
        <w:rPr>
          <w:rFonts w:ascii="Arial" w:cs="Arial" w:eastAsia="Arial" w:hAnsi="Arial"/>
          <w:sz w:val="15"/>
          <w:szCs w:val="15"/>
          <w:color w:val="004987"/>
        </w:rPr>
        <w:tab/>
        <w:t>Can I change my vote or revoke my proxy after I return my proxy card, or after I vote by telephone or electronically?</w:t>
      </w:r>
    </w:p>
    <w:p>
      <w:pPr>
        <w:spacing w:after="0" w:line="78" w:lineRule="exact"/>
        <w:rPr>
          <w:sz w:val="20"/>
          <w:szCs w:val="20"/>
          <w:color w:val="auto"/>
        </w:rPr>
      </w:pPr>
    </w:p>
    <w:p>
      <w:pPr>
        <w:ind w:left="400" w:right="40"/>
        <w:spacing w:after="0" w:line="289" w:lineRule="auto"/>
        <w:rPr>
          <w:sz w:val="20"/>
          <w:szCs w:val="20"/>
          <w:color w:val="auto"/>
        </w:rPr>
      </w:pPr>
      <w:r>
        <w:rPr>
          <w:rFonts w:ascii="Arial" w:cs="Arial" w:eastAsia="Arial" w:hAnsi="Arial"/>
          <w:sz w:val="15"/>
          <w:szCs w:val="15"/>
          <w:color w:val="auto"/>
        </w:rPr>
        <w:t>Yes. Even after you have submitted your proxy, you may change your vote at any time before the proxy is exercised at the Annual Meeting. Regardless of the way in which you submitted your original proxy, you may change it by:</w:t>
      </w:r>
    </w:p>
    <w:p>
      <w:pPr>
        <w:spacing w:after="0" w:line="59" w:lineRule="exact"/>
        <w:rPr>
          <w:sz w:val="20"/>
          <w:szCs w:val="20"/>
          <w:color w:val="auto"/>
        </w:rPr>
      </w:pPr>
    </w:p>
    <w:p>
      <w:pPr>
        <w:ind w:left="600" w:hanging="206"/>
        <w:spacing w:after="0"/>
        <w:tabs>
          <w:tab w:leader="none" w:pos="600" w:val="left"/>
        </w:tabs>
        <w:numPr>
          <w:ilvl w:val="0"/>
          <w:numId w:val="27"/>
        </w:numPr>
        <w:rPr>
          <w:rFonts w:ascii="Arial" w:cs="Arial" w:eastAsia="Arial" w:hAnsi="Arial"/>
          <w:sz w:val="15"/>
          <w:szCs w:val="15"/>
          <w:color w:val="004987"/>
        </w:rPr>
      </w:pPr>
      <w:r>
        <w:rPr>
          <w:rFonts w:ascii="Arial" w:cs="Arial" w:eastAsia="Arial" w:hAnsi="Arial"/>
          <w:sz w:val="15"/>
          <w:szCs w:val="15"/>
          <w:color w:val="auto"/>
        </w:rPr>
        <w:t>returning a later-dated signed proxy card;</w:t>
      </w:r>
    </w:p>
    <w:p>
      <w:pPr>
        <w:spacing w:after="0" w:line="122" w:lineRule="exact"/>
        <w:rPr>
          <w:rFonts w:ascii="Arial" w:cs="Arial" w:eastAsia="Arial" w:hAnsi="Arial"/>
          <w:sz w:val="15"/>
          <w:szCs w:val="15"/>
          <w:color w:val="004987"/>
        </w:rPr>
      </w:pPr>
    </w:p>
    <w:p>
      <w:pPr>
        <w:ind w:left="600" w:right="480" w:hanging="206"/>
        <w:spacing w:after="0" w:line="289" w:lineRule="auto"/>
        <w:tabs>
          <w:tab w:leader="none" w:pos="600" w:val="left"/>
        </w:tabs>
        <w:numPr>
          <w:ilvl w:val="0"/>
          <w:numId w:val="27"/>
        </w:numPr>
        <w:rPr>
          <w:rFonts w:ascii="Arial" w:cs="Arial" w:eastAsia="Arial" w:hAnsi="Arial"/>
          <w:sz w:val="15"/>
          <w:szCs w:val="15"/>
          <w:color w:val="004987"/>
        </w:rPr>
      </w:pPr>
      <w:r>
        <w:rPr>
          <w:rFonts w:ascii="Arial" w:cs="Arial" w:eastAsia="Arial" w:hAnsi="Arial"/>
          <w:sz w:val="15"/>
          <w:szCs w:val="15"/>
          <w:color w:val="auto"/>
        </w:rPr>
        <w:t>delivering a written notice of revocation to Marriott Vacations Worldwide Corporation, 9002 San Marco Court, Orlando, Florida, 32819, Attention: Corporate Secretary;</w:t>
      </w:r>
    </w:p>
    <w:p>
      <w:pPr>
        <w:spacing w:after="0" w:line="58" w:lineRule="exact"/>
        <w:rPr>
          <w:rFonts w:ascii="Arial" w:cs="Arial" w:eastAsia="Arial" w:hAnsi="Arial"/>
          <w:sz w:val="15"/>
          <w:szCs w:val="15"/>
          <w:color w:val="004987"/>
        </w:rPr>
      </w:pPr>
    </w:p>
    <w:p>
      <w:pPr>
        <w:ind w:left="600" w:hanging="206"/>
        <w:spacing w:after="0"/>
        <w:tabs>
          <w:tab w:leader="none" w:pos="600" w:val="left"/>
        </w:tabs>
        <w:numPr>
          <w:ilvl w:val="0"/>
          <w:numId w:val="27"/>
        </w:numPr>
        <w:rPr>
          <w:rFonts w:ascii="Arial" w:cs="Arial" w:eastAsia="Arial" w:hAnsi="Arial"/>
          <w:sz w:val="15"/>
          <w:szCs w:val="15"/>
          <w:color w:val="004987"/>
        </w:rPr>
      </w:pPr>
      <w:r>
        <w:rPr>
          <w:rFonts w:ascii="Arial" w:cs="Arial" w:eastAsia="Arial" w:hAnsi="Arial"/>
          <w:sz w:val="15"/>
          <w:szCs w:val="15"/>
          <w:color w:val="auto"/>
        </w:rPr>
        <w:t>voting by telephone or the Internet at www.proxyvote.com until 11:59 p.m., Eastern Daylight Time, on May 12, 2022; or</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27"/>
        </w:numPr>
        <w:rPr>
          <w:rFonts w:ascii="Arial" w:cs="Arial" w:eastAsia="Arial" w:hAnsi="Arial"/>
          <w:sz w:val="15"/>
          <w:szCs w:val="15"/>
          <w:color w:val="004987"/>
        </w:rPr>
      </w:pPr>
      <w:r>
        <w:rPr>
          <w:rFonts w:ascii="Arial" w:cs="Arial" w:eastAsia="Arial" w:hAnsi="Arial"/>
          <w:sz w:val="15"/>
          <w:szCs w:val="15"/>
          <w:color w:val="auto"/>
        </w:rPr>
        <w:t>submitting a later-dated vote during the virtual Annual Meeting (www.virtualshareholdermeeting.com/VAC2022).</w:t>
      </w:r>
    </w:p>
    <w:p>
      <w:pPr>
        <w:spacing w:after="0" w:line="212" w:lineRule="exact"/>
        <w:rPr>
          <w:sz w:val="20"/>
          <w:szCs w:val="20"/>
          <w:color w:val="auto"/>
        </w:rPr>
      </w:pPr>
    </w:p>
    <w:p>
      <w:pPr>
        <w:ind w:left="400" w:right="240"/>
        <w:spacing w:after="0" w:line="289" w:lineRule="auto"/>
        <w:rPr>
          <w:sz w:val="20"/>
          <w:szCs w:val="20"/>
          <w:color w:val="auto"/>
        </w:rPr>
      </w:pPr>
      <w:r>
        <w:rPr>
          <w:rFonts w:ascii="Arial" w:cs="Arial" w:eastAsia="Arial" w:hAnsi="Arial"/>
          <w:sz w:val="15"/>
          <w:szCs w:val="15"/>
          <w:color w:val="auto"/>
        </w:rPr>
        <w:t>If your shares are held through a broker or other nominee, and you are not provided a 16-digit control number, you will need to contact that institution if you wish to change your voting instructions.</w:t>
      </w:r>
    </w:p>
    <w:p>
      <w:pPr>
        <w:spacing w:after="0" w:line="84" w:lineRule="exact"/>
        <w:rPr>
          <w:sz w:val="20"/>
          <w:szCs w:val="20"/>
          <w:color w:val="auto"/>
        </w:rPr>
      </w:pPr>
    </w:p>
    <w:p>
      <w:pPr>
        <w:ind w:left="400"/>
        <w:spacing w:after="0"/>
        <w:tabs>
          <w:tab w:leader="none" w:pos="4660" w:val="left"/>
          <w:tab w:leader="none" w:pos="7720" w:val="left"/>
        </w:tabs>
        <w:rPr>
          <w:sz w:val="20"/>
          <w:szCs w:val="20"/>
          <w:color w:val="auto"/>
        </w:rPr>
      </w:pPr>
      <w:r>
        <w:rPr>
          <w:rFonts w:ascii="Arial" w:cs="Arial" w:eastAsia="Arial" w:hAnsi="Arial"/>
          <w:sz w:val="10"/>
          <w:szCs w:val="10"/>
          <w:b w:val="1"/>
          <w:bCs w:val="1"/>
          <w:color w:val="004987"/>
        </w:rPr>
        <w:t>6</w:t>
      </w:r>
      <w:r>
        <w:rPr>
          <w:sz w:val="20"/>
          <w:szCs w:val="20"/>
          <w:color w:val="auto"/>
        </w:rPr>
        <w:tab/>
      </w:r>
      <w:r>
        <w:rPr>
          <w:rFonts w:ascii="Arial" w:cs="Arial" w:eastAsia="Arial" w:hAnsi="Arial"/>
          <w:sz w:val="10"/>
          <w:szCs w:val="10"/>
          <w:color w:val="auto"/>
        </w:rPr>
        <w:t>Questions and Answers about the Meeting</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1" w:name="page12"/>
    <w:bookmarkEnd w:id="1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spacing w:after="0"/>
        <w:rPr>
          <w:sz w:val="20"/>
          <w:szCs w:val="20"/>
          <w:color w:val="auto"/>
        </w:rPr>
      </w:pPr>
      <w:r>
        <w:rPr>
          <w:rFonts w:ascii="Arial" w:cs="Arial" w:eastAsia="Arial" w:hAnsi="Arial"/>
          <w:sz w:val="51"/>
          <w:szCs w:val="51"/>
          <w:b w:val="1"/>
          <w:bCs w:val="1"/>
          <w:color w:val="auto"/>
        </w:rPr>
        <w:t>PROPOSALS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-337185</wp:posOffset>
            </wp:positionV>
            <wp:extent cx="81280" cy="423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280" cy="4235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ITEM 1 – ELECTION OF DIRECTORS</w:t>
      </w:r>
    </w:p>
    <w:p>
      <w:pPr>
        <w:spacing w:after="0" w:line="106" w:lineRule="exact"/>
        <w:rPr>
          <w:sz w:val="20"/>
          <w:szCs w:val="20"/>
          <w:color w:val="auto"/>
        </w:rPr>
      </w:pPr>
    </w:p>
    <w:p>
      <w:pPr>
        <w:ind w:left="400" w:right="100"/>
        <w:spacing w:after="0" w:line="255" w:lineRule="auto"/>
        <w:rPr>
          <w:sz w:val="20"/>
          <w:szCs w:val="20"/>
          <w:color w:val="auto"/>
        </w:rPr>
      </w:pPr>
      <w:r>
        <w:rPr>
          <w:rFonts w:ascii="Arial" w:cs="Arial" w:eastAsia="Arial" w:hAnsi="Arial"/>
          <w:sz w:val="15"/>
          <w:szCs w:val="15"/>
          <w:color w:val="auto"/>
        </w:rPr>
        <w:t>The Board currently consists of eleven members and is divided into three classes, each having three-year terms that expire in successive years. The current Class I directors include Thomas Hutchison, Raymond L. Gellein, Jr., Dianna F. Morgan and Jonice Gray Tucker, and the term of the Class I directors expires at the Annual Meeting. The Board proposes that Raymond L. Gellein, Jr., Dianna F. Morgan and Jonice Gray Tucker be elected as Class I directors for a term of three years expiring at the 2025 Annual Meeting and until their successors are duly elected and qualified. Stockholders last elected Mr. Gellein and Ms. Morgan as Class I directors at the 2019 Annual Meeting. The Board appointed Ms. Tucker as a director in November 2021, and simultaneously increased the size of the Board to 11. The Board does not intend to fill the vacancy created by the expiration of Mr. Hutchison’s term; instead, the number of directors will be reduced to 10 effective as of the 2022 Annual Meeting. Proxies cannot be voted for more than the number of nominees proposed for re-election.</w:t>
      </w:r>
    </w:p>
    <w:p>
      <w:pPr>
        <w:spacing w:after="0" w:line="72" w:lineRule="exact"/>
        <w:rPr>
          <w:sz w:val="20"/>
          <w:szCs w:val="20"/>
          <w:color w:val="auto"/>
        </w:rPr>
      </w:pPr>
    </w:p>
    <w:p>
      <w:pPr>
        <w:jc w:val="both"/>
        <w:ind w:left="400" w:right="120"/>
        <w:spacing w:after="0" w:line="269" w:lineRule="auto"/>
        <w:rPr>
          <w:sz w:val="20"/>
          <w:szCs w:val="20"/>
          <w:color w:val="auto"/>
        </w:rPr>
      </w:pPr>
      <w:r>
        <w:rPr>
          <w:rFonts w:ascii="Arial" w:cs="Arial" w:eastAsia="Arial" w:hAnsi="Arial"/>
          <w:sz w:val="15"/>
          <w:szCs w:val="15"/>
          <w:color w:val="auto"/>
        </w:rPr>
        <w:t>Each of the nominees has consented to be named as a nominee and to serve as a director if elected. If any of them should become unavailable to serve as a director, the Board may designate a substitute nominee. In that case, the persons named as proxies will vote for the substitute nominee designated by the Board.</w:t>
      </w:r>
    </w:p>
    <w:p>
      <w:pPr>
        <w:spacing w:after="0" w:line="61" w:lineRule="exact"/>
        <w:rPr>
          <w:sz w:val="20"/>
          <w:szCs w:val="20"/>
          <w:color w:val="auto"/>
        </w:rPr>
      </w:pPr>
    </w:p>
    <w:p>
      <w:pPr>
        <w:ind w:left="400" w:right="480"/>
        <w:spacing w:after="0" w:line="289" w:lineRule="auto"/>
        <w:rPr>
          <w:sz w:val="20"/>
          <w:szCs w:val="20"/>
          <w:color w:val="auto"/>
        </w:rPr>
      </w:pPr>
      <w:r>
        <w:rPr>
          <w:rFonts w:ascii="Arial" w:cs="Arial" w:eastAsia="Arial" w:hAnsi="Arial"/>
          <w:sz w:val="15"/>
          <w:szCs w:val="15"/>
          <w:color w:val="auto"/>
        </w:rPr>
        <w:t>Information about the nominees, as well as the current Class II and Class III directors, is set forth below in the section titled “Report on the Board of Directors and its Committees” beginning on page 9.</w:t>
      </w:r>
    </w:p>
    <w:p>
      <w:pPr>
        <w:spacing w:after="0" w:line="314" w:lineRule="exact"/>
        <w:rPr>
          <w:sz w:val="20"/>
          <w:szCs w:val="20"/>
          <w:color w:val="auto"/>
        </w:rPr>
      </w:pPr>
    </w:p>
    <w:p>
      <w:pPr>
        <w:ind w:left="3140" w:right="2300" w:hanging="612"/>
        <w:spacing w:after="0" w:line="187" w:lineRule="auto"/>
        <w:tabs>
          <w:tab w:leader="none" w:pos="3140" w:val="left"/>
        </w:tabs>
        <w:numPr>
          <w:ilvl w:val="0"/>
          <w:numId w:val="28"/>
        </w:numPr>
        <w:rPr>
          <w:rFonts w:ascii="MS PGothic" w:cs="MS PGothic" w:eastAsia="MS PGothic" w:hAnsi="MS PGothic"/>
          <w:sz w:val="41"/>
          <w:szCs w:val="41"/>
          <w:color w:val="004987"/>
          <w:shd w:val="clear" w:color="auto" w:fill="D8E3ED"/>
        </w:rPr>
      </w:pPr>
      <w:r>
        <w:rPr>
          <w:rFonts w:ascii="Arial" w:cs="Arial" w:eastAsia="Arial" w:hAnsi="Arial"/>
          <w:sz w:val="15"/>
          <w:szCs w:val="15"/>
          <w:b w:val="1"/>
          <w:bCs w:val="1"/>
          <w:color w:val="auto"/>
          <w:shd w:val="clear" w:color="auto" w:fill="D8E3ED"/>
        </w:rPr>
        <w:t xml:space="preserve">Our Board of Directors recommends that you vote </w:t>
      </w:r>
      <w:r>
        <w:rPr>
          <w:rFonts w:ascii="Arial" w:cs="Arial" w:eastAsia="Arial" w:hAnsi="Arial"/>
          <w:sz w:val="20"/>
          <w:szCs w:val="20"/>
          <w:b w:val="1"/>
          <w:bCs w:val="1"/>
          <w:color w:val="004987"/>
          <w:shd w:val="clear" w:color="auto" w:fill="D8E3ED"/>
        </w:rPr>
        <w:t>FOR</w:t>
      </w:r>
      <w:r>
        <w:rPr>
          <w:rFonts w:ascii="Arial" w:cs="Arial" w:eastAsia="Arial" w:hAnsi="Arial"/>
          <w:sz w:val="15"/>
          <w:szCs w:val="15"/>
          <w:b w:val="1"/>
          <w:bCs w:val="1"/>
          <w:color w:val="auto"/>
          <w:shd w:val="clear" w:color="auto" w:fill="D8E3ED"/>
        </w:rPr>
        <w:t xml:space="preserve"> each of the three </w:t>
      </w:r>
      <w:r>
        <w:rPr>
          <w:rFonts w:ascii="Arial" w:cs="Arial" w:eastAsia="Arial" w:hAnsi="Arial"/>
          <w:sz w:val="15"/>
          <w:szCs w:val="15"/>
          <w:b w:val="1"/>
          <w:bCs w:val="1"/>
          <w:color w:val="auto"/>
        </w:rPr>
        <w:t>director nominees.</w:t>
      </w:r>
    </w:p>
    <w:p>
      <w:pPr>
        <w:spacing w:after="0" w:line="392"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ITEM 2 – RATIFICATION OF APPOINTMENT OF INDEPENDENT REGISTERED PUBLIC ACCOUNTING FIRM</w:t>
      </w:r>
    </w:p>
    <w:p>
      <w:pPr>
        <w:spacing w:after="0" w:line="129" w:lineRule="exact"/>
        <w:rPr>
          <w:sz w:val="20"/>
          <w:szCs w:val="20"/>
          <w:color w:val="auto"/>
        </w:rPr>
      </w:pPr>
    </w:p>
    <w:p>
      <w:pPr>
        <w:ind w:left="400" w:right="60"/>
        <w:spacing w:after="0" w:line="256" w:lineRule="auto"/>
        <w:rPr>
          <w:sz w:val="20"/>
          <w:szCs w:val="20"/>
          <w:color w:val="auto"/>
        </w:rPr>
      </w:pPr>
      <w:r>
        <w:rPr>
          <w:rFonts w:ascii="Arial" w:cs="Arial" w:eastAsia="Arial" w:hAnsi="Arial"/>
          <w:sz w:val="15"/>
          <w:szCs w:val="15"/>
          <w:color w:val="auto"/>
        </w:rPr>
        <w:t>The Audit Committee of the Board (the “Audit Committee”) has appointed Ernst &amp; Young as the Company’s independent registered public accounting firm for the Company’s 2022 fiscal year. Although the Audit Committee has discretionary authority to appoint the independent auditor, the Board is seeking stockholder ratification of the appointment as a matter of good corporate governance. The Board and the Audit Committee believe that the continued retention of Ernst &amp; Young as the Company’s independent auditor is in the best interests of the Company and its stockholders. If the appointment of Ernst &amp; Young is not ratified by stockholders, the Audit Committee will take that into consideration when determining whether to continue the firm’s engagement. Even if the appointment is ratified, the Audit Committee at its discretion may direct the appointment of a different independent registered public accounting firm at any time during the year if it determines that such a change would be in the best interests of the Company.</w:t>
      </w:r>
    </w:p>
    <w:p>
      <w:pPr>
        <w:spacing w:after="0" w:line="71" w:lineRule="exact"/>
        <w:rPr>
          <w:sz w:val="20"/>
          <w:szCs w:val="20"/>
          <w:color w:val="auto"/>
        </w:rPr>
      </w:pPr>
    </w:p>
    <w:p>
      <w:pPr>
        <w:ind w:left="400" w:right="500"/>
        <w:spacing w:after="0" w:line="289" w:lineRule="auto"/>
        <w:rPr>
          <w:sz w:val="20"/>
          <w:szCs w:val="20"/>
          <w:color w:val="auto"/>
        </w:rPr>
      </w:pPr>
      <w:r>
        <w:rPr>
          <w:rFonts w:ascii="Arial" w:cs="Arial" w:eastAsia="Arial" w:hAnsi="Arial"/>
          <w:sz w:val="15"/>
          <w:szCs w:val="15"/>
          <w:color w:val="auto"/>
        </w:rPr>
        <w:t>Representatives of Ernst &amp; Young are expected to be present at the Annual Meeting online, will have an opportunity to make a statement if they so desire, and are expected to be available to respond to appropriate questions.</w:t>
      </w:r>
    </w:p>
    <w:p>
      <w:pPr>
        <w:spacing w:after="0" w:line="314" w:lineRule="exact"/>
        <w:rPr>
          <w:sz w:val="20"/>
          <w:szCs w:val="20"/>
          <w:color w:val="auto"/>
        </w:rPr>
      </w:pPr>
    </w:p>
    <w:p>
      <w:pPr>
        <w:ind w:left="3140" w:right="2280" w:hanging="612"/>
        <w:spacing w:after="0" w:line="201" w:lineRule="auto"/>
        <w:tabs>
          <w:tab w:leader="none" w:pos="3140" w:val="left"/>
        </w:tabs>
        <w:numPr>
          <w:ilvl w:val="0"/>
          <w:numId w:val="29"/>
        </w:numPr>
        <w:rPr>
          <w:rFonts w:ascii="MS PGothic" w:cs="MS PGothic" w:eastAsia="MS PGothic" w:hAnsi="MS PGothic"/>
          <w:sz w:val="41"/>
          <w:szCs w:val="41"/>
          <w:color w:val="004987"/>
        </w:rPr>
      </w:pPr>
      <w:r>
        <w:rPr>
          <w:rFonts w:ascii="Arial" w:cs="Arial" w:eastAsia="Arial" w:hAnsi="Arial"/>
          <w:sz w:val="15"/>
          <w:szCs w:val="15"/>
          <w:b w:val="1"/>
          <w:bCs w:val="1"/>
          <w:color w:val="auto"/>
        </w:rPr>
        <w:t xml:space="preserve">Our Board of Directors recommends that you vote </w:t>
      </w:r>
      <w:r>
        <w:rPr>
          <w:rFonts w:ascii="Arial" w:cs="Arial" w:eastAsia="Arial" w:hAnsi="Arial"/>
          <w:sz w:val="20"/>
          <w:szCs w:val="20"/>
          <w:b w:val="1"/>
          <w:bCs w:val="1"/>
          <w:color w:val="004987"/>
        </w:rPr>
        <w:t>FOR</w:t>
      </w:r>
      <w:r>
        <w:rPr>
          <w:rFonts w:ascii="Arial" w:cs="Arial" w:eastAsia="Arial" w:hAnsi="Arial"/>
          <w:sz w:val="15"/>
          <w:szCs w:val="15"/>
          <w:b w:val="1"/>
          <w:bCs w:val="1"/>
          <w:color w:val="auto"/>
        </w:rPr>
        <w:t xml:space="preserve"> ratification of the appointment of Ernst &amp; Young as the Company’s independent registered public accounting firm for its 2022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-408940</wp:posOffset>
            </wp:positionV>
            <wp:extent cx="3980815" cy="480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80815" cy="480060"/>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5200" w:val="left"/>
          <w:tab w:leader="none" w:pos="1078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Proposals for Vote</w:t>
      </w:r>
      <w:r>
        <w:rPr>
          <w:sz w:val="20"/>
          <w:szCs w:val="20"/>
          <w:color w:val="auto"/>
        </w:rPr>
        <w:tab/>
      </w:r>
      <w:r>
        <w:rPr>
          <w:rFonts w:ascii="Arial" w:cs="Arial" w:eastAsia="Arial" w:hAnsi="Arial"/>
          <w:sz w:val="10"/>
          <w:szCs w:val="10"/>
          <w:b w:val="1"/>
          <w:bCs w:val="1"/>
          <w:color w:val="00498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2" w:name="page13"/>
    <w:bookmarkEnd w:id="1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ITEM 3 – ADVISORY VOTE TO APPROVE NAMED EXECUTIVE OFFICER COMPENSATION</w:t>
      </w:r>
    </w:p>
    <w:p>
      <w:pPr>
        <w:spacing w:after="0" w:line="106" w:lineRule="exact"/>
        <w:rPr>
          <w:sz w:val="20"/>
          <w:szCs w:val="20"/>
          <w:color w:val="auto"/>
        </w:rPr>
      </w:pPr>
    </w:p>
    <w:p>
      <w:pPr>
        <w:ind w:left="400" w:right="240"/>
        <w:spacing w:after="0" w:line="269" w:lineRule="auto"/>
        <w:rPr>
          <w:sz w:val="20"/>
          <w:szCs w:val="20"/>
          <w:color w:val="auto"/>
        </w:rPr>
      </w:pPr>
      <w:r>
        <w:rPr>
          <w:rFonts w:ascii="Arial" w:cs="Arial" w:eastAsia="Arial" w:hAnsi="Arial"/>
          <w:sz w:val="15"/>
          <w:szCs w:val="15"/>
          <w:color w:val="auto"/>
        </w:rPr>
        <w:t>We are asking stockholders to approve an advisory resolution on the Company’s named executive officer compensation as reported in this Proxy Statement. As described below in “Compensation Discussion and Analysis” beginning on page 23, the Compensation Policy Committee has structured our executive compensation program to achieve the following key objectives:</w:t>
      </w:r>
    </w:p>
    <w:p>
      <w:pPr>
        <w:spacing w:after="0" w:line="72" w:lineRule="exact"/>
        <w:rPr>
          <w:sz w:val="20"/>
          <w:szCs w:val="20"/>
          <w:color w:val="auto"/>
        </w:rPr>
      </w:pPr>
    </w:p>
    <w:p>
      <w:pPr>
        <w:ind w:left="600" w:hanging="206"/>
        <w:spacing w:after="0"/>
        <w:tabs>
          <w:tab w:leader="none" w:pos="600" w:val="left"/>
        </w:tabs>
        <w:numPr>
          <w:ilvl w:val="0"/>
          <w:numId w:val="30"/>
        </w:numPr>
        <w:rPr>
          <w:rFonts w:ascii="Arial" w:cs="Arial" w:eastAsia="Arial" w:hAnsi="Arial"/>
          <w:sz w:val="15"/>
          <w:szCs w:val="15"/>
          <w:color w:val="004987"/>
        </w:rPr>
      </w:pPr>
      <w:r>
        <w:rPr>
          <w:rFonts w:ascii="Arial" w:cs="Arial" w:eastAsia="Arial" w:hAnsi="Arial"/>
          <w:sz w:val="15"/>
          <w:szCs w:val="15"/>
          <w:color w:val="auto"/>
        </w:rPr>
        <w:t xml:space="preserve">Executive officers should be paid in a manner that is primarily focused on </w:t>
      </w:r>
      <w:r>
        <w:rPr>
          <w:rFonts w:ascii="Arial" w:cs="Arial" w:eastAsia="Arial" w:hAnsi="Arial"/>
          <w:sz w:val="15"/>
          <w:szCs w:val="15"/>
          <w:b w:val="1"/>
          <w:bCs w:val="1"/>
          <w:color w:val="004987"/>
        </w:rPr>
        <w:t>driving stockholder value</w:t>
      </w:r>
      <w:r>
        <w:rPr>
          <w:rFonts w:ascii="Arial" w:cs="Arial" w:eastAsia="Arial" w:hAnsi="Arial"/>
          <w:sz w:val="15"/>
          <w:szCs w:val="15"/>
          <w:color w:val="auto"/>
        </w:rPr>
        <w:t>;</w:t>
      </w:r>
    </w:p>
    <w:p>
      <w:pPr>
        <w:spacing w:after="0" w:line="122" w:lineRule="exact"/>
        <w:rPr>
          <w:rFonts w:ascii="Arial" w:cs="Arial" w:eastAsia="Arial" w:hAnsi="Arial"/>
          <w:sz w:val="15"/>
          <w:szCs w:val="15"/>
          <w:color w:val="004987"/>
        </w:rPr>
      </w:pPr>
    </w:p>
    <w:p>
      <w:pPr>
        <w:ind w:left="600" w:right="360" w:hanging="206"/>
        <w:spacing w:after="0" w:line="292" w:lineRule="auto"/>
        <w:tabs>
          <w:tab w:leader="none" w:pos="600" w:val="left"/>
        </w:tabs>
        <w:numPr>
          <w:ilvl w:val="0"/>
          <w:numId w:val="30"/>
        </w:numPr>
        <w:rPr>
          <w:rFonts w:ascii="Arial" w:cs="Arial" w:eastAsia="Arial" w:hAnsi="Arial"/>
          <w:sz w:val="15"/>
          <w:szCs w:val="15"/>
          <w:color w:val="004987"/>
        </w:rPr>
      </w:pPr>
      <w:r>
        <w:rPr>
          <w:rFonts w:ascii="Arial" w:cs="Arial" w:eastAsia="Arial" w:hAnsi="Arial"/>
          <w:sz w:val="15"/>
          <w:szCs w:val="15"/>
          <w:color w:val="auto"/>
        </w:rPr>
        <w:t xml:space="preserve">Compensation should be designed to </w:t>
      </w:r>
      <w:r>
        <w:rPr>
          <w:rFonts w:ascii="Arial" w:cs="Arial" w:eastAsia="Arial" w:hAnsi="Arial"/>
          <w:sz w:val="15"/>
          <w:szCs w:val="15"/>
          <w:b w:val="1"/>
          <w:bCs w:val="1"/>
          <w:color w:val="004987"/>
        </w:rPr>
        <w:t>motivate executive officers</w:t>
      </w:r>
      <w:r>
        <w:rPr>
          <w:rFonts w:ascii="Arial" w:cs="Arial" w:eastAsia="Arial" w:hAnsi="Arial"/>
          <w:sz w:val="15"/>
          <w:szCs w:val="15"/>
          <w:color w:val="auto"/>
        </w:rPr>
        <w:t xml:space="preserve"> to perform their duties in ways that would help achieve shorter-term as well as longer-term objectives; and</w:t>
      </w:r>
    </w:p>
    <w:p>
      <w:pPr>
        <w:spacing w:after="0" w:line="54" w:lineRule="exact"/>
        <w:rPr>
          <w:rFonts w:ascii="Arial" w:cs="Arial" w:eastAsia="Arial" w:hAnsi="Arial"/>
          <w:sz w:val="15"/>
          <w:szCs w:val="15"/>
          <w:color w:val="004987"/>
        </w:rPr>
      </w:pPr>
    </w:p>
    <w:p>
      <w:pPr>
        <w:ind w:left="600" w:right="240" w:hanging="206"/>
        <w:spacing w:after="0" w:line="292" w:lineRule="auto"/>
        <w:tabs>
          <w:tab w:leader="none" w:pos="600" w:val="left"/>
        </w:tabs>
        <w:numPr>
          <w:ilvl w:val="0"/>
          <w:numId w:val="30"/>
        </w:numPr>
        <w:rPr>
          <w:rFonts w:ascii="Arial" w:cs="Arial" w:eastAsia="Arial" w:hAnsi="Arial"/>
          <w:sz w:val="15"/>
          <w:szCs w:val="15"/>
          <w:color w:val="004987"/>
        </w:rPr>
      </w:pPr>
      <w:r>
        <w:rPr>
          <w:rFonts w:ascii="Arial" w:cs="Arial" w:eastAsia="Arial" w:hAnsi="Arial"/>
          <w:sz w:val="15"/>
          <w:szCs w:val="15"/>
          <w:color w:val="auto"/>
        </w:rPr>
        <w:t xml:space="preserve">The compensation program must be competitive in order to </w:t>
      </w:r>
      <w:r>
        <w:rPr>
          <w:rFonts w:ascii="Arial" w:cs="Arial" w:eastAsia="Arial" w:hAnsi="Arial"/>
          <w:sz w:val="15"/>
          <w:szCs w:val="15"/>
          <w:b w:val="1"/>
          <w:bCs w:val="1"/>
          <w:color w:val="004987"/>
        </w:rPr>
        <w:t>attract key talent</w:t>
      </w:r>
      <w:r>
        <w:rPr>
          <w:rFonts w:ascii="Arial" w:cs="Arial" w:eastAsia="Arial" w:hAnsi="Arial"/>
          <w:sz w:val="15"/>
          <w:szCs w:val="15"/>
          <w:color w:val="auto"/>
        </w:rPr>
        <w:t xml:space="preserve"> from within and outside of our industry and </w:t>
      </w:r>
      <w:r>
        <w:rPr>
          <w:rFonts w:ascii="Arial" w:cs="Arial" w:eastAsia="Arial" w:hAnsi="Arial"/>
          <w:sz w:val="15"/>
          <w:szCs w:val="15"/>
          <w:b w:val="1"/>
          <w:bCs w:val="1"/>
          <w:color w:val="004987"/>
        </w:rPr>
        <w:t>retain key talent</w:t>
      </w:r>
      <w:r>
        <w:rPr>
          <w:rFonts w:ascii="Arial" w:cs="Arial" w:eastAsia="Arial" w:hAnsi="Arial"/>
          <w:sz w:val="15"/>
          <w:szCs w:val="15"/>
          <w:color w:val="auto"/>
        </w:rPr>
        <w:t xml:space="preserve"> at costs consistent with market practice.</w:t>
      </w:r>
    </w:p>
    <w:p>
      <w:pPr>
        <w:spacing w:after="0" w:line="44" w:lineRule="exact"/>
        <w:rPr>
          <w:sz w:val="20"/>
          <w:szCs w:val="20"/>
          <w:color w:val="auto"/>
        </w:rPr>
      </w:pPr>
    </w:p>
    <w:p>
      <w:pPr>
        <w:ind w:left="400" w:right="80"/>
        <w:spacing w:after="0" w:line="257" w:lineRule="auto"/>
        <w:rPr>
          <w:sz w:val="20"/>
          <w:szCs w:val="20"/>
          <w:color w:val="auto"/>
        </w:rPr>
      </w:pPr>
      <w:r>
        <w:rPr>
          <w:rFonts w:ascii="Arial" w:cs="Arial" w:eastAsia="Arial" w:hAnsi="Arial"/>
          <w:sz w:val="15"/>
          <w:szCs w:val="15"/>
          <w:color w:val="auto"/>
        </w:rPr>
        <w:t>We urge stockholders to read the “Compensation Discussion and Analysis”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about the compensation of our named executive officers (“NEOs”). The Compensation Policy Committee and the Board of Directors believe that the policies and procedures articulated in “Compensation Discussion and Analysis” below are effective in achieving our goals and that the compensation of our NEOs reported in this Proxy Statement reflects and supports these compensation policies and procedures.</w:t>
      </w:r>
    </w:p>
    <w:p>
      <w:pPr>
        <w:spacing w:after="0" w:line="71" w:lineRule="exact"/>
        <w:rPr>
          <w:sz w:val="20"/>
          <w:szCs w:val="20"/>
          <w:color w:val="auto"/>
        </w:rPr>
      </w:pPr>
    </w:p>
    <w:p>
      <w:pPr>
        <w:ind w:left="400" w:right="40"/>
        <w:spacing w:after="0" w:line="289" w:lineRule="auto"/>
        <w:rPr>
          <w:sz w:val="20"/>
          <w:szCs w:val="20"/>
          <w:color w:val="auto"/>
        </w:rPr>
      </w:pPr>
      <w:r>
        <w:rPr>
          <w:rFonts w:ascii="Arial" w:cs="Arial" w:eastAsia="Arial" w:hAnsi="Arial"/>
          <w:sz w:val="15"/>
          <w:szCs w:val="15"/>
          <w:color w:val="auto"/>
        </w:rPr>
        <w:t>In accordance with Section 14A of the Exchange Act, and as a matter of good corporate governance, we are asking stockholders to approve the following advisory resolution at the Annual Meeting:</w:t>
      </w:r>
    </w:p>
    <w:p>
      <w:pPr>
        <w:spacing w:after="0" w:line="46" w:lineRule="exact"/>
        <w:rPr>
          <w:sz w:val="20"/>
          <w:szCs w:val="20"/>
          <w:color w:val="auto"/>
        </w:rPr>
      </w:pPr>
    </w:p>
    <w:p>
      <w:pPr>
        <w:ind w:left="820" w:right="120"/>
        <w:spacing w:after="0" w:line="269" w:lineRule="auto"/>
        <w:rPr>
          <w:sz w:val="20"/>
          <w:szCs w:val="20"/>
          <w:color w:val="auto"/>
        </w:rPr>
      </w:pPr>
      <w:r>
        <w:rPr>
          <w:rFonts w:ascii="Arial" w:cs="Arial" w:eastAsia="Arial" w:hAnsi="Arial"/>
          <w:sz w:val="15"/>
          <w:szCs w:val="15"/>
          <w:color w:val="auto"/>
        </w:rPr>
        <w:t>RESOLVED, that the stockholders of Marriott Vacations Worldwide Corporation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2022 Annual Meeting of Stockholders.</w:t>
      </w:r>
    </w:p>
    <w:p>
      <w:pPr>
        <w:spacing w:after="0" w:line="61" w:lineRule="exact"/>
        <w:rPr>
          <w:sz w:val="20"/>
          <w:szCs w:val="20"/>
          <w:color w:val="auto"/>
        </w:rPr>
      </w:pPr>
    </w:p>
    <w:p>
      <w:pPr>
        <w:ind w:left="400" w:right="20"/>
        <w:spacing w:after="0" w:line="263" w:lineRule="auto"/>
        <w:rPr>
          <w:sz w:val="20"/>
          <w:szCs w:val="20"/>
          <w:color w:val="auto"/>
        </w:rPr>
      </w:pPr>
      <w:r>
        <w:rPr>
          <w:rFonts w:ascii="Arial" w:cs="Arial" w:eastAsia="Arial" w:hAnsi="Arial"/>
          <w:sz w:val="15"/>
          <w:szCs w:val="15"/>
          <w:color w:val="auto"/>
        </w:rPr>
        <w:t>This advisory resolution, commonly referred to as a “say-on-pay” resolution, is not binding on the Board of Directors. Although non-binding, the Board and the Compensation Policy Committee will review and consider the voting results when making future decisions regarding our executive compensation program. The Board’s current policy is to hold an advisory vote on executive compensation on an annual basis, and therefore our next “say-on-pay” resolution will occur at the Company’s 2023 Annual Meeting of Stockholders.</w:t>
      </w:r>
    </w:p>
    <w:p>
      <w:pPr>
        <w:spacing w:after="0" w:line="332" w:lineRule="exact"/>
        <w:rPr>
          <w:sz w:val="20"/>
          <w:szCs w:val="20"/>
          <w:color w:val="auto"/>
        </w:rPr>
      </w:pPr>
    </w:p>
    <w:p>
      <w:pPr>
        <w:ind w:left="3140" w:right="2160" w:hanging="612"/>
        <w:spacing w:after="0" w:line="187" w:lineRule="auto"/>
        <w:tabs>
          <w:tab w:leader="none" w:pos="3140" w:val="left"/>
        </w:tabs>
        <w:numPr>
          <w:ilvl w:val="0"/>
          <w:numId w:val="31"/>
        </w:numPr>
        <w:rPr>
          <w:rFonts w:ascii="MS PGothic" w:cs="MS PGothic" w:eastAsia="MS PGothic" w:hAnsi="MS PGothic"/>
          <w:sz w:val="41"/>
          <w:szCs w:val="41"/>
          <w:color w:val="004987"/>
          <w:shd w:val="clear" w:color="auto" w:fill="D8E3ED"/>
        </w:rPr>
      </w:pPr>
      <w:r>
        <w:rPr>
          <w:rFonts w:ascii="Arial" w:cs="Arial" w:eastAsia="Arial" w:hAnsi="Arial"/>
          <w:sz w:val="15"/>
          <w:szCs w:val="15"/>
          <w:b w:val="1"/>
          <w:bCs w:val="1"/>
          <w:color w:val="auto"/>
          <w:shd w:val="clear" w:color="auto" w:fill="D8E3ED"/>
        </w:rPr>
        <w:t xml:space="preserve">Our Board of Directors recommends that you vote </w:t>
      </w:r>
      <w:r>
        <w:rPr>
          <w:rFonts w:ascii="Arial" w:cs="Arial" w:eastAsia="Arial" w:hAnsi="Arial"/>
          <w:sz w:val="20"/>
          <w:szCs w:val="20"/>
          <w:b w:val="1"/>
          <w:bCs w:val="1"/>
          <w:color w:val="004987"/>
          <w:shd w:val="clear" w:color="auto" w:fill="D8E3ED"/>
        </w:rPr>
        <w:t>FOR</w:t>
      </w:r>
      <w:r>
        <w:rPr>
          <w:rFonts w:ascii="Arial" w:cs="Arial" w:eastAsia="Arial" w:hAnsi="Arial"/>
          <w:sz w:val="15"/>
          <w:szCs w:val="15"/>
          <w:b w:val="1"/>
          <w:bCs w:val="1"/>
          <w:color w:val="auto"/>
          <w:shd w:val="clear" w:color="auto" w:fill="D8E3ED"/>
        </w:rPr>
        <w:t xml:space="preserve"> the approval of the </w:t>
      </w:r>
      <w:r>
        <w:rPr>
          <w:rFonts w:ascii="Arial" w:cs="Arial" w:eastAsia="Arial" w:hAnsi="Arial"/>
          <w:sz w:val="15"/>
          <w:szCs w:val="15"/>
          <w:b w:val="1"/>
          <w:bCs w:val="1"/>
          <w:color w:val="auto"/>
        </w:rPr>
        <w:t>advisory resolution to approve executive compensation.</w:t>
      </w:r>
    </w:p>
    <w:p>
      <w:pPr>
        <w:spacing w:after="0" w:line="239" w:lineRule="exact"/>
        <w:rPr>
          <w:sz w:val="20"/>
          <w:szCs w:val="20"/>
          <w:color w:val="auto"/>
        </w:rPr>
      </w:pPr>
    </w:p>
    <w:p>
      <w:pPr>
        <w:ind w:left="400"/>
        <w:spacing w:after="0"/>
        <w:tabs>
          <w:tab w:leader="none" w:pos="5200" w:val="left"/>
          <w:tab w:leader="none" w:pos="7720" w:val="left"/>
        </w:tabs>
        <w:rPr>
          <w:sz w:val="20"/>
          <w:szCs w:val="20"/>
          <w:color w:val="auto"/>
        </w:rPr>
      </w:pPr>
      <w:r>
        <w:rPr>
          <w:rFonts w:ascii="Arial" w:cs="Arial" w:eastAsia="Arial" w:hAnsi="Arial"/>
          <w:sz w:val="10"/>
          <w:szCs w:val="10"/>
          <w:b w:val="1"/>
          <w:bCs w:val="1"/>
          <w:color w:val="004987"/>
        </w:rPr>
        <w:t>8</w:t>
      </w:r>
      <w:r>
        <w:rPr>
          <w:sz w:val="20"/>
          <w:szCs w:val="20"/>
          <w:color w:val="auto"/>
        </w:rPr>
        <w:tab/>
      </w:r>
      <w:r>
        <w:rPr>
          <w:rFonts w:ascii="Arial" w:cs="Arial" w:eastAsia="Arial" w:hAnsi="Arial"/>
          <w:sz w:val="10"/>
          <w:szCs w:val="10"/>
          <w:color w:val="auto"/>
        </w:rPr>
        <w:t>Proposals for Vote</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right="1240"/>
        <w:spacing w:after="0" w:line="285" w:lineRule="auto"/>
        <w:rPr>
          <w:sz w:val="20"/>
          <w:szCs w:val="20"/>
          <w:color w:val="auto"/>
        </w:rPr>
      </w:pPr>
      <w:r>
        <w:rPr>
          <w:rFonts w:ascii="Arial" w:cs="Arial" w:eastAsia="Arial" w:hAnsi="Arial"/>
          <w:sz w:val="51"/>
          <w:szCs w:val="51"/>
          <w:b w:val="1"/>
          <w:bCs w:val="1"/>
          <w:color w:val="auto"/>
        </w:rPr>
        <w:t>REPORT ON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-848995</wp:posOffset>
            </wp:positionV>
            <wp:extent cx="81280" cy="789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280" cy="789940"/>
                    </a:xfrm>
                    <a:prstGeom prst="rect">
                      <a:avLst/>
                    </a:prstGeom>
                    <a:noFill/>
                  </pic:spPr>
                </pic:pic>
              </a:graphicData>
            </a:graphic>
          </wp:anchor>
        </w:drawing>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OUR BOARD OF DIRECTORS</w:t>
      </w:r>
    </w:p>
    <w:p>
      <w:pPr>
        <w:spacing w:after="0" w:line="106" w:lineRule="exact"/>
        <w:rPr>
          <w:sz w:val="20"/>
          <w:szCs w:val="20"/>
          <w:color w:val="auto"/>
        </w:rPr>
      </w:pPr>
    </w:p>
    <w:p>
      <w:pPr>
        <w:ind w:left="400" w:right="80"/>
        <w:spacing w:after="0" w:line="289" w:lineRule="auto"/>
        <w:rPr>
          <w:sz w:val="20"/>
          <w:szCs w:val="20"/>
          <w:color w:val="auto"/>
        </w:rPr>
      </w:pPr>
      <w:r>
        <w:rPr>
          <w:rFonts w:ascii="Arial" w:cs="Arial" w:eastAsia="Arial" w:hAnsi="Arial"/>
          <w:sz w:val="15"/>
          <w:szCs w:val="15"/>
          <w:color w:val="auto"/>
        </w:rPr>
        <w:t>Our Board currently consists of eleven members. The Board does not intend to fill the vacancy created by the expiration of Mr. Hutchison’s term; instead, the number of directors will be reduced to ten effective as of the 2022 Annual Meeting.</w:t>
      </w:r>
    </w:p>
    <w:p>
      <w:pPr>
        <w:spacing w:after="0" w:line="46" w:lineRule="exact"/>
        <w:rPr>
          <w:sz w:val="20"/>
          <w:szCs w:val="20"/>
          <w:color w:val="auto"/>
        </w:rPr>
      </w:pPr>
    </w:p>
    <w:p>
      <w:pPr>
        <w:ind w:left="400" w:right="420"/>
        <w:spacing w:after="0" w:line="289" w:lineRule="auto"/>
        <w:rPr>
          <w:sz w:val="20"/>
          <w:szCs w:val="20"/>
          <w:color w:val="auto"/>
        </w:rPr>
      </w:pPr>
      <w:r>
        <w:rPr>
          <w:rFonts w:ascii="Arial" w:cs="Arial" w:eastAsia="Arial" w:hAnsi="Arial"/>
          <w:sz w:val="15"/>
          <w:szCs w:val="15"/>
          <w:color w:val="auto"/>
        </w:rPr>
        <w:t>Approximately one-third of the directors are elected annually to serve for three-year periods or until their respective successors are duly elected and qualified, or his or her earlier death, resignation or removal. All of our director nominees currently serve as directors on our Board.</w:t>
      </w:r>
    </w:p>
    <w:p>
      <w:pPr>
        <w:spacing w:after="0" w:line="46" w:lineRule="exact"/>
        <w:rPr>
          <w:sz w:val="20"/>
          <w:szCs w:val="20"/>
          <w:color w:val="auto"/>
        </w:rPr>
      </w:pPr>
    </w:p>
    <w:p>
      <w:pPr>
        <w:ind w:left="400" w:right="20"/>
        <w:spacing w:after="0" w:line="269" w:lineRule="auto"/>
        <w:rPr>
          <w:sz w:val="20"/>
          <w:szCs w:val="20"/>
          <w:color w:val="auto"/>
        </w:rPr>
      </w:pPr>
      <w:r>
        <w:rPr>
          <w:rFonts w:ascii="Arial" w:cs="Arial" w:eastAsia="Arial" w:hAnsi="Arial"/>
          <w:sz w:val="15"/>
          <w:szCs w:val="15"/>
          <w:color w:val="auto"/>
        </w:rPr>
        <w:t>The tables below set forth information regarding the members of our Board continuing in office or nominated for re-election. Our Board has determined that all members of our Board are “independent directors” meeting the applicable requirements of the Listing Rules of NYSE other than Stephen P. Weisz, our Chief Executive Officer.</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Nominees for Director</w:t>
      </w:r>
    </w:p>
    <w:p>
      <w:pPr>
        <w:spacing w:after="0" w:line="98" w:lineRule="exact"/>
        <w:rPr>
          <w:sz w:val="20"/>
          <w:szCs w:val="20"/>
          <w:color w:val="auto"/>
        </w:rPr>
      </w:pPr>
    </w:p>
    <w:p>
      <w:pPr>
        <w:ind w:left="400" w:right="420"/>
        <w:spacing w:after="0" w:line="289" w:lineRule="auto"/>
        <w:rPr>
          <w:sz w:val="20"/>
          <w:szCs w:val="20"/>
          <w:color w:val="auto"/>
        </w:rPr>
      </w:pPr>
      <w:r>
        <w:rPr>
          <w:rFonts w:ascii="Arial" w:cs="Arial" w:eastAsia="Arial" w:hAnsi="Arial"/>
          <w:sz w:val="15"/>
          <w:szCs w:val="15"/>
          <w:color w:val="auto"/>
        </w:rPr>
        <w:t>The Board has nominated three directors to be elected at the Annual Meeting to serve for a three-year term ending with the 2025 Annual Meeting of Stockholders, or until the director’s successor is duly elected and qualified, or his or her earlier death, resignation or removal.</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72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RAYMOND L. GELLEIN, JR.</w:t>
            </w:r>
          </w:p>
        </w:tc>
        <w:tc>
          <w:tcPr>
            <w:tcW w:w="6740" w:type="dxa"/>
            <w:vAlign w:val="bottom"/>
            <w:tcBorders>
              <w:top w:val="single" w:sz="8" w:color="004987"/>
            </w:tcBorders>
          </w:tcPr>
          <w:p>
            <w:pPr>
              <w:spacing w:after="0"/>
              <w:rPr>
                <w:sz w:val="19"/>
                <w:szCs w:val="19"/>
                <w:color w:val="auto"/>
              </w:rPr>
            </w:pPr>
          </w:p>
        </w:tc>
      </w:tr>
      <w:tr>
        <w:trPr>
          <w:trHeight w:val="238"/>
        </w:trPr>
        <w:tc>
          <w:tcPr>
            <w:tcW w:w="3720" w:type="dxa"/>
            <w:vAlign w:val="bottom"/>
          </w:tcPr>
          <w:p>
            <w:pPr>
              <w:spacing w:after="0"/>
              <w:rPr>
                <w:sz w:val="20"/>
                <w:szCs w:val="20"/>
                <w:color w:val="auto"/>
              </w:rPr>
            </w:pPr>
            <w:r>
              <w:rPr>
                <w:rFonts w:ascii="Arial" w:cs="Arial" w:eastAsia="Arial" w:hAnsi="Arial"/>
                <w:sz w:val="15"/>
                <w:szCs w:val="15"/>
                <w:color w:val="auto"/>
              </w:rPr>
              <w:t>Age: 74</w:t>
            </w:r>
          </w:p>
        </w:tc>
        <w:tc>
          <w:tcPr>
            <w:tcW w:w="6740" w:type="dxa"/>
            <w:vAlign w:val="bottom"/>
          </w:tcPr>
          <w:p>
            <w:pPr>
              <w:ind w:left="1720"/>
              <w:spacing w:after="0"/>
              <w:rPr>
                <w:sz w:val="20"/>
                <w:szCs w:val="20"/>
                <w:color w:val="auto"/>
              </w:rPr>
            </w:pPr>
            <w:r>
              <w:rPr>
                <w:rFonts w:ascii="Arial" w:cs="Arial" w:eastAsia="Arial" w:hAnsi="Arial"/>
                <w:sz w:val="15"/>
                <w:szCs w:val="15"/>
                <w:color w:val="auto"/>
              </w:rPr>
              <w:t>Committees:</w:t>
            </w:r>
          </w:p>
        </w:tc>
      </w:tr>
      <w:tr>
        <w:trPr>
          <w:trHeight w:val="179"/>
        </w:trPr>
        <w:tc>
          <w:tcPr>
            <w:tcW w:w="3720" w:type="dxa"/>
            <w:vAlign w:val="bottom"/>
          </w:tcPr>
          <w:p>
            <w:pPr>
              <w:spacing w:after="0"/>
              <w:rPr>
                <w:sz w:val="20"/>
                <w:szCs w:val="20"/>
                <w:color w:val="auto"/>
              </w:rPr>
            </w:pPr>
            <w:r>
              <w:rPr>
                <w:rFonts w:ascii="Arial" w:cs="Arial" w:eastAsia="Arial" w:hAnsi="Arial"/>
                <w:sz w:val="15"/>
                <w:szCs w:val="15"/>
                <w:color w:val="auto"/>
              </w:rPr>
              <w:t>Director Since: 2011</w:t>
            </w:r>
          </w:p>
        </w:tc>
        <w:tc>
          <w:tcPr>
            <w:tcW w:w="6740" w:type="dxa"/>
            <w:vAlign w:val="bottom"/>
          </w:tcPr>
          <w:p>
            <w:pPr>
              <w:ind w:left="17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Audit</w:t>
            </w:r>
          </w:p>
        </w:tc>
      </w:tr>
      <w:tr>
        <w:trPr>
          <w:trHeight w:val="201"/>
        </w:trPr>
        <w:tc>
          <w:tcPr>
            <w:tcW w:w="3720" w:type="dxa"/>
            <w:vAlign w:val="bottom"/>
          </w:tcPr>
          <w:p>
            <w:pPr>
              <w:spacing w:after="0"/>
              <w:rPr>
                <w:sz w:val="17"/>
                <w:szCs w:val="17"/>
                <w:color w:val="auto"/>
              </w:rPr>
            </w:pPr>
          </w:p>
        </w:tc>
        <w:tc>
          <w:tcPr>
            <w:tcW w:w="6740" w:type="dxa"/>
            <w:vAlign w:val="bottom"/>
          </w:tcPr>
          <w:p>
            <w:pPr>
              <w:ind w:left="17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Compensation Policy</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60"/>
        <w:spacing w:after="0" w:line="253" w:lineRule="auto"/>
        <w:rPr>
          <w:sz w:val="20"/>
          <w:szCs w:val="20"/>
          <w:color w:val="auto"/>
        </w:rPr>
      </w:pPr>
      <w:r>
        <w:rPr>
          <w:rFonts w:ascii="Arial" w:cs="Arial" w:eastAsia="Arial" w:hAnsi="Arial"/>
          <w:sz w:val="15"/>
          <w:szCs w:val="15"/>
          <w:color w:val="auto"/>
        </w:rPr>
        <w:t>From November 2012 until his retirement in December 2015, Mr. Gellein served as Chairman of the Board, Chief Executive Officer and President of Strategic Hotels &amp; Resorts, Inc., a publicly traded real estate investment trust (“REIT”) with a portfolio of luxury hotels. From August 2010 to November 2012, he served as Strategic Hotels &amp; Resorts’ non-executive Chairman, and from August 2009 to December 2015, as a director. He served as President of the Global Development Group of Starwood Hotels &amp; Resorts Worldwide, Inc. (“Starwood”), a publicly traded hotel and leisure company, from July 2006 through March 2008, and as Chairman and Chief Executive Officer of Starwood Vacation Ownership, Inc., a subsidiary of Starwood, from October 1999 to July 2006. Mr. Gellein is also a past Chairman of the American Resort Development Association, and previously served as Vice Chairman of Mind and Life Institute.</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140"/>
        <w:spacing w:after="0" w:line="256" w:lineRule="auto"/>
        <w:rPr>
          <w:sz w:val="20"/>
          <w:szCs w:val="20"/>
          <w:color w:val="auto"/>
        </w:rPr>
      </w:pPr>
      <w:r>
        <w:rPr>
          <w:rFonts w:ascii="Arial" w:cs="Arial" w:eastAsia="Arial" w:hAnsi="Arial"/>
          <w:sz w:val="15"/>
          <w:szCs w:val="15"/>
          <w:color w:val="auto"/>
        </w:rPr>
        <w:t>Based on his past roles with Strategic Hotels &amp; Resorts and Starwood, Mr. Gellein brings to the Board vast leadership experience in the hospitality and lodging industries with particular expertise in the vacation ownership sector. As a result of these roles, Mr. Gellein also has experience as an executive officer and board member of publicly traded companies. As a past Chairman of the Board of Directors of the American Resort Development Association, he also has extensive knowledge of the legislative and regulatory issues related to the vacation ownership business.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1900" w:type="dxa"/>
            <w:vAlign w:val="bottom"/>
          </w:tcPr>
          <w:p>
            <w:pPr>
              <w:ind w:left="440"/>
              <w:spacing w:after="0"/>
              <w:rPr>
                <w:sz w:val="20"/>
                <w:szCs w:val="20"/>
                <w:color w:val="auto"/>
              </w:rPr>
            </w:pPr>
            <w:r>
              <w:rPr>
                <w:rFonts w:ascii="Arial" w:cs="Arial" w:eastAsia="Arial" w:hAnsi="Arial"/>
                <w:sz w:val="12"/>
                <w:szCs w:val="12"/>
                <w:color w:val="004987"/>
              </w:rPr>
              <w:t>Corporate</w:t>
            </w:r>
          </w:p>
        </w:tc>
        <w:tc>
          <w:tcPr>
            <w:tcW w:w="1920" w:type="dxa"/>
            <w:vAlign w:val="bottom"/>
          </w:tcPr>
          <w:p>
            <w:pPr>
              <w:spacing w:after="0"/>
              <w:rPr>
                <w:sz w:val="12"/>
                <w:szCs w:val="12"/>
                <w:color w:val="auto"/>
              </w:rPr>
            </w:pPr>
          </w:p>
        </w:tc>
        <w:tc>
          <w:tcPr>
            <w:tcW w:w="2180" w:type="dxa"/>
            <w:vAlign w:val="bottom"/>
          </w:tcPr>
          <w:p>
            <w:pPr>
              <w:ind w:left="640"/>
              <w:spacing w:after="0"/>
              <w:rPr>
                <w:sz w:val="20"/>
                <w:szCs w:val="20"/>
                <w:color w:val="auto"/>
              </w:rPr>
            </w:pPr>
            <w:r>
              <w:rPr>
                <w:rFonts w:ascii="Arial" w:cs="Arial" w:eastAsia="Arial" w:hAnsi="Arial"/>
                <w:sz w:val="12"/>
                <w:szCs w:val="12"/>
                <w:color w:val="004987"/>
              </w:rPr>
              <w:t>Financial &amp;</w:t>
            </w:r>
          </w:p>
        </w:tc>
        <w:tc>
          <w:tcPr>
            <w:tcW w:w="2220" w:type="dxa"/>
            <w:vAlign w:val="bottom"/>
          </w:tcPr>
          <w:p>
            <w:pPr>
              <w:ind w:left="40"/>
              <w:spacing w:after="0"/>
              <w:rPr>
                <w:sz w:val="20"/>
                <w:szCs w:val="20"/>
                <w:color w:val="auto"/>
              </w:rPr>
            </w:pPr>
            <w:r>
              <w:rPr>
                <w:rFonts w:ascii="Arial" w:cs="Arial" w:eastAsia="Arial" w:hAnsi="Arial"/>
                <w:sz w:val="12"/>
                <w:szCs w:val="12"/>
                <w:color w:val="004987"/>
              </w:rPr>
              <w:t>Business Development /</w:t>
            </w:r>
          </w:p>
        </w:tc>
        <w:tc>
          <w:tcPr>
            <w:tcW w:w="2240" w:type="dxa"/>
            <w:vAlign w:val="bottom"/>
          </w:tcPr>
          <w:p>
            <w:pPr>
              <w:ind w:left="880"/>
              <w:spacing w:after="0"/>
              <w:rPr>
                <w:sz w:val="20"/>
                <w:szCs w:val="20"/>
                <w:color w:val="auto"/>
              </w:rPr>
            </w:pPr>
            <w:r>
              <w:rPr>
                <w:rFonts w:ascii="Arial" w:cs="Arial" w:eastAsia="Arial" w:hAnsi="Arial"/>
                <w:sz w:val="12"/>
                <w:szCs w:val="12"/>
                <w:color w:val="004987"/>
              </w:rPr>
              <w:t>Public Company Board</w:t>
            </w:r>
          </w:p>
        </w:tc>
      </w:tr>
      <w:tr>
        <w:trPr>
          <w:trHeight w:val="166"/>
        </w:trPr>
        <w:tc>
          <w:tcPr>
            <w:tcW w:w="1900" w:type="dxa"/>
            <w:vAlign w:val="bottom"/>
          </w:tcPr>
          <w:p>
            <w:pPr>
              <w:ind w:left="440"/>
              <w:spacing w:after="0"/>
              <w:rPr>
                <w:sz w:val="20"/>
                <w:szCs w:val="20"/>
                <w:color w:val="auto"/>
              </w:rPr>
            </w:pPr>
            <w:r>
              <w:rPr>
                <w:rFonts w:ascii="Arial" w:cs="Arial" w:eastAsia="Arial" w:hAnsi="Arial"/>
                <w:sz w:val="12"/>
                <w:szCs w:val="12"/>
                <w:color w:val="004987"/>
              </w:rPr>
              <w:t>Leadership</w:t>
            </w:r>
          </w:p>
        </w:tc>
        <w:tc>
          <w:tcPr>
            <w:tcW w:w="1920" w:type="dxa"/>
            <w:vAlign w:val="bottom"/>
          </w:tcPr>
          <w:p>
            <w:pPr>
              <w:ind w:left="440"/>
              <w:spacing w:after="0"/>
              <w:rPr>
                <w:sz w:val="20"/>
                <w:szCs w:val="20"/>
                <w:color w:val="auto"/>
              </w:rPr>
            </w:pPr>
            <w:r>
              <w:rPr>
                <w:rFonts w:ascii="Arial" w:cs="Arial" w:eastAsia="Arial" w:hAnsi="Arial"/>
                <w:sz w:val="12"/>
                <w:szCs w:val="12"/>
                <w:color w:val="004987"/>
              </w:rPr>
              <w:t>Independence</w:t>
            </w:r>
          </w:p>
        </w:tc>
        <w:tc>
          <w:tcPr>
            <w:tcW w:w="2180" w:type="dxa"/>
            <w:vAlign w:val="bottom"/>
          </w:tcPr>
          <w:p>
            <w:pPr>
              <w:ind w:left="640"/>
              <w:spacing w:after="0"/>
              <w:rPr>
                <w:sz w:val="20"/>
                <w:szCs w:val="20"/>
                <w:color w:val="auto"/>
              </w:rPr>
            </w:pPr>
            <w:r>
              <w:rPr>
                <w:rFonts w:ascii="Arial" w:cs="Arial" w:eastAsia="Arial" w:hAnsi="Arial"/>
                <w:sz w:val="12"/>
                <w:szCs w:val="12"/>
                <w:color w:val="004987"/>
              </w:rPr>
              <w:t>Capital Markets</w:t>
            </w:r>
          </w:p>
        </w:tc>
        <w:tc>
          <w:tcPr>
            <w:tcW w:w="2220" w:type="dxa"/>
            <w:vAlign w:val="bottom"/>
          </w:tcPr>
          <w:p>
            <w:pPr>
              <w:ind w:left="40"/>
              <w:spacing w:after="0"/>
              <w:rPr>
                <w:sz w:val="20"/>
                <w:szCs w:val="20"/>
                <w:color w:val="auto"/>
              </w:rPr>
            </w:pPr>
            <w:r>
              <w:rPr>
                <w:rFonts w:ascii="Arial" w:cs="Arial" w:eastAsia="Arial" w:hAnsi="Arial"/>
                <w:sz w:val="12"/>
                <w:szCs w:val="12"/>
                <w:color w:val="004987"/>
              </w:rPr>
              <w:t>Mergers &amp; Acquisitions</w:t>
            </w:r>
          </w:p>
        </w:tc>
        <w:tc>
          <w:tcPr>
            <w:tcW w:w="2240" w:type="dxa"/>
            <w:vAlign w:val="bottom"/>
          </w:tcPr>
          <w:p>
            <w:pPr>
              <w:ind w:left="880"/>
              <w:spacing w:after="0"/>
              <w:rPr>
                <w:sz w:val="20"/>
                <w:szCs w:val="20"/>
                <w:color w:val="auto"/>
              </w:rPr>
            </w:pPr>
            <w:r>
              <w:rPr>
                <w:rFonts w:ascii="Arial" w:cs="Arial" w:eastAsia="Arial" w:hAnsi="Arial"/>
                <w:sz w:val="12"/>
                <w:szCs w:val="12"/>
                <w:color w:val="004987"/>
              </w:rPr>
              <w:t>Service &amp; Governance</w:t>
            </w:r>
          </w:p>
        </w:tc>
      </w:tr>
      <w:tr>
        <w:trPr>
          <w:trHeight w:val="295"/>
        </w:trPr>
        <w:tc>
          <w:tcPr>
            <w:tcW w:w="1900" w:type="dxa"/>
            <w:vAlign w:val="bottom"/>
          </w:tcPr>
          <w:p>
            <w:pPr>
              <w:ind w:left="440"/>
              <w:spacing w:after="0"/>
              <w:rPr>
                <w:sz w:val="20"/>
                <w:szCs w:val="20"/>
                <w:color w:val="auto"/>
              </w:rPr>
            </w:pPr>
            <w:r>
              <w:rPr>
                <w:rFonts w:ascii="Arial" w:cs="Arial" w:eastAsia="Arial" w:hAnsi="Arial"/>
                <w:sz w:val="12"/>
                <w:szCs w:val="12"/>
                <w:color w:val="004987"/>
              </w:rPr>
              <w:t>Risk</w:t>
            </w:r>
          </w:p>
        </w:tc>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Arial" w:cs="Arial" w:eastAsia="Arial" w:hAnsi="Arial"/>
                <w:sz w:val="12"/>
                <w:szCs w:val="12"/>
                <w:color w:val="004987"/>
              </w:rPr>
              <w:t>Vacation Ownership &amp;</w:t>
            </w:r>
          </w:p>
        </w:tc>
        <w:tc>
          <w:tcPr>
            <w:tcW w:w="2240" w:type="dxa"/>
            <w:vAlign w:val="bottom"/>
          </w:tcPr>
          <w:p>
            <w:pPr>
              <w:ind w:left="880"/>
              <w:spacing w:after="0"/>
              <w:rPr>
                <w:sz w:val="20"/>
                <w:szCs w:val="20"/>
                <w:color w:val="auto"/>
              </w:rPr>
            </w:pPr>
            <w:r>
              <w:rPr>
                <w:rFonts w:ascii="Arial" w:cs="Arial" w:eastAsia="Arial" w:hAnsi="Arial"/>
                <w:sz w:val="12"/>
                <w:szCs w:val="12"/>
                <w:color w:val="004987"/>
              </w:rPr>
              <w:t>Legal, Regulatory &amp;</w:t>
            </w:r>
          </w:p>
        </w:tc>
      </w:tr>
      <w:tr>
        <w:trPr>
          <w:trHeight w:val="166"/>
        </w:trPr>
        <w:tc>
          <w:tcPr>
            <w:tcW w:w="1900" w:type="dxa"/>
            <w:vAlign w:val="bottom"/>
          </w:tcPr>
          <w:p>
            <w:pPr>
              <w:ind w:left="440"/>
              <w:spacing w:after="0"/>
              <w:rPr>
                <w:sz w:val="20"/>
                <w:szCs w:val="20"/>
                <w:color w:val="auto"/>
              </w:rPr>
            </w:pPr>
            <w:r>
              <w:rPr>
                <w:rFonts w:ascii="Arial" w:cs="Arial" w:eastAsia="Arial" w:hAnsi="Arial"/>
                <w:sz w:val="12"/>
                <w:szCs w:val="12"/>
                <w:color w:val="004987"/>
              </w:rPr>
              <w:t>Management</w:t>
            </w:r>
          </w:p>
        </w:tc>
        <w:tc>
          <w:tcPr>
            <w:tcW w:w="1920" w:type="dxa"/>
            <w:vAlign w:val="bottom"/>
          </w:tcPr>
          <w:p>
            <w:pPr>
              <w:ind w:left="440"/>
              <w:spacing w:after="0"/>
              <w:rPr>
                <w:sz w:val="20"/>
                <w:szCs w:val="20"/>
                <w:color w:val="auto"/>
              </w:rPr>
            </w:pPr>
            <w:r>
              <w:rPr>
                <w:rFonts w:ascii="Arial" w:cs="Arial" w:eastAsia="Arial" w:hAnsi="Arial"/>
                <w:sz w:val="12"/>
                <w:szCs w:val="12"/>
                <w:color w:val="004987"/>
              </w:rPr>
              <w:t>Strategic Planning</w:t>
            </w:r>
          </w:p>
        </w:tc>
        <w:tc>
          <w:tcPr>
            <w:tcW w:w="2180" w:type="dxa"/>
            <w:vAlign w:val="bottom"/>
          </w:tcPr>
          <w:p>
            <w:pPr>
              <w:ind w:left="640"/>
              <w:spacing w:after="0"/>
              <w:rPr>
                <w:sz w:val="20"/>
                <w:szCs w:val="20"/>
                <w:color w:val="auto"/>
              </w:rPr>
            </w:pPr>
            <w:r>
              <w:rPr>
                <w:rFonts w:ascii="Arial" w:cs="Arial" w:eastAsia="Arial" w:hAnsi="Arial"/>
                <w:sz w:val="12"/>
                <w:szCs w:val="12"/>
                <w:color w:val="004987"/>
              </w:rPr>
              <w:t>Global Expertise</w:t>
            </w:r>
          </w:p>
        </w:tc>
        <w:tc>
          <w:tcPr>
            <w:tcW w:w="2220" w:type="dxa"/>
            <w:vAlign w:val="bottom"/>
          </w:tcPr>
          <w:p>
            <w:pPr>
              <w:ind w:left="40"/>
              <w:spacing w:after="0"/>
              <w:rPr>
                <w:sz w:val="20"/>
                <w:szCs w:val="20"/>
                <w:color w:val="auto"/>
              </w:rPr>
            </w:pPr>
            <w:r>
              <w:rPr>
                <w:rFonts w:ascii="Arial" w:cs="Arial" w:eastAsia="Arial" w:hAnsi="Arial"/>
                <w:sz w:val="12"/>
                <w:szCs w:val="12"/>
                <w:color w:val="004987"/>
              </w:rPr>
              <w:t>Lodging Industry</w:t>
            </w:r>
          </w:p>
        </w:tc>
        <w:tc>
          <w:tcPr>
            <w:tcW w:w="2240" w:type="dxa"/>
            <w:vAlign w:val="bottom"/>
          </w:tcPr>
          <w:p>
            <w:pPr>
              <w:ind w:left="880"/>
              <w:spacing w:after="0"/>
              <w:rPr>
                <w:sz w:val="20"/>
                <w:szCs w:val="20"/>
                <w:color w:val="auto"/>
              </w:rPr>
            </w:pPr>
            <w:r>
              <w:rPr>
                <w:rFonts w:ascii="Arial" w:cs="Arial" w:eastAsia="Arial" w:hAnsi="Arial"/>
                <w:sz w:val="12"/>
                <w:szCs w:val="12"/>
                <w:color w:val="004987"/>
              </w:rPr>
              <w:t>Government Relations</w:t>
            </w:r>
          </w:p>
        </w:tc>
      </w:tr>
      <w:tr>
        <w:trPr>
          <w:trHeight w:val="295"/>
        </w:trPr>
        <w:tc>
          <w:tcPr>
            <w:tcW w:w="1900" w:type="dxa"/>
            <w:vAlign w:val="bottom"/>
          </w:tcPr>
          <w:p>
            <w:pPr>
              <w:ind w:left="440"/>
              <w:spacing w:after="0"/>
              <w:rPr>
                <w:sz w:val="20"/>
                <w:szCs w:val="20"/>
                <w:color w:val="auto"/>
              </w:rPr>
            </w:pPr>
            <w:r>
              <w:rPr>
                <w:rFonts w:ascii="Arial" w:cs="Arial" w:eastAsia="Arial" w:hAnsi="Arial"/>
                <w:sz w:val="12"/>
                <w:szCs w:val="12"/>
                <w:color w:val="004987"/>
              </w:rPr>
              <w:t>Sales &amp; Marketing/</w:t>
            </w:r>
          </w:p>
        </w:tc>
        <w:tc>
          <w:tcPr>
            <w:tcW w:w="1920" w:type="dxa"/>
            <w:vAlign w:val="bottom"/>
          </w:tcPr>
          <w:p>
            <w:pPr>
              <w:ind w:left="440"/>
              <w:spacing w:after="0"/>
              <w:rPr>
                <w:sz w:val="20"/>
                <w:szCs w:val="20"/>
                <w:color w:val="auto"/>
              </w:rPr>
            </w:pPr>
            <w:r>
              <w:rPr>
                <w:rFonts w:ascii="Arial" w:cs="Arial" w:eastAsia="Arial" w:hAnsi="Arial"/>
                <w:sz w:val="12"/>
                <w:szCs w:val="12"/>
                <w:color w:val="004987"/>
              </w:rPr>
              <w:t>Real Estate &amp; Business</w:t>
            </w:r>
          </w:p>
        </w:tc>
        <w:tc>
          <w:tcPr>
            <w:tcW w:w="2180" w:type="dxa"/>
            <w:vAlign w:val="bottom"/>
          </w:tcPr>
          <w:p>
            <w:pPr>
              <w:ind w:left="640"/>
              <w:spacing w:after="0"/>
              <w:rPr>
                <w:sz w:val="20"/>
                <w:szCs w:val="20"/>
                <w:color w:val="auto"/>
              </w:rPr>
            </w:pPr>
            <w:r>
              <w:rPr>
                <w:rFonts w:ascii="Arial" w:cs="Arial" w:eastAsia="Arial" w:hAnsi="Arial"/>
                <w:sz w:val="12"/>
                <w:szCs w:val="12"/>
                <w:color w:val="004987"/>
                <w:w w:val="99"/>
              </w:rPr>
              <w:t>Human Capital, Professional</w:t>
            </w:r>
          </w:p>
        </w:tc>
        <w:tc>
          <w:tcPr>
            <w:tcW w:w="2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900" w:type="dxa"/>
            <w:vAlign w:val="bottom"/>
          </w:tcPr>
          <w:p>
            <w:pPr>
              <w:ind w:left="440"/>
              <w:spacing w:after="0"/>
              <w:rPr>
                <w:sz w:val="20"/>
                <w:szCs w:val="20"/>
                <w:color w:val="auto"/>
              </w:rPr>
            </w:pPr>
            <w:r>
              <w:rPr>
                <w:rFonts w:ascii="Arial" w:cs="Arial" w:eastAsia="Arial" w:hAnsi="Arial"/>
                <w:sz w:val="12"/>
                <w:szCs w:val="12"/>
                <w:color w:val="004987"/>
              </w:rPr>
              <w:t>Consumer Insights</w:t>
            </w:r>
          </w:p>
        </w:tc>
        <w:tc>
          <w:tcPr>
            <w:tcW w:w="1920" w:type="dxa"/>
            <w:vAlign w:val="bottom"/>
          </w:tcPr>
          <w:p>
            <w:pPr>
              <w:ind w:left="440"/>
              <w:spacing w:after="0"/>
              <w:rPr>
                <w:sz w:val="20"/>
                <w:szCs w:val="20"/>
                <w:color w:val="auto"/>
              </w:rPr>
            </w:pPr>
            <w:r>
              <w:rPr>
                <w:rFonts w:ascii="Arial" w:cs="Arial" w:eastAsia="Arial" w:hAnsi="Arial"/>
                <w:sz w:val="12"/>
                <w:szCs w:val="12"/>
                <w:color w:val="004987"/>
              </w:rPr>
              <w:t>Development</w:t>
            </w:r>
          </w:p>
        </w:tc>
        <w:tc>
          <w:tcPr>
            <w:tcW w:w="4400" w:type="dxa"/>
            <w:vAlign w:val="bottom"/>
            <w:gridSpan w:val="2"/>
          </w:tcPr>
          <w:p>
            <w:pPr>
              <w:ind w:left="640"/>
              <w:spacing w:after="0"/>
              <w:rPr>
                <w:sz w:val="20"/>
                <w:szCs w:val="20"/>
                <w:color w:val="auto"/>
              </w:rPr>
            </w:pPr>
            <w:r>
              <w:rPr>
                <w:rFonts w:ascii="Arial" w:cs="Arial" w:eastAsia="Arial" w:hAnsi="Arial"/>
                <w:sz w:val="12"/>
                <w:szCs w:val="12"/>
                <w:color w:val="004987"/>
              </w:rPr>
              <w:t>Development &amp; Organizational Culture</w:t>
            </w:r>
          </w:p>
        </w:tc>
        <w:tc>
          <w:tcPr>
            <w:tcW w:w="2240" w:type="dxa"/>
            <w:vAlign w:val="bottom"/>
          </w:tcPr>
          <w:p>
            <w:pPr>
              <w:spacing w:after="0"/>
              <w:rPr>
                <w:sz w:val="14"/>
                <w:szCs w:val="14"/>
                <w:color w:val="auto"/>
              </w:rPr>
            </w:pPr>
          </w:p>
        </w:tc>
      </w:tr>
      <w:tr>
        <w:trPr>
          <w:trHeight w:val="244"/>
        </w:trPr>
        <w:tc>
          <w:tcPr>
            <w:tcW w:w="3820" w:type="dxa"/>
            <w:vAlign w:val="bottom"/>
            <w:tcBorders>
              <w:bottom w:val="single" w:sz="8" w:color="004987"/>
            </w:tcBorders>
            <w:gridSpan w:val="2"/>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4400" w:type="dxa"/>
            <w:vAlign w:val="bottom"/>
            <w:tcBorders>
              <w:bottom w:val="single" w:sz="8" w:color="004987"/>
            </w:tcBorders>
            <w:gridSpan w:val="2"/>
          </w:tcPr>
          <w:p>
            <w:pPr>
              <w:ind w:left="220"/>
              <w:spacing w:after="0"/>
              <w:rPr>
                <w:sz w:val="20"/>
                <w:szCs w:val="20"/>
                <w:color w:val="auto"/>
              </w:rPr>
            </w:pPr>
            <w:r>
              <w:rPr>
                <w:rFonts w:ascii="Arial" w:cs="Arial" w:eastAsia="Arial" w:hAnsi="Arial"/>
                <w:sz w:val="10"/>
                <w:szCs w:val="10"/>
                <w:color w:val="auto"/>
              </w:rPr>
              <w:t>Report on the Board of Directors and its Committees</w:t>
            </w:r>
          </w:p>
        </w:tc>
        <w:tc>
          <w:tcPr>
            <w:tcW w:w="2240" w:type="dxa"/>
            <w:vAlign w:val="bottom"/>
            <w:tcBorders>
              <w:bottom w:val="single" w:sz="8" w:color="004987"/>
            </w:tcBorders>
          </w:tcPr>
          <w:p>
            <w:pPr>
              <w:ind w:left="2180"/>
              <w:spacing w:after="0"/>
              <w:rPr>
                <w:sz w:val="20"/>
                <w:szCs w:val="20"/>
                <w:color w:val="auto"/>
              </w:rPr>
            </w:pPr>
            <w:r>
              <w:rPr>
                <w:rFonts w:ascii="Arial" w:cs="Arial" w:eastAsia="Arial" w:hAnsi="Arial"/>
                <w:sz w:val="10"/>
                <w:szCs w:val="10"/>
                <w:b w:val="1"/>
                <w:bCs w:val="1"/>
                <w:color w:val="004987"/>
                <w:w w:val="71"/>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-911225</wp:posOffset>
            </wp:positionV>
            <wp:extent cx="89535" cy="13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-886460</wp:posOffset>
            </wp:positionV>
            <wp:extent cx="154940" cy="130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-886460</wp:posOffset>
            </wp:positionV>
            <wp:extent cx="154940" cy="13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-886460</wp:posOffset>
            </wp:positionV>
            <wp:extent cx="138430" cy="130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-886460</wp:posOffset>
            </wp:positionV>
            <wp:extent cx="146685" cy="130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-601980</wp:posOffset>
            </wp:positionV>
            <wp:extent cx="130175" cy="130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-593725</wp:posOffset>
            </wp:positionV>
            <wp:extent cx="138430" cy="130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-593725</wp:posOffset>
            </wp:positionV>
            <wp:extent cx="138430" cy="130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-601980</wp:posOffset>
            </wp:positionV>
            <wp:extent cx="121920" cy="130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-593725</wp:posOffset>
            </wp:positionV>
            <wp:extent cx="130175" cy="130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-308610</wp:posOffset>
            </wp:positionV>
            <wp:extent cx="138430" cy="13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-300355</wp:posOffset>
            </wp:positionV>
            <wp:extent cx="130175" cy="130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-308610</wp:posOffset>
            </wp:positionV>
            <wp:extent cx="130175" cy="130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4" w:name="page15"/>
    <w:bookmarkEnd w:id="1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46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DIANNA F. MORGAN</w:t>
            </w:r>
          </w:p>
        </w:tc>
        <w:tc>
          <w:tcPr>
            <w:tcW w:w="7000" w:type="dxa"/>
            <w:vAlign w:val="bottom"/>
            <w:tcBorders>
              <w:top w:val="single" w:sz="8" w:color="004987"/>
            </w:tcBorders>
          </w:tcPr>
          <w:p>
            <w:pPr>
              <w:spacing w:after="0"/>
              <w:rPr>
                <w:sz w:val="19"/>
                <w:szCs w:val="19"/>
                <w:color w:val="auto"/>
              </w:rPr>
            </w:pPr>
          </w:p>
        </w:tc>
      </w:tr>
      <w:tr>
        <w:trPr>
          <w:trHeight w:val="238"/>
        </w:trPr>
        <w:tc>
          <w:tcPr>
            <w:tcW w:w="3460" w:type="dxa"/>
            <w:vAlign w:val="bottom"/>
          </w:tcPr>
          <w:p>
            <w:pPr>
              <w:spacing w:after="0"/>
              <w:rPr>
                <w:sz w:val="20"/>
                <w:szCs w:val="20"/>
                <w:color w:val="auto"/>
              </w:rPr>
            </w:pPr>
            <w:r>
              <w:rPr>
                <w:rFonts w:ascii="Arial" w:cs="Arial" w:eastAsia="Arial" w:hAnsi="Arial"/>
                <w:sz w:val="15"/>
                <w:szCs w:val="15"/>
                <w:color w:val="auto"/>
              </w:rPr>
              <w:t>Age: 70</w:t>
            </w:r>
          </w:p>
        </w:tc>
        <w:tc>
          <w:tcPr>
            <w:tcW w:w="7000" w:type="dxa"/>
            <w:vAlign w:val="bottom"/>
          </w:tcPr>
          <w:p>
            <w:pPr>
              <w:ind w:left="1980"/>
              <w:spacing w:after="0"/>
              <w:rPr>
                <w:sz w:val="20"/>
                <w:szCs w:val="20"/>
                <w:color w:val="auto"/>
              </w:rPr>
            </w:pPr>
            <w:r>
              <w:rPr>
                <w:rFonts w:ascii="Arial" w:cs="Arial" w:eastAsia="Arial" w:hAnsi="Arial"/>
                <w:sz w:val="15"/>
                <w:szCs w:val="15"/>
                <w:color w:val="auto"/>
              </w:rPr>
              <w:t>Committees:</w:t>
            </w:r>
          </w:p>
        </w:tc>
      </w:tr>
      <w:tr>
        <w:trPr>
          <w:trHeight w:val="179"/>
        </w:trPr>
        <w:tc>
          <w:tcPr>
            <w:tcW w:w="3460" w:type="dxa"/>
            <w:vAlign w:val="bottom"/>
          </w:tcPr>
          <w:p>
            <w:pPr>
              <w:spacing w:after="0"/>
              <w:rPr>
                <w:sz w:val="20"/>
                <w:szCs w:val="20"/>
                <w:color w:val="auto"/>
              </w:rPr>
            </w:pPr>
            <w:r>
              <w:rPr>
                <w:rFonts w:ascii="Arial" w:cs="Arial" w:eastAsia="Arial" w:hAnsi="Arial"/>
                <w:sz w:val="15"/>
                <w:szCs w:val="15"/>
                <w:color w:val="auto"/>
              </w:rPr>
              <w:t>Director Since: 2013</w:t>
            </w:r>
          </w:p>
        </w:tc>
        <w:tc>
          <w:tcPr>
            <w:tcW w:w="7000" w:type="dxa"/>
            <w:vAlign w:val="bottom"/>
          </w:tcPr>
          <w:p>
            <w:pPr>
              <w:ind w:left="198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Compensation Policy (Chair)</w:t>
            </w:r>
          </w:p>
        </w:tc>
      </w:tr>
      <w:tr>
        <w:trPr>
          <w:trHeight w:val="201"/>
        </w:trPr>
        <w:tc>
          <w:tcPr>
            <w:tcW w:w="3460" w:type="dxa"/>
            <w:vAlign w:val="bottom"/>
          </w:tcPr>
          <w:p>
            <w:pPr>
              <w:spacing w:after="0"/>
              <w:rPr>
                <w:sz w:val="17"/>
                <w:szCs w:val="17"/>
                <w:color w:val="auto"/>
              </w:rPr>
            </w:pPr>
          </w:p>
        </w:tc>
        <w:tc>
          <w:tcPr>
            <w:tcW w:w="7000" w:type="dxa"/>
            <w:vAlign w:val="bottom"/>
          </w:tcPr>
          <w:p>
            <w:pPr>
              <w:ind w:left="198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Nominating and Corporate Governance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20"/>
        <w:spacing w:after="0" w:line="253" w:lineRule="auto"/>
        <w:rPr>
          <w:sz w:val="20"/>
          <w:szCs w:val="20"/>
          <w:color w:val="auto"/>
        </w:rPr>
      </w:pPr>
      <w:r>
        <w:rPr>
          <w:rFonts w:ascii="Arial" w:cs="Arial" w:eastAsia="Arial" w:hAnsi="Arial"/>
          <w:sz w:val="15"/>
          <w:szCs w:val="15"/>
          <w:color w:val="auto"/>
        </w:rPr>
        <w:t>Ms. Morgan retired in 2001 from a 30-year career with Walt Disney World Company, a subsidiary of The Walt Disney Company, a publicly traded entertainment company, where she served most recently as Senior Vice President of Public Affairs and Senior Vice President of Human Resources. During her tenure at Walt Disney World Company, she oversaw the Disney Institute, a recognized leader in experiential training, leadership development, benchmarking and cultural change for business professionals around the world. Ms. Morgan currently serves on the Board of Directors of Chesapeake Utilities Corporation, a publicly traded corporation, and the Board of Trustees of Hersha Hospitality Trust, a publicly traded REIT. Within the last five years, she served on the Board of Directors of CNL Health Care Properties II, a publicly traded REIT.</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180"/>
        <w:spacing w:after="0" w:line="253" w:lineRule="auto"/>
        <w:rPr>
          <w:sz w:val="20"/>
          <w:szCs w:val="20"/>
          <w:color w:val="auto"/>
        </w:rPr>
      </w:pPr>
      <w:r>
        <w:rPr>
          <w:rFonts w:ascii="Arial" w:cs="Arial" w:eastAsia="Arial" w:hAnsi="Arial"/>
          <w:sz w:val="15"/>
          <w:szCs w:val="15"/>
          <w:color w:val="auto"/>
        </w:rPr>
        <w:t>As an accomplished senior manager at Walt Disney World Company in various areas, Ms. Morgan brings to the Board best practice expertise in human capital and the customer experience. Ms. Morgan’s previous experience overseeing the Disney Institute, which provides leading professional development programs, and serving as Senior Vice President of Human Resources for Walt Disney World Company have provided her with extensive knowledge of leadership development programs and organizational culture. In addition, Ms. Morgan’s experience as Senior Vice President of Public Affairs for Walt Disney World Company has provided her with a solid foundation in media relations and government relations. She also has extensive experience as a board member of publicly traded and private companies.</w:t>
      </w:r>
    </w:p>
    <w:p>
      <w:pPr>
        <w:spacing w:after="0" w:line="128"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1480" w:type="dxa"/>
            <w:vAlign w:val="bottom"/>
          </w:tcPr>
          <w:p>
            <w:pPr>
              <w:spacing w:after="0"/>
              <w:rPr>
                <w:sz w:val="20"/>
                <w:szCs w:val="20"/>
                <w:color w:val="auto"/>
              </w:rPr>
            </w:pPr>
            <w:r>
              <w:rPr>
                <w:rFonts w:ascii="Arial" w:cs="Arial" w:eastAsia="Arial" w:hAnsi="Arial"/>
                <w:sz w:val="12"/>
                <w:szCs w:val="12"/>
                <w:color w:val="004987"/>
              </w:rPr>
              <w:t>Corporate</w:t>
            </w:r>
          </w:p>
        </w:tc>
        <w:tc>
          <w:tcPr>
            <w:tcW w:w="1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520" w:type="dxa"/>
            <w:vAlign w:val="bottom"/>
          </w:tcPr>
          <w:p>
            <w:pPr>
              <w:ind w:left="420"/>
              <w:spacing w:after="0"/>
              <w:rPr>
                <w:sz w:val="20"/>
                <w:szCs w:val="20"/>
                <w:color w:val="auto"/>
              </w:rPr>
            </w:pPr>
            <w:r>
              <w:rPr>
                <w:rFonts w:ascii="Arial" w:cs="Arial" w:eastAsia="Arial" w:hAnsi="Arial"/>
                <w:sz w:val="12"/>
                <w:szCs w:val="12"/>
                <w:color w:val="004987"/>
              </w:rPr>
              <w:t>Public Company Board</w:t>
            </w:r>
          </w:p>
        </w:tc>
        <w:tc>
          <w:tcPr>
            <w:tcW w:w="1180" w:type="dxa"/>
            <w:vAlign w:val="bottom"/>
          </w:tcPr>
          <w:p>
            <w:pPr>
              <w:ind w:left="40"/>
              <w:spacing w:after="0"/>
              <w:rPr>
                <w:sz w:val="20"/>
                <w:szCs w:val="20"/>
                <w:color w:val="auto"/>
              </w:rPr>
            </w:pPr>
            <w:r>
              <w:rPr>
                <w:rFonts w:ascii="Arial" w:cs="Arial" w:eastAsia="Arial" w:hAnsi="Arial"/>
                <w:sz w:val="12"/>
                <w:szCs w:val="12"/>
                <w:color w:val="004987"/>
              </w:rPr>
              <w:t>Risk</w:t>
            </w:r>
          </w:p>
        </w:tc>
        <w:tc>
          <w:tcPr>
            <w:tcW w:w="940" w:type="dxa"/>
            <w:vAlign w:val="bottom"/>
          </w:tcPr>
          <w:p>
            <w:pPr>
              <w:ind w:left="460"/>
              <w:spacing w:after="0"/>
              <w:rPr>
                <w:sz w:val="20"/>
                <w:szCs w:val="20"/>
                <w:color w:val="auto"/>
              </w:rPr>
            </w:pPr>
            <w:r>
              <w:rPr>
                <w:rFonts w:ascii="Arial" w:cs="Arial" w:eastAsia="Arial" w:hAnsi="Arial"/>
                <w:sz w:val="12"/>
                <w:szCs w:val="12"/>
                <w:color w:val="004987"/>
                <w:w w:val="97"/>
              </w:rPr>
              <w:t>Strategic</w:t>
            </w:r>
          </w:p>
        </w:tc>
      </w:tr>
      <w:tr>
        <w:trPr>
          <w:trHeight w:val="166"/>
        </w:trPr>
        <w:tc>
          <w:tcPr>
            <w:tcW w:w="1480" w:type="dxa"/>
            <w:vAlign w:val="bottom"/>
          </w:tcPr>
          <w:p>
            <w:pPr>
              <w:spacing w:after="0"/>
              <w:rPr>
                <w:sz w:val="20"/>
                <w:szCs w:val="20"/>
                <w:color w:val="auto"/>
              </w:rPr>
            </w:pPr>
            <w:r>
              <w:rPr>
                <w:rFonts w:ascii="Arial" w:cs="Arial" w:eastAsia="Arial" w:hAnsi="Arial"/>
                <w:sz w:val="12"/>
                <w:szCs w:val="12"/>
                <w:color w:val="004987"/>
              </w:rPr>
              <w:t>Leadership</w:t>
            </w:r>
          </w:p>
        </w:tc>
        <w:tc>
          <w:tcPr>
            <w:tcW w:w="1960" w:type="dxa"/>
            <w:vAlign w:val="bottom"/>
          </w:tcPr>
          <w:p>
            <w:pPr>
              <w:ind w:left="320"/>
              <w:spacing w:after="0"/>
              <w:rPr>
                <w:sz w:val="20"/>
                <w:szCs w:val="20"/>
                <w:color w:val="auto"/>
              </w:rPr>
            </w:pPr>
            <w:r>
              <w:rPr>
                <w:rFonts w:ascii="Arial" w:cs="Arial" w:eastAsia="Arial" w:hAnsi="Arial"/>
                <w:sz w:val="12"/>
                <w:szCs w:val="12"/>
                <w:color w:val="004987"/>
              </w:rPr>
              <w:t>Independence</w:t>
            </w:r>
          </w:p>
        </w:tc>
        <w:tc>
          <w:tcPr>
            <w:tcW w:w="1880" w:type="dxa"/>
            <w:vAlign w:val="bottom"/>
          </w:tcPr>
          <w:p>
            <w:pPr>
              <w:ind w:left="440"/>
              <w:spacing w:after="0"/>
              <w:rPr>
                <w:sz w:val="20"/>
                <w:szCs w:val="20"/>
                <w:color w:val="auto"/>
              </w:rPr>
            </w:pPr>
            <w:r>
              <w:rPr>
                <w:rFonts w:ascii="Arial" w:cs="Arial" w:eastAsia="Arial" w:hAnsi="Arial"/>
                <w:sz w:val="12"/>
                <w:szCs w:val="12"/>
                <w:color w:val="004987"/>
              </w:rPr>
              <w:t>Diversity</w:t>
            </w:r>
          </w:p>
        </w:tc>
        <w:tc>
          <w:tcPr>
            <w:tcW w:w="2520" w:type="dxa"/>
            <w:vAlign w:val="bottom"/>
          </w:tcPr>
          <w:p>
            <w:pPr>
              <w:ind w:left="420"/>
              <w:spacing w:after="0"/>
              <w:rPr>
                <w:sz w:val="20"/>
                <w:szCs w:val="20"/>
                <w:color w:val="auto"/>
              </w:rPr>
            </w:pPr>
            <w:r>
              <w:rPr>
                <w:rFonts w:ascii="Arial" w:cs="Arial" w:eastAsia="Arial" w:hAnsi="Arial"/>
                <w:sz w:val="12"/>
                <w:szCs w:val="12"/>
                <w:color w:val="004987"/>
              </w:rPr>
              <w:t>Service &amp; Governance</w:t>
            </w:r>
          </w:p>
        </w:tc>
        <w:tc>
          <w:tcPr>
            <w:tcW w:w="1180" w:type="dxa"/>
            <w:vAlign w:val="bottom"/>
          </w:tcPr>
          <w:p>
            <w:pPr>
              <w:ind w:left="40"/>
              <w:spacing w:after="0"/>
              <w:rPr>
                <w:sz w:val="20"/>
                <w:szCs w:val="20"/>
                <w:color w:val="auto"/>
              </w:rPr>
            </w:pPr>
            <w:r>
              <w:rPr>
                <w:rFonts w:ascii="Arial" w:cs="Arial" w:eastAsia="Arial" w:hAnsi="Arial"/>
                <w:sz w:val="12"/>
                <w:szCs w:val="12"/>
                <w:color w:val="004987"/>
              </w:rPr>
              <w:t>Management</w:t>
            </w:r>
          </w:p>
        </w:tc>
        <w:tc>
          <w:tcPr>
            <w:tcW w:w="940" w:type="dxa"/>
            <w:vAlign w:val="bottom"/>
          </w:tcPr>
          <w:p>
            <w:pPr>
              <w:ind w:left="460"/>
              <w:spacing w:after="0"/>
              <w:rPr>
                <w:sz w:val="20"/>
                <w:szCs w:val="20"/>
                <w:color w:val="auto"/>
              </w:rPr>
            </w:pPr>
            <w:r>
              <w:rPr>
                <w:rFonts w:ascii="Arial" w:cs="Arial" w:eastAsia="Arial" w:hAnsi="Arial"/>
                <w:sz w:val="12"/>
                <w:szCs w:val="12"/>
                <w:color w:val="004987"/>
                <w:w w:val="98"/>
              </w:rPr>
              <w:t>Planning</w:t>
            </w:r>
          </w:p>
        </w:tc>
      </w:tr>
      <w:tr>
        <w:trPr>
          <w:trHeight w:val="295"/>
        </w:trPr>
        <w:tc>
          <w:tcPr>
            <w:tcW w:w="1480" w:type="dxa"/>
            <w:vAlign w:val="bottom"/>
          </w:tcPr>
          <w:p>
            <w:pPr>
              <w:spacing w:after="0"/>
              <w:rPr>
                <w:sz w:val="20"/>
                <w:szCs w:val="20"/>
                <w:color w:val="auto"/>
              </w:rPr>
            </w:pPr>
            <w:r>
              <w:rPr>
                <w:rFonts w:ascii="Arial" w:cs="Arial" w:eastAsia="Arial" w:hAnsi="Arial"/>
                <w:sz w:val="12"/>
                <w:szCs w:val="12"/>
                <w:color w:val="004987"/>
              </w:rPr>
              <w:t>Vacation Ownership &amp;</w:t>
            </w:r>
          </w:p>
        </w:tc>
        <w:tc>
          <w:tcPr>
            <w:tcW w:w="1960" w:type="dxa"/>
            <w:vAlign w:val="bottom"/>
          </w:tcPr>
          <w:p>
            <w:pPr>
              <w:ind w:left="320"/>
              <w:spacing w:after="0"/>
              <w:rPr>
                <w:sz w:val="20"/>
                <w:szCs w:val="20"/>
                <w:color w:val="auto"/>
              </w:rPr>
            </w:pPr>
            <w:r>
              <w:rPr>
                <w:rFonts w:ascii="Arial" w:cs="Arial" w:eastAsia="Arial" w:hAnsi="Arial"/>
                <w:sz w:val="12"/>
                <w:szCs w:val="12"/>
                <w:color w:val="004987"/>
              </w:rPr>
              <w:t>Legal, Regulatory &amp;</w:t>
            </w:r>
          </w:p>
        </w:tc>
        <w:tc>
          <w:tcPr>
            <w:tcW w:w="1880" w:type="dxa"/>
            <w:vAlign w:val="bottom"/>
          </w:tcPr>
          <w:p>
            <w:pPr>
              <w:ind w:left="440"/>
              <w:spacing w:after="0"/>
              <w:rPr>
                <w:sz w:val="20"/>
                <w:szCs w:val="20"/>
                <w:color w:val="auto"/>
              </w:rPr>
            </w:pPr>
            <w:r>
              <w:rPr>
                <w:rFonts w:ascii="Arial" w:cs="Arial" w:eastAsia="Arial" w:hAnsi="Arial"/>
                <w:sz w:val="12"/>
                <w:szCs w:val="12"/>
                <w:color w:val="004987"/>
              </w:rPr>
              <w:t>Sales &amp; Marketing/</w:t>
            </w:r>
          </w:p>
        </w:tc>
        <w:tc>
          <w:tcPr>
            <w:tcW w:w="2520" w:type="dxa"/>
            <w:vAlign w:val="bottom"/>
          </w:tcPr>
          <w:p>
            <w:pPr>
              <w:ind w:left="420"/>
              <w:spacing w:after="0"/>
              <w:rPr>
                <w:sz w:val="20"/>
                <w:szCs w:val="20"/>
                <w:color w:val="auto"/>
              </w:rPr>
            </w:pPr>
            <w:r>
              <w:rPr>
                <w:rFonts w:ascii="Arial" w:cs="Arial" w:eastAsia="Arial" w:hAnsi="Arial"/>
                <w:sz w:val="12"/>
                <w:szCs w:val="12"/>
                <w:color w:val="004987"/>
              </w:rPr>
              <w:t>Human Capital, Professional</w:t>
            </w: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480" w:type="dxa"/>
            <w:vAlign w:val="bottom"/>
          </w:tcPr>
          <w:p>
            <w:pPr>
              <w:spacing w:after="0"/>
              <w:rPr>
                <w:sz w:val="20"/>
                <w:szCs w:val="20"/>
                <w:color w:val="auto"/>
              </w:rPr>
            </w:pPr>
            <w:r>
              <w:rPr>
                <w:rFonts w:ascii="Arial" w:cs="Arial" w:eastAsia="Arial" w:hAnsi="Arial"/>
                <w:sz w:val="12"/>
                <w:szCs w:val="12"/>
                <w:color w:val="004987"/>
              </w:rPr>
              <w:t>Lodging Industry</w:t>
            </w:r>
          </w:p>
        </w:tc>
        <w:tc>
          <w:tcPr>
            <w:tcW w:w="1960" w:type="dxa"/>
            <w:vAlign w:val="bottom"/>
          </w:tcPr>
          <w:p>
            <w:pPr>
              <w:ind w:left="320"/>
              <w:spacing w:after="0"/>
              <w:rPr>
                <w:sz w:val="20"/>
                <w:szCs w:val="20"/>
                <w:color w:val="auto"/>
              </w:rPr>
            </w:pPr>
            <w:r>
              <w:rPr>
                <w:rFonts w:ascii="Arial" w:cs="Arial" w:eastAsia="Arial" w:hAnsi="Arial"/>
                <w:sz w:val="12"/>
                <w:szCs w:val="12"/>
                <w:color w:val="004987"/>
              </w:rPr>
              <w:t>Government Relations</w:t>
            </w:r>
          </w:p>
        </w:tc>
        <w:tc>
          <w:tcPr>
            <w:tcW w:w="1880" w:type="dxa"/>
            <w:vAlign w:val="bottom"/>
          </w:tcPr>
          <w:p>
            <w:pPr>
              <w:ind w:left="440"/>
              <w:spacing w:after="0"/>
              <w:rPr>
                <w:sz w:val="20"/>
                <w:szCs w:val="20"/>
                <w:color w:val="auto"/>
              </w:rPr>
            </w:pPr>
            <w:r>
              <w:rPr>
                <w:rFonts w:ascii="Arial" w:cs="Arial" w:eastAsia="Arial" w:hAnsi="Arial"/>
                <w:sz w:val="12"/>
                <w:szCs w:val="12"/>
                <w:color w:val="004987"/>
              </w:rPr>
              <w:t>Consumer Insights</w:t>
            </w:r>
          </w:p>
        </w:tc>
        <w:tc>
          <w:tcPr>
            <w:tcW w:w="2520" w:type="dxa"/>
            <w:vAlign w:val="bottom"/>
          </w:tcPr>
          <w:p>
            <w:pPr>
              <w:ind w:left="420"/>
              <w:spacing w:after="0"/>
              <w:rPr>
                <w:sz w:val="20"/>
                <w:szCs w:val="20"/>
                <w:color w:val="auto"/>
              </w:rPr>
            </w:pPr>
            <w:r>
              <w:rPr>
                <w:rFonts w:ascii="Arial" w:cs="Arial" w:eastAsia="Arial" w:hAnsi="Arial"/>
                <w:sz w:val="12"/>
                <w:szCs w:val="12"/>
                <w:color w:val="004987"/>
              </w:rPr>
              <w:t>Development &amp; Organizational Culture</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-454660</wp:posOffset>
            </wp:positionV>
            <wp:extent cx="89535" cy="130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-454660</wp:posOffset>
            </wp:positionV>
            <wp:extent cx="154940" cy="130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-430530</wp:posOffset>
            </wp:positionV>
            <wp:extent cx="138430" cy="130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-430530</wp:posOffset>
            </wp:positionV>
            <wp:extent cx="146685" cy="130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-430530</wp:posOffset>
            </wp:positionV>
            <wp:extent cx="130175" cy="130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-430530</wp:posOffset>
            </wp:positionV>
            <wp:extent cx="138430" cy="130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-145415</wp:posOffset>
            </wp:positionV>
            <wp:extent cx="121920" cy="130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-161925</wp:posOffset>
            </wp:positionV>
            <wp:extent cx="130175" cy="130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-137160</wp:posOffset>
            </wp:positionV>
            <wp:extent cx="138430" cy="130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-137160</wp:posOffset>
            </wp:positionV>
            <wp:extent cx="130175" cy="130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58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JONICE GRAY TUCKER</w:t>
            </w:r>
          </w:p>
        </w:tc>
        <w:tc>
          <w:tcPr>
            <w:tcW w:w="6880" w:type="dxa"/>
            <w:vAlign w:val="bottom"/>
            <w:tcBorders>
              <w:top w:val="single" w:sz="8" w:color="004987"/>
            </w:tcBorders>
          </w:tcPr>
          <w:p>
            <w:pPr>
              <w:spacing w:after="0"/>
              <w:rPr>
                <w:sz w:val="19"/>
                <w:szCs w:val="19"/>
                <w:color w:val="auto"/>
              </w:rPr>
            </w:pPr>
          </w:p>
        </w:tc>
      </w:tr>
      <w:tr>
        <w:trPr>
          <w:trHeight w:val="238"/>
        </w:trPr>
        <w:tc>
          <w:tcPr>
            <w:tcW w:w="3580" w:type="dxa"/>
            <w:vAlign w:val="bottom"/>
          </w:tcPr>
          <w:p>
            <w:pPr>
              <w:spacing w:after="0"/>
              <w:rPr>
                <w:sz w:val="20"/>
                <w:szCs w:val="20"/>
                <w:color w:val="auto"/>
              </w:rPr>
            </w:pPr>
            <w:r>
              <w:rPr>
                <w:rFonts w:ascii="Arial" w:cs="Arial" w:eastAsia="Arial" w:hAnsi="Arial"/>
                <w:sz w:val="15"/>
                <w:szCs w:val="15"/>
                <w:color w:val="auto"/>
              </w:rPr>
              <w:t>Age: 47</w:t>
            </w:r>
          </w:p>
        </w:tc>
        <w:tc>
          <w:tcPr>
            <w:tcW w:w="6880" w:type="dxa"/>
            <w:vAlign w:val="bottom"/>
          </w:tcPr>
          <w:p>
            <w:pPr>
              <w:ind w:left="1860"/>
              <w:spacing w:after="0"/>
              <w:rPr>
                <w:sz w:val="20"/>
                <w:szCs w:val="20"/>
                <w:color w:val="auto"/>
              </w:rPr>
            </w:pPr>
            <w:r>
              <w:rPr>
                <w:rFonts w:ascii="Arial" w:cs="Arial" w:eastAsia="Arial" w:hAnsi="Arial"/>
                <w:sz w:val="15"/>
                <w:szCs w:val="15"/>
                <w:color w:val="auto"/>
              </w:rPr>
              <w:t>Committees:</w:t>
            </w:r>
          </w:p>
        </w:tc>
      </w:tr>
      <w:tr>
        <w:trPr>
          <w:trHeight w:val="201"/>
        </w:trPr>
        <w:tc>
          <w:tcPr>
            <w:tcW w:w="3580" w:type="dxa"/>
            <w:vAlign w:val="bottom"/>
          </w:tcPr>
          <w:p>
            <w:pPr>
              <w:spacing w:after="0"/>
              <w:rPr>
                <w:sz w:val="20"/>
                <w:szCs w:val="20"/>
                <w:color w:val="auto"/>
              </w:rPr>
            </w:pPr>
            <w:r>
              <w:rPr>
                <w:rFonts w:ascii="Arial" w:cs="Arial" w:eastAsia="Arial" w:hAnsi="Arial"/>
                <w:sz w:val="15"/>
                <w:szCs w:val="15"/>
                <w:color w:val="auto"/>
              </w:rPr>
              <w:t>Director Since: 2021</w:t>
            </w:r>
          </w:p>
        </w:tc>
        <w:tc>
          <w:tcPr>
            <w:tcW w:w="6880" w:type="dxa"/>
            <w:vAlign w:val="bottom"/>
          </w:tcPr>
          <w:p>
            <w:pPr>
              <w:ind w:left="186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None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300"/>
        <w:spacing w:after="0" w:line="249" w:lineRule="auto"/>
        <w:rPr>
          <w:sz w:val="20"/>
          <w:szCs w:val="20"/>
          <w:color w:val="auto"/>
        </w:rPr>
      </w:pPr>
      <w:r>
        <w:rPr>
          <w:rFonts w:ascii="Arial" w:cs="Arial" w:eastAsia="Arial" w:hAnsi="Arial"/>
          <w:sz w:val="15"/>
          <w:szCs w:val="15"/>
          <w:color w:val="auto"/>
        </w:rPr>
        <w:t>Ms. Tucker is a founding partner and governing board member of the law firm of Buckley LLP, which was founded in 2009, and a member of the firm’s partner board. She specializes in work with banks, non-bank financial institutions, and other companies providing financial products and services.</w:t>
      </w:r>
    </w:p>
    <w:p>
      <w:pPr>
        <w:spacing w:after="0" w:line="1" w:lineRule="exact"/>
        <w:rPr>
          <w:sz w:val="20"/>
          <w:szCs w:val="20"/>
          <w:color w:val="auto"/>
        </w:rPr>
      </w:pPr>
    </w:p>
    <w:p>
      <w:pPr>
        <w:ind w:left="400" w:right="80"/>
        <w:spacing w:after="0" w:line="258" w:lineRule="auto"/>
        <w:rPr>
          <w:sz w:val="20"/>
          <w:szCs w:val="20"/>
          <w:color w:val="auto"/>
        </w:rPr>
      </w:pPr>
      <w:r>
        <w:rPr>
          <w:rFonts w:ascii="Arial" w:cs="Arial" w:eastAsia="Arial" w:hAnsi="Arial"/>
          <w:sz w:val="15"/>
          <w:szCs w:val="15"/>
          <w:color w:val="auto"/>
        </w:rPr>
        <w:t>Ms. Tucker has experience interacting with the Consumer Financial Protection Bureau, the Federal Trade Commission, and the Department of Housing and Urban Development as well as State Attorneys General. Prior to her role with Buckley LLP, Ms. Tucker was an attorney with the law firm of Skadden, Arps, Slate, Meager &amp; Flom LLP. She began her legal career in 2000 as a law clerk to the Honorable Marvin J. Garbis, U.S. District Court, District of Maryland.</w:t>
      </w:r>
    </w:p>
    <w:p>
      <w:pPr>
        <w:spacing w:after="0" w:line="250" w:lineRule="exact"/>
        <w:rPr>
          <w:sz w:val="20"/>
          <w:szCs w:val="20"/>
          <w:color w:val="auto"/>
        </w:rPr>
      </w:pPr>
    </w:p>
    <w:p>
      <w:pPr>
        <w:ind w:left="400" w:right="80"/>
        <w:spacing w:after="0" w:line="259" w:lineRule="auto"/>
        <w:rPr>
          <w:sz w:val="20"/>
          <w:szCs w:val="20"/>
          <w:color w:val="auto"/>
        </w:rPr>
      </w:pPr>
      <w:r>
        <w:rPr>
          <w:rFonts w:ascii="Arial" w:cs="Arial" w:eastAsia="Arial" w:hAnsi="Arial"/>
          <w:sz w:val="15"/>
          <w:szCs w:val="15"/>
          <w:color w:val="auto"/>
        </w:rPr>
        <w:t>Ms. Tucker is the Immediate Past Chair of the Banking Law Committee of the American Bar Association and also was a leader on the ABA’s Consumer Financial Services Committee. She has previously served on the Board of Regents of the American College of Consumer Financial Services Lawyers. Ms. Tucker serves on the Board of Directors for the Legal Aid Society of D.C. and the Board of Trustees for the Washington Lawyers’ Committee for Civil Rights and Urban Affairs. She also serves on the Advisory Board for the Ron Brown Scholars Program and the Board of Directors of the Kolar Charitable Foundation.</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240"/>
        <w:spacing w:after="0" w:line="256" w:lineRule="auto"/>
        <w:rPr>
          <w:sz w:val="20"/>
          <w:szCs w:val="20"/>
          <w:color w:val="auto"/>
        </w:rPr>
      </w:pPr>
      <w:r>
        <w:rPr>
          <w:rFonts w:ascii="Arial" w:cs="Arial" w:eastAsia="Arial" w:hAnsi="Arial"/>
          <w:sz w:val="15"/>
          <w:szCs w:val="15"/>
          <w:color w:val="auto"/>
        </w:rPr>
        <w:t>As a founding partner of Buckley LLP, a member of the Buckley LLP partner board, and past chair of the Banking Law Committee of the American Bar Association, Ms. Tucker brings to the Board senior leadership experience. The Board also benefits from her legal, regulatory and government relations experience, her financial and capital markets experience as a lawyer representing financial services firms, and her technology and cybersecurity experience as a legal advisor to financial technology companies.</w:t>
      </w:r>
    </w:p>
    <w:p>
      <w:pPr>
        <w:spacing w:after="0" w:line="124"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1440" w:type="dxa"/>
            <w:vAlign w:val="bottom"/>
          </w:tcPr>
          <w:p>
            <w:pPr>
              <w:ind w:left="400"/>
              <w:spacing w:after="0"/>
              <w:rPr>
                <w:sz w:val="20"/>
                <w:szCs w:val="20"/>
                <w:color w:val="auto"/>
              </w:rPr>
            </w:pPr>
            <w:r>
              <w:rPr>
                <w:rFonts w:ascii="Arial" w:cs="Arial" w:eastAsia="Arial" w:hAnsi="Arial"/>
                <w:sz w:val="12"/>
                <w:szCs w:val="12"/>
                <w:color w:val="004987"/>
              </w:rPr>
              <w:t>Corporate</w:t>
            </w:r>
          </w:p>
        </w:tc>
        <w:tc>
          <w:tcPr>
            <w:tcW w:w="1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40" w:type="dxa"/>
            <w:vAlign w:val="bottom"/>
          </w:tcPr>
          <w:p>
            <w:pPr>
              <w:ind w:left="140"/>
              <w:spacing w:after="0"/>
              <w:rPr>
                <w:sz w:val="20"/>
                <w:szCs w:val="20"/>
                <w:color w:val="auto"/>
              </w:rPr>
            </w:pPr>
            <w:r>
              <w:rPr>
                <w:rFonts w:ascii="Arial" w:cs="Arial" w:eastAsia="Arial" w:hAnsi="Arial"/>
                <w:sz w:val="12"/>
                <w:szCs w:val="12"/>
                <w:color w:val="004987"/>
              </w:rPr>
              <w:t>Risk</w:t>
            </w:r>
          </w:p>
        </w:tc>
        <w:tc>
          <w:tcPr>
            <w:tcW w:w="1560" w:type="dxa"/>
            <w:vAlign w:val="bottom"/>
          </w:tcPr>
          <w:p>
            <w:pPr>
              <w:ind w:left="420"/>
              <w:spacing w:after="0"/>
              <w:rPr>
                <w:sz w:val="20"/>
                <w:szCs w:val="20"/>
                <w:color w:val="auto"/>
              </w:rPr>
            </w:pPr>
            <w:r>
              <w:rPr>
                <w:rFonts w:ascii="Arial" w:cs="Arial" w:eastAsia="Arial" w:hAnsi="Arial"/>
                <w:sz w:val="12"/>
                <w:szCs w:val="12"/>
                <w:color w:val="004987"/>
              </w:rPr>
              <w:t>Strategic</w:t>
            </w:r>
          </w:p>
        </w:tc>
        <w:tc>
          <w:tcPr>
            <w:tcW w:w="2040" w:type="dxa"/>
            <w:vAlign w:val="bottom"/>
          </w:tcPr>
          <w:p>
            <w:pPr>
              <w:ind w:left="680"/>
              <w:spacing w:after="0"/>
              <w:rPr>
                <w:sz w:val="20"/>
                <w:szCs w:val="20"/>
                <w:color w:val="auto"/>
              </w:rPr>
            </w:pPr>
            <w:r>
              <w:rPr>
                <w:rFonts w:ascii="Arial" w:cs="Arial" w:eastAsia="Arial" w:hAnsi="Arial"/>
                <w:sz w:val="12"/>
                <w:szCs w:val="12"/>
                <w:color w:val="004987"/>
              </w:rPr>
              <w:t>Legal, Regulatory &amp;</w:t>
            </w:r>
          </w:p>
        </w:tc>
        <w:tc>
          <w:tcPr>
            <w:tcW w:w="0" w:type="dxa"/>
            <w:vAlign w:val="bottom"/>
          </w:tcPr>
          <w:p>
            <w:pPr>
              <w:spacing w:after="0"/>
              <w:rPr>
                <w:sz w:val="1"/>
                <w:szCs w:val="1"/>
                <w:color w:val="auto"/>
              </w:rPr>
            </w:pPr>
          </w:p>
        </w:tc>
      </w:tr>
      <w:tr>
        <w:trPr>
          <w:trHeight w:val="166"/>
        </w:trPr>
        <w:tc>
          <w:tcPr>
            <w:tcW w:w="1440" w:type="dxa"/>
            <w:vAlign w:val="bottom"/>
          </w:tcPr>
          <w:p>
            <w:pPr>
              <w:ind w:left="400"/>
              <w:spacing w:after="0"/>
              <w:rPr>
                <w:sz w:val="20"/>
                <w:szCs w:val="20"/>
                <w:color w:val="auto"/>
              </w:rPr>
            </w:pPr>
            <w:r>
              <w:rPr>
                <w:rFonts w:ascii="Arial" w:cs="Arial" w:eastAsia="Arial" w:hAnsi="Arial"/>
                <w:sz w:val="12"/>
                <w:szCs w:val="12"/>
                <w:color w:val="004987"/>
              </w:rPr>
              <w:t>Leadership</w:t>
            </w:r>
          </w:p>
        </w:tc>
        <w:tc>
          <w:tcPr>
            <w:tcW w:w="1800" w:type="dxa"/>
            <w:vAlign w:val="bottom"/>
          </w:tcPr>
          <w:p>
            <w:pPr>
              <w:ind w:left="420"/>
              <w:spacing w:after="0"/>
              <w:rPr>
                <w:sz w:val="20"/>
                <w:szCs w:val="20"/>
                <w:color w:val="auto"/>
              </w:rPr>
            </w:pPr>
            <w:r>
              <w:rPr>
                <w:rFonts w:ascii="Arial" w:cs="Arial" w:eastAsia="Arial" w:hAnsi="Arial"/>
                <w:sz w:val="12"/>
                <w:szCs w:val="12"/>
                <w:color w:val="004987"/>
              </w:rPr>
              <w:t>Independence</w:t>
            </w:r>
          </w:p>
        </w:tc>
        <w:tc>
          <w:tcPr>
            <w:tcW w:w="1680" w:type="dxa"/>
            <w:vAlign w:val="bottom"/>
          </w:tcPr>
          <w:p>
            <w:pPr>
              <w:ind w:left="360"/>
              <w:spacing w:after="0"/>
              <w:rPr>
                <w:sz w:val="20"/>
                <w:szCs w:val="20"/>
                <w:color w:val="auto"/>
              </w:rPr>
            </w:pPr>
            <w:r>
              <w:rPr>
                <w:rFonts w:ascii="Arial" w:cs="Arial" w:eastAsia="Arial" w:hAnsi="Arial"/>
                <w:sz w:val="12"/>
                <w:szCs w:val="12"/>
                <w:color w:val="004987"/>
              </w:rPr>
              <w:t>Diversity</w:t>
            </w:r>
          </w:p>
        </w:tc>
        <w:tc>
          <w:tcPr>
            <w:tcW w:w="1940" w:type="dxa"/>
            <w:vAlign w:val="bottom"/>
          </w:tcPr>
          <w:p>
            <w:pPr>
              <w:ind w:left="140"/>
              <w:spacing w:after="0"/>
              <w:rPr>
                <w:sz w:val="20"/>
                <w:szCs w:val="20"/>
                <w:color w:val="auto"/>
              </w:rPr>
            </w:pPr>
            <w:r>
              <w:rPr>
                <w:rFonts w:ascii="Arial" w:cs="Arial" w:eastAsia="Arial" w:hAnsi="Arial"/>
                <w:sz w:val="12"/>
                <w:szCs w:val="12"/>
                <w:color w:val="004987"/>
              </w:rPr>
              <w:t>Management</w:t>
            </w:r>
          </w:p>
        </w:tc>
        <w:tc>
          <w:tcPr>
            <w:tcW w:w="1560" w:type="dxa"/>
            <w:vAlign w:val="bottom"/>
          </w:tcPr>
          <w:p>
            <w:pPr>
              <w:ind w:left="420"/>
              <w:spacing w:after="0"/>
              <w:rPr>
                <w:sz w:val="20"/>
                <w:szCs w:val="20"/>
                <w:color w:val="auto"/>
              </w:rPr>
            </w:pPr>
            <w:r>
              <w:rPr>
                <w:rFonts w:ascii="Arial" w:cs="Arial" w:eastAsia="Arial" w:hAnsi="Arial"/>
                <w:sz w:val="12"/>
                <w:szCs w:val="12"/>
                <w:color w:val="004987"/>
              </w:rPr>
              <w:t>Planning</w:t>
            </w:r>
          </w:p>
        </w:tc>
        <w:tc>
          <w:tcPr>
            <w:tcW w:w="2040" w:type="dxa"/>
            <w:vAlign w:val="bottom"/>
          </w:tcPr>
          <w:p>
            <w:pPr>
              <w:ind w:left="680"/>
              <w:spacing w:after="0"/>
              <w:rPr>
                <w:sz w:val="20"/>
                <w:szCs w:val="20"/>
                <w:color w:val="auto"/>
              </w:rPr>
            </w:pPr>
            <w:r>
              <w:rPr>
                <w:rFonts w:ascii="Arial" w:cs="Arial" w:eastAsia="Arial" w:hAnsi="Arial"/>
                <w:sz w:val="12"/>
                <w:szCs w:val="12"/>
                <w:color w:val="004987"/>
              </w:rPr>
              <w:t>Government Relations</w:t>
            </w:r>
          </w:p>
        </w:tc>
        <w:tc>
          <w:tcPr>
            <w:tcW w:w="0" w:type="dxa"/>
            <w:vAlign w:val="bottom"/>
          </w:tcPr>
          <w:p>
            <w:pPr>
              <w:spacing w:after="0"/>
              <w:rPr>
                <w:sz w:val="1"/>
                <w:szCs w:val="1"/>
                <w:color w:val="auto"/>
              </w:rPr>
            </w:pPr>
          </w:p>
        </w:tc>
      </w:tr>
      <w:tr>
        <w:trPr>
          <w:trHeight w:val="175"/>
        </w:trPr>
        <w:tc>
          <w:tcPr>
            <w:tcW w:w="1440" w:type="dxa"/>
            <w:vAlign w:val="bottom"/>
            <w:vMerge w:val="restart"/>
          </w:tcPr>
          <w:p>
            <w:pPr>
              <w:ind w:left="400"/>
              <w:spacing w:after="0"/>
              <w:rPr>
                <w:sz w:val="20"/>
                <w:szCs w:val="20"/>
                <w:color w:val="auto"/>
              </w:rPr>
            </w:pPr>
            <w:r>
              <w:rPr>
                <w:rFonts w:ascii="Arial" w:cs="Arial" w:eastAsia="Arial" w:hAnsi="Arial"/>
                <w:sz w:val="12"/>
                <w:szCs w:val="12"/>
                <w:color w:val="004987"/>
              </w:rPr>
              <w:t>Compliance</w:t>
            </w:r>
          </w:p>
        </w:tc>
        <w:tc>
          <w:tcPr>
            <w:tcW w:w="1800" w:type="dxa"/>
            <w:vAlign w:val="bottom"/>
          </w:tcPr>
          <w:p>
            <w:pPr>
              <w:ind w:left="420"/>
              <w:spacing w:after="0"/>
              <w:rPr>
                <w:sz w:val="20"/>
                <w:szCs w:val="20"/>
                <w:color w:val="auto"/>
              </w:rPr>
            </w:pPr>
            <w:r>
              <w:rPr>
                <w:rFonts w:ascii="Arial" w:cs="Arial" w:eastAsia="Arial" w:hAnsi="Arial"/>
                <w:sz w:val="12"/>
                <w:szCs w:val="12"/>
                <w:color w:val="004987"/>
              </w:rPr>
              <w:t>Sales &amp; Marketing/</w:t>
            </w:r>
          </w:p>
        </w:tc>
        <w:tc>
          <w:tcPr>
            <w:tcW w:w="3620" w:type="dxa"/>
            <w:vAlign w:val="bottom"/>
            <w:gridSpan w:val="2"/>
          </w:tcPr>
          <w:p>
            <w:pPr>
              <w:ind w:left="360"/>
              <w:spacing w:after="0"/>
              <w:rPr>
                <w:sz w:val="20"/>
                <w:szCs w:val="20"/>
                <w:color w:val="auto"/>
              </w:rPr>
            </w:pPr>
            <w:r>
              <w:rPr>
                <w:rFonts w:ascii="Arial" w:cs="Arial" w:eastAsia="Arial" w:hAnsi="Arial"/>
                <w:sz w:val="12"/>
                <w:szCs w:val="12"/>
                <w:color w:val="004987"/>
              </w:rPr>
              <w:t>Technology &amp; Cybersecurity/</w:t>
            </w:r>
          </w:p>
        </w:tc>
        <w:tc>
          <w:tcPr>
            <w:tcW w:w="1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40" w:type="dxa"/>
            <w:vAlign w:val="bottom"/>
            <w:vMerge w:val="continue"/>
          </w:tcPr>
          <w:p>
            <w:pPr>
              <w:spacing w:after="0"/>
              <w:rPr>
                <w:sz w:val="13"/>
                <w:szCs w:val="13"/>
                <w:color w:val="auto"/>
              </w:rPr>
            </w:pPr>
          </w:p>
        </w:tc>
        <w:tc>
          <w:tcPr>
            <w:tcW w:w="1800" w:type="dxa"/>
            <w:vAlign w:val="bottom"/>
          </w:tcPr>
          <w:p>
            <w:pPr>
              <w:ind w:left="420"/>
              <w:spacing w:after="0"/>
              <w:rPr>
                <w:sz w:val="20"/>
                <w:szCs w:val="20"/>
                <w:color w:val="auto"/>
              </w:rPr>
            </w:pPr>
            <w:r>
              <w:rPr>
                <w:rFonts w:ascii="Arial" w:cs="Arial" w:eastAsia="Arial" w:hAnsi="Arial"/>
                <w:sz w:val="12"/>
                <w:szCs w:val="12"/>
                <w:color w:val="004987"/>
              </w:rPr>
              <w:t>Consumer Insights</w:t>
            </w:r>
          </w:p>
        </w:tc>
        <w:tc>
          <w:tcPr>
            <w:tcW w:w="1680" w:type="dxa"/>
            <w:vAlign w:val="bottom"/>
          </w:tcPr>
          <w:p>
            <w:pPr>
              <w:ind w:left="360"/>
              <w:spacing w:after="0"/>
              <w:rPr>
                <w:sz w:val="20"/>
                <w:szCs w:val="20"/>
                <w:color w:val="auto"/>
              </w:rPr>
            </w:pPr>
            <w:r>
              <w:rPr>
                <w:rFonts w:ascii="Arial" w:cs="Arial" w:eastAsia="Arial" w:hAnsi="Arial"/>
                <w:sz w:val="12"/>
                <w:szCs w:val="12"/>
                <w:color w:val="004987"/>
              </w:rPr>
              <w:t>Digital &amp; Social Media</w:t>
            </w:r>
          </w:p>
        </w:tc>
        <w:tc>
          <w:tcPr>
            <w:tcW w:w="1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440" w:type="dxa"/>
            <w:vAlign w:val="bottom"/>
            <w:tcBorders>
              <w:bottom w:val="single" w:sz="8" w:color="004987"/>
            </w:tcBorders>
          </w:tcPr>
          <w:p>
            <w:pPr>
              <w:jc w:val="right"/>
              <w:ind w:right="1282"/>
              <w:spacing w:after="0"/>
              <w:rPr>
                <w:sz w:val="20"/>
                <w:szCs w:val="20"/>
                <w:color w:val="auto"/>
              </w:rPr>
            </w:pPr>
            <w:r>
              <w:rPr>
                <w:rFonts w:ascii="Arial" w:cs="Arial" w:eastAsia="Arial" w:hAnsi="Arial"/>
                <w:sz w:val="10"/>
                <w:szCs w:val="10"/>
                <w:b w:val="1"/>
                <w:bCs w:val="1"/>
                <w:color w:val="004987"/>
                <w:w w:val="71"/>
              </w:rPr>
              <w:t>10</w:t>
            </w:r>
          </w:p>
        </w:tc>
        <w:tc>
          <w:tcPr>
            <w:tcW w:w="1800" w:type="dxa"/>
            <w:vAlign w:val="bottom"/>
            <w:tcBorders>
              <w:bottom w:val="single" w:sz="8" w:color="004987"/>
            </w:tcBorders>
          </w:tcPr>
          <w:p>
            <w:pPr>
              <w:spacing w:after="0"/>
              <w:rPr>
                <w:sz w:val="21"/>
                <w:szCs w:val="21"/>
                <w:color w:val="auto"/>
              </w:rPr>
            </w:pPr>
          </w:p>
        </w:tc>
        <w:tc>
          <w:tcPr>
            <w:tcW w:w="3620" w:type="dxa"/>
            <w:vAlign w:val="bottom"/>
            <w:tcBorders>
              <w:bottom w:val="single" w:sz="8" w:color="004987"/>
            </w:tcBorders>
            <w:gridSpan w:val="2"/>
          </w:tcPr>
          <w:p>
            <w:pPr>
              <w:ind w:left="800"/>
              <w:spacing w:after="0"/>
              <w:rPr>
                <w:sz w:val="20"/>
                <w:szCs w:val="20"/>
                <w:color w:val="auto"/>
              </w:rPr>
            </w:pPr>
            <w:r>
              <w:rPr>
                <w:rFonts w:ascii="Arial" w:cs="Arial" w:eastAsia="Arial" w:hAnsi="Arial"/>
                <w:sz w:val="10"/>
                <w:szCs w:val="10"/>
                <w:color w:val="auto"/>
              </w:rPr>
              <w:t>Report on the Board of Directors and its Committees</w:t>
            </w:r>
          </w:p>
        </w:tc>
        <w:tc>
          <w:tcPr>
            <w:tcW w:w="3600" w:type="dxa"/>
            <w:vAlign w:val="bottom"/>
            <w:tcBorders>
              <w:bottom w:val="single" w:sz="8" w:color="004987"/>
            </w:tcBorders>
            <w:gridSpan w:val="2"/>
          </w:tcPr>
          <w:p>
            <w:pPr>
              <w:ind w:left="480"/>
              <w:spacing w:after="0"/>
              <w:rPr>
                <w:sz w:val="20"/>
                <w:szCs w:val="20"/>
                <w:color w:val="auto"/>
              </w:rPr>
            </w:pP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-536575</wp:posOffset>
            </wp:positionV>
            <wp:extent cx="89535" cy="130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-512445</wp:posOffset>
            </wp:positionV>
            <wp:extent cx="154940" cy="130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-512445</wp:posOffset>
            </wp:positionV>
            <wp:extent cx="138430" cy="130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-512445</wp:posOffset>
            </wp:positionV>
            <wp:extent cx="130175" cy="130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-512445</wp:posOffset>
            </wp:positionV>
            <wp:extent cx="138430" cy="130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-512445</wp:posOffset>
            </wp:positionV>
            <wp:extent cx="130175" cy="130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-333375</wp:posOffset>
            </wp:positionV>
            <wp:extent cx="179070" cy="130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070" cy="13017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-308610</wp:posOffset>
            </wp:positionV>
            <wp:extent cx="138430" cy="130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-300355</wp:posOffset>
            </wp:positionV>
            <wp:extent cx="130175" cy="130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Directors Remaining in Office</w:t>
      </w:r>
    </w:p>
    <w:p>
      <w:pPr>
        <w:spacing w:after="0" w:line="10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60" w:type="dxa"/>
            <w:vAlign w:val="bottom"/>
          </w:tcPr>
          <w:p>
            <w:pPr>
              <w:jc w:val="right"/>
              <w:ind w:right="245"/>
              <w:spacing w:after="0"/>
              <w:rPr>
                <w:sz w:val="20"/>
                <w:szCs w:val="20"/>
                <w:color w:val="auto"/>
              </w:rPr>
            </w:pPr>
            <w:r>
              <w:rPr>
                <w:rFonts w:ascii="Arial" w:cs="Arial" w:eastAsia="Arial" w:hAnsi="Arial"/>
                <w:sz w:val="14"/>
                <w:szCs w:val="14"/>
                <w:b w:val="1"/>
                <w:bCs w:val="1"/>
                <w:color w:val="004987"/>
              </w:rPr>
              <w:t>Director</w:t>
            </w:r>
          </w:p>
        </w:tc>
        <w:tc>
          <w:tcPr>
            <w:tcW w:w="920" w:type="dxa"/>
            <w:vAlign w:val="bottom"/>
          </w:tcPr>
          <w:p>
            <w:pPr>
              <w:jc w:val="right"/>
              <w:ind w:right="25"/>
              <w:spacing w:after="0"/>
              <w:rPr>
                <w:sz w:val="20"/>
                <w:szCs w:val="20"/>
                <w:color w:val="auto"/>
              </w:rPr>
            </w:pPr>
            <w:r>
              <w:rPr>
                <w:rFonts w:ascii="Arial" w:cs="Arial" w:eastAsia="Arial" w:hAnsi="Arial"/>
                <w:sz w:val="14"/>
                <w:szCs w:val="14"/>
                <w:b w:val="1"/>
                <w:bCs w:val="1"/>
                <w:color w:val="004987"/>
              </w:rPr>
              <w:t>Term to</w:t>
            </w:r>
          </w:p>
        </w:tc>
      </w:tr>
      <w:tr>
        <w:trPr>
          <w:trHeight w:val="182"/>
        </w:trPr>
        <w:tc>
          <w:tcPr>
            <w:tcW w:w="196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1060" w:type="dxa"/>
            <w:vAlign w:val="bottom"/>
            <w:tcBorders>
              <w:bottom w:val="single" w:sz="8" w:color="004987"/>
            </w:tcBorders>
          </w:tcPr>
          <w:p>
            <w:pPr>
              <w:jc w:val="right"/>
              <w:ind w:right="384"/>
              <w:spacing w:after="0"/>
              <w:rPr>
                <w:sz w:val="20"/>
                <w:szCs w:val="20"/>
                <w:color w:val="auto"/>
              </w:rPr>
            </w:pPr>
            <w:r>
              <w:rPr>
                <w:rFonts w:ascii="Arial" w:cs="Arial" w:eastAsia="Arial" w:hAnsi="Arial"/>
                <w:sz w:val="14"/>
                <w:szCs w:val="14"/>
                <w:b w:val="1"/>
                <w:bCs w:val="1"/>
                <w:color w:val="004987"/>
              </w:rPr>
              <w:t>Age</w:t>
            </w:r>
          </w:p>
        </w:tc>
        <w:tc>
          <w:tcPr>
            <w:tcW w:w="4160" w:type="dxa"/>
            <w:vAlign w:val="bottom"/>
            <w:tcBorders>
              <w:bottom w:val="single" w:sz="8" w:color="004987"/>
            </w:tcBorders>
          </w:tcPr>
          <w:p>
            <w:pPr>
              <w:ind w:left="460"/>
              <w:spacing w:after="0"/>
              <w:rPr>
                <w:sz w:val="20"/>
                <w:szCs w:val="20"/>
                <w:color w:val="auto"/>
              </w:rPr>
            </w:pPr>
            <w:r>
              <w:rPr>
                <w:rFonts w:ascii="Arial" w:cs="Arial" w:eastAsia="Arial" w:hAnsi="Arial"/>
                <w:sz w:val="14"/>
                <w:szCs w:val="14"/>
                <w:b w:val="1"/>
                <w:bCs w:val="1"/>
                <w:color w:val="004987"/>
              </w:rPr>
              <w:t>Position(s) Held in Company</w:t>
            </w:r>
          </w:p>
        </w:tc>
        <w:tc>
          <w:tcPr>
            <w:tcW w:w="2360" w:type="dxa"/>
            <w:vAlign w:val="bottom"/>
            <w:tcBorders>
              <w:bottom w:val="single" w:sz="8" w:color="004987"/>
            </w:tcBorders>
          </w:tcPr>
          <w:p>
            <w:pPr>
              <w:jc w:val="right"/>
              <w:ind w:right="325"/>
              <w:spacing w:after="0"/>
              <w:rPr>
                <w:sz w:val="20"/>
                <w:szCs w:val="20"/>
                <w:color w:val="auto"/>
              </w:rPr>
            </w:pPr>
            <w:r>
              <w:rPr>
                <w:rFonts w:ascii="Arial" w:cs="Arial" w:eastAsia="Arial" w:hAnsi="Arial"/>
                <w:sz w:val="14"/>
                <w:szCs w:val="14"/>
                <w:b w:val="1"/>
                <w:bCs w:val="1"/>
                <w:color w:val="004987"/>
              </w:rPr>
              <w:t>Since</w:t>
            </w:r>
          </w:p>
        </w:tc>
        <w:tc>
          <w:tcPr>
            <w:tcW w:w="920" w:type="dxa"/>
            <w:vAlign w:val="bottom"/>
            <w:tcBorders>
              <w:bottom w:val="single" w:sz="8" w:color="004987"/>
            </w:tcBorders>
          </w:tcPr>
          <w:p>
            <w:pPr>
              <w:jc w:val="right"/>
              <w:ind w:right="65"/>
              <w:spacing w:after="0"/>
              <w:rPr>
                <w:sz w:val="20"/>
                <w:szCs w:val="20"/>
                <w:color w:val="auto"/>
              </w:rPr>
            </w:pPr>
            <w:r>
              <w:rPr>
                <w:rFonts w:ascii="Arial" w:cs="Arial" w:eastAsia="Arial" w:hAnsi="Arial"/>
                <w:sz w:val="14"/>
                <w:szCs w:val="14"/>
                <w:b w:val="1"/>
                <w:bCs w:val="1"/>
                <w:color w:val="004987"/>
              </w:rPr>
              <w:t>Expire</w:t>
            </w:r>
          </w:p>
        </w:tc>
      </w:tr>
      <w:tr>
        <w:trPr>
          <w:trHeight w:val="179"/>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William J. Shaw</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76</w:t>
            </w:r>
          </w:p>
        </w:tc>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Director, Chairman</w:t>
            </w:r>
          </w:p>
        </w:tc>
        <w:tc>
          <w:tcPr>
            <w:tcW w:w="23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2011</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2023</w:t>
            </w:r>
          </w:p>
        </w:tc>
      </w:tr>
      <w:tr>
        <w:trPr>
          <w:trHeight w:val="172"/>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 Andrews</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70</w:t>
            </w:r>
          </w:p>
        </w:tc>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Director</w:t>
            </w:r>
          </w:p>
        </w:tc>
        <w:tc>
          <w:tcPr>
            <w:tcW w:w="23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2013</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2023</w:t>
            </w:r>
          </w:p>
        </w:tc>
      </w:tr>
      <w:tr>
        <w:trPr>
          <w:trHeight w:val="172"/>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William W. McCarten</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73</w:t>
            </w:r>
          </w:p>
        </w:tc>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Director</w:t>
            </w:r>
          </w:p>
        </w:tc>
        <w:tc>
          <w:tcPr>
            <w:tcW w:w="23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2011</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2023</w:t>
            </w:r>
          </w:p>
        </w:tc>
      </w:tr>
      <w:tr>
        <w:trPr>
          <w:trHeight w:val="172"/>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Lizanne Galbreath</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64</w:t>
            </w:r>
          </w:p>
        </w:tc>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Director</w:t>
            </w:r>
          </w:p>
        </w:tc>
        <w:tc>
          <w:tcPr>
            <w:tcW w:w="23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2018</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2024</w:t>
            </w:r>
          </w:p>
        </w:tc>
      </w:tr>
      <w:tr>
        <w:trPr>
          <w:trHeight w:val="172"/>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Melquiades R. Martinez</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75</w:t>
            </w:r>
          </w:p>
        </w:tc>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Director</w:t>
            </w:r>
          </w:p>
        </w:tc>
        <w:tc>
          <w:tcPr>
            <w:tcW w:w="23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2011</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2024</w:t>
            </w:r>
          </w:p>
        </w:tc>
      </w:tr>
      <w:tr>
        <w:trPr>
          <w:trHeight w:val="172"/>
        </w:trPr>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Stephen R. Quazzo</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62</w:t>
            </w:r>
          </w:p>
        </w:tc>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Director</w:t>
            </w:r>
          </w:p>
        </w:tc>
        <w:tc>
          <w:tcPr>
            <w:tcW w:w="23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2018</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2024</w:t>
            </w:r>
          </w:p>
        </w:tc>
      </w:tr>
      <w:tr>
        <w:trPr>
          <w:trHeight w:val="172"/>
        </w:trPr>
        <w:tc>
          <w:tcPr>
            <w:tcW w:w="196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Stephen P. Weisz</w:t>
            </w:r>
          </w:p>
        </w:tc>
        <w:tc>
          <w:tcPr>
            <w:tcW w:w="1060" w:type="dxa"/>
            <w:vAlign w:val="bottom"/>
            <w:tcBorders>
              <w:bottom w:val="single" w:sz="8" w:color="004987"/>
            </w:tcBorders>
          </w:tcPr>
          <w:p>
            <w:pPr>
              <w:jc w:val="right"/>
              <w:ind w:right="384"/>
              <w:spacing w:after="0"/>
              <w:rPr>
                <w:sz w:val="20"/>
                <w:szCs w:val="20"/>
                <w:color w:val="auto"/>
              </w:rPr>
            </w:pPr>
            <w:r>
              <w:rPr>
                <w:rFonts w:ascii="Arial" w:cs="Arial" w:eastAsia="Arial" w:hAnsi="Arial"/>
                <w:sz w:val="15"/>
                <w:szCs w:val="15"/>
                <w:color w:val="auto"/>
              </w:rPr>
              <w:t>71</w:t>
            </w:r>
          </w:p>
        </w:tc>
        <w:tc>
          <w:tcPr>
            <w:tcW w:w="4160" w:type="dxa"/>
            <w:vAlign w:val="bottom"/>
            <w:tcBorders>
              <w:bottom w:val="single" w:sz="8" w:color="004987"/>
            </w:tcBorders>
          </w:tcPr>
          <w:p>
            <w:pPr>
              <w:ind w:left="460"/>
              <w:spacing w:after="0"/>
              <w:rPr>
                <w:sz w:val="20"/>
                <w:szCs w:val="20"/>
                <w:color w:val="auto"/>
              </w:rPr>
            </w:pPr>
            <w:r>
              <w:rPr>
                <w:rFonts w:ascii="Arial" w:cs="Arial" w:eastAsia="Arial" w:hAnsi="Arial"/>
                <w:sz w:val="15"/>
                <w:szCs w:val="15"/>
                <w:color w:val="auto"/>
              </w:rPr>
              <w:t>Director, Chief Executive Officer</w:t>
            </w:r>
          </w:p>
        </w:tc>
        <w:tc>
          <w:tcPr>
            <w:tcW w:w="2360" w:type="dxa"/>
            <w:vAlign w:val="bottom"/>
            <w:tcBorders>
              <w:bottom w:val="single" w:sz="8" w:color="004987"/>
            </w:tcBorders>
          </w:tcPr>
          <w:p>
            <w:pPr>
              <w:jc w:val="right"/>
              <w:ind w:right="245"/>
              <w:spacing w:after="0"/>
              <w:rPr>
                <w:sz w:val="20"/>
                <w:szCs w:val="20"/>
                <w:color w:val="auto"/>
              </w:rPr>
            </w:pPr>
            <w:r>
              <w:rPr>
                <w:rFonts w:ascii="Arial" w:cs="Arial" w:eastAsia="Arial" w:hAnsi="Arial"/>
                <w:sz w:val="15"/>
                <w:szCs w:val="15"/>
                <w:color w:val="auto"/>
              </w:rPr>
              <w:t>2011</w:t>
            </w:r>
          </w:p>
        </w:tc>
        <w:tc>
          <w:tcPr>
            <w:tcW w:w="920" w:type="dxa"/>
            <w:vAlign w:val="bottom"/>
            <w:tcBorders>
              <w:bottom w:val="single" w:sz="8" w:color="004987"/>
            </w:tcBorders>
          </w:tcPr>
          <w:p>
            <w:pPr>
              <w:jc w:val="right"/>
              <w:ind w:right="25"/>
              <w:spacing w:after="0"/>
              <w:rPr>
                <w:sz w:val="20"/>
                <w:szCs w:val="20"/>
                <w:color w:val="auto"/>
              </w:rPr>
            </w:pPr>
            <w:r>
              <w:rPr>
                <w:rFonts w:ascii="Arial" w:cs="Arial" w:eastAsia="Arial" w:hAnsi="Arial"/>
                <w:sz w:val="15"/>
                <w:szCs w:val="15"/>
                <w:color w:val="auto"/>
              </w:rPr>
              <w:t>2024</w:t>
            </w:r>
          </w:p>
        </w:tc>
      </w:tr>
    </w:tbl>
    <w:p>
      <w:pPr>
        <w:spacing w:after="0" w:line="200" w:lineRule="exact"/>
        <w:rPr>
          <w:sz w:val="20"/>
          <w:szCs w:val="20"/>
          <w:color w:val="auto"/>
        </w:rPr>
      </w:pPr>
    </w:p>
    <w:p>
      <w:pPr>
        <w:spacing w:after="0" w:line="254"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84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WILLIAM J. SHAW, CHAIRMAN</w:t>
            </w:r>
          </w:p>
        </w:tc>
        <w:tc>
          <w:tcPr>
            <w:tcW w:w="6620" w:type="dxa"/>
            <w:vAlign w:val="bottom"/>
            <w:tcBorders>
              <w:top w:val="single" w:sz="8" w:color="004987"/>
            </w:tcBorders>
          </w:tcPr>
          <w:p>
            <w:pPr>
              <w:spacing w:after="0"/>
              <w:rPr>
                <w:sz w:val="19"/>
                <w:szCs w:val="19"/>
                <w:color w:val="auto"/>
              </w:rPr>
            </w:pPr>
          </w:p>
        </w:tc>
      </w:tr>
      <w:tr>
        <w:trPr>
          <w:trHeight w:val="238"/>
        </w:trPr>
        <w:tc>
          <w:tcPr>
            <w:tcW w:w="3840" w:type="dxa"/>
            <w:vAlign w:val="bottom"/>
          </w:tcPr>
          <w:p>
            <w:pPr>
              <w:spacing w:after="0"/>
              <w:rPr>
                <w:sz w:val="20"/>
                <w:szCs w:val="20"/>
                <w:color w:val="auto"/>
              </w:rPr>
            </w:pPr>
            <w:r>
              <w:rPr>
                <w:rFonts w:ascii="Arial" w:cs="Arial" w:eastAsia="Arial" w:hAnsi="Arial"/>
                <w:sz w:val="15"/>
                <w:szCs w:val="15"/>
                <w:color w:val="auto"/>
              </w:rPr>
              <w:t>Age: 76</w:t>
            </w:r>
          </w:p>
        </w:tc>
        <w:tc>
          <w:tcPr>
            <w:tcW w:w="6620" w:type="dxa"/>
            <w:vAlign w:val="bottom"/>
          </w:tcPr>
          <w:p>
            <w:pPr>
              <w:ind w:left="1600"/>
              <w:spacing w:after="0"/>
              <w:rPr>
                <w:sz w:val="20"/>
                <w:szCs w:val="20"/>
                <w:color w:val="auto"/>
              </w:rPr>
            </w:pPr>
            <w:r>
              <w:rPr>
                <w:rFonts w:ascii="Arial" w:cs="Arial" w:eastAsia="Arial" w:hAnsi="Arial"/>
                <w:sz w:val="15"/>
                <w:szCs w:val="15"/>
                <w:color w:val="auto"/>
              </w:rPr>
              <w:t>Committees:</w:t>
            </w:r>
          </w:p>
        </w:tc>
      </w:tr>
      <w:tr>
        <w:trPr>
          <w:trHeight w:val="201"/>
        </w:trPr>
        <w:tc>
          <w:tcPr>
            <w:tcW w:w="3840" w:type="dxa"/>
            <w:vAlign w:val="bottom"/>
          </w:tcPr>
          <w:p>
            <w:pPr>
              <w:spacing w:after="0"/>
              <w:rPr>
                <w:sz w:val="20"/>
                <w:szCs w:val="20"/>
                <w:color w:val="auto"/>
              </w:rPr>
            </w:pPr>
            <w:r>
              <w:rPr>
                <w:rFonts w:ascii="Arial" w:cs="Arial" w:eastAsia="Arial" w:hAnsi="Arial"/>
                <w:sz w:val="15"/>
                <w:szCs w:val="15"/>
                <w:color w:val="auto"/>
              </w:rPr>
              <w:t>Director Since: 2011</w:t>
            </w:r>
          </w:p>
        </w:tc>
        <w:tc>
          <w:tcPr>
            <w:tcW w:w="6620" w:type="dxa"/>
            <w:vAlign w:val="bottom"/>
          </w:tcPr>
          <w:p>
            <w:pPr>
              <w:ind w:left="16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None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60"/>
        <w:spacing w:after="0" w:line="253" w:lineRule="auto"/>
        <w:rPr>
          <w:sz w:val="20"/>
          <w:szCs w:val="20"/>
          <w:color w:val="auto"/>
        </w:rPr>
      </w:pPr>
      <w:r>
        <w:rPr>
          <w:rFonts w:ascii="Arial" w:cs="Arial" w:eastAsia="Arial" w:hAnsi="Arial"/>
          <w:sz w:val="15"/>
          <w:szCs w:val="15"/>
          <w:color w:val="auto"/>
        </w:rPr>
        <w:t>Mr. Shaw is Chairman of the Board. He served as Vice Chairman of Marriott International, Inc., the company from which we spun off, from May 2009 until his retirement in March 2011. He previously served as President and Chief Operating Officer of Marriott International from 1997 until May 2009. He joined Marriott International in 1974 and held various positions, including Corporate Controller, Corporate Vice President, Senior Vice President—Finance, Treasurer, Chief Financial Officer, Executive Vice President and President of Marriott Service Group. Mr. Shaw serves on the boards of directors of The Carlyle Group Inc., a publicly traded private equity, alternative asset management and financial services corporation, and DiamondRock Hospitality Company, a publicly traded lodging REIT. He also serves on the Board of Trustees of the University of Notre Dame.</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spacing w:after="0" w:line="259" w:lineRule="auto"/>
        <w:rPr>
          <w:sz w:val="20"/>
          <w:szCs w:val="20"/>
          <w:color w:val="auto"/>
        </w:rPr>
      </w:pPr>
      <w:r>
        <w:rPr>
          <w:rFonts w:ascii="Arial" w:cs="Arial" w:eastAsia="Arial" w:hAnsi="Arial"/>
          <w:sz w:val="15"/>
          <w:szCs w:val="15"/>
          <w:color w:val="auto"/>
        </w:rPr>
        <w:t>Mr. Shaw brings to the Board extensive management experience with Marriott International, his prominent status in the hospitality industry and a wealth of knowledge in dealing with financial and accounting matters as a result of his prior service in financial and accounting positions at Marriott International, including as its Chief Financial Officer. Mr. Shaw also has experience as a board member of publicly traded companies.</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2120" w:type="dxa"/>
            <w:vAlign w:val="bottom"/>
          </w:tcPr>
          <w:p>
            <w:pPr>
              <w:ind w:left="440"/>
              <w:spacing w:after="0"/>
              <w:rPr>
                <w:sz w:val="20"/>
                <w:szCs w:val="20"/>
                <w:color w:val="auto"/>
              </w:rPr>
            </w:pPr>
            <w:r>
              <w:rPr>
                <w:rFonts w:ascii="Arial" w:cs="Arial" w:eastAsia="Arial" w:hAnsi="Arial"/>
                <w:sz w:val="12"/>
                <w:szCs w:val="12"/>
                <w:color w:val="004987"/>
              </w:rPr>
              <w:t>Corporate</w:t>
            </w:r>
          </w:p>
        </w:tc>
        <w:tc>
          <w:tcPr>
            <w:tcW w:w="1800" w:type="dxa"/>
            <w:vAlign w:val="bottom"/>
          </w:tcPr>
          <w:p>
            <w:pPr>
              <w:spacing w:after="0"/>
              <w:rPr>
                <w:sz w:val="12"/>
                <w:szCs w:val="12"/>
                <w:color w:val="auto"/>
              </w:rPr>
            </w:pPr>
          </w:p>
        </w:tc>
        <w:tc>
          <w:tcPr>
            <w:tcW w:w="2200" w:type="dxa"/>
            <w:vAlign w:val="bottom"/>
          </w:tcPr>
          <w:p>
            <w:pPr>
              <w:ind w:left="660"/>
              <w:spacing w:after="0"/>
              <w:rPr>
                <w:sz w:val="20"/>
                <w:szCs w:val="20"/>
                <w:color w:val="auto"/>
              </w:rPr>
            </w:pPr>
            <w:r>
              <w:rPr>
                <w:rFonts w:ascii="Arial" w:cs="Arial" w:eastAsia="Arial" w:hAnsi="Arial"/>
                <w:sz w:val="12"/>
                <w:szCs w:val="12"/>
                <w:color w:val="004987"/>
              </w:rPr>
              <w:t>Financial &amp;</w:t>
            </w:r>
          </w:p>
        </w:tc>
        <w:tc>
          <w:tcPr>
            <w:tcW w:w="1860" w:type="dxa"/>
            <w:vAlign w:val="bottom"/>
          </w:tcPr>
          <w:p>
            <w:pPr>
              <w:ind w:left="40"/>
              <w:spacing w:after="0"/>
              <w:rPr>
                <w:sz w:val="20"/>
                <w:szCs w:val="20"/>
                <w:color w:val="auto"/>
              </w:rPr>
            </w:pPr>
            <w:r>
              <w:rPr>
                <w:rFonts w:ascii="Arial" w:cs="Arial" w:eastAsia="Arial" w:hAnsi="Arial"/>
                <w:sz w:val="12"/>
                <w:szCs w:val="12"/>
                <w:color w:val="004987"/>
              </w:rPr>
              <w:t>Accounting &amp;</w:t>
            </w:r>
          </w:p>
        </w:tc>
        <w:tc>
          <w:tcPr>
            <w:tcW w:w="2480" w:type="dxa"/>
            <w:vAlign w:val="bottom"/>
          </w:tcPr>
          <w:p>
            <w:pPr>
              <w:ind w:left="800"/>
              <w:spacing w:after="0"/>
              <w:rPr>
                <w:sz w:val="20"/>
                <w:szCs w:val="20"/>
                <w:color w:val="auto"/>
              </w:rPr>
            </w:pPr>
            <w:r>
              <w:rPr>
                <w:rFonts w:ascii="Arial" w:cs="Arial" w:eastAsia="Arial" w:hAnsi="Arial"/>
                <w:sz w:val="12"/>
                <w:szCs w:val="12"/>
                <w:color w:val="004987"/>
              </w:rPr>
              <w:t>Business Development /</w:t>
            </w:r>
          </w:p>
        </w:tc>
      </w:tr>
      <w:tr>
        <w:trPr>
          <w:trHeight w:val="166"/>
        </w:trPr>
        <w:tc>
          <w:tcPr>
            <w:tcW w:w="2120" w:type="dxa"/>
            <w:vAlign w:val="bottom"/>
          </w:tcPr>
          <w:p>
            <w:pPr>
              <w:ind w:left="440"/>
              <w:spacing w:after="0"/>
              <w:rPr>
                <w:sz w:val="20"/>
                <w:szCs w:val="20"/>
                <w:color w:val="auto"/>
              </w:rPr>
            </w:pPr>
            <w:r>
              <w:rPr>
                <w:rFonts w:ascii="Arial" w:cs="Arial" w:eastAsia="Arial" w:hAnsi="Arial"/>
                <w:sz w:val="12"/>
                <w:szCs w:val="12"/>
                <w:color w:val="004987"/>
              </w:rPr>
              <w:t>Leadership</w:t>
            </w:r>
          </w:p>
        </w:tc>
        <w:tc>
          <w:tcPr>
            <w:tcW w:w="1800" w:type="dxa"/>
            <w:vAlign w:val="bottom"/>
          </w:tcPr>
          <w:p>
            <w:pPr>
              <w:ind w:left="440"/>
              <w:spacing w:after="0"/>
              <w:rPr>
                <w:sz w:val="20"/>
                <w:szCs w:val="20"/>
                <w:color w:val="auto"/>
              </w:rPr>
            </w:pPr>
            <w:r>
              <w:rPr>
                <w:rFonts w:ascii="Arial" w:cs="Arial" w:eastAsia="Arial" w:hAnsi="Arial"/>
                <w:sz w:val="12"/>
                <w:szCs w:val="12"/>
                <w:color w:val="004987"/>
              </w:rPr>
              <w:t>Independence</w:t>
            </w:r>
          </w:p>
        </w:tc>
        <w:tc>
          <w:tcPr>
            <w:tcW w:w="2200" w:type="dxa"/>
            <w:vAlign w:val="bottom"/>
          </w:tcPr>
          <w:p>
            <w:pPr>
              <w:ind w:left="660"/>
              <w:spacing w:after="0"/>
              <w:rPr>
                <w:sz w:val="20"/>
                <w:szCs w:val="20"/>
                <w:color w:val="auto"/>
              </w:rPr>
            </w:pPr>
            <w:r>
              <w:rPr>
                <w:rFonts w:ascii="Arial" w:cs="Arial" w:eastAsia="Arial" w:hAnsi="Arial"/>
                <w:sz w:val="12"/>
                <w:szCs w:val="12"/>
                <w:color w:val="004987"/>
              </w:rPr>
              <w:t>Capital Markets</w:t>
            </w:r>
          </w:p>
        </w:tc>
        <w:tc>
          <w:tcPr>
            <w:tcW w:w="1860" w:type="dxa"/>
            <w:vAlign w:val="bottom"/>
          </w:tcPr>
          <w:p>
            <w:pPr>
              <w:ind w:left="40"/>
              <w:spacing w:after="0"/>
              <w:rPr>
                <w:sz w:val="20"/>
                <w:szCs w:val="20"/>
                <w:color w:val="auto"/>
              </w:rPr>
            </w:pPr>
            <w:r>
              <w:rPr>
                <w:rFonts w:ascii="Arial" w:cs="Arial" w:eastAsia="Arial" w:hAnsi="Arial"/>
                <w:sz w:val="12"/>
                <w:szCs w:val="12"/>
                <w:color w:val="004987"/>
              </w:rPr>
              <w:t>Financial Reporting</w:t>
            </w:r>
          </w:p>
        </w:tc>
        <w:tc>
          <w:tcPr>
            <w:tcW w:w="2480" w:type="dxa"/>
            <w:vAlign w:val="bottom"/>
          </w:tcPr>
          <w:p>
            <w:pPr>
              <w:ind w:left="800"/>
              <w:spacing w:after="0"/>
              <w:rPr>
                <w:sz w:val="20"/>
                <w:szCs w:val="20"/>
                <w:color w:val="auto"/>
              </w:rPr>
            </w:pPr>
            <w:r>
              <w:rPr>
                <w:rFonts w:ascii="Arial" w:cs="Arial" w:eastAsia="Arial" w:hAnsi="Arial"/>
                <w:sz w:val="12"/>
                <w:szCs w:val="12"/>
                <w:color w:val="004987"/>
              </w:rPr>
              <w:t>Mergers &amp; Acquisitions</w:t>
            </w:r>
          </w:p>
        </w:tc>
      </w:tr>
      <w:tr>
        <w:trPr>
          <w:trHeight w:val="295"/>
        </w:trPr>
        <w:tc>
          <w:tcPr>
            <w:tcW w:w="2120" w:type="dxa"/>
            <w:vAlign w:val="bottom"/>
          </w:tcPr>
          <w:p>
            <w:pPr>
              <w:ind w:left="440"/>
              <w:spacing w:after="0"/>
              <w:rPr>
                <w:sz w:val="20"/>
                <w:szCs w:val="20"/>
                <w:color w:val="auto"/>
              </w:rPr>
            </w:pPr>
            <w:r>
              <w:rPr>
                <w:rFonts w:ascii="Arial" w:cs="Arial" w:eastAsia="Arial" w:hAnsi="Arial"/>
                <w:sz w:val="12"/>
                <w:szCs w:val="12"/>
                <w:color w:val="004987"/>
              </w:rPr>
              <w:t>Public Company Board</w:t>
            </w:r>
          </w:p>
        </w:tc>
        <w:tc>
          <w:tcPr>
            <w:tcW w:w="1800" w:type="dxa"/>
            <w:vAlign w:val="bottom"/>
          </w:tcPr>
          <w:p>
            <w:pPr>
              <w:ind w:left="440"/>
              <w:spacing w:after="0"/>
              <w:rPr>
                <w:sz w:val="20"/>
                <w:szCs w:val="20"/>
                <w:color w:val="auto"/>
              </w:rPr>
            </w:pPr>
            <w:r>
              <w:rPr>
                <w:rFonts w:ascii="Arial" w:cs="Arial" w:eastAsia="Arial" w:hAnsi="Arial"/>
                <w:sz w:val="12"/>
                <w:szCs w:val="12"/>
                <w:color w:val="004987"/>
              </w:rPr>
              <w:t>Risk</w:t>
            </w:r>
          </w:p>
        </w:tc>
        <w:tc>
          <w:tcPr>
            <w:tcW w:w="2200" w:type="dxa"/>
            <w:vAlign w:val="bottom"/>
          </w:tcPr>
          <w:p>
            <w:pPr>
              <w:ind w:left="660"/>
              <w:spacing w:after="0"/>
              <w:rPr>
                <w:sz w:val="20"/>
                <w:szCs w:val="20"/>
                <w:color w:val="auto"/>
              </w:rPr>
            </w:pPr>
            <w:r>
              <w:rPr>
                <w:rFonts w:ascii="Arial" w:cs="Arial" w:eastAsia="Arial" w:hAnsi="Arial"/>
                <w:sz w:val="12"/>
                <w:szCs w:val="12"/>
                <w:color w:val="004987"/>
              </w:rPr>
              <w:t>Strategic</w:t>
            </w:r>
          </w:p>
        </w:tc>
        <w:tc>
          <w:tcPr>
            <w:tcW w:w="1860" w:type="dxa"/>
            <w:vAlign w:val="bottom"/>
          </w:tcPr>
          <w:p>
            <w:pPr>
              <w:spacing w:after="0"/>
              <w:rPr>
                <w:sz w:val="24"/>
                <w:szCs w:val="24"/>
                <w:color w:val="auto"/>
              </w:rPr>
            </w:pPr>
          </w:p>
        </w:tc>
        <w:tc>
          <w:tcPr>
            <w:tcW w:w="2480" w:type="dxa"/>
            <w:vAlign w:val="bottom"/>
          </w:tcPr>
          <w:p>
            <w:pPr>
              <w:ind w:left="800"/>
              <w:spacing w:after="0"/>
              <w:rPr>
                <w:sz w:val="20"/>
                <w:szCs w:val="20"/>
                <w:color w:val="auto"/>
              </w:rPr>
            </w:pPr>
            <w:r>
              <w:rPr>
                <w:rFonts w:ascii="Arial" w:cs="Arial" w:eastAsia="Arial" w:hAnsi="Arial"/>
                <w:sz w:val="12"/>
                <w:szCs w:val="12"/>
                <w:color w:val="004987"/>
              </w:rPr>
              <w:t>Vacation Ownership &amp;</w:t>
            </w:r>
          </w:p>
        </w:tc>
      </w:tr>
      <w:tr>
        <w:trPr>
          <w:trHeight w:val="166"/>
        </w:trPr>
        <w:tc>
          <w:tcPr>
            <w:tcW w:w="2120" w:type="dxa"/>
            <w:vAlign w:val="bottom"/>
          </w:tcPr>
          <w:p>
            <w:pPr>
              <w:ind w:left="440"/>
              <w:spacing w:after="0"/>
              <w:rPr>
                <w:sz w:val="20"/>
                <w:szCs w:val="20"/>
                <w:color w:val="auto"/>
              </w:rPr>
            </w:pPr>
            <w:r>
              <w:rPr>
                <w:rFonts w:ascii="Arial" w:cs="Arial" w:eastAsia="Arial" w:hAnsi="Arial"/>
                <w:sz w:val="12"/>
                <w:szCs w:val="12"/>
                <w:color w:val="004987"/>
              </w:rPr>
              <w:t>Service &amp; Governance</w:t>
            </w:r>
          </w:p>
        </w:tc>
        <w:tc>
          <w:tcPr>
            <w:tcW w:w="1800" w:type="dxa"/>
            <w:vAlign w:val="bottom"/>
          </w:tcPr>
          <w:p>
            <w:pPr>
              <w:ind w:left="440"/>
              <w:spacing w:after="0"/>
              <w:rPr>
                <w:sz w:val="20"/>
                <w:szCs w:val="20"/>
                <w:color w:val="auto"/>
              </w:rPr>
            </w:pPr>
            <w:r>
              <w:rPr>
                <w:rFonts w:ascii="Arial" w:cs="Arial" w:eastAsia="Arial" w:hAnsi="Arial"/>
                <w:sz w:val="12"/>
                <w:szCs w:val="12"/>
                <w:color w:val="004987"/>
              </w:rPr>
              <w:t>Management</w:t>
            </w:r>
          </w:p>
        </w:tc>
        <w:tc>
          <w:tcPr>
            <w:tcW w:w="2200" w:type="dxa"/>
            <w:vAlign w:val="bottom"/>
          </w:tcPr>
          <w:p>
            <w:pPr>
              <w:ind w:left="660"/>
              <w:spacing w:after="0"/>
              <w:rPr>
                <w:sz w:val="20"/>
                <w:szCs w:val="20"/>
                <w:color w:val="auto"/>
              </w:rPr>
            </w:pPr>
            <w:r>
              <w:rPr>
                <w:rFonts w:ascii="Arial" w:cs="Arial" w:eastAsia="Arial" w:hAnsi="Arial"/>
                <w:sz w:val="12"/>
                <w:szCs w:val="12"/>
                <w:color w:val="004987"/>
              </w:rPr>
              <w:t>Planning</w:t>
            </w:r>
          </w:p>
        </w:tc>
        <w:tc>
          <w:tcPr>
            <w:tcW w:w="1860" w:type="dxa"/>
            <w:vAlign w:val="bottom"/>
          </w:tcPr>
          <w:p>
            <w:pPr>
              <w:ind w:left="40"/>
              <w:spacing w:after="0"/>
              <w:rPr>
                <w:sz w:val="20"/>
                <w:szCs w:val="20"/>
                <w:color w:val="auto"/>
              </w:rPr>
            </w:pPr>
            <w:r>
              <w:rPr>
                <w:rFonts w:ascii="Arial" w:cs="Arial" w:eastAsia="Arial" w:hAnsi="Arial"/>
                <w:sz w:val="12"/>
                <w:szCs w:val="12"/>
                <w:color w:val="004987"/>
              </w:rPr>
              <w:t>Global Expertise</w:t>
            </w:r>
          </w:p>
        </w:tc>
        <w:tc>
          <w:tcPr>
            <w:tcW w:w="2480" w:type="dxa"/>
            <w:vAlign w:val="bottom"/>
          </w:tcPr>
          <w:p>
            <w:pPr>
              <w:ind w:left="800"/>
              <w:spacing w:after="0"/>
              <w:rPr>
                <w:sz w:val="20"/>
                <w:szCs w:val="20"/>
                <w:color w:val="auto"/>
              </w:rPr>
            </w:pPr>
            <w:r>
              <w:rPr>
                <w:rFonts w:ascii="Arial" w:cs="Arial" w:eastAsia="Arial" w:hAnsi="Arial"/>
                <w:sz w:val="12"/>
                <w:szCs w:val="12"/>
                <w:color w:val="004987"/>
              </w:rPr>
              <w:t>Lodging Industry</w:t>
            </w:r>
          </w:p>
        </w:tc>
      </w:tr>
      <w:tr>
        <w:trPr>
          <w:trHeight w:val="295"/>
        </w:trPr>
        <w:tc>
          <w:tcPr>
            <w:tcW w:w="2120" w:type="dxa"/>
            <w:vAlign w:val="bottom"/>
          </w:tcPr>
          <w:p>
            <w:pPr>
              <w:ind w:left="440"/>
              <w:spacing w:after="0"/>
              <w:rPr>
                <w:sz w:val="20"/>
                <w:szCs w:val="20"/>
                <w:color w:val="auto"/>
              </w:rPr>
            </w:pPr>
            <w:r>
              <w:rPr>
                <w:rFonts w:ascii="Arial" w:cs="Arial" w:eastAsia="Arial" w:hAnsi="Arial"/>
                <w:sz w:val="12"/>
                <w:szCs w:val="12"/>
                <w:color w:val="004987"/>
              </w:rPr>
              <w:t>Legal, Regulatory &amp;</w:t>
            </w:r>
          </w:p>
        </w:tc>
        <w:tc>
          <w:tcPr>
            <w:tcW w:w="1800" w:type="dxa"/>
            <w:vAlign w:val="bottom"/>
          </w:tcPr>
          <w:p>
            <w:pPr>
              <w:ind w:left="440"/>
              <w:spacing w:after="0"/>
              <w:rPr>
                <w:sz w:val="20"/>
                <w:szCs w:val="20"/>
                <w:color w:val="auto"/>
              </w:rPr>
            </w:pPr>
            <w:r>
              <w:rPr>
                <w:rFonts w:ascii="Arial" w:cs="Arial" w:eastAsia="Arial" w:hAnsi="Arial"/>
                <w:sz w:val="12"/>
                <w:szCs w:val="12"/>
                <w:color w:val="004987"/>
              </w:rPr>
              <w:t>Real Estate &amp; Business</w:t>
            </w:r>
          </w:p>
        </w:tc>
        <w:tc>
          <w:tcPr>
            <w:tcW w:w="2200" w:type="dxa"/>
            <w:vAlign w:val="bottom"/>
          </w:tcPr>
          <w:p>
            <w:pPr>
              <w:ind w:left="660"/>
              <w:spacing w:after="0"/>
              <w:rPr>
                <w:sz w:val="20"/>
                <w:szCs w:val="20"/>
                <w:color w:val="auto"/>
              </w:rPr>
            </w:pPr>
            <w:r>
              <w:rPr>
                <w:rFonts w:ascii="Arial" w:cs="Arial" w:eastAsia="Arial" w:hAnsi="Arial"/>
                <w:sz w:val="12"/>
                <w:szCs w:val="12"/>
                <w:color w:val="004987"/>
                <w:w w:val="99"/>
              </w:rPr>
              <w:t>Human Capital, Professional</w:t>
            </w:r>
          </w:p>
        </w:tc>
        <w:tc>
          <w:tcPr>
            <w:tcW w:w="1860" w:type="dxa"/>
            <w:vAlign w:val="bottom"/>
          </w:tcPr>
          <w:p>
            <w:pPr>
              <w:spacing w:after="0"/>
              <w:rPr>
                <w:sz w:val="24"/>
                <w:szCs w:val="24"/>
                <w:color w:val="auto"/>
              </w:rPr>
            </w:pPr>
          </w:p>
        </w:tc>
        <w:tc>
          <w:tcPr>
            <w:tcW w:w="2480" w:type="dxa"/>
            <w:vAlign w:val="bottom"/>
          </w:tcPr>
          <w:p>
            <w:pPr>
              <w:ind w:left="800"/>
              <w:spacing w:after="0"/>
              <w:rPr>
                <w:sz w:val="20"/>
                <w:szCs w:val="20"/>
                <w:color w:val="auto"/>
              </w:rPr>
            </w:pPr>
            <w:r>
              <w:rPr>
                <w:rFonts w:ascii="Arial" w:cs="Arial" w:eastAsia="Arial" w:hAnsi="Arial"/>
                <w:sz w:val="12"/>
                <w:szCs w:val="12"/>
                <w:color w:val="004987"/>
              </w:rPr>
              <w:t>Technology &amp; Cybersecurity/</w:t>
            </w:r>
          </w:p>
        </w:tc>
      </w:tr>
      <w:tr>
        <w:trPr>
          <w:trHeight w:val="166"/>
        </w:trPr>
        <w:tc>
          <w:tcPr>
            <w:tcW w:w="2120" w:type="dxa"/>
            <w:vAlign w:val="bottom"/>
          </w:tcPr>
          <w:p>
            <w:pPr>
              <w:ind w:left="440"/>
              <w:spacing w:after="0"/>
              <w:rPr>
                <w:sz w:val="20"/>
                <w:szCs w:val="20"/>
                <w:color w:val="auto"/>
              </w:rPr>
            </w:pPr>
            <w:r>
              <w:rPr>
                <w:rFonts w:ascii="Arial" w:cs="Arial" w:eastAsia="Arial" w:hAnsi="Arial"/>
                <w:sz w:val="12"/>
                <w:szCs w:val="12"/>
                <w:color w:val="004987"/>
              </w:rPr>
              <w:t>Government Relations</w:t>
            </w:r>
          </w:p>
        </w:tc>
        <w:tc>
          <w:tcPr>
            <w:tcW w:w="1800" w:type="dxa"/>
            <w:vAlign w:val="bottom"/>
          </w:tcPr>
          <w:p>
            <w:pPr>
              <w:ind w:left="440"/>
              <w:spacing w:after="0"/>
              <w:rPr>
                <w:sz w:val="20"/>
                <w:szCs w:val="20"/>
                <w:color w:val="auto"/>
              </w:rPr>
            </w:pPr>
            <w:r>
              <w:rPr>
                <w:rFonts w:ascii="Arial" w:cs="Arial" w:eastAsia="Arial" w:hAnsi="Arial"/>
                <w:sz w:val="12"/>
                <w:szCs w:val="12"/>
                <w:color w:val="004987"/>
              </w:rPr>
              <w:t>Development</w:t>
            </w:r>
          </w:p>
        </w:tc>
        <w:tc>
          <w:tcPr>
            <w:tcW w:w="4060" w:type="dxa"/>
            <w:vAlign w:val="bottom"/>
            <w:gridSpan w:val="2"/>
          </w:tcPr>
          <w:p>
            <w:pPr>
              <w:ind w:left="660"/>
              <w:spacing w:after="0"/>
              <w:rPr>
                <w:sz w:val="20"/>
                <w:szCs w:val="20"/>
                <w:color w:val="auto"/>
              </w:rPr>
            </w:pPr>
            <w:r>
              <w:rPr>
                <w:rFonts w:ascii="Arial" w:cs="Arial" w:eastAsia="Arial" w:hAnsi="Arial"/>
                <w:sz w:val="12"/>
                <w:szCs w:val="12"/>
                <w:color w:val="004987"/>
              </w:rPr>
              <w:t>Development &amp; Organizational Culture</w:t>
            </w:r>
          </w:p>
        </w:tc>
        <w:tc>
          <w:tcPr>
            <w:tcW w:w="2480" w:type="dxa"/>
            <w:vAlign w:val="bottom"/>
          </w:tcPr>
          <w:p>
            <w:pPr>
              <w:ind w:left="800"/>
              <w:spacing w:after="0"/>
              <w:rPr>
                <w:sz w:val="20"/>
                <w:szCs w:val="20"/>
                <w:color w:val="auto"/>
              </w:rPr>
            </w:pPr>
            <w:r>
              <w:rPr>
                <w:rFonts w:ascii="Arial" w:cs="Arial" w:eastAsia="Arial" w:hAnsi="Arial"/>
                <w:sz w:val="12"/>
                <w:szCs w:val="12"/>
                <w:color w:val="004987"/>
              </w:rPr>
              <w:t>Digital &amp; Social Media</w:t>
            </w:r>
          </w:p>
        </w:tc>
      </w:tr>
      <w:tr>
        <w:trPr>
          <w:trHeight w:val="244"/>
        </w:trPr>
        <w:tc>
          <w:tcPr>
            <w:tcW w:w="3920" w:type="dxa"/>
            <w:vAlign w:val="bottom"/>
            <w:tcBorders>
              <w:bottom w:val="single" w:sz="8" w:color="004987"/>
            </w:tcBorders>
            <w:gridSpan w:val="2"/>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4060" w:type="dxa"/>
            <w:vAlign w:val="bottom"/>
            <w:tcBorders>
              <w:bottom w:val="single" w:sz="8" w:color="004987"/>
            </w:tcBorders>
            <w:gridSpan w:val="2"/>
          </w:tcPr>
          <w:p>
            <w:pPr>
              <w:ind w:left="120"/>
              <w:spacing w:after="0"/>
              <w:rPr>
                <w:sz w:val="20"/>
                <w:szCs w:val="20"/>
                <w:color w:val="auto"/>
              </w:rPr>
            </w:pPr>
            <w:r>
              <w:rPr>
                <w:rFonts w:ascii="Arial" w:cs="Arial" w:eastAsia="Arial" w:hAnsi="Arial"/>
                <w:sz w:val="10"/>
                <w:szCs w:val="10"/>
                <w:color w:val="auto"/>
              </w:rPr>
              <w:t>Report on the Board of Directors and its Committees</w:t>
            </w:r>
          </w:p>
        </w:tc>
        <w:tc>
          <w:tcPr>
            <w:tcW w:w="2480" w:type="dxa"/>
            <w:vAlign w:val="bottom"/>
            <w:tcBorders>
              <w:bottom w:val="single" w:sz="8" w:color="004987"/>
            </w:tcBorders>
          </w:tcPr>
          <w:p>
            <w:pPr>
              <w:ind w:left="2360"/>
              <w:spacing w:after="0"/>
              <w:rPr>
                <w:sz w:val="20"/>
                <w:szCs w:val="20"/>
                <w:color w:val="auto"/>
              </w:rPr>
            </w:pPr>
            <w:r>
              <w:rPr>
                <w:rFonts w:ascii="Arial" w:cs="Arial" w:eastAsia="Arial" w:hAnsi="Arial"/>
                <w:sz w:val="10"/>
                <w:szCs w:val="10"/>
                <w:b w:val="1"/>
                <w:bCs w:val="1"/>
                <w:color w:val="004987"/>
                <w:w w:val="89"/>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-911225</wp:posOffset>
            </wp:positionV>
            <wp:extent cx="89535" cy="130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-886460</wp:posOffset>
            </wp:positionV>
            <wp:extent cx="154940" cy="130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-886460</wp:posOffset>
            </wp:positionV>
            <wp:extent cx="154940" cy="130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-886460</wp:posOffset>
            </wp:positionV>
            <wp:extent cx="130175" cy="130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5504815</wp:posOffset>
            </wp:positionH>
            <wp:positionV relativeFrom="paragraph">
              <wp:posOffset>-886460</wp:posOffset>
            </wp:positionV>
            <wp:extent cx="138430" cy="130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-601980</wp:posOffset>
            </wp:positionV>
            <wp:extent cx="146685" cy="130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1662430</wp:posOffset>
            </wp:positionH>
            <wp:positionV relativeFrom="paragraph">
              <wp:posOffset>-593725</wp:posOffset>
            </wp:positionV>
            <wp:extent cx="130175" cy="130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-593725</wp:posOffset>
            </wp:positionV>
            <wp:extent cx="138430" cy="130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-601980</wp:posOffset>
            </wp:positionV>
            <wp:extent cx="138430" cy="130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-593725</wp:posOffset>
            </wp:positionV>
            <wp:extent cx="121920" cy="130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-308610</wp:posOffset>
            </wp:positionV>
            <wp:extent cx="130175" cy="130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1662430</wp:posOffset>
            </wp:positionH>
            <wp:positionV relativeFrom="paragraph">
              <wp:posOffset>-300355</wp:posOffset>
            </wp:positionV>
            <wp:extent cx="130175" cy="130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-308610</wp:posOffset>
            </wp:positionV>
            <wp:extent cx="130175" cy="130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-300355</wp:posOffset>
            </wp:positionV>
            <wp:extent cx="130175" cy="130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42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C.E. ANDREWS</w:t>
            </w:r>
          </w:p>
        </w:tc>
        <w:tc>
          <w:tcPr>
            <w:tcW w:w="7040" w:type="dxa"/>
            <w:vAlign w:val="bottom"/>
            <w:tcBorders>
              <w:top w:val="single" w:sz="8" w:color="004987"/>
            </w:tcBorders>
          </w:tcPr>
          <w:p>
            <w:pPr>
              <w:spacing w:after="0"/>
              <w:rPr>
                <w:sz w:val="19"/>
                <w:szCs w:val="19"/>
                <w:color w:val="auto"/>
              </w:rPr>
            </w:pPr>
          </w:p>
        </w:tc>
      </w:tr>
      <w:tr>
        <w:trPr>
          <w:trHeight w:val="238"/>
        </w:trPr>
        <w:tc>
          <w:tcPr>
            <w:tcW w:w="3420" w:type="dxa"/>
            <w:vAlign w:val="bottom"/>
          </w:tcPr>
          <w:p>
            <w:pPr>
              <w:spacing w:after="0"/>
              <w:rPr>
                <w:sz w:val="20"/>
                <w:szCs w:val="20"/>
                <w:color w:val="auto"/>
              </w:rPr>
            </w:pPr>
            <w:r>
              <w:rPr>
                <w:rFonts w:ascii="Arial" w:cs="Arial" w:eastAsia="Arial" w:hAnsi="Arial"/>
                <w:sz w:val="15"/>
                <w:szCs w:val="15"/>
                <w:color w:val="auto"/>
              </w:rPr>
              <w:t>Age: 70</w:t>
            </w:r>
          </w:p>
        </w:tc>
        <w:tc>
          <w:tcPr>
            <w:tcW w:w="7040" w:type="dxa"/>
            <w:vAlign w:val="bottom"/>
          </w:tcPr>
          <w:p>
            <w:pPr>
              <w:ind w:left="2020"/>
              <w:spacing w:after="0"/>
              <w:rPr>
                <w:sz w:val="20"/>
                <w:szCs w:val="20"/>
                <w:color w:val="auto"/>
              </w:rPr>
            </w:pPr>
            <w:r>
              <w:rPr>
                <w:rFonts w:ascii="Arial" w:cs="Arial" w:eastAsia="Arial" w:hAnsi="Arial"/>
                <w:sz w:val="15"/>
                <w:szCs w:val="15"/>
                <w:color w:val="auto"/>
              </w:rPr>
              <w:t>Committees:</w:t>
            </w:r>
          </w:p>
        </w:tc>
      </w:tr>
      <w:tr>
        <w:trPr>
          <w:trHeight w:val="179"/>
        </w:trPr>
        <w:tc>
          <w:tcPr>
            <w:tcW w:w="3420" w:type="dxa"/>
            <w:vAlign w:val="bottom"/>
          </w:tcPr>
          <w:p>
            <w:pPr>
              <w:spacing w:after="0"/>
              <w:rPr>
                <w:sz w:val="20"/>
                <w:szCs w:val="20"/>
                <w:color w:val="auto"/>
              </w:rPr>
            </w:pPr>
            <w:r>
              <w:rPr>
                <w:rFonts w:ascii="Arial" w:cs="Arial" w:eastAsia="Arial" w:hAnsi="Arial"/>
                <w:sz w:val="15"/>
                <w:szCs w:val="15"/>
                <w:color w:val="auto"/>
              </w:rPr>
              <w:t>Director Since: 2013</w:t>
            </w:r>
          </w:p>
        </w:tc>
        <w:tc>
          <w:tcPr>
            <w:tcW w:w="7040" w:type="dxa"/>
            <w:vAlign w:val="bottom"/>
          </w:tcPr>
          <w:p>
            <w:pPr>
              <w:ind w:left="20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Audit (Chair)</w:t>
            </w:r>
          </w:p>
        </w:tc>
      </w:tr>
      <w:tr>
        <w:trPr>
          <w:trHeight w:val="201"/>
        </w:trPr>
        <w:tc>
          <w:tcPr>
            <w:tcW w:w="3420" w:type="dxa"/>
            <w:vAlign w:val="bottom"/>
          </w:tcPr>
          <w:p>
            <w:pPr>
              <w:spacing w:after="0"/>
              <w:rPr>
                <w:sz w:val="17"/>
                <w:szCs w:val="17"/>
                <w:color w:val="auto"/>
              </w:rPr>
            </w:pPr>
          </w:p>
        </w:tc>
        <w:tc>
          <w:tcPr>
            <w:tcW w:w="7040" w:type="dxa"/>
            <w:vAlign w:val="bottom"/>
          </w:tcPr>
          <w:p>
            <w:pPr>
              <w:ind w:left="20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Nominating and Corporate Governance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40"/>
        <w:spacing w:after="0" w:line="252" w:lineRule="auto"/>
        <w:rPr>
          <w:sz w:val="20"/>
          <w:szCs w:val="20"/>
          <w:color w:val="auto"/>
        </w:rPr>
      </w:pPr>
      <w:r>
        <w:rPr>
          <w:rFonts w:ascii="Arial" w:cs="Arial" w:eastAsia="Arial" w:hAnsi="Arial"/>
          <w:sz w:val="15"/>
          <w:szCs w:val="15"/>
          <w:color w:val="auto"/>
        </w:rPr>
        <w:t>Mr. Andrews was a member of the Board of Directors of, and an advisor to, MorganFranklin Consulting, a business consulting and technology solutions company, from April 2017 through June 2019 when he retired. From May 2013 to March 2017, he served as its Chief Executive Officer. Mr. Andrews was the president of RSM McGladrey Business Services, Inc., an audit and accounting services provider, from June 2009 until February 2012. Prior to that, Mr. Andrews served as the president of SLM Corporation (Sallie Mae), which originates, services and collects student loans. He joined Sallie Mae in 2003 as the Executive Vice President of Accounting and Risk Management and held the title of Chief Financial Officer from 2006 to 2007. Prior to joining Sallie Mae, Mr. Andrews spent approximately 30 years at Arthur Andersen, LLP, an accounting firm. Mr. Andrews serves on the Boards of Directors of Washington Mutual Investors Fund, a publicly traded mutual fund, and NVR, Inc., a publicly traded homebuilder. In addition, he serves on the Board of Directors of Vemo Education, Inc., a privately-held company that develops customized, value-oriented student financing programs, and the Advisory Board of Coastal Cloud LLC, a privately-held consulting firm that focuses on migration to next-generation technologies. In the past five years, Mr. Andrews served on the Board of Directors of WashingtonFirst Bankshares, Inc. from 2012 until it was acquired in 2018.</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jc w:val="both"/>
        <w:ind w:left="400" w:right="20"/>
        <w:spacing w:after="0" w:line="259" w:lineRule="auto"/>
        <w:rPr>
          <w:sz w:val="20"/>
          <w:szCs w:val="20"/>
          <w:color w:val="auto"/>
        </w:rPr>
      </w:pPr>
      <w:r>
        <w:rPr>
          <w:rFonts w:ascii="Arial" w:cs="Arial" w:eastAsia="Arial" w:hAnsi="Arial"/>
          <w:sz w:val="15"/>
          <w:szCs w:val="15"/>
          <w:color w:val="auto"/>
        </w:rPr>
        <w:t>Mr. Andrews brings to the Board, and particularly to the Audit Committee, the extensive financial and accounting expertise that he obtained over his thirty-year career in public accounting, as well as through his role as Chief Financial Officer of Sallie Mae. Mr. Andrews also has experience as a board member and an officer of publicly traded companies.</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1680" w:type="dxa"/>
            <w:vAlign w:val="bottom"/>
          </w:tcPr>
          <w:p>
            <w:pPr>
              <w:spacing w:after="0"/>
              <w:rPr>
                <w:sz w:val="20"/>
                <w:szCs w:val="20"/>
                <w:color w:val="auto"/>
              </w:rPr>
            </w:pPr>
            <w:r>
              <w:rPr>
                <w:rFonts w:ascii="Arial" w:cs="Arial" w:eastAsia="Arial" w:hAnsi="Arial"/>
                <w:sz w:val="12"/>
                <w:szCs w:val="12"/>
                <w:color w:val="004987"/>
              </w:rPr>
              <w:t>Corporate</w:t>
            </w:r>
          </w:p>
        </w:tc>
        <w:tc>
          <w:tcPr>
            <w:tcW w:w="2100" w:type="dxa"/>
            <w:vAlign w:val="bottom"/>
          </w:tcPr>
          <w:p>
            <w:pPr>
              <w:spacing w:after="0"/>
              <w:rPr>
                <w:sz w:val="12"/>
                <w:szCs w:val="12"/>
                <w:color w:val="auto"/>
              </w:rPr>
            </w:pPr>
          </w:p>
        </w:tc>
        <w:tc>
          <w:tcPr>
            <w:tcW w:w="1460" w:type="dxa"/>
            <w:vAlign w:val="bottom"/>
          </w:tcPr>
          <w:p>
            <w:pPr>
              <w:ind w:left="140"/>
              <w:spacing w:after="0"/>
              <w:rPr>
                <w:sz w:val="20"/>
                <w:szCs w:val="20"/>
                <w:color w:val="auto"/>
              </w:rPr>
            </w:pPr>
            <w:r>
              <w:rPr>
                <w:rFonts w:ascii="Arial" w:cs="Arial" w:eastAsia="Arial" w:hAnsi="Arial"/>
                <w:sz w:val="12"/>
                <w:szCs w:val="12"/>
                <w:color w:val="004987"/>
              </w:rPr>
              <w:t>Financial &amp;</w:t>
            </w:r>
          </w:p>
        </w:tc>
        <w:tc>
          <w:tcPr>
            <w:tcW w:w="2540" w:type="dxa"/>
            <w:vAlign w:val="bottom"/>
          </w:tcPr>
          <w:p>
            <w:pPr>
              <w:ind w:left="360"/>
              <w:spacing w:after="0"/>
              <w:rPr>
                <w:sz w:val="20"/>
                <w:szCs w:val="20"/>
                <w:color w:val="auto"/>
              </w:rPr>
            </w:pPr>
            <w:r>
              <w:rPr>
                <w:rFonts w:ascii="Arial" w:cs="Arial" w:eastAsia="Arial" w:hAnsi="Arial"/>
                <w:sz w:val="12"/>
                <w:szCs w:val="12"/>
                <w:color w:val="004987"/>
              </w:rPr>
              <w:t>Accounting &amp;</w:t>
            </w:r>
          </w:p>
        </w:tc>
        <w:tc>
          <w:tcPr>
            <w:tcW w:w="1960" w:type="dxa"/>
            <w:vAlign w:val="bottom"/>
          </w:tcPr>
          <w:p>
            <w:pPr>
              <w:ind w:left="680"/>
              <w:spacing w:after="0"/>
              <w:rPr>
                <w:sz w:val="20"/>
                <w:szCs w:val="20"/>
                <w:color w:val="auto"/>
              </w:rPr>
            </w:pPr>
            <w:r>
              <w:rPr>
                <w:rFonts w:ascii="Arial" w:cs="Arial" w:eastAsia="Arial" w:hAnsi="Arial"/>
                <w:sz w:val="12"/>
                <w:szCs w:val="12"/>
                <w:color w:val="004987"/>
                <w:w w:val="97"/>
              </w:rPr>
              <w:t>Business Development /</w:t>
            </w:r>
          </w:p>
        </w:tc>
      </w:tr>
      <w:tr>
        <w:trPr>
          <w:trHeight w:val="166"/>
        </w:trPr>
        <w:tc>
          <w:tcPr>
            <w:tcW w:w="1680" w:type="dxa"/>
            <w:vAlign w:val="bottom"/>
          </w:tcPr>
          <w:p>
            <w:pPr>
              <w:spacing w:after="0"/>
              <w:rPr>
                <w:sz w:val="20"/>
                <w:szCs w:val="20"/>
                <w:color w:val="auto"/>
              </w:rPr>
            </w:pPr>
            <w:r>
              <w:rPr>
                <w:rFonts w:ascii="Arial" w:cs="Arial" w:eastAsia="Arial" w:hAnsi="Arial"/>
                <w:sz w:val="12"/>
                <w:szCs w:val="12"/>
                <w:color w:val="004987"/>
              </w:rPr>
              <w:t>Leadership</w:t>
            </w:r>
          </w:p>
        </w:tc>
        <w:tc>
          <w:tcPr>
            <w:tcW w:w="2100" w:type="dxa"/>
            <w:vAlign w:val="bottom"/>
          </w:tcPr>
          <w:p>
            <w:pPr>
              <w:ind w:left="440"/>
              <w:spacing w:after="0"/>
              <w:rPr>
                <w:sz w:val="20"/>
                <w:szCs w:val="20"/>
                <w:color w:val="auto"/>
              </w:rPr>
            </w:pPr>
            <w:r>
              <w:rPr>
                <w:rFonts w:ascii="Arial" w:cs="Arial" w:eastAsia="Arial" w:hAnsi="Arial"/>
                <w:sz w:val="12"/>
                <w:szCs w:val="12"/>
                <w:color w:val="004987"/>
              </w:rPr>
              <w:t>Independence</w:t>
            </w:r>
          </w:p>
        </w:tc>
        <w:tc>
          <w:tcPr>
            <w:tcW w:w="1460" w:type="dxa"/>
            <w:vAlign w:val="bottom"/>
          </w:tcPr>
          <w:p>
            <w:pPr>
              <w:ind w:left="140"/>
              <w:spacing w:after="0"/>
              <w:rPr>
                <w:sz w:val="20"/>
                <w:szCs w:val="20"/>
                <w:color w:val="auto"/>
              </w:rPr>
            </w:pPr>
            <w:r>
              <w:rPr>
                <w:rFonts w:ascii="Arial" w:cs="Arial" w:eastAsia="Arial" w:hAnsi="Arial"/>
                <w:sz w:val="12"/>
                <w:szCs w:val="12"/>
                <w:color w:val="004987"/>
              </w:rPr>
              <w:t>Capital Markets</w:t>
            </w:r>
          </w:p>
        </w:tc>
        <w:tc>
          <w:tcPr>
            <w:tcW w:w="2540" w:type="dxa"/>
            <w:vAlign w:val="bottom"/>
          </w:tcPr>
          <w:p>
            <w:pPr>
              <w:ind w:left="360"/>
              <w:spacing w:after="0"/>
              <w:rPr>
                <w:sz w:val="20"/>
                <w:szCs w:val="20"/>
                <w:color w:val="auto"/>
              </w:rPr>
            </w:pPr>
            <w:r>
              <w:rPr>
                <w:rFonts w:ascii="Arial" w:cs="Arial" w:eastAsia="Arial" w:hAnsi="Arial"/>
                <w:sz w:val="12"/>
                <w:szCs w:val="12"/>
                <w:color w:val="004987"/>
              </w:rPr>
              <w:t>Financial Reporting</w:t>
            </w:r>
          </w:p>
        </w:tc>
        <w:tc>
          <w:tcPr>
            <w:tcW w:w="1960" w:type="dxa"/>
            <w:vAlign w:val="bottom"/>
          </w:tcPr>
          <w:p>
            <w:pPr>
              <w:ind w:left="680"/>
              <w:spacing w:after="0"/>
              <w:rPr>
                <w:sz w:val="20"/>
                <w:szCs w:val="20"/>
                <w:color w:val="auto"/>
              </w:rPr>
            </w:pPr>
            <w:r>
              <w:rPr>
                <w:rFonts w:ascii="Arial" w:cs="Arial" w:eastAsia="Arial" w:hAnsi="Arial"/>
                <w:sz w:val="12"/>
                <w:szCs w:val="12"/>
                <w:color w:val="004987"/>
              </w:rPr>
              <w:t>Mergers &amp; Acquisitions</w:t>
            </w:r>
          </w:p>
        </w:tc>
      </w:tr>
      <w:tr>
        <w:trPr>
          <w:trHeight w:val="290"/>
        </w:trPr>
        <w:tc>
          <w:tcPr>
            <w:tcW w:w="1680" w:type="dxa"/>
            <w:vAlign w:val="bottom"/>
          </w:tcPr>
          <w:p>
            <w:pPr>
              <w:spacing w:after="0"/>
              <w:rPr>
                <w:sz w:val="20"/>
                <w:szCs w:val="20"/>
                <w:color w:val="auto"/>
              </w:rPr>
            </w:pPr>
            <w:r>
              <w:rPr>
                <w:rFonts w:ascii="Arial" w:cs="Arial" w:eastAsia="Arial" w:hAnsi="Arial"/>
                <w:sz w:val="12"/>
                <w:szCs w:val="12"/>
                <w:color w:val="004987"/>
              </w:rPr>
              <w:t>Public Company Board</w:t>
            </w: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960" w:type="dxa"/>
            <w:vAlign w:val="bottom"/>
          </w:tcPr>
          <w:p>
            <w:pPr>
              <w:ind w:left="680"/>
              <w:spacing w:after="0"/>
              <w:rPr>
                <w:sz w:val="20"/>
                <w:szCs w:val="20"/>
                <w:color w:val="auto"/>
              </w:rPr>
            </w:pPr>
            <w:r>
              <w:rPr>
                <w:rFonts w:ascii="Arial" w:cs="Arial" w:eastAsia="Arial" w:hAnsi="Arial"/>
                <w:sz w:val="12"/>
                <w:szCs w:val="12"/>
                <w:color w:val="004987"/>
              </w:rPr>
              <w:t>Legal, Regulatory &amp;</w:t>
            </w:r>
          </w:p>
        </w:tc>
      </w:tr>
      <w:tr>
        <w:trPr>
          <w:trHeight w:val="171"/>
        </w:trPr>
        <w:tc>
          <w:tcPr>
            <w:tcW w:w="1680" w:type="dxa"/>
            <w:vAlign w:val="bottom"/>
          </w:tcPr>
          <w:p>
            <w:pPr>
              <w:spacing w:after="0"/>
              <w:rPr>
                <w:sz w:val="20"/>
                <w:szCs w:val="20"/>
                <w:color w:val="auto"/>
              </w:rPr>
            </w:pPr>
            <w:r>
              <w:rPr>
                <w:rFonts w:ascii="Arial" w:cs="Arial" w:eastAsia="Arial" w:hAnsi="Arial"/>
                <w:sz w:val="12"/>
                <w:szCs w:val="12"/>
                <w:color w:val="004987"/>
              </w:rPr>
              <w:t>Service &amp; Governance</w:t>
            </w:r>
          </w:p>
        </w:tc>
        <w:tc>
          <w:tcPr>
            <w:tcW w:w="2100" w:type="dxa"/>
            <w:vAlign w:val="bottom"/>
          </w:tcPr>
          <w:p>
            <w:pPr>
              <w:ind w:left="440"/>
              <w:spacing w:after="0"/>
              <w:rPr>
                <w:sz w:val="20"/>
                <w:szCs w:val="20"/>
                <w:color w:val="auto"/>
              </w:rPr>
            </w:pPr>
            <w:r>
              <w:rPr>
                <w:rFonts w:ascii="Arial" w:cs="Arial" w:eastAsia="Arial" w:hAnsi="Arial"/>
                <w:sz w:val="12"/>
                <w:szCs w:val="12"/>
                <w:color w:val="004987"/>
              </w:rPr>
              <w:t>Risk Management</w:t>
            </w:r>
          </w:p>
        </w:tc>
        <w:tc>
          <w:tcPr>
            <w:tcW w:w="1460" w:type="dxa"/>
            <w:vAlign w:val="bottom"/>
          </w:tcPr>
          <w:p>
            <w:pPr>
              <w:ind w:left="140"/>
              <w:spacing w:after="0"/>
              <w:rPr>
                <w:sz w:val="20"/>
                <w:szCs w:val="20"/>
                <w:color w:val="auto"/>
              </w:rPr>
            </w:pPr>
            <w:r>
              <w:rPr>
                <w:rFonts w:ascii="Arial" w:cs="Arial" w:eastAsia="Arial" w:hAnsi="Arial"/>
                <w:sz w:val="12"/>
                <w:szCs w:val="12"/>
                <w:color w:val="004987"/>
              </w:rPr>
              <w:t>Strategic Planning</w:t>
            </w:r>
          </w:p>
        </w:tc>
        <w:tc>
          <w:tcPr>
            <w:tcW w:w="2540" w:type="dxa"/>
            <w:vAlign w:val="bottom"/>
          </w:tcPr>
          <w:p>
            <w:pPr>
              <w:ind w:left="360"/>
              <w:spacing w:after="0"/>
              <w:rPr>
                <w:sz w:val="20"/>
                <w:szCs w:val="20"/>
                <w:color w:val="auto"/>
              </w:rPr>
            </w:pPr>
            <w:r>
              <w:rPr>
                <w:rFonts w:ascii="Arial" w:cs="Arial" w:eastAsia="Arial" w:hAnsi="Arial"/>
                <w:sz w:val="12"/>
                <w:szCs w:val="12"/>
                <w:color w:val="004987"/>
              </w:rPr>
              <w:t>Global Expertise</w:t>
            </w:r>
          </w:p>
        </w:tc>
        <w:tc>
          <w:tcPr>
            <w:tcW w:w="1960" w:type="dxa"/>
            <w:vAlign w:val="bottom"/>
          </w:tcPr>
          <w:p>
            <w:pPr>
              <w:ind w:left="680"/>
              <w:spacing w:after="0"/>
              <w:rPr>
                <w:sz w:val="20"/>
                <w:szCs w:val="20"/>
                <w:color w:val="auto"/>
              </w:rPr>
            </w:pPr>
            <w:r>
              <w:rPr>
                <w:rFonts w:ascii="Arial" w:cs="Arial" w:eastAsia="Arial" w:hAnsi="Arial"/>
                <w:sz w:val="12"/>
                <w:szCs w:val="12"/>
                <w:color w:val="004987"/>
              </w:rPr>
              <w:t>Government Relations</w:t>
            </w:r>
          </w:p>
        </w:tc>
      </w:tr>
      <w:tr>
        <w:trPr>
          <w:trHeight w:val="290"/>
        </w:trPr>
        <w:tc>
          <w:tcPr>
            <w:tcW w:w="1680" w:type="dxa"/>
            <w:vAlign w:val="bottom"/>
          </w:tcPr>
          <w:p>
            <w:pPr>
              <w:spacing w:after="0"/>
              <w:rPr>
                <w:sz w:val="24"/>
                <w:szCs w:val="24"/>
                <w:color w:val="auto"/>
              </w:rPr>
            </w:pPr>
          </w:p>
        </w:tc>
        <w:tc>
          <w:tcPr>
            <w:tcW w:w="2100" w:type="dxa"/>
            <w:vAlign w:val="bottom"/>
          </w:tcPr>
          <w:p>
            <w:pPr>
              <w:ind w:left="440"/>
              <w:spacing w:after="0"/>
              <w:rPr>
                <w:sz w:val="20"/>
                <w:szCs w:val="20"/>
                <w:color w:val="auto"/>
              </w:rPr>
            </w:pPr>
            <w:r>
              <w:rPr>
                <w:rFonts w:ascii="Arial" w:cs="Arial" w:eastAsia="Arial" w:hAnsi="Arial"/>
                <w:sz w:val="12"/>
                <w:szCs w:val="12"/>
                <w:color w:val="004987"/>
              </w:rPr>
              <w:t>Human Capital, Professional</w:t>
            </w:r>
          </w:p>
        </w:tc>
        <w:tc>
          <w:tcPr>
            <w:tcW w:w="1460" w:type="dxa"/>
            <w:vAlign w:val="bottom"/>
          </w:tcPr>
          <w:p>
            <w:pPr>
              <w:spacing w:after="0"/>
              <w:rPr>
                <w:sz w:val="24"/>
                <w:szCs w:val="24"/>
                <w:color w:val="auto"/>
              </w:rPr>
            </w:pPr>
          </w:p>
        </w:tc>
        <w:tc>
          <w:tcPr>
            <w:tcW w:w="2540" w:type="dxa"/>
            <w:vAlign w:val="bottom"/>
          </w:tcPr>
          <w:p>
            <w:pPr>
              <w:ind w:left="360"/>
              <w:spacing w:after="0"/>
              <w:rPr>
                <w:sz w:val="20"/>
                <w:szCs w:val="20"/>
                <w:color w:val="auto"/>
              </w:rPr>
            </w:pPr>
            <w:r>
              <w:rPr>
                <w:rFonts w:ascii="Arial" w:cs="Arial" w:eastAsia="Arial" w:hAnsi="Arial"/>
                <w:sz w:val="12"/>
                <w:szCs w:val="12"/>
                <w:color w:val="004987"/>
              </w:rPr>
              <w:t>Technology &amp; Cybersecurity/</w:t>
            </w:r>
          </w:p>
        </w:tc>
        <w:tc>
          <w:tcPr>
            <w:tcW w:w="1960" w:type="dxa"/>
            <w:vAlign w:val="bottom"/>
          </w:tcPr>
          <w:p>
            <w:pPr>
              <w:spacing w:after="0"/>
              <w:rPr>
                <w:sz w:val="24"/>
                <w:szCs w:val="24"/>
                <w:color w:val="auto"/>
              </w:rPr>
            </w:pPr>
          </w:p>
        </w:tc>
      </w:tr>
      <w:tr>
        <w:trPr>
          <w:trHeight w:val="158"/>
        </w:trPr>
        <w:tc>
          <w:tcPr>
            <w:tcW w:w="1680" w:type="dxa"/>
            <w:vAlign w:val="bottom"/>
          </w:tcPr>
          <w:p>
            <w:pPr>
              <w:spacing w:after="0"/>
              <w:rPr>
                <w:sz w:val="20"/>
                <w:szCs w:val="20"/>
                <w:color w:val="auto"/>
              </w:rPr>
            </w:pPr>
            <w:r>
              <w:rPr>
                <w:rFonts w:ascii="Arial" w:cs="Arial" w:eastAsia="Arial" w:hAnsi="Arial"/>
                <w:sz w:val="12"/>
                <w:szCs w:val="12"/>
                <w:color w:val="004987"/>
              </w:rPr>
              <w:t>Compliance</w:t>
            </w:r>
          </w:p>
        </w:tc>
        <w:tc>
          <w:tcPr>
            <w:tcW w:w="3560" w:type="dxa"/>
            <w:vAlign w:val="bottom"/>
            <w:gridSpan w:val="2"/>
          </w:tcPr>
          <w:p>
            <w:pPr>
              <w:ind w:left="440"/>
              <w:spacing w:after="0"/>
              <w:rPr>
                <w:sz w:val="20"/>
                <w:szCs w:val="20"/>
                <w:color w:val="auto"/>
              </w:rPr>
            </w:pPr>
            <w:r>
              <w:rPr>
                <w:rFonts w:ascii="Arial" w:cs="Arial" w:eastAsia="Arial" w:hAnsi="Arial"/>
                <w:sz w:val="12"/>
                <w:szCs w:val="12"/>
                <w:color w:val="004987"/>
              </w:rPr>
              <w:t>Development &amp; Organizational Culture</w:t>
            </w:r>
          </w:p>
        </w:tc>
        <w:tc>
          <w:tcPr>
            <w:tcW w:w="2540" w:type="dxa"/>
            <w:vAlign w:val="bottom"/>
          </w:tcPr>
          <w:p>
            <w:pPr>
              <w:ind w:left="360"/>
              <w:spacing w:after="0"/>
              <w:rPr>
                <w:sz w:val="20"/>
                <w:szCs w:val="20"/>
                <w:color w:val="auto"/>
              </w:rPr>
            </w:pPr>
            <w:r>
              <w:rPr>
                <w:rFonts w:ascii="Arial" w:cs="Arial" w:eastAsia="Arial" w:hAnsi="Arial"/>
                <w:sz w:val="12"/>
                <w:szCs w:val="12"/>
                <w:color w:val="004987"/>
              </w:rPr>
              <w:t>Digital &amp; Social Media</w:t>
            </w:r>
          </w:p>
        </w:tc>
        <w:tc>
          <w:tcPr>
            <w:tcW w:w="19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-739775</wp:posOffset>
            </wp:positionV>
            <wp:extent cx="89535" cy="130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-715645</wp:posOffset>
            </wp:positionV>
            <wp:extent cx="154940" cy="130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-715645</wp:posOffset>
            </wp:positionV>
            <wp:extent cx="154940" cy="130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-715645</wp:posOffset>
            </wp:positionV>
            <wp:extent cx="130175" cy="130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-715645</wp:posOffset>
            </wp:positionV>
            <wp:extent cx="138430" cy="130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-422275</wp:posOffset>
            </wp:positionV>
            <wp:extent cx="146685" cy="130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-430530</wp:posOffset>
            </wp:positionV>
            <wp:extent cx="130175" cy="130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-422275</wp:posOffset>
            </wp:positionV>
            <wp:extent cx="138430" cy="130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-422275</wp:posOffset>
            </wp:positionV>
            <wp:extent cx="138430" cy="130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5610225</wp:posOffset>
            </wp:positionH>
            <wp:positionV relativeFrom="paragraph">
              <wp:posOffset>-430530</wp:posOffset>
            </wp:positionV>
            <wp:extent cx="130175" cy="130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-129540</wp:posOffset>
            </wp:positionV>
            <wp:extent cx="179070" cy="130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070" cy="130175"/>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-137160</wp:posOffset>
            </wp:positionV>
            <wp:extent cx="130175" cy="130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-137160</wp:posOffset>
            </wp:positionV>
            <wp:extent cx="130175" cy="130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60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WILLIAM W. McCARTEN</w:t>
            </w:r>
          </w:p>
        </w:tc>
        <w:tc>
          <w:tcPr>
            <w:tcW w:w="6860" w:type="dxa"/>
            <w:vAlign w:val="bottom"/>
            <w:tcBorders>
              <w:top w:val="single" w:sz="8" w:color="004987"/>
            </w:tcBorders>
          </w:tcPr>
          <w:p>
            <w:pPr>
              <w:spacing w:after="0"/>
              <w:rPr>
                <w:sz w:val="19"/>
                <w:szCs w:val="19"/>
                <w:color w:val="auto"/>
              </w:rPr>
            </w:pPr>
          </w:p>
        </w:tc>
      </w:tr>
      <w:tr>
        <w:trPr>
          <w:trHeight w:val="238"/>
        </w:trPr>
        <w:tc>
          <w:tcPr>
            <w:tcW w:w="3600" w:type="dxa"/>
            <w:vAlign w:val="bottom"/>
          </w:tcPr>
          <w:p>
            <w:pPr>
              <w:spacing w:after="0"/>
              <w:rPr>
                <w:sz w:val="20"/>
                <w:szCs w:val="20"/>
                <w:color w:val="auto"/>
              </w:rPr>
            </w:pPr>
            <w:r>
              <w:rPr>
                <w:rFonts w:ascii="Arial" w:cs="Arial" w:eastAsia="Arial" w:hAnsi="Arial"/>
                <w:sz w:val="15"/>
                <w:szCs w:val="15"/>
                <w:color w:val="auto"/>
              </w:rPr>
              <w:t>Age: 73</w:t>
            </w:r>
          </w:p>
        </w:tc>
        <w:tc>
          <w:tcPr>
            <w:tcW w:w="6860" w:type="dxa"/>
            <w:vAlign w:val="bottom"/>
          </w:tcPr>
          <w:p>
            <w:pPr>
              <w:ind w:left="1840"/>
              <w:spacing w:after="0"/>
              <w:rPr>
                <w:sz w:val="20"/>
                <w:szCs w:val="20"/>
                <w:color w:val="auto"/>
              </w:rPr>
            </w:pPr>
            <w:r>
              <w:rPr>
                <w:rFonts w:ascii="Arial" w:cs="Arial" w:eastAsia="Arial" w:hAnsi="Arial"/>
                <w:sz w:val="15"/>
                <w:szCs w:val="15"/>
                <w:color w:val="auto"/>
              </w:rPr>
              <w:t>Committees:</w:t>
            </w:r>
          </w:p>
        </w:tc>
      </w:tr>
      <w:tr>
        <w:trPr>
          <w:trHeight w:val="179"/>
        </w:trPr>
        <w:tc>
          <w:tcPr>
            <w:tcW w:w="3600" w:type="dxa"/>
            <w:vAlign w:val="bottom"/>
          </w:tcPr>
          <w:p>
            <w:pPr>
              <w:spacing w:after="0"/>
              <w:rPr>
                <w:sz w:val="20"/>
                <w:szCs w:val="20"/>
                <w:color w:val="auto"/>
              </w:rPr>
            </w:pPr>
            <w:r>
              <w:rPr>
                <w:rFonts w:ascii="Arial" w:cs="Arial" w:eastAsia="Arial" w:hAnsi="Arial"/>
                <w:sz w:val="15"/>
                <w:szCs w:val="15"/>
                <w:color w:val="auto"/>
              </w:rPr>
              <w:t>Director Since: 2011</w:t>
            </w:r>
          </w:p>
        </w:tc>
        <w:tc>
          <w:tcPr>
            <w:tcW w:w="6860" w:type="dxa"/>
            <w:vAlign w:val="bottom"/>
          </w:tcPr>
          <w:p>
            <w:pPr>
              <w:ind w:left="184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Audit</w:t>
            </w:r>
          </w:p>
        </w:tc>
      </w:tr>
      <w:tr>
        <w:trPr>
          <w:trHeight w:val="201"/>
        </w:trPr>
        <w:tc>
          <w:tcPr>
            <w:tcW w:w="3600" w:type="dxa"/>
            <w:vAlign w:val="bottom"/>
          </w:tcPr>
          <w:p>
            <w:pPr>
              <w:spacing w:after="0"/>
              <w:rPr>
                <w:sz w:val="17"/>
                <w:szCs w:val="17"/>
                <w:color w:val="auto"/>
              </w:rPr>
            </w:pPr>
          </w:p>
        </w:tc>
        <w:tc>
          <w:tcPr>
            <w:tcW w:w="6860" w:type="dxa"/>
            <w:vAlign w:val="bottom"/>
          </w:tcPr>
          <w:p>
            <w:pPr>
              <w:ind w:left="184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Nominating and Corporate Governance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20"/>
        <w:spacing w:after="0" w:line="253" w:lineRule="auto"/>
        <w:rPr>
          <w:sz w:val="20"/>
          <w:szCs w:val="20"/>
          <w:color w:val="auto"/>
        </w:rPr>
      </w:pPr>
      <w:r>
        <w:rPr>
          <w:rFonts w:ascii="Arial" w:cs="Arial" w:eastAsia="Arial" w:hAnsi="Arial"/>
          <w:sz w:val="15"/>
          <w:szCs w:val="15"/>
          <w:color w:val="auto"/>
        </w:rPr>
        <w:t>Mr. McCarten has served as non-executive Chairman of the Board of DiamondRock Hospitality Company, a publicly traded lodging REIT, since January 2010. He was Executive Chairman of DiamondRock from September 2008 to December 2009. Prior to that, he was Chairman and Chief Executive Officer of DiamondRock from its inception in 2004 until September 2008. From 1979 through 2003, Mr. McCarten worked at Marriott International and companies that operated businesses that were previously part of Marriott International or its predecessors, where he held a number of executive positions, including President of the Services Group and President and Chief Executive Officer of HMSHost Corporation, a publicly traded company. Mr. McCarten is also a director of Cracker Barrel Old Country Store, Inc., a publicly traded company.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jc w:val="both"/>
        <w:ind w:left="400" w:right="60"/>
        <w:spacing w:after="0" w:line="259" w:lineRule="auto"/>
        <w:rPr>
          <w:sz w:val="20"/>
          <w:szCs w:val="20"/>
          <w:color w:val="auto"/>
        </w:rPr>
      </w:pPr>
      <w:r>
        <w:rPr>
          <w:rFonts w:ascii="Arial" w:cs="Arial" w:eastAsia="Arial" w:hAnsi="Arial"/>
          <w:sz w:val="15"/>
          <w:szCs w:val="15"/>
          <w:color w:val="auto"/>
        </w:rPr>
        <w:t>Mr. McCarten provides the Board with the benefit of his extensive experience in the hospitality industry and capital markets, including his service as Chief Executive Officer and board member of publicly traded companies. He is a former certified public accountant who has a strong familiarity with accounting and financial reporting matters.</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2220" w:type="dxa"/>
            <w:vAlign w:val="bottom"/>
          </w:tcPr>
          <w:p>
            <w:pPr>
              <w:ind w:left="540"/>
              <w:spacing w:after="0"/>
              <w:rPr>
                <w:sz w:val="20"/>
                <w:szCs w:val="20"/>
                <w:color w:val="auto"/>
              </w:rPr>
            </w:pPr>
            <w:r>
              <w:rPr>
                <w:rFonts w:ascii="Arial" w:cs="Arial" w:eastAsia="Arial" w:hAnsi="Arial"/>
                <w:sz w:val="12"/>
                <w:szCs w:val="12"/>
                <w:color w:val="004987"/>
              </w:rPr>
              <w:t>Corporate</w:t>
            </w:r>
          </w:p>
        </w:tc>
        <w:tc>
          <w:tcPr>
            <w:tcW w:w="1760" w:type="dxa"/>
            <w:vAlign w:val="bottom"/>
          </w:tcPr>
          <w:p>
            <w:pPr>
              <w:spacing w:after="0"/>
              <w:rPr>
                <w:sz w:val="12"/>
                <w:szCs w:val="12"/>
                <w:color w:val="auto"/>
              </w:rPr>
            </w:pPr>
          </w:p>
        </w:tc>
        <w:tc>
          <w:tcPr>
            <w:tcW w:w="2240" w:type="dxa"/>
            <w:vAlign w:val="bottom"/>
          </w:tcPr>
          <w:p>
            <w:pPr>
              <w:ind w:left="700"/>
              <w:spacing w:after="0"/>
              <w:rPr>
                <w:sz w:val="20"/>
                <w:szCs w:val="20"/>
                <w:color w:val="auto"/>
              </w:rPr>
            </w:pPr>
            <w:r>
              <w:rPr>
                <w:rFonts w:ascii="Arial" w:cs="Arial" w:eastAsia="Arial" w:hAnsi="Arial"/>
                <w:sz w:val="12"/>
                <w:szCs w:val="12"/>
                <w:color w:val="004987"/>
              </w:rPr>
              <w:t>Financial &amp;</w:t>
            </w:r>
          </w:p>
        </w:tc>
        <w:tc>
          <w:tcPr>
            <w:tcW w:w="1100" w:type="dxa"/>
            <w:vAlign w:val="bottom"/>
          </w:tcPr>
          <w:p>
            <w:pPr>
              <w:ind w:left="40"/>
              <w:spacing w:after="0"/>
              <w:rPr>
                <w:sz w:val="20"/>
                <w:szCs w:val="20"/>
                <w:color w:val="auto"/>
              </w:rPr>
            </w:pPr>
            <w:r>
              <w:rPr>
                <w:rFonts w:ascii="Arial" w:cs="Arial" w:eastAsia="Arial" w:hAnsi="Arial"/>
                <w:sz w:val="12"/>
                <w:szCs w:val="12"/>
                <w:color w:val="004987"/>
              </w:rPr>
              <w:t>Accounting &amp;</w:t>
            </w:r>
          </w:p>
        </w:tc>
        <w:tc>
          <w:tcPr>
            <w:tcW w:w="940" w:type="dxa"/>
            <w:vAlign w:val="bottom"/>
          </w:tcPr>
          <w:p>
            <w:pPr>
              <w:spacing w:after="0"/>
              <w:rPr>
                <w:sz w:val="12"/>
                <w:szCs w:val="12"/>
                <w:color w:val="auto"/>
              </w:rPr>
            </w:pPr>
          </w:p>
        </w:tc>
        <w:tc>
          <w:tcPr>
            <w:tcW w:w="2200" w:type="dxa"/>
            <w:vAlign w:val="bottom"/>
          </w:tcPr>
          <w:p>
            <w:pPr>
              <w:ind w:left="840"/>
              <w:spacing w:after="0"/>
              <w:rPr>
                <w:sz w:val="20"/>
                <w:szCs w:val="20"/>
                <w:color w:val="auto"/>
              </w:rPr>
            </w:pPr>
            <w:r>
              <w:rPr>
                <w:rFonts w:ascii="Arial" w:cs="Arial" w:eastAsia="Arial" w:hAnsi="Arial"/>
                <w:sz w:val="12"/>
                <w:szCs w:val="12"/>
                <w:color w:val="004987"/>
              </w:rPr>
              <w:t>Business Development /</w:t>
            </w:r>
          </w:p>
        </w:tc>
      </w:tr>
      <w:tr>
        <w:trPr>
          <w:trHeight w:val="166"/>
        </w:trPr>
        <w:tc>
          <w:tcPr>
            <w:tcW w:w="2220" w:type="dxa"/>
            <w:vAlign w:val="bottom"/>
          </w:tcPr>
          <w:p>
            <w:pPr>
              <w:ind w:left="540"/>
              <w:spacing w:after="0"/>
              <w:rPr>
                <w:sz w:val="20"/>
                <w:szCs w:val="20"/>
                <w:color w:val="auto"/>
              </w:rPr>
            </w:pPr>
            <w:r>
              <w:rPr>
                <w:rFonts w:ascii="Arial" w:cs="Arial" w:eastAsia="Arial" w:hAnsi="Arial"/>
                <w:sz w:val="12"/>
                <w:szCs w:val="12"/>
                <w:color w:val="004987"/>
              </w:rPr>
              <w:t>Leadership</w:t>
            </w:r>
          </w:p>
        </w:tc>
        <w:tc>
          <w:tcPr>
            <w:tcW w:w="1760" w:type="dxa"/>
            <w:vAlign w:val="bottom"/>
          </w:tcPr>
          <w:p>
            <w:pPr>
              <w:ind w:left="440"/>
              <w:spacing w:after="0"/>
              <w:rPr>
                <w:sz w:val="20"/>
                <w:szCs w:val="20"/>
                <w:color w:val="auto"/>
              </w:rPr>
            </w:pPr>
            <w:r>
              <w:rPr>
                <w:rFonts w:ascii="Arial" w:cs="Arial" w:eastAsia="Arial" w:hAnsi="Arial"/>
                <w:sz w:val="12"/>
                <w:szCs w:val="12"/>
                <w:color w:val="004987"/>
              </w:rPr>
              <w:t>Independence</w:t>
            </w:r>
          </w:p>
        </w:tc>
        <w:tc>
          <w:tcPr>
            <w:tcW w:w="2240" w:type="dxa"/>
            <w:vAlign w:val="bottom"/>
          </w:tcPr>
          <w:p>
            <w:pPr>
              <w:ind w:left="700"/>
              <w:spacing w:after="0"/>
              <w:rPr>
                <w:sz w:val="20"/>
                <w:szCs w:val="20"/>
                <w:color w:val="auto"/>
              </w:rPr>
            </w:pPr>
            <w:r>
              <w:rPr>
                <w:rFonts w:ascii="Arial" w:cs="Arial" w:eastAsia="Arial" w:hAnsi="Arial"/>
                <w:sz w:val="12"/>
                <w:szCs w:val="12"/>
                <w:color w:val="004987"/>
              </w:rPr>
              <w:t>Capital Markets</w:t>
            </w:r>
          </w:p>
        </w:tc>
        <w:tc>
          <w:tcPr>
            <w:tcW w:w="1100" w:type="dxa"/>
            <w:vAlign w:val="bottom"/>
          </w:tcPr>
          <w:p>
            <w:pPr>
              <w:ind w:left="40"/>
              <w:spacing w:after="0"/>
              <w:rPr>
                <w:sz w:val="20"/>
                <w:szCs w:val="20"/>
                <w:color w:val="auto"/>
              </w:rPr>
            </w:pPr>
            <w:r>
              <w:rPr>
                <w:rFonts w:ascii="Arial" w:cs="Arial" w:eastAsia="Arial" w:hAnsi="Arial"/>
                <w:sz w:val="12"/>
                <w:szCs w:val="12"/>
                <w:color w:val="004987"/>
              </w:rPr>
              <w:t>Financial Reporting</w:t>
            </w:r>
          </w:p>
        </w:tc>
        <w:tc>
          <w:tcPr>
            <w:tcW w:w="940" w:type="dxa"/>
            <w:vAlign w:val="bottom"/>
          </w:tcPr>
          <w:p>
            <w:pPr>
              <w:spacing w:after="0"/>
              <w:rPr>
                <w:sz w:val="14"/>
                <w:szCs w:val="14"/>
                <w:color w:val="auto"/>
              </w:rPr>
            </w:pPr>
          </w:p>
        </w:tc>
        <w:tc>
          <w:tcPr>
            <w:tcW w:w="2200" w:type="dxa"/>
            <w:vAlign w:val="bottom"/>
          </w:tcPr>
          <w:p>
            <w:pPr>
              <w:ind w:left="840"/>
              <w:spacing w:after="0"/>
              <w:rPr>
                <w:sz w:val="20"/>
                <w:szCs w:val="20"/>
                <w:color w:val="auto"/>
              </w:rPr>
            </w:pPr>
            <w:r>
              <w:rPr>
                <w:rFonts w:ascii="Arial" w:cs="Arial" w:eastAsia="Arial" w:hAnsi="Arial"/>
                <w:sz w:val="12"/>
                <w:szCs w:val="12"/>
                <w:color w:val="004987"/>
              </w:rPr>
              <w:t>Mergers &amp; Acquisitions</w:t>
            </w:r>
          </w:p>
        </w:tc>
      </w:tr>
      <w:tr>
        <w:trPr>
          <w:trHeight w:val="295"/>
        </w:trPr>
        <w:tc>
          <w:tcPr>
            <w:tcW w:w="2220" w:type="dxa"/>
            <w:vAlign w:val="bottom"/>
          </w:tcPr>
          <w:p>
            <w:pPr>
              <w:ind w:left="540"/>
              <w:spacing w:after="0"/>
              <w:rPr>
                <w:sz w:val="20"/>
                <w:szCs w:val="20"/>
                <w:color w:val="auto"/>
              </w:rPr>
            </w:pPr>
            <w:r>
              <w:rPr>
                <w:rFonts w:ascii="Arial" w:cs="Arial" w:eastAsia="Arial" w:hAnsi="Arial"/>
                <w:sz w:val="12"/>
                <w:szCs w:val="12"/>
                <w:color w:val="004987"/>
              </w:rPr>
              <w:t>Public Company Board</w:t>
            </w:r>
          </w:p>
        </w:tc>
        <w:tc>
          <w:tcPr>
            <w:tcW w:w="1760" w:type="dxa"/>
            <w:vAlign w:val="bottom"/>
          </w:tcPr>
          <w:p>
            <w:pPr>
              <w:ind w:left="440"/>
              <w:spacing w:after="0"/>
              <w:rPr>
                <w:sz w:val="20"/>
                <w:szCs w:val="20"/>
                <w:color w:val="auto"/>
              </w:rPr>
            </w:pPr>
            <w:r>
              <w:rPr>
                <w:rFonts w:ascii="Arial" w:cs="Arial" w:eastAsia="Arial" w:hAnsi="Arial"/>
                <w:sz w:val="12"/>
                <w:szCs w:val="12"/>
                <w:color w:val="004987"/>
              </w:rPr>
              <w:t>Risk</w:t>
            </w:r>
          </w:p>
        </w:tc>
        <w:tc>
          <w:tcPr>
            <w:tcW w:w="2240" w:type="dxa"/>
            <w:vAlign w:val="bottom"/>
          </w:tcPr>
          <w:p>
            <w:pPr>
              <w:ind w:left="700"/>
              <w:spacing w:after="0"/>
              <w:rPr>
                <w:sz w:val="20"/>
                <w:szCs w:val="20"/>
                <w:color w:val="auto"/>
              </w:rPr>
            </w:pPr>
            <w:r>
              <w:rPr>
                <w:rFonts w:ascii="Arial" w:cs="Arial" w:eastAsia="Arial" w:hAnsi="Arial"/>
                <w:sz w:val="12"/>
                <w:szCs w:val="12"/>
                <w:color w:val="004987"/>
              </w:rPr>
              <w:t>Strategic</w:t>
            </w:r>
          </w:p>
        </w:tc>
        <w:tc>
          <w:tcPr>
            <w:tcW w:w="2040" w:type="dxa"/>
            <w:vAlign w:val="bottom"/>
            <w:gridSpan w:val="2"/>
          </w:tcPr>
          <w:p>
            <w:pPr>
              <w:ind w:left="40"/>
              <w:spacing w:after="0"/>
              <w:rPr>
                <w:sz w:val="20"/>
                <w:szCs w:val="20"/>
                <w:color w:val="auto"/>
              </w:rPr>
            </w:pPr>
            <w:r>
              <w:rPr>
                <w:rFonts w:ascii="Arial" w:cs="Arial" w:eastAsia="Arial" w:hAnsi="Arial"/>
                <w:sz w:val="12"/>
                <w:szCs w:val="12"/>
                <w:color w:val="004987"/>
              </w:rPr>
              <w:t>Vacation Ownership &amp;</w:t>
            </w:r>
          </w:p>
        </w:tc>
        <w:tc>
          <w:tcPr>
            <w:tcW w:w="2200" w:type="dxa"/>
            <w:vAlign w:val="bottom"/>
          </w:tcPr>
          <w:p>
            <w:pPr>
              <w:ind w:left="840"/>
              <w:spacing w:after="0"/>
              <w:rPr>
                <w:sz w:val="20"/>
                <w:szCs w:val="20"/>
                <w:color w:val="auto"/>
              </w:rPr>
            </w:pPr>
            <w:r>
              <w:rPr>
                <w:rFonts w:ascii="Arial" w:cs="Arial" w:eastAsia="Arial" w:hAnsi="Arial"/>
                <w:sz w:val="12"/>
                <w:szCs w:val="12"/>
                <w:color w:val="004987"/>
              </w:rPr>
              <w:t>Legal, Regulatory &amp;</w:t>
            </w:r>
          </w:p>
        </w:tc>
      </w:tr>
      <w:tr>
        <w:trPr>
          <w:trHeight w:val="166"/>
        </w:trPr>
        <w:tc>
          <w:tcPr>
            <w:tcW w:w="2220" w:type="dxa"/>
            <w:vAlign w:val="bottom"/>
          </w:tcPr>
          <w:p>
            <w:pPr>
              <w:ind w:left="540"/>
              <w:spacing w:after="0"/>
              <w:rPr>
                <w:sz w:val="20"/>
                <w:szCs w:val="20"/>
                <w:color w:val="auto"/>
              </w:rPr>
            </w:pPr>
            <w:r>
              <w:rPr>
                <w:rFonts w:ascii="Arial" w:cs="Arial" w:eastAsia="Arial" w:hAnsi="Arial"/>
                <w:sz w:val="12"/>
                <w:szCs w:val="12"/>
                <w:color w:val="004987"/>
              </w:rPr>
              <w:t>Service &amp; Governance</w:t>
            </w:r>
          </w:p>
        </w:tc>
        <w:tc>
          <w:tcPr>
            <w:tcW w:w="1760" w:type="dxa"/>
            <w:vAlign w:val="bottom"/>
          </w:tcPr>
          <w:p>
            <w:pPr>
              <w:ind w:left="440"/>
              <w:spacing w:after="0"/>
              <w:rPr>
                <w:sz w:val="20"/>
                <w:szCs w:val="20"/>
                <w:color w:val="auto"/>
              </w:rPr>
            </w:pPr>
            <w:r>
              <w:rPr>
                <w:rFonts w:ascii="Arial" w:cs="Arial" w:eastAsia="Arial" w:hAnsi="Arial"/>
                <w:sz w:val="12"/>
                <w:szCs w:val="12"/>
                <w:color w:val="004987"/>
              </w:rPr>
              <w:t>Management</w:t>
            </w:r>
          </w:p>
        </w:tc>
        <w:tc>
          <w:tcPr>
            <w:tcW w:w="2240" w:type="dxa"/>
            <w:vAlign w:val="bottom"/>
          </w:tcPr>
          <w:p>
            <w:pPr>
              <w:ind w:left="700"/>
              <w:spacing w:after="0"/>
              <w:rPr>
                <w:sz w:val="20"/>
                <w:szCs w:val="20"/>
                <w:color w:val="auto"/>
              </w:rPr>
            </w:pPr>
            <w:r>
              <w:rPr>
                <w:rFonts w:ascii="Arial" w:cs="Arial" w:eastAsia="Arial" w:hAnsi="Arial"/>
                <w:sz w:val="12"/>
                <w:szCs w:val="12"/>
                <w:color w:val="004987"/>
              </w:rPr>
              <w:t>Planning</w:t>
            </w:r>
          </w:p>
        </w:tc>
        <w:tc>
          <w:tcPr>
            <w:tcW w:w="1100" w:type="dxa"/>
            <w:vAlign w:val="bottom"/>
          </w:tcPr>
          <w:p>
            <w:pPr>
              <w:ind w:left="40"/>
              <w:spacing w:after="0"/>
              <w:rPr>
                <w:sz w:val="20"/>
                <w:szCs w:val="20"/>
                <w:color w:val="auto"/>
              </w:rPr>
            </w:pPr>
            <w:r>
              <w:rPr>
                <w:rFonts w:ascii="Arial" w:cs="Arial" w:eastAsia="Arial" w:hAnsi="Arial"/>
                <w:sz w:val="12"/>
                <w:szCs w:val="12"/>
                <w:color w:val="004987"/>
              </w:rPr>
              <w:t>Lodging Industry</w:t>
            </w:r>
          </w:p>
        </w:tc>
        <w:tc>
          <w:tcPr>
            <w:tcW w:w="940" w:type="dxa"/>
            <w:vAlign w:val="bottom"/>
          </w:tcPr>
          <w:p>
            <w:pPr>
              <w:spacing w:after="0"/>
              <w:rPr>
                <w:sz w:val="14"/>
                <w:szCs w:val="14"/>
                <w:color w:val="auto"/>
              </w:rPr>
            </w:pPr>
          </w:p>
        </w:tc>
        <w:tc>
          <w:tcPr>
            <w:tcW w:w="2200" w:type="dxa"/>
            <w:vAlign w:val="bottom"/>
          </w:tcPr>
          <w:p>
            <w:pPr>
              <w:ind w:left="840"/>
              <w:spacing w:after="0"/>
              <w:rPr>
                <w:sz w:val="20"/>
                <w:szCs w:val="20"/>
                <w:color w:val="auto"/>
              </w:rPr>
            </w:pPr>
            <w:r>
              <w:rPr>
                <w:rFonts w:ascii="Arial" w:cs="Arial" w:eastAsia="Arial" w:hAnsi="Arial"/>
                <w:sz w:val="12"/>
                <w:szCs w:val="12"/>
                <w:color w:val="004987"/>
              </w:rPr>
              <w:t>Government Relations</w:t>
            </w:r>
          </w:p>
        </w:tc>
      </w:tr>
      <w:tr>
        <w:trPr>
          <w:trHeight w:val="295"/>
        </w:trPr>
        <w:tc>
          <w:tcPr>
            <w:tcW w:w="2220" w:type="dxa"/>
            <w:vAlign w:val="bottom"/>
          </w:tcPr>
          <w:p>
            <w:pPr>
              <w:spacing w:after="0"/>
              <w:rPr>
                <w:sz w:val="24"/>
                <w:szCs w:val="24"/>
                <w:color w:val="auto"/>
              </w:rPr>
            </w:pPr>
          </w:p>
        </w:tc>
        <w:tc>
          <w:tcPr>
            <w:tcW w:w="1760" w:type="dxa"/>
            <w:vAlign w:val="bottom"/>
          </w:tcPr>
          <w:p>
            <w:pPr>
              <w:ind w:left="440"/>
              <w:spacing w:after="0"/>
              <w:rPr>
                <w:sz w:val="20"/>
                <w:szCs w:val="20"/>
                <w:color w:val="auto"/>
              </w:rPr>
            </w:pPr>
            <w:r>
              <w:rPr>
                <w:rFonts w:ascii="Arial" w:cs="Arial" w:eastAsia="Arial" w:hAnsi="Arial"/>
                <w:sz w:val="12"/>
                <w:szCs w:val="12"/>
                <w:color w:val="004987"/>
              </w:rPr>
              <w:t>Real Estate &amp; Business</w:t>
            </w:r>
          </w:p>
        </w:tc>
        <w:tc>
          <w:tcPr>
            <w:tcW w:w="2240" w:type="dxa"/>
            <w:vAlign w:val="bottom"/>
          </w:tcPr>
          <w:p>
            <w:pPr>
              <w:ind w:left="700"/>
              <w:spacing w:after="0"/>
              <w:rPr>
                <w:sz w:val="20"/>
                <w:szCs w:val="20"/>
                <w:color w:val="auto"/>
              </w:rPr>
            </w:pPr>
            <w:r>
              <w:rPr>
                <w:rFonts w:ascii="Arial" w:cs="Arial" w:eastAsia="Arial" w:hAnsi="Arial"/>
                <w:sz w:val="12"/>
                <w:szCs w:val="12"/>
                <w:color w:val="004987"/>
                <w:w w:val="99"/>
              </w:rPr>
              <w:t>Human Capital, Professional</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2220" w:type="dxa"/>
            <w:vAlign w:val="bottom"/>
          </w:tcPr>
          <w:p>
            <w:pPr>
              <w:ind w:left="540"/>
              <w:spacing w:after="0"/>
              <w:rPr>
                <w:sz w:val="20"/>
                <w:szCs w:val="20"/>
                <w:color w:val="auto"/>
              </w:rPr>
            </w:pPr>
            <w:r>
              <w:rPr>
                <w:rFonts w:ascii="Arial" w:cs="Arial" w:eastAsia="Arial" w:hAnsi="Arial"/>
                <w:sz w:val="12"/>
                <w:szCs w:val="12"/>
                <w:color w:val="004987"/>
              </w:rPr>
              <w:t>Compliance</w:t>
            </w:r>
          </w:p>
        </w:tc>
        <w:tc>
          <w:tcPr>
            <w:tcW w:w="1760" w:type="dxa"/>
            <w:vAlign w:val="bottom"/>
          </w:tcPr>
          <w:p>
            <w:pPr>
              <w:ind w:left="440"/>
              <w:spacing w:after="0"/>
              <w:rPr>
                <w:sz w:val="20"/>
                <w:szCs w:val="20"/>
                <w:color w:val="auto"/>
              </w:rPr>
            </w:pPr>
            <w:r>
              <w:rPr>
                <w:rFonts w:ascii="Arial" w:cs="Arial" w:eastAsia="Arial" w:hAnsi="Arial"/>
                <w:sz w:val="12"/>
                <w:szCs w:val="12"/>
                <w:color w:val="004987"/>
              </w:rPr>
              <w:t>Development</w:t>
            </w:r>
          </w:p>
        </w:tc>
        <w:tc>
          <w:tcPr>
            <w:tcW w:w="3340" w:type="dxa"/>
            <w:vAlign w:val="bottom"/>
            <w:gridSpan w:val="2"/>
          </w:tcPr>
          <w:p>
            <w:pPr>
              <w:ind w:left="700"/>
              <w:spacing w:after="0"/>
              <w:rPr>
                <w:sz w:val="20"/>
                <w:szCs w:val="20"/>
                <w:color w:val="auto"/>
              </w:rPr>
            </w:pPr>
            <w:r>
              <w:rPr>
                <w:rFonts w:ascii="Arial" w:cs="Arial" w:eastAsia="Arial" w:hAnsi="Arial"/>
                <w:sz w:val="12"/>
                <w:szCs w:val="12"/>
                <w:color w:val="004987"/>
              </w:rPr>
              <w:t>Development &amp; Organizational Culture</w:t>
            </w:r>
          </w:p>
        </w:tc>
        <w:tc>
          <w:tcPr>
            <w:tcW w:w="9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44"/>
        </w:trPr>
        <w:tc>
          <w:tcPr>
            <w:tcW w:w="2220" w:type="dxa"/>
            <w:vAlign w:val="bottom"/>
            <w:tcBorders>
              <w:bottom w:val="single" w:sz="8" w:color="004987"/>
            </w:tcBorders>
          </w:tcPr>
          <w:p>
            <w:pPr>
              <w:spacing w:after="0"/>
              <w:rPr>
                <w:sz w:val="20"/>
                <w:szCs w:val="20"/>
                <w:color w:val="auto"/>
              </w:rPr>
            </w:pPr>
            <w:r>
              <w:rPr>
                <w:rFonts w:ascii="Arial" w:cs="Arial" w:eastAsia="Arial" w:hAnsi="Arial"/>
                <w:sz w:val="10"/>
                <w:szCs w:val="10"/>
                <w:b w:val="1"/>
                <w:bCs w:val="1"/>
                <w:color w:val="004987"/>
              </w:rPr>
              <w:t>12</w:t>
            </w:r>
          </w:p>
        </w:tc>
        <w:tc>
          <w:tcPr>
            <w:tcW w:w="1760" w:type="dxa"/>
            <w:vAlign w:val="bottom"/>
            <w:tcBorders>
              <w:bottom w:val="single" w:sz="8" w:color="004987"/>
            </w:tcBorders>
          </w:tcPr>
          <w:p>
            <w:pPr>
              <w:spacing w:after="0"/>
              <w:rPr>
                <w:sz w:val="21"/>
                <w:szCs w:val="21"/>
                <w:color w:val="auto"/>
              </w:rPr>
            </w:pPr>
          </w:p>
        </w:tc>
        <w:tc>
          <w:tcPr>
            <w:tcW w:w="3340" w:type="dxa"/>
            <w:vAlign w:val="bottom"/>
            <w:tcBorders>
              <w:bottom w:val="single" w:sz="8" w:color="004987"/>
            </w:tcBorders>
            <w:gridSpan w:val="2"/>
          </w:tcPr>
          <w:p>
            <w:pPr>
              <w:ind w:left="60"/>
              <w:spacing w:after="0"/>
              <w:rPr>
                <w:sz w:val="20"/>
                <w:szCs w:val="20"/>
                <w:color w:val="auto"/>
              </w:rPr>
            </w:pPr>
            <w:r>
              <w:rPr>
                <w:rFonts w:ascii="Arial" w:cs="Arial" w:eastAsia="Arial" w:hAnsi="Arial"/>
                <w:sz w:val="10"/>
                <w:szCs w:val="10"/>
                <w:color w:val="auto"/>
              </w:rPr>
              <w:t>Report on the Board of Directors and its Committees</w:t>
            </w:r>
          </w:p>
        </w:tc>
        <w:tc>
          <w:tcPr>
            <w:tcW w:w="3140" w:type="dxa"/>
            <w:vAlign w:val="bottom"/>
            <w:tcBorders>
              <w:bottom w:val="single" w:sz="8" w:color="004987"/>
            </w:tcBorders>
            <w:gridSpan w:val="2"/>
          </w:tcPr>
          <w:p>
            <w:pPr>
              <w:ind w:left="20"/>
              <w:spacing w:after="0"/>
              <w:rPr>
                <w:sz w:val="20"/>
                <w:szCs w:val="20"/>
                <w:color w:val="auto"/>
              </w:rPr>
            </w:pP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-911225</wp:posOffset>
            </wp:positionV>
            <wp:extent cx="89535" cy="130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-886460</wp:posOffset>
            </wp:positionV>
            <wp:extent cx="154940" cy="130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2981325</wp:posOffset>
            </wp:positionH>
            <wp:positionV relativeFrom="paragraph">
              <wp:posOffset>-886460</wp:posOffset>
            </wp:positionV>
            <wp:extent cx="154940" cy="130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-886460</wp:posOffset>
            </wp:positionV>
            <wp:extent cx="130175" cy="130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-886460</wp:posOffset>
            </wp:positionV>
            <wp:extent cx="138430" cy="130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-601980</wp:posOffset>
            </wp:positionV>
            <wp:extent cx="146685" cy="130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-593725</wp:posOffset>
            </wp:positionV>
            <wp:extent cx="130175" cy="130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-593725</wp:posOffset>
            </wp:positionV>
            <wp:extent cx="138430" cy="130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-601980</wp:posOffset>
            </wp:positionV>
            <wp:extent cx="121920" cy="130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-593725</wp:posOffset>
            </wp:positionV>
            <wp:extent cx="130175" cy="130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-300355</wp:posOffset>
            </wp:positionV>
            <wp:extent cx="179070" cy="130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070" cy="130175"/>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-300355</wp:posOffset>
            </wp:positionV>
            <wp:extent cx="130175" cy="130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-308610</wp:posOffset>
            </wp:positionV>
            <wp:extent cx="130175" cy="130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54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LIZANNE GALBREATH</w:t>
            </w:r>
          </w:p>
        </w:tc>
        <w:tc>
          <w:tcPr>
            <w:tcW w:w="6920" w:type="dxa"/>
            <w:vAlign w:val="bottom"/>
            <w:tcBorders>
              <w:top w:val="single" w:sz="8" w:color="004987"/>
            </w:tcBorders>
          </w:tcPr>
          <w:p>
            <w:pPr>
              <w:spacing w:after="0"/>
              <w:rPr>
                <w:sz w:val="19"/>
                <w:szCs w:val="19"/>
                <w:color w:val="auto"/>
              </w:rPr>
            </w:pPr>
          </w:p>
        </w:tc>
      </w:tr>
      <w:tr>
        <w:trPr>
          <w:trHeight w:val="238"/>
        </w:trPr>
        <w:tc>
          <w:tcPr>
            <w:tcW w:w="3540" w:type="dxa"/>
            <w:vAlign w:val="bottom"/>
          </w:tcPr>
          <w:p>
            <w:pPr>
              <w:spacing w:after="0"/>
              <w:rPr>
                <w:sz w:val="20"/>
                <w:szCs w:val="20"/>
                <w:color w:val="auto"/>
              </w:rPr>
            </w:pPr>
            <w:r>
              <w:rPr>
                <w:rFonts w:ascii="Arial" w:cs="Arial" w:eastAsia="Arial" w:hAnsi="Arial"/>
                <w:sz w:val="15"/>
                <w:szCs w:val="15"/>
                <w:color w:val="auto"/>
              </w:rPr>
              <w:t>Age: 64</w:t>
            </w:r>
          </w:p>
        </w:tc>
        <w:tc>
          <w:tcPr>
            <w:tcW w:w="6920" w:type="dxa"/>
            <w:vAlign w:val="bottom"/>
          </w:tcPr>
          <w:p>
            <w:pPr>
              <w:ind w:left="1900"/>
              <w:spacing w:after="0"/>
              <w:rPr>
                <w:sz w:val="20"/>
                <w:szCs w:val="20"/>
                <w:color w:val="auto"/>
              </w:rPr>
            </w:pPr>
            <w:r>
              <w:rPr>
                <w:rFonts w:ascii="Arial" w:cs="Arial" w:eastAsia="Arial" w:hAnsi="Arial"/>
                <w:sz w:val="15"/>
                <w:szCs w:val="15"/>
                <w:color w:val="auto"/>
              </w:rPr>
              <w:t>Committees:</w:t>
            </w:r>
          </w:p>
        </w:tc>
      </w:tr>
      <w:tr>
        <w:trPr>
          <w:trHeight w:val="179"/>
        </w:trPr>
        <w:tc>
          <w:tcPr>
            <w:tcW w:w="3540" w:type="dxa"/>
            <w:vAlign w:val="bottom"/>
          </w:tcPr>
          <w:p>
            <w:pPr>
              <w:spacing w:after="0"/>
              <w:rPr>
                <w:sz w:val="20"/>
                <w:szCs w:val="20"/>
                <w:color w:val="auto"/>
              </w:rPr>
            </w:pPr>
            <w:r>
              <w:rPr>
                <w:rFonts w:ascii="Arial" w:cs="Arial" w:eastAsia="Arial" w:hAnsi="Arial"/>
                <w:sz w:val="15"/>
                <w:szCs w:val="15"/>
                <w:color w:val="auto"/>
              </w:rPr>
              <w:t>Director Since: 2018</w:t>
            </w:r>
          </w:p>
        </w:tc>
        <w:tc>
          <w:tcPr>
            <w:tcW w:w="6920" w:type="dxa"/>
            <w:vAlign w:val="bottom"/>
          </w:tcPr>
          <w:p>
            <w:pPr>
              <w:ind w:left="19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Compensation Policy</w:t>
            </w:r>
          </w:p>
        </w:tc>
      </w:tr>
      <w:tr>
        <w:trPr>
          <w:trHeight w:val="201"/>
        </w:trPr>
        <w:tc>
          <w:tcPr>
            <w:tcW w:w="3540" w:type="dxa"/>
            <w:vAlign w:val="bottom"/>
          </w:tcPr>
          <w:p>
            <w:pPr>
              <w:spacing w:after="0"/>
              <w:rPr>
                <w:sz w:val="17"/>
                <w:szCs w:val="17"/>
                <w:color w:val="auto"/>
              </w:rPr>
            </w:pPr>
          </w:p>
        </w:tc>
        <w:tc>
          <w:tcPr>
            <w:tcW w:w="6920" w:type="dxa"/>
            <w:vAlign w:val="bottom"/>
          </w:tcPr>
          <w:p>
            <w:pPr>
              <w:ind w:left="19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Nominating and Corporate Governance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60"/>
        <w:spacing w:after="0" w:line="253" w:lineRule="auto"/>
        <w:rPr>
          <w:sz w:val="20"/>
          <w:szCs w:val="20"/>
          <w:color w:val="auto"/>
        </w:rPr>
      </w:pPr>
      <w:r>
        <w:rPr>
          <w:rFonts w:ascii="Arial" w:cs="Arial" w:eastAsia="Arial" w:hAnsi="Arial"/>
          <w:sz w:val="15"/>
          <w:szCs w:val="15"/>
          <w:color w:val="auto"/>
        </w:rPr>
        <w:t>Ms. Galbreath has been the Managing Partner of Galbreath &amp; Company, a real estate investment firm, since 1999. From April 1997 to 1999, she was Managing Director of LaSalle Partners/Jones Lang LaSalle, a real estate services and investment management firm, where she also served as a director. From 1984 to 1997, Ms. Galbreath served in a variety of leadership positions including as Managing Director, Chairman and Chief Executive Officer of The Galbreath Company, the predecessor of Galbreath &amp; Company. Ms. Galbreath was a director of Paramount Group, Inc., a publicly traded REIT, from 2014 to 2020. She was also a director of Starwood from 2005 to September 2016. She served as a director of ILG, Inc. (“ILG”) from May 2016 through August 2018, prior to the Company’s acquisition of ILG.</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160"/>
        <w:spacing w:after="0" w:line="259" w:lineRule="auto"/>
        <w:rPr>
          <w:sz w:val="20"/>
          <w:szCs w:val="20"/>
          <w:color w:val="auto"/>
        </w:rPr>
      </w:pPr>
      <w:r>
        <w:rPr>
          <w:rFonts w:ascii="Arial" w:cs="Arial" w:eastAsia="Arial" w:hAnsi="Arial"/>
          <w:sz w:val="15"/>
          <w:szCs w:val="15"/>
          <w:color w:val="auto"/>
        </w:rPr>
        <w:t>Ms. Galbreath provides the Board with the benefit of her senior leadership experience as managing partner of Galbreath &amp; Company. The Board also benefits from her real estate investment, development and strategy experience, and management and corporate governance experience, having served as a member of the boards of directors and committees of the boards of directors of other publicly traded companies.</w:t>
      </w:r>
    </w:p>
    <w:p>
      <w:pPr>
        <w:spacing w:after="0" w:line="117" w:lineRule="exact"/>
        <w:rPr>
          <w:sz w:val="20"/>
          <w:szCs w:val="20"/>
          <w:color w:val="auto"/>
        </w:rPr>
      </w:pPr>
    </w:p>
    <w:tbl>
      <w:tblPr>
        <w:tblLayout w:type="fixed"/>
        <w:tblInd w:w="820" w:type="dxa"/>
        <w:tblCellMar>
          <w:top w:w="0" w:type="dxa"/>
          <w:left w:w="0" w:type="dxa"/>
          <w:bottom w:w="0" w:type="dxa"/>
          <w:right w:w="0" w:type="dxa"/>
        </w:tblCellMar>
      </w:tblPr>
      <w:tr>
        <w:trPr>
          <w:trHeight w:val="138"/>
        </w:trPr>
        <w:tc>
          <w:tcPr>
            <w:tcW w:w="1460" w:type="dxa"/>
            <w:vAlign w:val="bottom"/>
          </w:tcPr>
          <w:p>
            <w:pPr>
              <w:spacing w:after="0"/>
              <w:rPr>
                <w:sz w:val="20"/>
                <w:szCs w:val="20"/>
                <w:color w:val="auto"/>
              </w:rPr>
            </w:pPr>
            <w:r>
              <w:rPr>
                <w:rFonts w:ascii="Arial" w:cs="Arial" w:eastAsia="Arial" w:hAnsi="Arial"/>
                <w:sz w:val="12"/>
                <w:szCs w:val="12"/>
                <w:color w:val="004987"/>
              </w:rPr>
              <w:t>Corporate</w:t>
            </w:r>
          </w:p>
        </w:tc>
        <w:tc>
          <w:tcPr>
            <w:tcW w:w="1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20" w:type="dxa"/>
            <w:vAlign w:val="bottom"/>
          </w:tcPr>
          <w:p>
            <w:pPr>
              <w:ind w:left="600"/>
              <w:spacing w:after="0"/>
              <w:rPr>
                <w:sz w:val="20"/>
                <w:szCs w:val="20"/>
                <w:color w:val="auto"/>
              </w:rPr>
            </w:pPr>
            <w:r>
              <w:rPr>
                <w:rFonts w:ascii="Arial" w:cs="Arial" w:eastAsia="Arial" w:hAnsi="Arial"/>
                <w:sz w:val="12"/>
                <w:szCs w:val="12"/>
                <w:color w:val="004987"/>
              </w:rPr>
              <w:t>Public Company Board</w:t>
            </w:r>
          </w:p>
        </w:tc>
        <w:tc>
          <w:tcPr>
            <w:tcW w:w="1980" w:type="dxa"/>
            <w:vAlign w:val="bottom"/>
          </w:tcPr>
          <w:p>
            <w:pPr>
              <w:ind w:left="620"/>
              <w:spacing w:after="0"/>
              <w:rPr>
                <w:sz w:val="20"/>
                <w:szCs w:val="20"/>
                <w:color w:val="auto"/>
              </w:rPr>
            </w:pPr>
            <w:r>
              <w:rPr>
                <w:rFonts w:ascii="Arial" w:cs="Arial" w:eastAsia="Arial" w:hAnsi="Arial"/>
                <w:sz w:val="12"/>
                <w:szCs w:val="12"/>
                <w:color w:val="004987"/>
              </w:rPr>
              <w:t>Risk</w:t>
            </w:r>
          </w:p>
        </w:tc>
        <w:tc>
          <w:tcPr>
            <w:tcW w:w="1120" w:type="dxa"/>
            <w:vAlign w:val="bottom"/>
          </w:tcPr>
          <w:p>
            <w:pPr>
              <w:ind w:left="640"/>
              <w:spacing w:after="0"/>
              <w:rPr>
                <w:sz w:val="20"/>
                <w:szCs w:val="20"/>
                <w:color w:val="auto"/>
              </w:rPr>
            </w:pPr>
            <w:r>
              <w:rPr>
                <w:rFonts w:ascii="Arial" w:cs="Arial" w:eastAsia="Arial" w:hAnsi="Arial"/>
                <w:sz w:val="12"/>
                <w:szCs w:val="12"/>
                <w:color w:val="004987"/>
                <w:w w:val="97"/>
              </w:rPr>
              <w:t>Strategic</w:t>
            </w:r>
          </w:p>
        </w:tc>
      </w:tr>
      <w:tr>
        <w:trPr>
          <w:trHeight w:val="171"/>
        </w:trPr>
        <w:tc>
          <w:tcPr>
            <w:tcW w:w="1460" w:type="dxa"/>
            <w:vAlign w:val="bottom"/>
          </w:tcPr>
          <w:p>
            <w:pPr>
              <w:spacing w:after="0"/>
              <w:rPr>
                <w:sz w:val="20"/>
                <w:szCs w:val="20"/>
                <w:color w:val="auto"/>
              </w:rPr>
            </w:pPr>
            <w:r>
              <w:rPr>
                <w:rFonts w:ascii="Arial" w:cs="Arial" w:eastAsia="Arial" w:hAnsi="Arial"/>
                <w:sz w:val="12"/>
                <w:szCs w:val="12"/>
                <w:color w:val="004987"/>
              </w:rPr>
              <w:t>Leadership</w:t>
            </w:r>
          </w:p>
        </w:tc>
        <w:tc>
          <w:tcPr>
            <w:tcW w:w="1800" w:type="dxa"/>
            <w:vAlign w:val="bottom"/>
          </w:tcPr>
          <w:p>
            <w:pPr>
              <w:ind w:left="400"/>
              <w:spacing w:after="0"/>
              <w:rPr>
                <w:sz w:val="20"/>
                <w:szCs w:val="20"/>
                <w:color w:val="auto"/>
              </w:rPr>
            </w:pPr>
            <w:r>
              <w:rPr>
                <w:rFonts w:ascii="Arial" w:cs="Arial" w:eastAsia="Arial" w:hAnsi="Arial"/>
                <w:sz w:val="12"/>
                <w:szCs w:val="12"/>
                <w:color w:val="004987"/>
              </w:rPr>
              <w:t>Independence</w:t>
            </w:r>
          </w:p>
        </w:tc>
        <w:tc>
          <w:tcPr>
            <w:tcW w:w="1220" w:type="dxa"/>
            <w:vAlign w:val="bottom"/>
          </w:tcPr>
          <w:p>
            <w:pPr>
              <w:ind w:left="180"/>
              <w:spacing w:after="0"/>
              <w:rPr>
                <w:sz w:val="20"/>
                <w:szCs w:val="20"/>
                <w:color w:val="auto"/>
              </w:rPr>
            </w:pPr>
            <w:r>
              <w:rPr>
                <w:rFonts w:ascii="Arial" w:cs="Arial" w:eastAsia="Arial" w:hAnsi="Arial"/>
                <w:sz w:val="12"/>
                <w:szCs w:val="12"/>
                <w:color w:val="004987"/>
              </w:rPr>
              <w:t>Diversity</w:t>
            </w:r>
          </w:p>
        </w:tc>
        <w:tc>
          <w:tcPr>
            <w:tcW w:w="2420" w:type="dxa"/>
            <w:vAlign w:val="bottom"/>
          </w:tcPr>
          <w:p>
            <w:pPr>
              <w:ind w:left="600"/>
              <w:spacing w:after="0"/>
              <w:rPr>
                <w:sz w:val="20"/>
                <w:szCs w:val="20"/>
                <w:color w:val="auto"/>
              </w:rPr>
            </w:pPr>
            <w:r>
              <w:rPr>
                <w:rFonts w:ascii="Arial" w:cs="Arial" w:eastAsia="Arial" w:hAnsi="Arial"/>
                <w:sz w:val="12"/>
                <w:szCs w:val="12"/>
                <w:color w:val="004987"/>
              </w:rPr>
              <w:t>Service &amp; Governance</w:t>
            </w:r>
          </w:p>
        </w:tc>
        <w:tc>
          <w:tcPr>
            <w:tcW w:w="1980" w:type="dxa"/>
            <w:vAlign w:val="bottom"/>
          </w:tcPr>
          <w:p>
            <w:pPr>
              <w:ind w:left="620"/>
              <w:spacing w:after="0"/>
              <w:rPr>
                <w:sz w:val="20"/>
                <w:szCs w:val="20"/>
                <w:color w:val="auto"/>
              </w:rPr>
            </w:pPr>
            <w:r>
              <w:rPr>
                <w:rFonts w:ascii="Arial" w:cs="Arial" w:eastAsia="Arial" w:hAnsi="Arial"/>
                <w:sz w:val="12"/>
                <w:szCs w:val="12"/>
                <w:color w:val="004987"/>
              </w:rPr>
              <w:t>Management</w:t>
            </w:r>
          </w:p>
        </w:tc>
        <w:tc>
          <w:tcPr>
            <w:tcW w:w="1120" w:type="dxa"/>
            <w:vAlign w:val="bottom"/>
          </w:tcPr>
          <w:p>
            <w:pPr>
              <w:ind w:left="640"/>
              <w:spacing w:after="0"/>
              <w:rPr>
                <w:sz w:val="20"/>
                <w:szCs w:val="20"/>
                <w:color w:val="auto"/>
              </w:rPr>
            </w:pPr>
            <w:r>
              <w:rPr>
                <w:rFonts w:ascii="Arial" w:cs="Arial" w:eastAsia="Arial" w:hAnsi="Arial"/>
                <w:sz w:val="12"/>
                <w:szCs w:val="12"/>
                <w:color w:val="004987"/>
                <w:w w:val="98"/>
              </w:rPr>
              <w:t>Planning</w:t>
            </w:r>
          </w:p>
        </w:tc>
      </w:tr>
      <w:tr>
        <w:trPr>
          <w:trHeight w:val="206"/>
        </w:trPr>
        <w:tc>
          <w:tcPr>
            <w:tcW w:w="1460" w:type="dxa"/>
            <w:vAlign w:val="bottom"/>
          </w:tcPr>
          <w:p>
            <w:pPr>
              <w:spacing w:after="0"/>
              <w:rPr>
                <w:sz w:val="20"/>
                <w:szCs w:val="20"/>
                <w:color w:val="auto"/>
              </w:rPr>
            </w:pPr>
            <w:r>
              <w:rPr>
                <w:rFonts w:ascii="Arial" w:cs="Arial" w:eastAsia="Arial" w:hAnsi="Arial"/>
                <w:sz w:val="12"/>
                <w:szCs w:val="12"/>
                <w:color w:val="004987"/>
              </w:rPr>
              <w:t>Vacation Ownership</w:t>
            </w:r>
          </w:p>
        </w:tc>
        <w:tc>
          <w:tcPr>
            <w:tcW w:w="1800" w:type="dxa"/>
            <w:vAlign w:val="bottom"/>
          </w:tcPr>
          <w:p>
            <w:pPr>
              <w:ind w:left="400"/>
              <w:spacing w:after="0"/>
              <w:rPr>
                <w:sz w:val="20"/>
                <w:szCs w:val="20"/>
                <w:color w:val="auto"/>
              </w:rPr>
            </w:pPr>
            <w:r>
              <w:rPr>
                <w:rFonts w:ascii="Arial" w:cs="Arial" w:eastAsia="Arial" w:hAnsi="Arial"/>
                <w:sz w:val="12"/>
                <w:szCs w:val="12"/>
                <w:color w:val="004987"/>
              </w:rPr>
              <w:t>Real Estate &amp;</w:t>
            </w:r>
          </w:p>
        </w:tc>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6"/>
        </w:trPr>
        <w:tc>
          <w:tcPr>
            <w:tcW w:w="1460" w:type="dxa"/>
            <w:vAlign w:val="bottom"/>
          </w:tcPr>
          <w:p>
            <w:pPr>
              <w:spacing w:after="0"/>
              <w:rPr>
                <w:sz w:val="20"/>
                <w:szCs w:val="20"/>
                <w:color w:val="auto"/>
              </w:rPr>
            </w:pPr>
            <w:r>
              <w:rPr>
                <w:rFonts w:ascii="Arial" w:cs="Arial" w:eastAsia="Arial" w:hAnsi="Arial"/>
                <w:sz w:val="12"/>
                <w:szCs w:val="12"/>
                <w:color w:val="004987"/>
              </w:rPr>
              <w:t>&amp; Lodging Industry</w:t>
            </w:r>
          </w:p>
        </w:tc>
        <w:tc>
          <w:tcPr>
            <w:tcW w:w="1800" w:type="dxa"/>
            <w:vAlign w:val="bottom"/>
          </w:tcPr>
          <w:p>
            <w:pPr>
              <w:ind w:left="400"/>
              <w:spacing w:after="0"/>
              <w:rPr>
                <w:sz w:val="20"/>
                <w:szCs w:val="20"/>
                <w:color w:val="auto"/>
              </w:rPr>
            </w:pPr>
            <w:r>
              <w:rPr>
                <w:rFonts w:ascii="Arial" w:cs="Arial" w:eastAsia="Arial" w:hAnsi="Arial"/>
                <w:sz w:val="12"/>
                <w:szCs w:val="12"/>
                <w:color w:val="004987"/>
              </w:rPr>
              <w:t>Business Development</w:t>
            </w:r>
          </w:p>
        </w:tc>
        <w:tc>
          <w:tcPr>
            <w:tcW w:w="1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-398145</wp:posOffset>
            </wp:positionV>
            <wp:extent cx="89535" cy="130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1483360</wp:posOffset>
            </wp:positionH>
            <wp:positionV relativeFrom="paragraph">
              <wp:posOffset>-373380</wp:posOffset>
            </wp:positionV>
            <wp:extent cx="154940" cy="130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-373380</wp:posOffset>
            </wp:positionV>
            <wp:extent cx="138430" cy="130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-373380</wp:posOffset>
            </wp:positionV>
            <wp:extent cx="146685" cy="130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-373380</wp:posOffset>
            </wp:positionV>
            <wp:extent cx="130175" cy="130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-373380</wp:posOffset>
            </wp:positionV>
            <wp:extent cx="138430" cy="130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-145415</wp:posOffset>
            </wp:positionV>
            <wp:extent cx="121920" cy="130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-145415</wp:posOffset>
            </wp:positionV>
            <wp:extent cx="130175" cy="130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74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MELQUIADES R. MARTINEZ</w:t>
            </w:r>
          </w:p>
        </w:tc>
        <w:tc>
          <w:tcPr>
            <w:tcW w:w="6720" w:type="dxa"/>
            <w:vAlign w:val="bottom"/>
            <w:tcBorders>
              <w:top w:val="single" w:sz="8" w:color="004987"/>
            </w:tcBorders>
          </w:tcPr>
          <w:p>
            <w:pPr>
              <w:spacing w:after="0"/>
              <w:rPr>
                <w:sz w:val="19"/>
                <w:szCs w:val="19"/>
                <w:color w:val="auto"/>
              </w:rPr>
            </w:pPr>
          </w:p>
        </w:tc>
      </w:tr>
      <w:tr>
        <w:trPr>
          <w:trHeight w:val="238"/>
        </w:trPr>
        <w:tc>
          <w:tcPr>
            <w:tcW w:w="3740" w:type="dxa"/>
            <w:vAlign w:val="bottom"/>
          </w:tcPr>
          <w:p>
            <w:pPr>
              <w:spacing w:after="0"/>
              <w:rPr>
                <w:sz w:val="20"/>
                <w:szCs w:val="20"/>
                <w:color w:val="auto"/>
              </w:rPr>
            </w:pPr>
            <w:r>
              <w:rPr>
                <w:rFonts w:ascii="Arial" w:cs="Arial" w:eastAsia="Arial" w:hAnsi="Arial"/>
                <w:sz w:val="15"/>
                <w:szCs w:val="15"/>
                <w:color w:val="auto"/>
              </w:rPr>
              <w:t>Age: 75</w:t>
            </w:r>
          </w:p>
        </w:tc>
        <w:tc>
          <w:tcPr>
            <w:tcW w:w="6720" w:type="dxa"/>
            <w:vAlign w:val="bottom"/>
          </w:tcPr>
          <w:p>
            <w:pPr>
              <w:ind w:left="1700"/>
              <w:spacing w:after="0"/>
              <w:rPr>
                <w:sz w:val="20"/>
                <w:szCs w:val="20"/>
                <w:color w:val="auto"/>
              </w:rPr>
            </w:pPr>
            <w:r>
              <w:rPr>
                <w:rFonts w:ascii="Arial" w:cs="Arial" w:eastAsia="Arial" w:hAnsi="Arial"/>
                <w:sz w:val="15"/>
                <w:szCs w:val="15"/>
                <w:color w:val="auto"/>
              </w:rPr>
              <w:t>Committees:</w:t>
            </w:r>
          </w:p>
        </w:tc>
      </w:tr>
      <w:tr>
        <w:trPr>
          <w:trHeight w:val="201"/>
        </w:trPr>
        <w:tc>
          <w:tcPr>
            <w:tcW w:w="3740" w:type="dxa"/>
            <w:vAlign w:val="bottom"/>
          </w:tcPr>
          <w:p>
            <w:pPr>
              <w:spacing w:after="0"/>
              <w:rPr>
                <w:sz w:val="20"/>
                <w:szCs w:val="20"/>
                <w:color w:val="auto"/>
              </w:rPr>
            </w:pPr>
            <w:r>
              <w:rPr>
                <w:rFonts w:ascii="Arial" w:cs="Arial" w:eastAsia="Arial" w:hAnsi="Arial"/>
                <w:sz w:val="15"/>
                <w:szCs w:val="15"/>
                <w:color w:val="auto"/>
              </w:rPr>
              <w:t>Director Since: 2011</w:t>
            </w:r>
          </w:p>
        </w:tc>
        <w:tc>
          <w:tcPr>
            <w:tcW w:w="6720" w:type="dxa"/>
            <w:vAlign w:val="bottom"/>
          </w:tcPr>
          <w:p>
            <w:pPr>
              <w:ind w:left="170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Nominating and Corporate Governance (Chair)</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40"/>
        <w:spacing w:after="0" w:line="253" w:lineRule="auto"/>
        <w:rPr>
          <w:sz w:val="20"/>
          <w:szCs w:val="20"/>
          <w:color w:val="auto"/>
        </w:rPr>
      </w:pPr>
      <w:r>
        <w:rPr>
          <w:rFonts w:ascii="Arial" w:cs="Arial" w:eastAsia="Arial" w:hAnsi="Arial"/>
          <w:sz w:val="15"/>
          <w:szCs w:val="15"/>
          <w:color w:val="auto"/>
        </w:rPr>
        <w:t>Mr. Martinez has served as Chairman of the Southeast U.S. and Latin America, JPMorgan Chase &amp; Co. since July 2010. Prior to that, he was a partner in the law firm DLA Piper from September 2009. Mr. Martinez served as a U.S. Senator from Florida from January 2005 through September 2009. He also served as Chairman of the Republican Party from November 2006 through October 2007, as Secretary of the U.S. Department of Housing and Urban Development from 2001 to 2004, and as Mayor of Orange County, Florida from November 1998 to January 2001. Mr. Martinez is a director of NVR Inc., a publicly traded homebuilder. He also serves on the Advisory Board of Securiport LLC, a private company that designs and implements civil aviation security, biometric screening, immigration control and threat assessment systems.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180"/>
        <w:spacing w:after="0" w:line="259" w:lineRule="auto"/>
        <w:rPr>
          <w:sz w:val="20"/>
          <w:szCs w:val="20"/>
          <w:color w:val="auto"/>
        </w:rPr>
      </w:pPr>
      <w:r>
        <w:rPr>
          <w:rFonts w:ascii="Arial" w:cs="Arial" w:eastAsia="Arial" w:hAnsi="Arial"/>
          <w:sz w:val="15"/>
          <w:szCs w:val="15"/>
          <w:color w:val="auto"/>
        </w:rPr>
        <w:t>Mr. Martinez provides our Board with the benefit of his vast experience in the public and private sectors and his in-depth knowledge of and relationships within Florida, where our headquarters are located. The Board also benefits from his legal experience and knowledge of legislative and regulatory processes.</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1400" w:type="dxa"/>
            <w:vAlign w:val="bottom"/>
          </w:tcPr>
          <w:p>
            <w:pPr>
              <w:ind w:left="400"/>
              <w:spacing w:after="0"/>
              <w:rPr>
                <w:sz w:val="20"/>
                <w:szCs w:val="20"/>
                <w:color w:val="auto"/>
              </w:rPr>
            </w:pPr>
            <w:r>
              <w:rPr>
                <w:rFonts w:ascii="Arial" w:cs="Arial" w:eastAsia="Arial" w:hAnsi="Arial"/>
                <w:sz w:val="12"/>
                <w:szCs w:val="12"/>
                <w:color w:val="004987"/>
              </w:rPr>
              <w:t>Corporate</w:t>
            </w:r>
          </w:p>
        </w:tc>
        <w:tc>
          <w:tcPr>
            <w:tcW w:w="2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780" w:type="dxa"/>
            <w:vAlign w:val="bottom"/>
          </w:tcPr>
          <w:p>
            <w:pPr>
              <w:ind w:left="580"/>
              <w:spacing w:after="0"/>
              <w:rPr>
                <w:sz w:val="20"/>
                <w:szCs w:val="20"/>
                <w:color w:val="auto"/>
              </w:rPr>
            </w:pPr>
            <w:r>
              <w:rPr>
                <w:rFonts w:ascii="Arial" w:cs="Arial" w:eastAsia="Arial" w:hAnsi="Arial"/>
                <w:sz w:val="12"/>
                <w:szCs w:val="12"/>
                <w:color w:val="004987"/>
              </w:rPr>
              <w:t>Public Company Board</w:t>
            </w:r>
          </w:p>
        </w:tc>
        <w:tc>
          <w:tcPr>
            <w:tcW w:w="1460" w:type="dxa"/>
            <w:vAlign w:val="bottom"/>
          </w:tcPr>
          <w:p>
            <w:pPr>
              <w:ind w:left="160"/>
              <w:spacing w:after="0"/>
              <w:rPr>
                <w:sz w:val="20"/>
                <w:szCs w:val="20"/>
                <w:color w:val="auto"/>
              </w:rPr>
            </w:pPr>
            <w:r>
              <w:rPr>
                <w:rFonts w:ascii="Arial" w:cs="Arial" w:eastAsia="Arial" w:hAnsi="Arial"/>
                <w:sz w:val="12"/>
                <w:szCs w:val="12"/>
                <w:color w:val="004987"/>
              </w:rPr>
              <w:t>Risk</w:t>
            </w:r>
          </w:p>
        </w:tc>
        <w:tc>
          <w:tcPr>
            <w:tcW w:w="1120" w:type="dxa"/>
            <w:vAlign w:val="bottom"/>
          </w:tcPr>
          <w:p>
            <w:pPr>
              <w:ind w:left="600"/>
              <w:spacing w:after="0"/>
              <w:rPr>
                <w:sz w:val="20"/>
                <w:szCs w:val="20"/>
                <w:color w:val="auto"/>
              </w:rPr>
            </w:pPr>
            <w:r>
              <w:rPr>
                <w:rFonts w:ascii="Arial" w:cs="Arial" w:eastAsia="Arial" w:hAnsi="Arial"/>
                <w:sz w:val="12"/>
                <w:szCs w:val="12"/>
                <w:color w:val="004987"/>
              </w:rPr>
              <w:t>Strategic</w:t>
            </w:r>
          </w:p>
        </w:tc>
      </w:tr>
      <w:tr>
        <w:trPr>
          <w:trHeight w:val="171"/>
        </w:trPr>
        <w:tc>
          <w:tcPr>
            <w:tcW w:w="1400" w:type="dxa"/>
            <w:vAlign w:val="bottom"/>
          </w:tcPr>
          <w:p>
            <w:pPr>
              <w:ind w:left="400"/>
              <w:spacing w:after="0"/>
              <w:rPr>
                <w:sz w:val="20"/>
                <w:szCs w:val="20"/>
                <w:color w:val="auto"/>
              </w:rPr>
            </w:pPr>
            <w:r>
              <w:rPr>
                <w:rFonts w:ascii="Arial" w:cs="Arial" w:eastAsia="Arial" w:hAnsi="Arial"/>
                <w:sz w:val="12"/>
                <w:szCs w:val="12"/>
                <w:color w:val="004987"/>
              </w:rPr>
              <w:t>Leadership</w:t>
            </w:r>
          </w:p>
        </w:tc>
        <w:tc>
          <w:tcPr>
            <w:tcW w:w="2100" w:type="dxa"/>
            <w:vAlign w:val="bottom"/>
          </w:tcPr>
          <w:p>
            <w:pPr>
              <w:ind w:left="420"/>
              <w:spacing w:after="0"/>
              <w:rPr>
                <w:sz w:val="20"/>
                <w:szCs w:val="20"/>
                <w:color w:val="auto"/>
              </w:rPr>
            </w:pPr>
            <w:r>
              <w:rPr>
                <w:rFonts w:ascii="Arial" w:cs="Arial" w:eastAsia="Arial" w:hAnsi="Arial"/>
                <w:sz w:val="12"/>
                <w:szCs w:val="12"/>
                <w:color w:val="004987"/>
              </w:rPr>
              <w:t>Independence</w:t>
            </w:r>
          </w:p>
        </w:tc>
        <w:tc>
          <w:tcPr>
            <w:tcW w:w="1600" w:type="dxa"/>
            <w:vAlign w:val="bottom"/>
          </w:tcPr>
          <w:p>
            <w:pPr>
              <w:ind w:left="400"/>
              <w:spacing w:after="0"/>
              <w:rPr>
                <w:sz w:val="20"/>
                <w:szCs w:val="20"/>
                <w:color w:val="auto"/>
              </w:rPr>
            </w:pPr>
            <w:r>
              <w:rPr>
                <w:rFonts w:ascii="Arial" w:cs="Arial" w:eastAsia="Arial" w:hAnsi="Arial"/>
                <w:sz w:val="12"/>
                <w:szCs w:val="12"/>
                <w:color w:val="004987"/>
              </w:rPr>
              <w:t>Diversity</w:t>
            </w:r>
          </w:p>
        </w:tc>
        <w:tc>
          <w:tcPr>
            <w:tcW w:w="2780" w:type="dxa"/>
            <w:vAlign w:val="bottom"/>
          </w:tcPr>
          <w:p>
            <w:pPr>
              <w:ind w:left="580"/>
              <w:spacing w:after="0"/>
              <w:rPr>
                <w:sz w:val="20"/>
                <w:szCs w:val="20"/>
                <w:color w:val="auto"/>
              </w:rPr>
            </w:pPr>
            <w:r>
              <w:rPr>
                <w:rFonts w:ascii="Arial" w:cs="Arial" w:eastAsia="Arial" w:hAnsi="Arial"/>
                <w:sz w:val="12"/>
                <w:szCs w:val="12"/>
                <w:color w:val="004987"/>
              </w:rPr>
              <w:t>Service &amp; Governance</w:t>
            </w:r>
          </w:p>
        </w:tc>
        <w:tc>
          <w:tcPr>
            <w:tcW w:w="1460" w:type="dxa"/>
            <w:vAlign w:val="bottom"/>
          </w:tcPr>
          <w:p>
            <w:pPr>
              <w:ind w:left="160"/>
              <w:spacing w:after="0"/>
              <w:rPr>
                <w:sz w:val="20"/>
                <w:szCs w:val="20"/>
                <w:color w:val="auto"/>
              </w:rPr>
            </w:pPr>
            <w:r>
              <w:rPr>
                <w:rFonts w:ascii="Arial" w:cs="Arial" w:eastAsia="Arial" w:hAnsi="Arial"/>
                <w:sz w:val="12"/>
                <w:szCs w:val="12"/>
                <w:color w:val="004987"/>
              </w:rPr>
              <w:t>Management</w:t>
            </w:r>
          </w:p>
        </w:tc>
        <w:tc>
          <w:tcPr>
            <w:tcW w:w="1120" w:type="dxa"/>
            <w:vAlign w:val="bottom"/>
          </w:tcPr>
          <w:p>
            <w:pPr>
              <w:ind w:left="600"/>
              <w:spacing w:after="0"/>
              <w:rPr>
                <w:sz w:val="20"/>
                <w:szCs w:val="20"/>
                <w:color w:val="auto"/>
              </w:rPr>
            </w:pPr>
            <w:r>
              <w:rPr>
                <w:rFonts w:ascii="Arial" w:cs="Arial" w:eastAsia="Arial" w:hAnsi="Arial"/>
                <w:sz w:val="12"/>
                <w:szCs w:val="12"/>
                <w:color w:val="004987"/>
              </w:rPr>
              <w:t>Planning</w:t>
            </w:r>
          </w:p>
        </w:tc>
      </w:tr>
      <w:tr>
        <w:trPr>
          <w:trHeight w:val="290"/>
        </w:trPr>
        <w:tc>
          <w:tcPr>
            <w:tcW w:w="1400" w:type="dxa"/>
            <w:vAlign w:val="bottom"/>
          </w:tcPr>
          <w:p>
            <w:pPr>
              <w:ind w:left="400"/>
              <w:spacing w:after="0"/>
              <w:rPr>
                <w:sz w:val="20"/>
                <w:szCs w:val="20"/>
                <w:color w:val="auto"/>
              </w:rPr>
            </w:pPr>
            <w:r>
              <w:rPr>
                <w:rFonts w:ascii="Arial" w:cs="Arial" w:eastAsia="Arial" w:hAnsi="Arial"/>
                <w:sz w:val="12"/>
                <w:szCs w:val="12"/>
                <w:color w:val="004987"/>
              </w:rPr>
              <w:t>Global</w:t>
            </w:r>
          </w:p>
        </w:tc>
        <w:tc>
          <w:tcPr>
            <w:tcW w:w="2100" w:type="dxa"/>
            <w:vAlign w:val="bottom"/>
          </w:tcPr>
          <w:p>
            <w:pPr>
              <w:ind w:left="420"/>
              <w:spacing w:after="0"/>
              <w:rPr>
                <w:sz w:val="20"/>
                <w:szCs w:val="20"/>
                <w:color w:val="auto"/>
              </w:rPr>
            </w:pPr>
            <w:r>
              <w:rPr>
                <w:rFonts w:ascii="Arial" w:cs="Arial" w:eastAsia="Arial" w:hAnsi="Arial"/>
                <w:sz w:val="12"/>
                <w:szCs w:val="12"/>
                <w:color w:val="004987"/>
              </w:rPr>
              <w:t>Legal, Regulatory &amp;</w:t>
            </w:r>
          </w:p>
        </w:tc>
        <w:tc>
          <w:tcPr>
            <w:tcW w:w="1600" w:type="dxa"/>
            <w:vAlign w:val="bottom"/>
          </w:tcPr>
          <w:p>
            <w:pPr>
              <w:spacing w:after="0"/>
              <w:rPr>
                <w:sz w:val="24"/>
                <w:szCs w:val="24"/>
                <w:color w:val="auto"/>
              </w:rPr>
            </w:pPr>
          </w:p>
        </w:tc>
        <w:tc>
          <w:tcPr>
            <w:tcW w:w="2780" w:type="dxa"/>
            <w:vAlign w:val="bottom"/>
          </w:tcPr>
          <w:p>
            <w:pPr>
              <w:ind w:left="580"/>
              <w:spacing w:after="0"/>
              <w:rPr>
                <w:sz w:val="20"/>
                <w:szCs w:val="20"/>
                <w:color w:val="auto"/>
              </w:rPr>
            </w:pPr>
            <w:r>
              <w:rPr>
                <w:rFonts w:ascii="Arial" w:cs="Arial" w:eastAsia="Arial" w:hAnsi="Arial"/>
                <w:sz w:val="12"/>
                <w:szCs w:val="12"/>
                <w:color w:val="004987"/>
              </w:rPr>
              <w:t>Human Capital, Professional</w:t>
            </w: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8"/>
        </w:trPr>
        <w:tc>
          <w:tcPr>
            <w:tcW w:w="1400" w:type="dxa"/>
            <w:vAlign w:val="bottom"/>
          </w:tcPr>
          <w:p>
            <w:pPr>
              <w:ind w:left="400"/>
              <w:spacing w:after="0"/>
              <w:rPr>
                <w:sz w:val="20"/>
                <w:szCs w:val="20"/>
                <w:color w:val="auto"/>
              </w:rPr>
            </w:pPr>
            <w:r>
              <w:rPr>
                <w:rFonts w:ascii="Arial" w:cs="Arial" w:eastAsia="Arial" w:hAnsi="Arial"/>
                <w:sz w:val="12"/>
                <w:szCs w:val="12"/>
                <w:color w:val="004987"/>
              </w:rPr>
              <w:t>Expertise</w:t>
            </w:r>
          </w:p>
        </w:tc>
        <w:tc>
          <w:tcPr>
            <w:tcW w:w="2100" w:type="dxa"/>
            <w:vAlign w:val="bottom"/>
          </w:tcPr>
          <w:p>
            <w:pPr>
              <w:ind w:left="420"/>
              <w:spacing w:after="0"/>
              <w:rPr>
                <w:sz w:val="20"/>
                <w:szCs w:val="20"/>
                <w:color w:val="auto"/>
              </w:rPr>
            </w:pPr>
            <w:r>
              <w:rPr>
                <w:rFonts w:ascii="Arial" w:cs="Arial" w:eastAsia="Arial" w:hAnsi="Arial"/>
                <w:sz w:val="12"/>
                <w:szCs w:val="12"/>
                <w:color w:val="004987"/>
              </w:rPr>
              <w:t>Government Relations</w:t>
            </w:r>
          </w:p>
        </w:tc>
        <w:tc>
          <w:tcPr>
            <w:tcW w:w="1600" w:type="dxa"/>
            <w:vAlign w:val="bottom"/>
          </w:tcPr>
          <w:p>
            <w:pPr>
              <w:ind w:left="400"/>
              <w:spacing w:after="0"/>
              <w:rPr>
                <w:sz w:val="20"/>
                <w:szCs w:val="20"/>
                <w:color w:val="auto"/>
              </w:rPr>
            </w:pPr>
            <w:r>
              <w:rPr>
                <w:rFonts w:ascii="Arial" w:cs="Arial" w:eastAsia="Arial" w:hAnsi="Arial"/>
                <w:sz w:val="12"/>
                <w:szCs w:val="12"/>
                <w:color w:val="004987"/>
              </w:rPr>
              <w:t>Compliance</w:t>
            </w:r>
          </w:p>
        </w:tc>
        <w:tc>
          <w:tcPr>
            <w:tcW w:w="2780" w:type="dxa"/>
            <w:vAlign w:val="bottom"/>
          </w:tcPr>
          <w:p>
            <w:pPr>
              <w:ind w:left="580"/>
              <w:spacing w:after="0"/>
              <w:rPr>
                <w:sz w:val="20"/>
                <w:szCs w:val="20"/>
                <w:color w:val="auto"/>
              </w:rPr>
            </w:pPr>
            <w:r>
              <w:rPr>
                <w:rFonts w:ascii="Arial" w:cs="Arial" w:eastAsia="Arial" w:hAnsi="Arial"/>
                <w:sz w:val="12"/>
                <w:szCs w:val="12"/>
                <w:color w:val="004987"/>
              </w:rPr>
              <w:t>Development &amp; Organizational Culture</w:t>
            </w: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7"/>
        </w:trPr>
        <w:tc>
          <w:tcPr>
            <w:tcW w:w="3500" w:type="dxa"/>
            <w:vAlign w:val="bottom"/>
            <w:tcBorders>
              <w:bottom w:val="single" w:sz="8" w:color="004987"/>
            </w:tcBorders>
            <w:gridSpan w:val="2"/>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4380" w:type="dxa"/>
            <w:vAlign w:val="bottom"/>
            <w:tcBorders>
              <w:bottom w:val="single" w:sz="8" w:color="004987"/>
            </w:tcBorders>
            <w:gridSpan w:val="2"/>
          </w:tcPr>
          <w:p>
            <w:pPr>
              <w:ind w:left="540"/>
              <w:spacing w:after="0"/>
              <w:rPr>
                <w:sz w:val="20"/>
                <w:szCs w:val="20"/>
                <w:color w:val="auto"/>
              </w:rPr>
            </w:pPr>
            <w:r>
              <w:rPr>
                <w:rFonts w:ascii="Arial" w:cs="Arial" w:eastAsia="Arial" w:hAnsi="Arial"/>
                <w:sz w:val="10"/>
                <w:szCs w:val="10"/>
                <w:color w:val="auto"/>
              </w:rPr>
              <w:t>Report on the Board of Directors and its Committees</w:t>
            </w:r>
          </w:p>
        </w:tc>
        <w:tc>
          <w:tcPr>
            <w:tcW w:w="1460" w:type="dxa"/>
            <w:vAlign w:val="bottom"/>
            <w:tcBorders>
              <w:bottom w:val="single" w:sz="8" w:color="004987"/>
            </w:tcBorders>
          </w:tcPr>
          <w:p>
            <w:pPr>
              <w:spacing w:after="0"/>
              <w:rPr>
                <w:sz w:val="22"/>
                <w:szCs w:val="22"/>
                <w:color w:val="auto"/>
              </w:rPr>
            </w:pPr>
          </w:p>
        </w:tc>
        <w:tc>
          <w:tcPr>
            <w:tcW w:w="1120" w:type="dxa"/>
            <w:vAlign w:val="bottom"/>
            <w:tcBorders>
              <w:bottom w:val="single" w:sz="8" w:color="004987"/>
            </w:tcBorders>
          </w:tcPr>
          <w:p>
            <w:pPr>
              <w:jc w:val="right"/>
              <w:spacing w:after="0"/>
              <w:rPr>
                <w:sz w:val="20"/>
                <w:szCs w:val="20"/>
                <w:color w:val="auto"/>
              </w:rPr>
            </w:pPr>
            <w:r>
              <w:rPr>
                <w:rFonts w:ascii="Arial" w:cs="Arial" w:eastAsia="Arial" w:hAnsi="Arial"/>
                <w:sz w:val="10"/>
                <w:szCs w:val="10"/>
                <w:b w:val="1"/>
                <w:bCs w:val="1"/>
                <w:color w:val="004987"/>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-617855</wp:posOffset>
            </wp:positionV>
            <wp:extent cx="89535" cy="130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-593725</wp:posOffset>
            </wp:positionV>
            <wp:extent cx="154940" cy="130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-593725</wp:posOffset>
            </wp:positionV>
            <wp:extent cx="138430" cy="130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-593725</wp:posOffset>
            </wp:positionV>
            <wp:extent cx="146685" cy="130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-593725</wp:posOffset>
            </wp:positionV>
            <wp:extent cx="130175" cy="130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-593725</wp:posOffset>
            </wp:positionV>
            <wp:extent cx="138430" cy="130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-308610</wp:posOffset>
            </wp:positionV>
            <wp:extent cx="138430" cy="130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-308610</wp:posOffset>
            </wp:positionV>
            <wp:extent cx="130175" cy="130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-308610</wp:posOffset>
            </wp:positionV>
            <wp:extent cx="179070" cy="130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070" cy="13017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-308610</wp:posOffset>
            </wp:positionV>
            <wp:extent cx="130175" cy="130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8" w:name="page19"/>
    <w:bookmarkEnd w:id="1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352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STEPHEN R. QUAZZO</w:t>
            </w:r>
          </w:p>
        </w:tc>
        <w:tc>
          <w:tcPr>
            <w:tcW w:w="6940" w:type="dxa"/>
            <w:vAlign w:val="bottom"/>
            <w:tcBorders>
              <w:top w:val="single" w:sz="8" w:color="004987"/>
            </w:tcBorders>
          </w:tcPr>
          <w:p>
            <w:pPr>
              <w:spacing w:after="0"/>
              <w:rPr>
                <w:sz w:val="19"/>
                <w:szCs w:val="19"/>
                <w:color w:val="auto"/>
              </w:rPr>
            </w:pPr>
          </w:p>
        </w:tc>
      </w:tr>
      <w:tr>
        <w:trPr>
          <w:trHeight w:val="238"/>
        </w:trPr>
        <w:tc>
          <w:tcPr>
            <w:tcW w:w="3520" w:type="dxa"/>
            <w:vAlign w:val="bottom"/>
          </w:tcPr>
          <w:p>
            <w:pPr>
              <w:spacing w:after="0"/>
              <w:rPr>
                <w:sz w:val="20"/>
                <w:szCs w:val="20"/>
                <w:color w:val="auto"/>
              </w:rPr>
            </w:pPr>
            <w:r>
              <w:rPr>
                <w:rFonts w:ascii="Arial" w:cs="Arial" w:eastAsia="Arial" w:hAnsi="Arial"/>
                <w:sz w:val="15"/>
                <w:szCs w:val="15"/>
                <w:color w:val="auto"/>
              </w:rPr>
              <w:t>Age: 62</w:t>
            </w:r>
          </w:p>
        </w:tc>
        <w:tc>
          <w:tcPr>
            <w:tcW w:w="6940" w:type="dxa"/>
            <w:vAlign w:val="bottom"/>
          </w:tcPr>
          <w:p>
            <w:pPr>
              <w:ind w:left="1920"/>
              <w:spacing w:after="0"/>
              <w:rPr>
                <w:sz w:val="20"/>
                <w:szCs w:val="20"/>
                <w:color w:val="auto"/>
              </w:rPr>
            </w:pPr>
            <w:r>
              <w:rPr>
                <w:rFonts w:ascii="Arial" w:cs="Arial" w:eastAsia="Arial" w:hAnsi="Arial"/>
                <w:sz w:val="15"/>
                <w:szCs w:val="15"/>
                <w:color w:val="auto"/>
              </w:rPr>
              <w:t>Committees:</w:t>
            </w:r>
          </w:p>
        </w:tc>
      </w:tr>
      <w:tr>
        <w:trPr>
          <w:trHeight w:val="179"/>
        </w:trPr>
        <w:tc>
          <w:tcPr>
            <w:tcW w:w="3520" w:type="dxa"/>
            <w:vAlign w:val="bottom"/>
          </w:tcPr>
          <w:p>
            <w:pPr>
              <w:spacing w:after="0"/>
              <w:rPr>
                <w:sz w:val="20"/>
                <w:szCs w:val="20"/>
                <w:color w:val="auto"/>
              </w:rPr>
            </w:pPr>
            <w:r>
              <w:rPr>
                <w:rFonts w:ascii="Arial" w:cs="Arial" w:eastAsia="Arial" w:hAnsi="Arial"/>
                <w:sz w:val="15"/>
                <w:szCs w:val="15"/>
                <w:color w:val="auto"/>
              </w:rPr>
              <w:t>Director Since: 2018</w:t>
            </w:r>
          </w:p>
        </w:tc>
        <w:tc>
          <w:tcPr>
            <w:tcW w:w="6940" w:type="dxa"/>
            <w:vAlign w:val="bottom"/>
          </w:tcPr>
          <w:p>
            <w:pPr>
              <w:ind w:left="19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Audit</w:t>
            </w:r>
          </w:p>
        </w:tc>
      </w:tr>
      <w:tr>
        <w:trPr>
          <w:trHeight w:val="201"/>
        </w:trPr>
        <w:tc>
          <w:tcPr>
            <w:tcW w:w="3520" w:type="dxa"/>
            <w:vAlign w:val="bottom"/>
          </w:tcPr>
          <w:p>
            <w:pPr>
              <w:spacing w:after="0"/>
              <w:rPr>
                <w:sz w:val="17"/>
                <w:szCs w:val="17"/>
                <w:color w:val="auto"/>
              </w:rPr>
            </w:pPr>
          </w:p>
        </w:tc>
        <w:tc>
          <w:tcPr>
            <w:tcW w:w="6940" w:type="dxa"/>
            <w:vAlign w:val="bottom"/>
          </w:tcPr>
          <w:p>
            <w:pPr>
              <w:ind w:left="19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Compensation Policy</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120"/>
        <w:spacing w:after="0" w:line="253" w:lineRule="auto"/>
        <w:rPr>
          <w:sz w:val="20"/>
          <w:szCs w:val="20"/>
          <w:color w:val="auto"/>
        </w:rPr>
      </w:pPr>
      <w:r>
        <w:rPr>
          <w:rFonts w:ascii="Arial" w:cs="Arial" w:eastAsia="Arial" w:hAnsi="Arial"/>
          <w:sz w:val="15"/>
          <w:szCs w:val="15"/>
          <w:color w:val="auto"/>
        </w:rPr>
        <w:t>Mr. Quazzo is the Chief Executive Officer and has been the Managing Director and co-founder of Pearlmark Real Estate, LLC, a real estate principal investment firm, since March 1996. From April 1991 to March 1996, Mr. Quazzo was President of Equity Institutional Investors, Inc., a private investment firm and a subsidiary of Equity Group Investments, Inc. He is currently a director of Phillips Edison &amp; Company, Inc., a publicly traded REIT, and was a director of Starwood from 1995 to September 2016. Mr. Quazzo is a member and trustee of the Urban Land Institute, ULI Foundation, a member of the Pension Real Estate Association, and a licensed real estate broker in Illinois. He was a director of ILG from May 2016 through August 2018 prior to the Company’s acquisition of ILG.</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100"/>
        <w:spacing w:after="0" w:line="259" w:lineRule="auto"/>
        <w:rPr>
          <w:sz w:val="20"/>
          <w:szCs w:val="20"/>
          <w:color w:val="auto"/>
        </w:rPr>
      </w:pPr>
      <w:r>
        <w:rPr>
          <w:rFonts w:ascii="Arial" w:cs="Arial" w:eastAsia="Arial" w:hAnsi="Arial"/>
          <w:sz w:val="15"/>
          <w:szCs w:val="15"/>
          <w:color w:val="auto"/>
        </w:rPr>
        <w:t>Mr. Quazzo provides the Board with the benefit of his extensive experience in real estate, investment and development and strategy experience as Chief Executive Officer of Pearlmark Real Estate as well as his senior leadership experience. He also has broad experience in corporate governance, having served as a board member of other publicly traded companies.</w:t>
      </w:r>
    </w:p>
    <w:p>
      <w:pPr>
        <w:spacing w:after="0" w:line="122" w:lineRule="exact"/>
        <w:rPr>
          <w:sz w:val="20"/>
          <w:szCs w:val="20"/>
          <w:color w:val="auto"/>
        </w:rPr>
      </w:pPr>
    </w:p>
    <w:tbl>
      <w:tblPr>
        <w:tblLayout w:type="fixed"/>
        <w:tblInd w:w="780" w:type="dxa"/>
        <w:tblCellMar>
          <w:top w:w="0" w:type="dxa"/>
          <w:left w:w="0" w:type="dxa"/>
          <w:bottom w:w="0" w:type="dxa"/>
          <w:right w:w="0" w:type="dxa"/>
        </w:tblCellMar>
      </w:tblPr>
      <w:tr>
        <w:trPr>
          <w:trHeight w:val="138"/>
        </w:trPr>
        <w:tc>
          <w:tcPr>
            <w:tcW w:w="1000" w:type="dxa"/>
            <w:vAlign w:val="bottom"/>
          </w:tcPr>
          <w:p>
            <w:pPr>
              <w:spacing w:after="0"/>
              <w:rPr>
                <w:sz w:val="20"/>
                <w:szCs w:val="20"/>
                <w:color w:val="auto"/>
              </w:rPr>
            </w:pPr>
            <w:r>
              <w:rPr>
                <w:rFonts w:ascii="Arial" w:cs="Arial" w:eastAsia="Arial" w:hAnsi="Arial"/>
                <w:sz w:val="12"/>
                <w:szCs w:val="12"/>
                <w:color w:val="004987"/>
              </w:rPr>
              <w:t>Corporate</w:t>
            </w:r>
          </w:p>
        </w:tc>
        <w:tc>
          <w:tcPr>
            <w:tcW w:w="1860" w:type="dxa"/>
            <w:vAlign w:val="bottom"/>
          </w:tcPr>
          <w:p>
            <w:pPr>
              <w:spacing w:after="0"/>
              <w:rPr>
                <w:sz w:val="12"/>
                <w:szCs w:val="12"/>
                <w:color w:val="auto"/>
              </w:rPr>
            </w:pPr>
          </w:p>
        </w:tc>
        <w:tc>
          <w:tcPr>
            <w:tcW w:w="1760" w:type="dxa"/>
            <w:vAlign w:val="bottom"/>
          </w:tcPr>
          <w:p>
            <w:pPr>
              <w:ind w:left="380"/>
              <w:spacing w:after="0"/>
              <w:rPr>
                <w:sz w:val="20"/>
                <w:szCs w:val="20"/>
                <w:color w:val="auto"/>
              </w:rPr>
            </w:pPr>
            <w:r>
              <w:rPr>
                <w:rFonts w:ascii="Arial" w:cs="Arial" w:eastAsia="Arial" w:hAnsi="Arial"/>
                <w:sz w:val="12"/>
                <w:szCs w:val="12"/>
                <w:color w:val="004987"/>
              </w:rPr>
              <w:t>Financial &amp;</w:t>
            </w:r>
          </w:p>
        </w:tc>
        <w:tc>
          <w:tcPr>
            <w:tcW w:w="1760" w:type="dxa"/>
            <w:vAlign w:val="bottom"/>
          </w:tcPr>
          <w:p>
            <w:pPr>
              <w:ind w:left="140"/>
              <w:spacing w:after="0"/>
              <w:rPr>
                <w:sz w:val="20"/>
                <w:szCs w:val="20"/>
                <w:color w:val="auto"/>
              </w:rPr>
            </w:pPr>
            <w:r>
              <w:rPr>
                <w:rFonts w:ascii="Arial" w:cs="Arial" w:eastAsia="Arial" w:hAnsi="Arial"/>
                <w:sz w:val="12"/>
                <w:szCs w:val="12"/>
                <w:color w:val="004987"/>
              </w:rPr>
              <w:t>Accounting &amp;</w:t>
            </w:r>
          </w:p>
        </w:tc>
        <w:tc>
          <w:tcPr>
            <w:tcW w:w="2380" w:type="dxa"/>
            <w:vAlign w:val="bottom"/>
          </w:tcPr>
          <w:p>
            <w:pPr>
              <w:ind w:left="560"/>
              <w:spacing w:after="0"/>
              <w:rPr>
                <w:sz w:val="20"/>
                <w:szCs w:val="20"/>
                <w:color w:val="auto"/>
              </w:rPr>
            </w:pPr>
            <w:r>
              <w:rPr>
                <w:rFonts w:ascii="Arial" w:cs="Arial" w:eastAsia="Arial" w:hAnsi="Arial"/>
                <w:sz w:val="12"/>
                <w:szCs w:val="12"/>
                <w:color w:val="004987"/>
              </w:rPr>
              <w:t>Public Company Board</w:t>
            </w:r>
          </w:p>
        </w:tc>
        <w:tc>
          <w:tcPr>
            <w:tcW w:w="1280" w:type="dxa"/>
            <w:vAlign w:val="bottom"/>
          </w:tcPr>
          <w:p>
            <w:pPr>
              <w:ind w:left="580"/>
              <w:spacing w:after="0"/>
              <w:rPr>
                <w:sz w:val="20"/>
                <w:szCs w:val="20"/>
                <w:color w:val="auto"/>
              </w:rPr>
            </w:pPr>
            <w:r>
              <w:rPr>
                <w:rFonts w:ascii="Arial" w:cs="Arial" w:eastAsia="Arial" w:hAnsi="Arial"/>
                <w:sz w:val="12"/>
                <w:szCs w:val="12"/>
                <w:color w:val="004987"/>
              </w:rPr>
              <w:t>Risk</w:t>
            </w:r>
          </w:p>
        </w:tc>
      </w:tr>
      <w:tr>
        <w:trPr>
          <w:trHeight w:val="166"/>
        </w:trPr>
        <w:tc>
          <w:tcPr>
            <w:tcW w:w="1000" w:type="dxa"/>
            <w:vAlign w:val="bottom"/>
          </w:tcPr>
          <w:p>
            <w:pPr>
              <w:spacing w:after="0"/>
              <w:rPr>
                <w:sz w:val="20"/>
                <w:szCs w:val="20"/>
                <w:color w:val="auto"/>
              </w:rPr>
            </w:pPr>
            <w:r>
              <w:rPr>
                <w:rFonts w:ascii="Arial" w:cs="Arial" w:eastAsia="Arial" w:hAnsi="Arial"/>
                <w:sz w:val="12"/>
                <w:szCs w:val="12"/>
                <w:color w:val="004987"/>
              </w:rPr>
              <w:t>Leadership</w:t>
            </w:r>
          </w:p>
        </w:tc>
        <w:tc>
          <w:tcPr>
            <w:tcW w:w="1860" w:type="dxa"/>
            <w:vAlign w:val="bottom"/>
          </w:tcPr>
          <w:p>
            <w:pPr>
              <w:ind w:left="400"/>
              <w:spacing w:after="0"/>
              <w:rPr>
                <w:sz w:val="20"/>
                <w:szCs w:val="20"/>
                <w:color w:val="auto"/>
              </w:rPr>
            </w:pPr>
            <w:r>
              <w:rPr>
                <w:rFonts w:ascii="Arial" w:cs="Arial" w:eastAsia="Arial" w:hAnsi="Arial"/>
                <w:sz w:val="12"/>
                <w:szCs w:val="12"/>
                <w:color w:val="004987"/>
              </w:rPr>
              <w:t>Independence</w:t>
            </w:r>
          </w:p>
        </w:tc>
        <w:tc>
          <w:tcPr>
            <w:tcW w:w="1760" w:type="dxa"/>
            <w:vAlign w:val="bottom"/>
          </w:tcPr>
          <w:p>
            <w:pPr>
              <w:ind w:left="380"/>
              <w:spacing w:after="0"/>
              <w:rPr>
                <w:sz w:val="20"/>
                <w:szCs w:val="20"/>
                <w:color w:val="auto"/>
              </w:rPr>
            </w:pPr>
            <w:r>
              <w:rPr>
                <w:rFonts w:ascii="Arial" w:cs="Arial" w:eastAsia="Arial" w:hAnsi="Arial"/>
                <w:sz w:val="12"/>
                <w:szCs w:val="12"/>
                <w:color w:val="004987"/>
              </w:rPr>
              <w:t>Capital Markets</w:t>
            </w:r>
          </w:p>
        </w:tc>
        <w:tc>
          <w:tcPr>
            <w:tcW w:w="1760" w:type="dxa"/>
            <w:vAlign w:val="bottom"/>
          </w:tcPr>
          <w:p>
            <w:pPr>
              <w:ind w:left="140"/>
              <w:spacing w:after="0"/>
              <w:rPr>
                <w:sz w:val="20"/>
                <w:szCs w:val="20"/>
                <w:color w:val="auto"/>
              </w:rPr>
            </w:pPr>
            <w:r>
              <w:rPr>
                <w:rFonts w:ascii="Arial" w:cs="Arial" w:eastAsia="Arial" w:hAnsi="Arial"/>
                <w:sz w:val="12"/>
                <w:szCs w:val="12"/>
                <w:color w:val="004987"/>
              </w:rPr>
              <w:t>Financial Reporting</w:t>
            </w:r>
          </w:p>
        </w:tc>
        <w:tc>
          <w:tcPr>
            <w:tcW w:w="2380" w:type="dxa"/>
            <w:vAlign w:val="bottom"/>
          </w:tcPr>
          <w:p>
            <w:pPr>
              <w:ind w:left="560"/>
              <w:spacing w:after="0"/>
              <w:rPr>
                <w:sz w:val="20"/>
                <w:szCs w:val="20"/>
                <w:color w:val="auto"/>
              </w:rPr>
            </w:pPr>
            <w:r>
              <w:rPr>
                <w:rFonts w:ascii="Arial" w:cs="Arial" w:eastAsia="Arial" w:hAnsi="Arial"/>
                <w:sz w:val="12"/>
                <w:szCs w:val="12"/>
                <w:color w:val="004987"/>
              </w:rPr>
              <w:t>Service &amp; Governance</w:t>
            </w:r>
          </w:p>
        </w:tc>
        <w:tc>
          <w:tcPr>
            <w:tcW w:w="1280" w:type="dxa"/>
            <w:vAlign w:val="bottom"/>
          </w:tcPr>
          <w:p>
            <w:pPr>
              <w:ind w:left="580"/>
              <w:spacing w:after="0"/>
              <w:rPr>
                <w:sz w:val="20"/>
                <w:szCs w:val="20"/>
                <w:color w:val="auto"/>
              </w:rPr>
            </w:pPr>
            <w:r>
              <w:rPr>
                <w:rFonts w:ascii="Arial" w:cs="Arial" w:eastAsia="Arial" w:hAnsi="Arial"/>
                <w:sz w:val="12"/>
                <w:szCs w:val="12"/>
                <w:color w:val="004987"/>
                <w:w w:val="97"/>
              </w:rPr>
              <w:t>Management</w:t>
            </w:r>
          </w:p>
        </w:tc>
      </w:tr>
      <w:tr>
        <w:trPr>
          <w:trHeight w:val="218"/>
        </w:trPr>
        <w:tc>
          <w:tcPr>
            <w:tcW w:w="1000" w:type="dxa"/>
            <w:vAlign w:val="bottom"/>
          </w:tcPr>
          <w:p>
            <w:pPr>
              <w:spacing w:after="0"/>
              <w:rPr>
                <w:sz w:val="20"/>
                <w:szCs w:val="20"/>
                <w:color w:val="auto"/>
              </w:rPr>
            </w:pPr>
            <w:r>
              <w:rPr>
                <w:rFonts w:ascii="Arial" w:cs="Arial" w:eastAsia="Arial" w:hAnsi="Arial"/>
                <w:sz w:val="12"/>
                <w:szCs w:val="12"/>
                <w:color w:val="004987"/>
              </w:rPr>
              <w:t>Strategic</w:t>
            </w:r>
          </w:p>
        </w:tc>
        <w:tc>
          <w:tcPr>
            <w:tcW w:w="1860" w:type="dxa"/>
            <w:vAlign w:val="bottom"/>
          </w:tcPr>
          <w:p>
            <w:pPr>
              <w:ind w:left="400"/>
              <w:spacing w:after="0"/>
              <w:rPr>
                <w:sz w:val="20"/>
                <w:szCs w:val="20"/>
                <w:color w:val="auto"/>
              </w:rPr>
            </w:pPr>
            <w:r>
              <w:rPr>
                <w:rFonts w:ascii="Arial" w:cs="Arial" w:eastAsia="Arial" w:hAnsi="Arial"/>
                <w:sz w:val="12"/>
                <w:szCs w:val="12"/>
                <w:color w:val="004987"/>
              </w:rPr>
              <w:t>Vacation Ownership</w:t>
            </w:r>
          </w:p>
        </w:tc>
        <w:tc>
          <w:tcPr>
            <w:tcW w:w="1760" w:type="dxa"/>
            <w:vAlign w:val="bottom"/>
          </w:tcPr>
          <w:p>
            <w:pPr>
              <w:ind w:left="380"/>
              <w:spacing w:after="0"/>
              <w:rPr>
                <w:sz w:val="20"/>
                <w:szCs w:val="20"/>
                <w:color w:val="auto"/>
              </w:rPr>
            </w:pPr>
            <w:r>
              <w:rPr>
                <w:rFonts w:ascii="Arial" w:cs="Arial" w:eastAsia="Arial" w:hAnsi="Arial"/>
                <w:sz w:val="12"/>
                <w:szCs w:val="12"/>
                <w:color w:val="004987"/>
              </w:rPr>
              <w:t>Real Estate &amp;</w:t>
            </w:r>
          </w:p>
        </w:tc>
        <w:tc>
          <w:tcPr>
            <w:tcW w:w="1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6"/>
        </w:trPr>
        <w:tc>
          <w:tcPr>
            <w:tcW w:w="1000" w:type="dxa"/>
            <w:vAlign w:val="bottom"/>
          </w:tcPr>
          <w:p>
            <w:pPr>
              <w:spacing w:after="0"/>
              <w:rPr>
                <w:sz w:val="20"/>
                <w:szCs w:val="20"/>
                <w:color w:val="auto"/>
              </w:rPr>
            </w:pPr>
            <w:r>
              <w:rPr>
                <w:rFonts w:ascii="Arial" w:cs="Arial" w:eastAsia="Arial" w:hAnsi="Arial"/>
                <w:sz w:val="12"/>
                <w:szCs w:val="12"/>
                <w:color w:val="004987"/>
              </w:rPr>
              <w:t>Planning</w:t>
            </w:r>
          </w:p>
        </w:tc>
        <w:tc>
          <w:tcPr>
            <w:tcW w:w="1860" w:type="dxa"/>
            <w:vAlign w:val="bottom"/>
          </w:tcPr>
          <w:p>
            <w:pPr>
              <w:ind w:left="400"/>
              <w:spacing w:after="0"/>
              <w:rPr>
                <w:sz w:val="20"/>
                <w:szCs w:val="20"/>
                <w:color w:val="auto"/>
              </w:rPr>
            </w:pPr>
            <w:r>
              <w:rPr>
                <w:rFonts w:ascii="Arial" w:cs="Arial" w:eastAsia="Arial" w:hAnsi="Arial"/>
                <w:sz w:val="12"/>
                <w:szCs w:val="12"/>
                <w:color w:val="004987"/>
              </w:rPr>
              <w:t>&amp; Lodging Industry</w:t>
            </w:r>
          </w:p>
        </w:tc>
        <w:tc>
          <w:tcPr>
            <w:tcW w:w="1760" w:type="dxa"/>
            <w:vAlign w:val="bottom"/>
          </w:tcPr>
          <w:p>
            <w:pPr>
              <w:ind w:left="380"/>
              <w:spacing w:after="0"/>
              <w:rPr>
                <w:sz w:val="20"/>
                <w:szCs w:val="20"/>
                <w:color w:val="auto"/>
              </w:rPr>
            </w:pPr>
            <w:r>
              <w:rPr>
                <w:rFonts w:ascii="Arial" w:cs="Arial" w:eastAsia="Arial" w:hAnsi="Arial"/>
                <w:sz w:val="12"/>
                <w:szCs w:val="12"/>
                <w:color w:val="004987"/>
              </w:rPr>
              <w:t>Business Development</w:t>
            </w:r>
          </w:p>
        </w:tc>
        <w:tc>
          <w:tcPr>
            <w:tcW w:w="1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-406400</wp:posOffset>
            </wp:positionV>
            <wp:extent cx="89535" cy="1301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-381635</wp:posOffset>
            </wp:positionV>
            <wp:extent cx="154940" cy="130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-381635</wp:posOffset>
            </wp:positionV>
            <wp:extent cx="154940" cy="130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940" cy="13017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-381635</wp:posOffset>
            </wp:positionV>
            <wp:extent cx="130175" cy="130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-381635</wp:posOffset>
            </wp:positionV>
            <wp:extent cx="146685" cy="130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-381635</wp:posOffset>
            </wp:positionV>
            <wp:extent cx="130175" cy="130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-202565</wp:posOffset>
            </wp:positionV>
            <wp:extent cx="138430" cy="130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-145415</wp:posOffset>
            </wp:positionV>
            <wp:extent cx="121920" cy="130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-137160</wp:posOffset>
            </wp:positionV>
            <wp:extent cx="130175" cy="130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520" w:type="dxa"/>
            <w:vAlign w:val="bottom"/>
            <w:tcBorders>
              <w:top w:val="single" w:sz="8" w:color="004987"/>
            </w:tcBorders>
          </w:tcPr>
          <w:p>
            <w:pPr>
              <w:spacing w:after="0"/>
              <w:rPr>
                <w:sz w:val="20"/>
                <w:szCs w:val="20"/>
                <w:color w:val="auto"/>
              </w:rPr>
            </w:pPr>
            <w:r>
              <w:rPr>
                <w:rFonts w:ascii="Arial" w:cs="Arial" w:eastAsia="Arial" w:hAnsi="Arial"/>
                <w:sz w:val="15"/>
                <w:szCs w:val="15"/>
                <w:b w:val="1"/>
                <w:bCs w:val="1"/>
                <w:color w:val="004987"/>
              </w:rPr>
              <w:t>STEPHEN P. WEISZ, CHIEF EXECUTIVE OFFICER</w:t>
            </w:r>
          </w:p>
        </w:tc>
        <w:tc>
          <w:tcPr>
            <w:tcW w:w="5940" w:type="dxa"/>
            <w:vAlign w:val="bottom"/>
            <w:tcBorders>
              <w:top w:val="single" w:sz="8" w:color="004987"/>
            </w:tcBorders>
          </w:tcPr>
          <w:p>
            <w:pPr>
              <w:spacing w:after="0"/>
              <w:rPr>
                <w:sz w:val="19"/>
                <w:szCs w:val="19"/>
                <w:color w:val="auto"/>
              </w:rPr>
            </w:pPr>
          </w:p>
        </w:tc>
      </w:tr>
      <w:tr>
        <w:trPr>
          <w:trHeight w:val="238"/>
        </w:trPr>
        <w:tc>
          <w:tcPr>
            <w:tcW w:w="4520" w:type="dxa"/>
            <w:vAlign w:val="bottom"/>
          </w:tcPr>
          <w:p>
            <w:pPr>
              <w:spacing w:after="0"/>
              <w:rPr>
                <w:sz w:val="20"/>
                <w:szCs w:val="20"/>
                <w:color w:val="auto"/>
              </w:rPr>
            </w:pPr>
            <w:r>
              <w:rPr>
                <w:rFonts w:ascii="Arial" w:cs="Arial" w:eastAsia="Arial" w:hAnsi="Arial"/>
                <w:sz w:val="15"/>
                <w:szCs w:val="15"/>
                <w:color w:val="auto"/>
              </w:rPr>
              <w:t>Age: 71</w:t>
            </w:r>
          </w:p>
        </w:tc>
        <w:tc>
          <w:tcPr>
            <w:tcW w:w="5940" w:type="dxa"/>
            <w:vAlign w:val="bottom"/>
          </w:tcPr>
          <w:p>
            <w:pPr>
              <w:ind w:left="920"/>
              <w:spacing w:after="0"/>
              <w:rPr>
                <w:sz w:val="20"/>
                <w:szCs w:val="20"/>
                <w:color w:val="auto"/>
              </w:rPr>
            </w:pPr>
            <w:r>
              <w:rPr>
                <w:rFonts w:ascii="Arial" w:cs="Arial" w:eastAsia="Arial" w:hAnsi="Arial"/>
                <w:sz w:val="15"/>
                <w:szCs w:val="15"/>
                <w:color w:val="auto"/>
              </w:rPr>
              <w:t>Committees:</w:t>
            </w:r>
          </w:p>
        </w:tc>
      </w:tr>
      <w:tr>
        <w:trPr>
          <w:trHeight w:val="201"/>
        </w:trPr>
        <w:tc>
          <w:tcPr>
            <w:tcW w:w="4520" w:type="dxa"/>
            <w:vAlign w:val="bottom"/>
          </w:tcPr>
          <w:p>
            <w:pPr>
              <w:spacing w:after="0"/>
              <w:rPr>
                <w:sz w:val="20"/>
                <w:szCs w:val="20"/>
                <w:color w:val="auto"/>
              </w:rPr>
            </w:pPr>
            <w:r>
              <w:rPr>
                <w:rFonts w:ascii="Arial" w:cs="Arial" w:eastAsia="Arial" w:hAnsi="Arial"/>
                <w:sz w:val="15"/>
                <w:szCs w:val="15"/>
                <w:color w:val="auto"/>
              </w:rPr>
              <w:t>Director Since: 2011</w:t>
            </w:r>
          </w:p>
        </w:tc>
        <w:tc>
          <w:tcPr>
            <w:tcW w:w="5940" w:type="dxa"/>
            <w:vAlign w:val="bottom"/>
          </w:tcPr>
          <w:p>
            <w:pPr>
              <w:ind w:left="920"/>
              <w:spacing w:after="0"/>
              <w:rPr>
                <w:sz w:val="20"/>
                <w:szCs w:val="20"/>
                <w:color w:val="auto"/>
              </w:rPr>
            </w:pPr>
            <w:r>
              <w:rPr>
                <w:rFonts w:ascii="Arial" w:cs="Arial" w:eastAsia="Arial" w:hAnsi="Arial"/>
                <w:sz w:val="15"/>
                <w:szCs w:val="15"/>
                <w:color w:val="004987"/>
              </w:rPr>
              <w:t xml:space="preserve">• </w:t>
            </w:r>
            <w:r>
              <w:rPr>
                <w:rFonts w:ascii="Arial" w:cs="Arial" w:eastAsia="Arial" w:hAnsi="Arial"/>
                <w:sz w:val="15"/>
                <w:szCs w:val="15"/>
                <w:color w:val="000000"/>
              </w:rPr>
              <w:t>None</w:t>
            </w:r>
          </w:p>
        </w:tc>
      </w:tr>
    </w:tbl>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Experience</w:t>
      </w:r>
    </w:p>
    <w:p>
      <w:pPr>
        <w:spacing w:after="0" w:line="23" w:lineRule="exact"/>
        <w:rPr>
          <w:sz w:val="20"/>
          <w:szCs w:val="20"/>
          <w:color w:val="auto"/>
        </w:rPr>
      </w:pPr>
    </w:p>
    <w:p>
      <w:pPr>
        <w:ind w:left="400" w:right="20"/>
        <w:spacing w:after="0" w:line="253" w:lineRule="auto"/>
        <w:rPr>
          <w:sz w:val="20"/>
          <w:szCs w:val="20"/>
          <w:color w:val="auto"/>
        </w:rPr>
      </w:pPr>
      <w:r>
        <w:rPr>
          <w:rFonts w:ascii="Arial" w:cs="Arial" w:eastAsia="Arial" w:hAnsi="Arial"/>
          <w:sz w:val="15"/>
          <w:szCs w:val="15"/>
          <w:color w:val="auto"/>
        </w:rPr>
        <w:t>Mr. Weisz has served as our Chief Executive Officer since 2011, and served as our President from 1996 until 2021, Mr. Weisz joined Marriott International in 1972. Over his 39-year career with Marriott International, he held a number of leadership positions in the Lodging division, including Regional Vice President of the Mid-Atlantic Region, Senior Vice President of Rooms Operations, and Vice President of the Revenue Management Group. Mr. Weisz became Senior Vice President of Sales and Marketing for Marriott Hotels, Resorts &amp; Suites in 1992 and Executive Vice President-Lodging Brands in 1994. He has previously served as Chairman of the Board of Directors of the American Resort Development Association and as Chairman of the Board of Trustees of Children’s Miracle Network.</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004987"/>
        </w:rPr>
        <w:t>Skills and Experience</w:t>
      </w:r>
    </w:p>
    <w:p>
      <w:pPr>
        <w:spacing w:after="0" w:line="23" w:lineRule="exact"/>
        <w:rPr>
          <w:sz w:val="20"/>
          <w:szCs w:val="20"/>
          <w:color w:val="auto"/>
        </w:rPr>
      </w:pPr>
    </w:p>
    <w:p>
      <w:pPr>
        <w:ind w:left="400" w:right="260"/>
        <w:spacing w:after="0" w:line="259" w:lineRule="auto"/>
        <w:rPr>
          <w:sz w:val="20"/>
          <w:szCs w:val="20"/>
          <w:color w:val="auto"/>
        </w:rPr>
      </w:pPr>
      <w:r>
        <w:rPr>
          <w:rFonts w:ascii="Arial" w:cs="Arial" w:eastAsia="Arial" w:hAnsi="Arial"/>
          <w:sz w:val="15"/>
          <w:szCs w:val="15"/>
          <w:color w:val="auto"/>
        </w:rPr>
        <w:t>Mr. Weisz brings to the Board the extensive lodging and vacation ownership industry expertise he developed during his nearly 50 years in the industry, including 39 years with Marriott International, as well as corporate leadership experience from his service as our President since 1996 and his prior service as Chairman of the Board of Directors of the American Resort Development Association.</w:t>
      </w:r>
    </w:p>
    <w:p>
      <w:pPr>
        <w:spacing w:after="0" w:line="122"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1380" w:type="dxa"/>
            <w:vAlign w:val="bottom"/>
          </w:tcPr>
          <w:p>
            <w:pPr>
              <w:spacing w:after="0"/>
              <w:rPr>
                <w:sz w:val="20"/>
                <w:szCs w:val="20"/>
                <w:color w:val="auto"/>
              </w:rPr>
            </w:pPr>
            <w:r>
              <w:rPr>
                <w:rFonts w:ascii="Arial" w:cs="Arial" w:eastAsia="Arial" w:hAnsi="Arial"/>
                <w:sz w:val="12"/>
                <w:szCs w:val="12"/>
                <w:color w:val="004987"/>
              </w:rPr>
              <w:t>Corporate</w:t>
            </w:r>
          </w:p>
        </w:tc>
        <w:tc>
          <w:tcPr>
            <w:tcW w:w="1960" w:type="dxa"/>
            <w:vAlign w:val="bottom"/>
          </w:tcPr>
          <w:p>
            <w:pPr>
              <w:ind w:left="340"/>
              <w:spacing w:after="0"/>
              <w:rPr>
                <w:sz w:val="20"/>
                <w:szCs w:val="20"/>
                <w:color w:val="auto"/>
              </w:rPr>
            </w:pPr>
            <w:r>
              <w:rPr>
                <w:rFonts w:ascii="Arial" w:cs="Arial" w:eastAsia="Arial" w:hAnsi="Arial"/>
                <w:sz w:val="12"/>
                <w:szCs w:val="12"/>
                <w:color w:val="004987"/>
              </w:rPr>
              <w:t>Business Development /</w:t>
            </w:r>
          </w:p>
        </w:tc>
        <w:tc>
          <w:tcPr>
            <w:tcW w:w="1860" w:type="dxa"/>
            <w:vAlign w:val="bottom"/>
          </w:tcPr>
          <w:p>
            <w:pPr>
              <w:ind w:left="340"/>
              <w:spacing w:after="0"/>
              <w:rPr>
                <w:sz w:val="20"/>
                <w:szCs w:val="20"/>
                <w:color w:val="auto"/>
              </w:rPr>
            </w:pPr>
            <w:r>
              <w:rPr>
                <w:rFonts w:ascii="Arial" w:cs="Arial" w:eastAsia="Arial" w:hAnsi="Arial"/>
                <w:sz w:val="12"/>
                <w:szCs w:val="12"/>
                <w:color w:val="004987"/>
              </w:rPr>
              <w:t>Public Company Board</w:t>
            </w:r>
          </w:p>
        </w:tc>
        <w:tc>
          <w:tcPr>
            <w:tcW w:w="1820" w:type="dxa"/>
            <w:vAlign w:val="bottom"/>
          </w:tcPr>
          <w:p>
            <w:pPr>
              <w:ind w:left="280"/>
              <w:spacing w:after="0"/>
              <w:rPr>
                <w:sz w:val="20"/>
                <w:szCs w:val="20"/>
                <w:color w:val="auto"/>
              </w:rPr>
            </w:pPr>
            <w:r>
              <w:rPr>
                <w:rFonts w:ascii="Arial" w:cs="Arial" w:eastAsia="Arial" w:hAnsi="Arial"/>
                <w:sz w:val="12"/>
                <w:szCs w:val="12"/>
                <w:color w:val="004987"/>
              </w:rPr>
              <w:t>Risk</w:t>
            </w:r>
          </w:p>
        </w:tc>
        <w:tc>
          <w:tcPr>
            <w:tcW w:w="2060" w:type="dxa"/>
            <w:vAlign w:val="bottom"/>
          </w:tcPr>
          <w:p>
            <w:pPr>
              <w:ind w:left="320"/>
              <w:spacing w:after="0"/>
              <w:rPr>
                <w:sz w:val="20"/>
                <w:szCs w:val="20"/>
                <w:color w:val="auto"/>
              </w:rPr>
            </w:pPr>
            <w:r>
              <w:rPr>
                <w:rFonts w:ascii="Arial" w:cs="Arial" w:eastAsia="Arial" w:hAnsi="Arial"/>
                <w:sz w:val="12"/>
                <w:szCs w:val="12"/>
                <w:color w:val="004987"/>
              </w:rPr>
              <w:t>Strategic</w:t>
            </w:r>
          </w:p>
        </w:tc>
        <w:tc>
          <w:tcPr>
            <w:tcW w:w="740" w:type="dxa"/>
            <w:vAlign w:val="bottom"/>
          </w:tcPr>
          <w:p>
            <w:pPr>
              <w:ind w:left="240"/>
              <w:spacing w:after="0"/>
              <w:rPr>
                <w:sz w:val="20"/>
                <w:szCs w:val="20"/>
                <w:color w:val="auto"/>
              </w:rPr>
            </w:pPr>
            <w:r>
              <w:rPr>
                <w:rFonts w:ascii="Arial" w:cs="Arial" w:eastAsia="Arial" w:hAnsi="Arial"/>
                <w:sz w:val="12"/>
                <w:szCs w:val="12"/>
                <w:color w:val="004987"/>
              </w:rPr>
              <w:t>Global</w:t>
            </w:r>
          </w:p>
        </w:tc>
      </w:tr>
      <w:tr>
        <w:trPr>
          <w:trHeight w:val="166"/>
        </w:trPr>
        <w:tc>
          <w:tcPr>
            <w:tcW w:w="1380" w:type="dxa"/>
            <w:vAlign w:val="bottom"/>
          </w:tcPr>
          <w:p>
            <w:pPr>
              <w:spacing w:after="0"/>
              <w:rPr>
                <w:sz w:val="20"/>
                <w:szCs w:val="20"/>
                <w:color w:val="auto"/>
              </w:rPr>
            </w:pPr>
            <w:r>
              <w:rPr>
                <w:rFonts w:ascii="Arial" w:cs="Arial" w:eastAsia="Arial" w:hAnsi="Arial"/>
                <w:sz w:val="12"/>
                <w:szCs w:val="12"/>
                <w:color w:val="004987"/>
              </w:rPr>
              <w:t>Leadership</w:t>
            </w:r>
          </w:p>
        </w:tc>
        <w:tc>
          <w:tcPr>
            <w:tcW w:w="1960" w:type="dxa"/>
            <w:vAlign w:val="bottom"/>
          </w:tcPr>
          <w:p>
            <w:pPr>
              <w:ind w:left="340"/>
              <w:spacing w:after="0"/>
              <w:rPr>
                <w:sz w:val="20"/>
                <w:szCs w:val="20"/>
                <w:color w:val="auto"/>
              </w:rPr>
            </w:pPr>
            <w:r>
              <w:rPr>
                <w:rFonts w:ascii="Arial" w:cs="Arial" w:eastAsia="Arial" w:hAnsi="Arial"/>
                <w:sz w:val="12"/>
                <w:szCs w:val="12"/>
                <w:color w:val="004987"/>
              </w:rPr>
              <w:t>Mergers &amp; Acquisitions</w:t>
            </w:r>
          </w:p>
        </w:tc>
        <w:tc>
          <w:tcPr>
            <w:tcW w:w="1860" w:type="dxa"/>
            <w:vAlign w:val="bottom"/>
          </w:tcPr>
          <w:p>
            <w:pPr>
              <w:ind w:left="340"/>
              <w:spacing w:after="0"/>
              <w:rPr>
                <w:sz w:val="20"/>
                <w:szCs w:val="20"/>
                <w:color w:val="auto"/>
              </w:rPr>
            </w:pPr>
            <w:r>
              <w:rPr>
                <w:rFonts w:ascii="Arial" w:cs="Arial" w:eastAsia="Arial" w:hAnsi="Arial"/>
                <w:sz w:val="12"/>
                <w:szCs w:val="12"/>
                <w:color w:val="004987"/>
              </w:rPr>
              <w:t>Service &amp; Governance</w:t>
            </w:r>
          </w:p>
        </w:tc>
        <w:tc>
          <w:tcPr>
            <w:tcW w:w="1820" w:type="dxa"/>
            <w:vAlign w:val="bottom"/>
          </w:tcPr>
          <w:p>
            <w:pPr>
              <w:ind w:left="280"/>
              <w:spacing w:after="0"/>
              <w:rPr>
                <w:sz w:val="20"/>
                <w:szCs w:val="20"/>
                <w:color w:val="auto"/>
              </w:rPr>
            </w:pPr>
            <w:r>
              <w:rPr>
                <w:rFonts w:ascii="Arial" w:cs="Arial" w:eastAsia="Arial" w:hAnsi="Arial"/>
                <w:sz w:val="12"/>
                <w:szCs w:val="12"/>
                <w:color w:val="004987"/>
              </w:rPr>
              <w:t>Management</w:t>
            </w:r>
          </w:p>
        </w:tc>
        <w:tc>
          <w:tcPr>
            <w:tcW w:w="2060" w:type="dxa"/>
            <w:vAlign w:val="bottom"/>
          </w:tcPr>
          <w:p>
            <w:pPr>
              <w:ind w:left="320"/>
              <w:spacing w:after="0"/>
              <w:rPr>
                <w:sz w:val="20"/>
                <w:szCs w:val="20"/>
                <w:color w:val="auto"/>
              </w:rPr>
            </w:pPr>
            <w:r>
              <w:rPr>
                <w:rFonts w:ascii="Arial" w:cs="Arial" w:eastAsia="Arial" w:hAnsi="Arial"/>
                <w:sz w:val="12"/>
                <w:szCs w:val="12"/>
                <w:color w:val="004987"/>
              </w:rPr>
              <w:t>Planning</w:t>
            </w:r>
          </w:p>
        </w:tc>
        <w:tc>
          <w:tcPr>
            <w:tcW w:w="740" w:type="dxa"/>
            <w:vAlign w:val="bottom"/>
          </w:tcPr>
          <w:p>
            <w:pPr>
              <w:ind w:left="240"/>
              <w:spacing w:after="0"/>
              <w:rPr>
                <w:sz w:val="20"/>
                <w:szCs w:val="20"/>
                <w:color w:val="auto"/>
              </w:rPr>
            </w:pPr>
            <w:r>
              <w:rPr>
                <w:rFonts w:ascii="Arial" w:cs="Arial" w:eastAsia="Arial" w:hAnsi="Arial"/>
                <w:sz w:val="12"/>
                <w:szCs w:val="12"/>
                <w:color w:val="004987"/>
                <w:w w:val="95"/>
              </w:rPr>
              <w:t>Expertise</w:t>
            </w:r>
          </w:p>
        </w:tc>
      </w:tr>
      <w:tr>
        <w:trPr>
          <w:trHeight w:val="295"/>
        </w:trPr>
        <w:tc>
          <w:tcPr>
            <w:tcW w:w="1380" w:type="dxa"/>
            <w:vAlign w:val="bottom"/>
          </w:tcPr>
          <w:p>
            <w:pPr>
              <w:spacing w:after="0"/>
              <w:rPr>
                <w:sz w:val="20"/>
                <w:szCs w:val="20"/>
                <w:color w:val="auto"/>
              </w:rPr>
            </w:pPr>
            <w:r>
              <w:rPr>
                <w:rFonts w:ascii="Arial" w:cs="Arial" w:eastAsia="Arial" w:hAnsi="Arial"/>
                <w:sz w:val="12"/>
                <w:szCs w:val="12"/>
                <w:color w:val="004987"/>
              </w:rPr>
              <w:t>Vacation Ownership</w:t>
            </w:r>
          </w:p>
        </w:tc>
        <w:tc>
          <w:tcPr>
            <w:tcW w:w="1960" w:type="dxa"/>
            <w:vAlign w:val="bottom"/>
          </w:tcPr>
          <w:p>
            <w:pPr>
              <w:ind w:left="340"/>
              <w:spacing w:after="0"/>
              <w:rPr>
                <w:sz w:val="20"/>
                <w:szCs w:val="20"/>
                <w:color w:val="auto"/>
              </w:rPr>
            </w:pPr>
            <w:r>
              <w:rPr>
                <w:rFonts w:ascii="Arial" w:cs="Arial" w:eastAsia="Arial" w:hAnsi="Arial"/>
                <w:sz w:val="12"/>
                <w:szCs w:val="12"/>
                <w:color w:val="004987"/>
              </w:rPr>
              <w:t>Legal, Regulatory &amp;</w:t>
            </w:r>
          </w:p>
        </w:tc>
        <w:tc>
          <w:tcPr>
            <w:tcW w:w="1860" w:type="dxa"/>
            <w:vAlign w:val="bottom"/>
          </w:tcPr>
          <w:p>
            <w:pPr>
              <w:ind w:left="340"/>
              <w:spacing w:after="0"/>
              <w:rPr>
                <w:sz w:val="20"/>
                <w:szCs w:val="20"/>
                <w:color w:val="auto"/>
              </w:rPr>
            </w:pPr>
            <w:r>
              <w:rPr>
                <w:rFonts w:ascii="Arial" w:cs="Arial" w:eastAsia="Arial" w:hAnsi="Arial"/>
                <w:sz w:val="12"/>
                <w:szCs w:val="12"/>
                <w:color w:val="004987"/>
              </w:rPr>
              <w:t>Sales &amp; Marketing/</w:t>
            </w:r>
          </w:p>
        </w:tc>
        <w:tc>
          <w:tcPr>
            <w:tcW w:w="1820" w:type="dxa"/>
            <w:vAlign w:val="bottom"/>
          </w:tcPr>
          <w:p>
            <w:pPr>
              <w:ind w:left="280"/>
              <w:spacing w:after="0"/>
              <w:rPr>
                <w:sz w:val="20"/>
                <w:szCs w:val="20"/>
                <w:color w:val="auto"/>
              </w:rPr>
            </w:pPr>
            <w:r>
              <w:rPr>
                <w:rFonts w:ascii="Arial" w:cs="Arial" w:eastAsia="Arial" w:hAnsi="Arial"/>
                <w:sz w:val="12"/>
                <w:szCs w:val="12"/>
                <w:color w:val="004987"/>
              </w:rPr>
              <w:t>Real Estate &amp;</w:t>
            </w:r>
          </w:p>
        </w:tc>
        <w:tc>
          <w:tcPr>
            <w:tcW w:w="2060" w:type="dxa"/>
            <w:vAlign w:val="bottom"/>
          </w:tcPr>
          <w:p>
            <w:pPr>
              <w:ind w:left="320"/>
              <w:spacing w:after="0"/>
              <w:rPr>
                <w:sz w:val="20"/>
                <w:szCs w:val="20"/>
                <w:color w:val="auto"/>
              </w:rPr>
            </w:pPr>
            <w:r>
              <w:rPr>
                <w:rFonts w:ascii="Arial" w:cs="Arial" w:eastAsia="Arial" w:hAnsi="Arial"/>
                <w:sz w:val="12"/>
                <w:szCs w:val="12"/>
                <w:color w:val="004987"/>
              </w:rPr>
              <w:t>Human Capital, Professional</w:t>
            </w:r>
          </w:p>
        </w:tc>
        <w:tc>
          <w:tcPr>
            <w:tcW w:w="740" w:type="dxa"/>
            <w:vAlign w:val="bottom"/>
          </w:tcPr>
          <w:p>
            <w:pPr>
              <w:spacing w:after="0"/>
              <w:rPr>
                <w:sz w:val="24"/>
                <w:szCs w:val="24"/>
                <w:color w:val="auto"/>
              </w:rPr>
            </w:pPr>
          </w:p>
        </w:tc>
      </w:tr>
      <w:tr>
        <w:trPr>
          <w:trHeight w:val="166"/>
        </w:trPr>
        <w:tc>
          <w:tcPr>
            <w:tcW w:w="1380" w:type="dxa"/>
            <w:vAlign w:val="bottom"/>
          </w:tcPr>
          <w:p>
            <w:pPr>
              <w:spacing w:after="0"/>
              <w:rPr>
                <w:sz w:val="20"/>
                <w:szCs w:val="20"/>
                <w:color w:val="auto"/>
              </w:rPr>
            </w:pPr>
            <w:r>
              <w:rPr>
                <w:rFonts w:ascii="Arial" w:cs="Arial" w:eastAsia="Arial" w:hAnsi="Arial"/>
                <w:sz w:val="12"/>
                <w:szCs w:val="12"/>
                <w:color w:val="004987"/>
              </w:rPr>
              <w:t>&amp; Lodging Industry</w:t>
            </w:r>
          </w:p>
        </w:tc>
        <w:tc>
          <w:tcPr>
            <w:tcW w:w="1960" w:type="dxa"/>
            <w:vAlign w:val="bottom"/>
          </w:tcPr>
          <w:p>
            <w:pPr>
              <w:ind w:left="340"/>
              <w:spacing w:after="0"/>
              <w:rPr>
                <w:sz w:val="20"/>
                <w:szCs w:val="20"/>
                <w:color w:val="auto"/>
              </w:rPr>
            </w:pPr>
            <w:r>
              <w:rPr>
                <w:rFonts w:ascii="Arial" w:cs="Arial" w:eastAsia="Arial" w:hAnsi="Arial"/>
                <w:sz w:val="12"/>
                <w:szCs w:val="12"/>
                <w:color w:val="004987"/>
              </w:rPr>
              <w:t>Government Relations</w:t>
            </w:r>
          </w:p>
        </w:tc>
        <w:tc>
          <w:tcPr>
            <w:tcW w:w="1860" w:type="dxa"/>
            <w:vAlign w:val="bottom"/>
          </w:tcPr>
          <w:p>
            <w:pPr>
              <w:ind w:left="340"/>
              <w:spacing w:after="0"/>
              <w:rPr>
                <w:sz w:val="20"/>
                <w:szCs w:val="20"/>
                <w:color w:val="auto"/>
              </w:rPr>
            </w:pPr>
            <w:r>
              <w:rPr>
                <w:rFonts w:ascii="Arial" w:cs="Arial" w:eastAsia="Arial" w:hAnsi="Arial"/>
                <w:sz w:val="12"/>
                <w:szCs w:val="12"/>
                <w:color w:val="004987"/>
              </w:rPr>
              <w:t>Consumer Insights</w:t>
            </w:r>
          </w:p>
        </w:tc>
        <w:tc>
          <w:tcPr>
            <w:tcW w:w="1820" w:type="dxa"/>
            <w:vAlign w:val="bottom"/>
          </w:tcPr>
          <w:p>
            <w:pPr>
              <w:ind w:left="280"/>
              <w:spacing w:after="0"/>
              <w:rPr>
                <w:sz w:val="20"/>
                <w:szCs w:val="20"/>
                <w:color w:val="auto"/>
              </w:rPr>
            </w:pPr>
            <w:r>
              <w:rPr>
                <w:rFonts w:ascii="Arial" w:cs="Arial" w:eastAsia="Arial" w:hAnsi="Arial"/>
                <w:sz w:val="12"/>
                <w:szCs w:val="12"/>
                <w:color w:val="004987"/>
              </w:rPr>
              <w:t>Business Development</w:t>
            </w:r>
          </w:p>
        </w:tc>
        <w:tc>
          <w:tcPr>
            <w:tcW w:w="2800" w:type="dxa"/>
            <w:vAlign w:val="bottom"/>
            <w:gridSpan w:val="2"/>
          </w:tcPr>
          <w:p>
            <w:pPr>
              <w:ind w:left="320"/>
              <w:spacing w:after="0"/>
              <w:rPr>
                <w:sz w:val="20"/>
                <w:szCs w:val="20"/>
                <w:color w:val="auto"/>
              </w:rPr>
            </w:pPr>
            <w:r>
              <w:rPr>
                <w:rFonts w:ascii="Arial" w:cs="Arial" w:eastAsia="Arial" w:hAnsi="Arial"/>
                <w:sz w:val="12"/>
                <w:szCs w:val="12"/>
                <w:color w:val="004987"/>
              </w:rPr>
              <w:t>Development &amp; Organizational Culture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-454660</wp:posOffset>
            </wp:positionV>
            <wp:extent cx="89535" cy="130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9535" cy="13017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-430530</wp:posOffset>
            </wp:positionV>
            <wp:extent cx="138430" cy="130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2614930</wp:posOffset>
            </wp:positionH>
            <wp:positionV relativeFrom="paragraph">
              <wp:posOffset>-430530</wp:posOffset>
            </wp:positionV>
            <wp:extent cx="146685" cy="130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685" cy="13017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-430530</wp:posOffset>
            </wp:positionV>
            <wp:extent cx="130175" cy="130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-430530</wp:posOffset>
            </wp:positionV>
            <wp:extent cx="138430" cy="130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-430530</wp:posOffset>
            </wp:positionV>
            <wp:extent cx="138430" cy="130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-145415</wp:posOffset>
            </wp:positionV>
            <wp:extent cx="121920" cy="130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1920" cy="13017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-137160</wp:posOffset>
            </wp:positionV>
            <wp:extent cx="130175" cy="130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-145415</wp:posOffset>
            </wp:positionV>
            <wp:extent cx="138430" cy="1301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8430" cy="13017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-137160</wp:posOffset>
            </wp:positionV>
            <wp:extent cx="130175" cy="130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0175" cy="13017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-137160</wp:posOffset>
            </wp:positionV>
            <wp:extent cx="130175" cy="130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142" w:lineRule="exact"/>
        <w:rPr>
          <w:sz w:val="20"/>
          <w:szCs w:val="20"/>
          <w:color w:val="auto"/>
        </w:rPr>
      </w:pPr>
    </w:p>
    <w:p>
      <w:pPr>
        <w:ind w:left="740"/>
        <w:spacing w:after="0"/>
        <w:rPr>
          <w:sz w:val="20"/>
          <w:szCs w:val="20"/>
          <w:color w:val="auto"/>
        </w:rPr>
      </w:pPr>
      <w:r>
        <w:rPr>
          <w:rFonts w:ascii="Arial" w:cs="Arial" w:eastAsia="Arial" w:hAnsi="Arial"/>
          <w:sz w:val="12"/>
          <w:szCs w:val="12"/>
          <w:color w:val="004987"/>
        </w:rPr>
        <w:t>Technology &amp;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-43180</wp:posOffset>
            </wp:positionV>
            <wp:extent cx="130175" cy="130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2"/>
          <w:szCs w:val="12"/>
          <w:color w:val="004987"/>
        </w:rPr>
        <w:t>Digital &amp; Social Media</w:t>
      </w:r>
    </w:p>
    <w:p>
      <w:pPr>
        <w:spacing w:after="0" w:line="137" w:lineRule="exact"/>
        <w:rPr>
          <w:sz w:val="20"/>
          <w:szCs w:val="20"/>
          <w:color w:val="auto"/>
        </w:rPr>
      </w:pPr>
    </w:p>
    <w:p>
      <w:pPr>
        <w:ind w:left="400"/>
        <w:spacing w:after="0"/>
        <w:tabs>
          <w:tab w:leader="none" w:pos="4420" w:val="left"/>
          <w:tab w:leader="none" w:pos="7720" w:val="left"/>
        </w:tabs>
        <w:rPr>
          <w:sz w:val="20"/>
          <w:szCs w:val="20"/>
          <w:color w:val="auto"/>
        </w:rPr>
      </w:pPr>
      <w:r>
        <w:rPr>
          <w:rFonts w:ascii="Arial" w:cs="Arial" w:eastAsia="Arial" w:hAnsi="Arial"/>
          <w:sz w:val="10"/>
          <w:szCs w:val="10"/>
          <w:b w:val="1"/>
          <w:bCs w:val="1"/>
          <w:color w:val="004987"/>
        </w:rPr>
        <w:t>14</w:t>
      </w:r>
      <w:r>
        <w:rPr>
          <w:sz w:val="20"/>
          <w:szCs w:val="20"/>
          <w:color w:val="auto"/>
        </w:rPr>
        <w:tab/>
      </w:r>
      <w:r>
        <w:rPr>
          <w:rFonts w:ascii="Arial" w:cs="Arial" w:eastAsia="Arial" w:hAnsi="Arial"/>
          <w:sz w:val="10"/>
          <w:szCs w:val="10"/>
          <w:color w:val="auto"/>
        </w:rPr>
        <w:t>Report on the Board of Directors and its Committees</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SUMMARY OF DIRECTOR ATTRIBUTES AND SKILLS</w:t>
      </w:r>
    </w:p>
    <w:p>
      <w:pPr>
        <w:spacing w:after="0" w:line="106" w:lineRule="exact"/>
        <w:rPr>
          <w:sz w:val="20"/>
          <w:szCs w:val="20"/>
          <w:color w:val="auto"/>
        </w:rPr>
      </w:pPr>
    </w:p>
    <w:p>
      <w:pPr>
        <w:ind w:left="400" w:right="200"/>
        <w:spacing w:after="0" w:line="269" w:lineRule="auto"/>
        <w:rPr>
          <w:sz w:val="20"/>
          <w:szCs w:val="20"/>
          <w:color w:val="auto"/>
        </w:rPr>
      </w:pPr>
      <w:r>
        <w:rPr>
          <w:rFonts w:ascii="Arial" w:cs="Arial" w:eastAsia="Arial" w:hAnsi="Arial"/>
          <w:sz w:val="15"/>
          <w:szCs w:val="15"/>
          <w:color w:val="auto"/>
        </w:rPr>
        <w:t>Our Board members have a diversity of experience and bring a wide variety of skills, qualifications and viewpoints that strengthen the Board’s oversight role on behalf of our stockholders. The following highlights certain key characteristics of our directors. Additional information can be found in their biographies.</w:t>
      </w:r>
    </w:p>
    <w:p>
      <w:pPr>
        <w:spacing w:after="0" w:line="192"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3260" w:type="dxa"/>
            <w:vAlign w:val="bottom"/>
            <w:tcBorders>
              <w:bottom w:val="single" w:sz="8" w:color="004987"/>
            </w:tcBorders>
          </w:tcPr>
          <w:p>
            <w:pPr>
              <w:spacing w:after="0"/>
              <w:rPr>
                <w:sz w:val="14"/>
                <w:szCs w:val="14"/>
                <w:color w:val="auto"/>
              </w:rPr>
            </w:pPr>
          </w:p>
        </w:tc>
        <w:tc>
          <w:tcPr>
            <w:tcW w:w="6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Shaw</w:t>
            </w:r>
          </w:p>
        </w:tc>
        <w:tc>
          <w:tcPr>
            <w:tcW w:w="7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4"/>
              </w:rPr>
              <w:t>Andrews</w:t>
            </w:r>
          </w:p>
        </w:tc>
        <w:tc>
          <w:tcPr>
            <w:tcW w:w="8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7"/>
              </w:rPr>
              <w:t>Galbreath</w:t>
            </w:r>
          </w:p>
        </w:tc>
        <w:tc>
          <w:tcPr>
            <w:tcW w:w="66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Gellein</w:t>
            </w:r>
          </w:p>
        </w:tc>
        <w:tc>
          <w:tcPr>
            <w:tcW w:w="7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Martinez</w:t>
            </w:r>
          </w:p>
        </w:tc>
        <w:tc>
          <w:tcPr>
            <w:tcW w:w="7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7"/>
              </w:rPr>
              <w:t>McCarten</w:t>
            </w:r>
          </w:p>
        </w:tc>
        <w:tc>
          <w:tcPr>
            <w:tcW w:w="70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Morgan</w:t>
            </w:r>
          </w:p>
        </w:tc>
        <w:tc>
          <w:tcPr>
            <w:tcW w:w="7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rPr>
              <w:t>Quazzo</w:t>
            </w:r>
          </w:p>
        </w:tc>
        <w:tc>
          <w:tcPr>
            <w:tcW w:w="7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1"/>
              </w:rPr>
              <w:t>Tucker</w:t>
            </w:r>
          </w:p>
        </w:tc>
        <w:tc>
          <w:tcPr>
            <w:tcW w:w="66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5"/>
              </w:rPr>
              <w:t>Weisz</w:t>
            </w:r>
          </w:p>
        </w:tc>
        <w:tc>
          <w:tcPr>
            <w:tcW w:w="0" w:type="dxa"/>
            <w:vAlign w:val="bottom"/>
          </w:tcPr>
          <w:p>
            <w:pPr>
              <w:spacing w:after="0"/>
              <w:rPr>
                <w:sz w:val="1"/>
                <w:szCs w:val="1"/>
                <w:color w:val="auto"/>
              </w:rPr>
            </w:pPr>
          </w:p>
        </w:tc>
      </w:tr>
      <w:tr>
        <w:trPr>
          <w:trHeight w:val="146"/>
        </w:trPr>
        <w:tc>
          <w:tcPr>
            <w:tcW w:w="3260" w:type="dxa"/>
            <w:vAlign w:val="bottom"/>
          </w:tcPr>
          <w:p>
            <w:pPr>
              <w:ind w:left="640"/>
              <w:spacing w:after="0" w:line="147" w:lineRule="exact"/>
              <w:rPr>
                <w:sz w:val="20"/>
                <w:szCs w:val="20"/>
                <w:color w:val="auto"/>
              </w:rPr>
            </w:pPr>
            <w:r>
              <w:rPr>
                <w:rFonts w:ascii="Arial" w:cs="Arial" w:eastAsia="Arial" w:hAnsi="Arial"/>
                <w:sz w:val="14"/>
                <w:szCs w:val="14"/>
                <w:b w:val="1"/>
                <w:bCs w:val="1"/>
                <w:color w:val="004987"/>
              </w:rPr>
              <w:t xml:space="preserve">Corporate Leadership </w:t>
            </w:r>
            <w:r>
              <w:rPr>
                <w:rFonts w:ascii="Arial" w:cs="Arial" w:eastAsia="Arial" w:hAnsi="Arial"/>
                <w:sz w:val="14"/>
                <w:szCs w:val="14"/>
                <w:color w:val="000000"/>
              </w:rPr>
              <w:t>is important</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because directors with experience</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running public companies, private</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companies or other large organizations</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typically possess strong leadership</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qualities.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 xml:space="preserve">Independence </w:t>
            </w:r>
            <w:r>
              <w:rPr>
                <w:rFonts w:ascii="Arial" w:cs="Arial" w:eastAsia="Arial" w:hAnsi="Arial"/>
                <w:sz w:val="14"/>
                <w:szCs w:val="14"/>
                <w:color w:val="000000"/>
              </w:rPr>
              <w:t>satisfies the</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independence requirement of the NYSE</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and our Corporate Governance</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Guidelines.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 xml:space="preserve">Diversity </w:t>
            </w:r>
            <w:r>
              <w:rPr>
                <w:rFonts w:ascii="Arial" w:cs="Arial" w:eastAsia="Arial" w:hAnsi="Arial"/>
                <w:sz w:val="14"/>
                <w:szCs w:val="14"/>
                <w:color w:val="000000"/>
              </w:rPr>
              <w:t>adds perspective through</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diversity in, among other areas, gender,</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ethnic background and race.</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 xml:space="preserve">Financial &amp; Capital Markets </w:t>
            </w:r>
            <w:r>
              <w:rPr>
                <w:rFonts w:ascii="Arial" w:cs="Arial" w:eastAsia="Arial" w:hAnsi="Arial"/>
                <w:sz w:val="14"/>
                <w:szCs w:val="14"/>
                <w:color w:val="000000"/>
              </w:rPr>
              <w:t>experience</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helps Board members advise on our</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capital structure and financing and</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investing activities.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Accounting &amp; Financial Reporting</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experience is important in overseeing our</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financial reporting and internal controls to</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assure transparency and accuracy.</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640"/>
              <w:spacing w:after="0" w:line="137" w:lineRule="exact"/>
              <w:rPr>
                <w:sz w:val="20"/>
                <w:szCs w:val="20"/>
                <w:color w:val="auto"/>
              </w:rPr>
            </w:pPr>
            <w:r>
              <w:rPr>
                <w:rFonts w:ascii="Arial" w:cs="Arial" w:eastAsia="Arial" w:hAnsi="Arial"/>
                <w:sz w:val="14"/>
                <w:szCs w:val="14"/>
                <w:b w:val="1"/>
                <w:bCs w:val="1"/>
                <w:color w:val="004987"/>
              </w:rPr>
              <w:t>Business Development / Mergers &amp;</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640"/>
              <w:spacing w:after="0" w:line="156" w:lineRule="exact"/>
              <w:rPr>
                <w:sz w:val="20"/>
                <w:szCs w:val="20"/>
                <w:color w:val="auto"/>
              </w:rPr>
            </w:pPr>
            <w:r>
              <w:rPr>
                <w:rFonts w:ascii="Arial" w:cs="Arial" w:eastAsia="Arial" w:hAnsi="Arial"/>
                <w:sz w:val="14"/>
                <w:szCs w:val="14"/>
                <w:b w:val="1"/>
                <w:bCs w:val="1"/>
                <w:color w:val="004987"/>
              </w:rPr>
              <w:t xml:space="preserve">Acquisitions </w:t>
            </w:r>
            <w:r>
              <w:rPr>
                <w:rFonts w:ascii="Arial" w:cs="Arial" w:eastAsia="Arial" w:hAnsi="Arial"/>
                <w:sz w:val="14"/>
                <w:szCs w:val="14"/>
                <w:color w:val="000000"/>
              </w:rPr>
              <w:t>experience supports our</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goal of selectively pursuing compelling</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new business opportunities.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640"/>
              <w:spacing w:after="0" w:line="137" w:lineRule="exact"/>
              <w:rPr>
                <w:sz w:val="20"/>
                <w:szCs w:val="20"/>
                <w:color w:val="auto"/>
              </w:rPr>
            </w:pPr>
            <w:r>
              <w:rPr>
                <w:rFonts w:ascii="Arial" w:cs="Arial" w:eastAsia="Arial" w:hAnsi="Arial"/>
                <w:sz w:val="14"/>
                <w:szCs w:val="14"/>
                <w:b w:val="1"/>
                <w:bCs w:val="1"/>
                <w:color w:val="004987"/>
              </w:rPr>
              <w:t>Public Company Board Service &amp;</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640"/>
              <w:spacing w:after="0" w:line="156" w:lineRule="exact"/>
              <w:rPr>
                <w:sz w:val="20"/>
                <w:szCs w:val="20"/>
                <w:color w:val="auto"/>
              </w:rPr>
            </w:pPr>
            <w:r>
              <w:rPr>
                <w:rFonts w:ascii="Arial" w:cs="Arial" w:eastAsia="Arial" w:hAnsi="Arial"/>
                <w:sz w:val="14"/>
                <w:szCs w:val="14"/>
                <w:b w:val="1"/>
                <w:bCs w:val="1"/>
                <w:color w:val="004987"/>
              </w:rPr>
              <w:t xml:space="preserve">Governance </w:t>
            </w:r>
            <w:r>
              <w:rPr>
                <w:rFonts w:ascii="Arial" w:cs="Arial" w:eastAsia="Arial" w:hAnsi="Arial"/>
                <w:sz w:val="14"/>
                <w:szCs w:val="14"/>
                <w:color w:val="000000"/>
              </w:rPr>
              <w:t>experience supports our</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goals of accountability, transparency and</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protection of stockholder interests.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 xml:space="preserve">Risk Management </w:t>
            </w:r>
            <w:r>
              <w:rPr>
                <w:rFonts w:ascii="Arial" w:cs="Arial" w:eastAsia="Arial" w:hAnsi="Arial"/>
                <w:sz w:val="14"/>
                <w:szCs w:val="14"/>
                <w:color w:val="000000"/>
              </w:rPr>
              <w:t>experience supports</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oversight of our processes for assessing</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and managing risk.</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 xml:space="preserve">Strategic Planning </w:t>
            </w:r>
            <w:r>
              <w:rPr>
                <w:rFonts w:ascii="Arial" w:cs="Arial" w:eastAsia="Arial" w:hAnsi="Arial"/>
                <w:sz w:val="14"/>
                <w:szCs w:val="14"/>
                <w:color w:val="000000"/>
              </w:rPr>
              <w:t>experience allows</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the Board to evaluate and challenge our</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strategic plans.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640"/>
              <w:spacing w:after="0"/>
              <w:rPr>
                <w:sz w:val="20"/>
                <w:szCs w:val="20"/>
                <w:color w:val="auto"/>
              </w:rPr>
            </w:pPr>
            <w:r>
              <w:rPr>
                <w:rFonts w:ascii="Arial" w:cs="Arial" w:eastAsia="Arial" w:hAnsi="Arial"/>
                <w:sz w:val="14"/>
                <w:szCs w:val="14"/>
                <w:b w:val="1"/>
                <w:bCs w:val="1"/>
                <w:color w:val="004987"/>
              </w:rPr>
              <w:t xml:space="preserve">Global Expertise </w:t>
            </w:r>
            <w:r>
              <w:rPr>
                <w:rFonts w:ascii="Arial" w:cs="Arial" w:eastAsia="Arial" w:hAnsi="Arial"/>
                <w:sz w:val="14"/>
                <w:szCs w:val="14"/>
                <w:color w:val="000000"/>
              </w:rPr>
              <w:t>experience supports</w:t>
            </w:r>
          </w:p>
        </w:tc>
        <w:tc>
          <w:tcPr>
            <w:tcW w:w="640" w:type="dxa"/>
            <w:vAlign w:val="bottom"/>
            <w:vMerge w:val="restart"/>
          </w:tcPr>
          <w:p>
            <w:pPr>
              <w:spacing w:after="0"/>
              <w:rPr>
                <w:sz w:val="17"/>
                <w:szCs w:val="17"/>
                <w:color w:val="auto"/>
              </w:rPr>
            </w:pPr>
          </w:p>
        </w:tc>
        <w:tc>
          <w:tcPr>
            <w:tcW w:w="78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vMerge w:val="restart"/>
          </w:tcPr>
          <w:p>
            <w:pPr>
              <w:spacing w:after="0"/>
              <w:rPr>
                <w:sz w:val="17"/>
                <w:szCs w:val="17"/>
                <w:color w:val="auto"/>
              </w:rPr>
            </w:pPr>
          </w:p>
        </w:tc>
        <w:tc>
          <w:tcPr>
            <w:tcW w:w="72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rPr>
                <w:sz w:val="20"/>
                <w:szCs w:val="20"/>
                <w:color w:val="auto"/>
              </w:rPr>
            </w:pPr>
            <w:r>
              <w:rPr>
                <w:rFonts w:ascii="Arial" w:cs="Arial" w:eastAsia="Arial" w:hAnsi="Arial"/>
                <w:sz w:val="14"/>
                <w:szCs w:val="14"/>
                <w:color w:val="auto"/>
              </w:rPr>
              <w:t>our goal of continuing growth globally.</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2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3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640"/>
              <w:spacing w:after="0" w:line="137" w:lineRule="exact"/>
              <w:rPr>
                <w:sz w:val="20"/>
                <w:szCs w:val="20"/>
                <w:color w:val="auto"/>
              </w:rPr>
            </w:pPr>
            <w:r>
              <w:rPr>
                <w:rFonts w:ascii="Arial" w:cs="Arial" w:eastAsia="Arial" w:hAnsi="Arial"/>
                <w:sz w:val="14"/>
                <w:szCs w:val="14"/>
                <w:b w:val="1"/>
                <w:bCs w:val="1"/>
                <w:color w:val="004987"/>
              </w:rPr>
              <w:t>Vacation Ownership &amp; Lodging</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640"/>
              <w:spacing w:after="0" w:line="156" w:lineRule="exact"/>
              <w:rPr>
                <w:sz w:val="20"/>
                <w:szCs w:val="20"/>
                <w:color w:val="auto"/>
              </w:rPr>
            </w:pPr>
            <w:r>
              <w:rPr>
                <w:rFonts w:ascii="Arial" w:cs="Arial" w:eastAsia="Arial" w:hAnsi="Arial"/>
                <w:sz w:val="14"/>
                <w:szCs w:val="14"/>
                <w:b w:val="1"/>
                <w:bCs w:val="1"/>
                <w:color w:val="004987"/>
              </w:rPr>
              <w:t xml:space="preserve">Industry </w:t>
            </w:r>
            <w:r>
              <w:rPr>
                <w:rFonts w:ascii="Arial" w:cs="Arial" w:eastAsia="Arial" w:hAnsi="Arial"/>
                <w:sz w:val="14"/>
                <w:szCs w:val="14"/>
                <w:color w:val="000000"/>
              </w:rPr>
              <w:t>experience is important in</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overseeing the development and</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implementation of our business strategy</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and operating plan.</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640"/>
              <w:spacing w:after="0" w:line="137" w:lineRule="exact"/>
              <w:rPr>
                <w:sz w:val="20"/>
                <w:szCs w:val="20"/>
                <w:color w:val="auto"/>
              </w:rPr>
            </w:pPr>
            <w:r>
              <w:rPr>
                <w:rFonts w:ascii="Arial" w:cs="Arial" w:eastAsia="Arial" w:hAnsi="Arial"/>
                <w:sz w:val="14"/>
                <w:szCs w:val="14"/>
                <w:b w:val="1"/>
                <w:bCs w:val="1"/>
                <w:color w:val="004987"/>
              </w:rPr>
              <w:t>Legal, Regulatory &amp; Government</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640"/>
              <w:spacing w:after="0" w:line="156" w:lineRule="exact"/>
              <w:rPr>
                <w:sz w:val="20"/>
                <w:szCs w:val="20"/>
                <w:color w:val="auto"/>
              </w:rPr>
            </w:pPr>
            <w:r>
              <w:rPr>
                <w:rFonts w:ascii="Arial" w:cs="Arial" w:eastAsia="Arial" w:hAnsi="Arial"/>
                <w:sz w:val="14"/>
                <w:szCs w:val="14"/>
                <w:b w:val="1"/>
                <w:bCs w:val="1"/>
                <w:color w:val="004987"/>
              </w:rPr>
              <w:t xml:space="preserve">Relations </w:t>
            </w:r>
            <w:r>
              <w:rPr>
                <w:rFonts w:ascii="Arial" w:cs="Arial" w:eastAsia="Arial" w:hAnsi="Arial"/>
                <w:sz w:val="14"/>
                <w:szCs w:val="14"/>
                <w:color w:val="000000"/>
              </w:rPr>
              <w:t>experience is relevant</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because we operate in a heavily</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regulated industry.</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 xml:space="preserve">Compliance </w:t>
            </w:r>
            <w:r>
              <w:rPr>
                <w:rFonts w:ascii="Arial" w:cs="Arial" w:eastAsia="Arial" w:hAnsi="Arial"/>
                <w:sz w:val="14"/>
                <w:szCs w:val="14"/>
                <w:color w:val="000000"/>
              </w:rPr>
              <w:t>experience helps set the</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tone at the top to encourage our</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employees to act ethically and legally.</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Sales &amp; Marketing/Consumer Insights</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experience is important in understanding</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the consumer-driven aspects of our</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business in order to deliver outstanding</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products and services.</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tcPr>
          <w:p>
            <w:pPr>
              <w:ind w:left="640"/>
              <w:spacing w:after="0" w:line="139" w:lineRule="exact"/>
              <w:rPr>
                <w:sz w:val="20"/>
                <w:szCs w:val="20"/>
                <w:color w:val="auto"/>
              </w:rPr>
            </w:pPr>
            <w:r>
              <w:rPr>
                <w:rFonts w:ascii="Arial" w:cs="Arial" w:eastAsia="Arial" w:hAnsi="Arial"/>
                <w:sz w:val="14"/>
                <w:szCs w:val="14"/>
                <w:b w:val="1"/>
                <w:bCs w:val="1"/>
                <w:color w:val="004987"/>
              </w:rPr>
              <w:t>Real Estate &amp; Business Development</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experience aids in understanding and</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reviewing our business and strategy.</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640"/>
              <w:spacing w:after="0" w:line="137" w:lineRule="exact"/>
              <w:rPr>
                <w:sz w:val="20"/>
                <w:szCs w:val="20"/>
                <w:color w:val="auto"/>
              </w:rPr>
            </w:pPr>
            <w:r>
              <w:rPr>
                <w:rFonts w:ascii="Arial" w:cs="Arial" w:eastAsia="Arial" w:hAnsi="Arial"/>
                <w:sz w:val="14"/>
                <w:szCs w:val="14"/>
                <w:b w:val="1"/>
                <w:bCs w:val="1"/>
                <w:color w:val="004987"/>
              </w:rPr>
              <w:t>Human Capital, Professional</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640"/>
              <w:spacing w:after="0" w:line="156" w:lineRule="exact"/>
              <w:rPr>
                <w:sz w:val="20"/>
                <w:szCs w:val="20"/>
                <w:color w:val="auto"/>
              </w:rPr>
            </w:pPr>
            <w:r>
              <w:rPr>
                <w:rFonts w:ascii="Arial" w:cs="Arial" w:eastAsia="Arial" w:hAnsi="Arial"/>
                <w:sz w:val="14"/>
                <w:szCs w:val="14"/>
                <w:b w:val="1"/>
                <w:bCs w:val="1"/>
                <w:color w:val="004987"/>
              </w:rPr>
              <w:t>Development &amp; Organizational Culture</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experience helps us attract, motivate and</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retain top candidates for positions</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throughout our global workforce.</w:t>
            </w: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tcPr>
          <w:p>
            <w:pPr>
              <w:ind w:left="640"/>
              <w:spacing w:after="0" w:line="137" w:lineRule="exact"/>
              <w:rPr>
                <w:sz w:val="20"/>
                <w:szCs w:val="20"/>
                <w:color w:val="auto"/>
              </w:rPr>
            </w:pPr>
            <w:r>
              <w:rPr>
                <w:rFonts w:ascii="Arial" w:cs="Arial" w:eastAsia="Arial" w:hAnsi="Arial"/>
                <w:sz w:val="14"/>
                <w:szCs w:val="14"/>
                <w:b w:val="1"/>
                <w:bCs w:val="1"/>
                <w:color w:val="004987"/>
              </w:rPr>
              <w:t>Technology &amp; Cybersecurity/Digital &amp;</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260" w:type="dxa"/>
            <w:vAlign w:val="bottom"/>
          </w:tcPr>
          <w:p>
            <w:pPr>
              <w:ind w:left="640"/>
              <w:spacing w:after="0" w:line="156" w:lineRule="exact"/>
              <w:rPr>
                <w:sz w:val="20"/>
                <w:szCs w:val="20"/>
                <w:color w:val="auto"/>
              </w:rPr>
            </w:pPr>
            <w:r>
              <w:rPr>
                <w:rFonts w:ascii="Arial" w:cs="Arial" w:eastAsia="Arial" w:hAnsi="Arial"/>
                <w:sz w:val="14"/>
                <w:szCs w:val="14"/>
                <w:b w:val="1"/>
                <w:bCs w:val="1"/>
                <w:color w:val="004987"/>
              </w:rPr>
              <w:t xml:space="preserve">Social Media </w:t>
            </w:r>
            <w:r>
              <w:rPr>
                <w:rFonts w:ascii="Arial" w:cs="Arial" w:eastAsia="Arial" w:hAnsi="Arial"/>
                <w:sz w:val="14"/>
                <w:szCs w:val="14"/>
                <w:color w:val="000000"/>
              </w:rPr>
              <w:t>experience is relevant as</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we look for ways to enhance the</w:t>
            </w:r>
          </w:p>
        </w:tc>
        <w:tc>
          <w:tcPr>
            <w:tcW w:w="64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260" w:type="dxa"/>
            <w:vAlign w:val="bottom"/>
            <w:vMerge w:val="restart"/>
          </w:tcPr>
          <w:p>
            <w:pPr>
              <w:ind w:left="640"/>
              <w:spacing w:after="0" w:line="154" w:lineRule="exact"/>
              <w:rPr>
                <w:sz w:val="20"/>
                <w:szCs w:val="20"/>
                <w:color w:val="auto"/>
              </w:rPr>
            </w:pPr>
            <w:r>
              <w:rPr>
                <w:rFonts w:ascii="Arial" w:cs="Arial" w:eastAsia="Arial" w:hAnsi="Arial"/>
                <w:sz w:val="14"/>
                <w:szCs w:val="14"/>
                <w:color w:val="auto"/>
              </w:rPr>
              <w:t>customer experience and internal</w:t>
            </w: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2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640"/>
              <w:spacing w:after="0" w:line="154" w:lineRule="exact"/>
              <w:rPr>
                <w:sz w:val="20"/>
                <w:szCs w:val="20"/>
                <w:color w:val="auto"/>
              </w:rPr>
            </w:pPr>
            <w:r>
              <w:rPr>
                <w:rFonts w:ascii="Arial" w:cs="Arial" w:eastAsia="Arial" w:hAnsi="Arial"/>
                <w:sz w:val="14"/>
                <w:szCs w:val="14"/>
                <w:color w:val="auto"/>
              </w:rPr>
              <w:t>operations and assess and address the</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004987"/>
            </w:tcBorders>
          </w:tcPr>
          <w:p>
            <w:pPr>
              <w:ind w:left="640"/>
              <w:spacing w:after="0"/>
              <w:rPr>
                <w:sz w:val="20"/>
                <w:szCs w:val="20"/>
                <w:color w:val="auto"/>
              </w:rPr>
            </w:pPr>
            <w:r>
              <w:rPr>
                <w:rFonts w:ascii="Arial" w:cs="Arial" w:eastAsia="Arial" w:hAnsi="Arial"/>
                <w:sz w:val="14"/>
                <w:szCs w:val="14"/>
                <w:color w:val="auto"/>
              </w:rPr>
              <w:t>risks associated with our cyber activities.</w:t>
            </w:r>
          </w:p>
        </w:tc>
        <w:tc>
          <w:tcPr>
            <w:tcW w:w="640" w:type="dxa"/>
            <w:vAlign w:val="bottom"/>
            <w:tcBorders>
              <w:bottom w:val="single" w:sz="8" w:color="004987"/>
            </w:tcBorders>
          </w:tcPr>
          <w:p>
            <w:pPr>
              <w:spacing w:after="0"/>
              <w:rPr>
                <w:sz w:val="14"/>
                <w:szCs w:val="14"/>
                <w:color w:val="auto"/>
              </w:rPr>
            </w:pPr>
          </w:p>
        </w:tc>
        <w:tc>
          <w:tcPr>
            <w:tcW w:w="780" w:type="dxa"/>
            <w:vAlign w:val="bottom"/>
            <w:tcBorders>
              <w:bottom w:val="single" w:sz="8" w:color="004987"/>
            </w:tcBorders>
          </w:tcPr>
          <w:p>
            <w:pPr>
              <w:spacing w:after="0"/>
              <w:rPr>
                <w:sz w:val="14"/>
                <w:szCs w:val="14"/>
                <w:color w:val="auto"/>
              </w:rPr>
            </w:pPr>
          </w:p>
        </w:tc>
        <w:tc>
          <w:tcPr>
            <w:tcW w:w="820" w:type="dxa"/>
            <w:vAlign w:val="bottom"/>
            <w:tcBorders>
              <w:bottom w:val="single" w:sz="8" w:color="004987"/>
            </w:tcBorders>
          </w:tcPr>
          <w:p>
            <w:pPr>
              <w:spacing w:after="0"/>
              <w:rPr>
                <w:sz w:val="14"/>
                <w:szCs w:val="14"/>
                <w:color w:val="auto"/>
              </w:rPr>
            </w:pPr>
          </w:p>
        </w:tc>
        <w:tc>
          <w:tcPr>
            <w:tcW w:w="660" w:type="dxa"/>
            <w:vAlign w:val="bottom"/>
            <w:tcBorders>
              <w:bottom w:val="single" w:sz="8" w:color="004987"/>
            </w:tcBorders>
          </w:tcPr>
          <w:p>
            <w:pPr>
              <w:spacing w:after="0"/>
              <w:rPr>
                <w:sz w:val="14"/>
                <w:szCs w:val="14"/>
                <w:color w:val="auto"/>
              </w:rPr>
            </w:pPr>
          </w:p>
        </w:tc>
        <w:tc>
          <w:tcPr>
            <w:tcW w:w="720" w:type="dxa"/>
            <w:vAlign w:val="bottom"/>
            <w:tcBorders>
              <w:bottom w:val="single" w:sz="8" w:color="004987"/>
            </w:tcBorders>
          </w:tcPr>
          <w:p>
            <w:pPr>
              <w:spacing w:after="0"/>
              <w:rPr>
                <w:sz w:val="14"/>
                <w:szCs w:val="14"/>
                <w:color w:val="auto"/>
              </w:rPr>
            </w:pPr>
          </w:p>
        </w:tc>
        <w:tc>
          <w:tcPr>
            <w:tcW w:w="780" w:type="dxa"/>
            <w:vAlign w:val="bottom"/>
            <w:tcBorders>
              <w:bottom w:val="single" w:sz="8" w:color="004987"/>
            </w:tcBorders>
          </w:tcPr>
          <w:p>
            <w:pPr>
              <w:spacing w:after="0"/>
              <w:rPr>
                <w:sz w:val="14"/>
                <w:szCs w:val="14"/>
                <w:color w:val="auto"/>
              </w:rPr>
            </w:pPr>
          </w:p>
        </w:tc>
        <w:tc>
          <w:tcPr>
            <w:tcW w:w="700" w:type="dxa"/>
            <w:vAlign w:val="bottom"/>
            <w:tcBorders>
              <w:bottom w:val="single" w:sz="8" w:color="004987"/>
            </w:tcBorders>
          </w:tcPr>
          <w:p>
            <w:pPr>
              <w:spacing w:after="0"/>
              <w:rPr>
                <w:sz w:val="14"/>
                <w:szCs w:val="14"/>
                <w:color w:val="auto"/>
              </w:rPr>
            </w:pPr>
          </w:p>
        </w:tc>
        <w:tc>
          <w:tcPr>
            <w:tcW w:w="720" w:type="dxa"/>
            <w:vAlign w:val="bottom"/>
            <w:tcBorders>
              <w:bottom w:val="single" w:sz="8" w:color="004987"/>
            </w:tcBorders>
          </w:tcPr>
          <w:p>
            <w:pPr>
              <w:spacing w:after="0"/>
              <w:rPr>
                <w:sz w:val="14"/>
                <w:szCs w:val="14"/>
                <w:color w:val="auto"/>
              </w:rPr>
            </w:pPr>
          </w:p>
        </w:tc>
        <w:tc>
          <w:tcPr>
            <w:tcW w:w="720" w:type="dxa"/>
            <w:vAlign w:val="bottom"/>
            <w:tcBorders>
              <w:bottom w:val="single" w:sz="8" w:color="004987"/>
            </w:tcBorders>
          </w:tcPr>
          <w:p>
            <w:pPr>
              <w:spacing w:after="0"/>
              <w:rPr>
                <w:sz w:val="14"/>
                <w:szCs w:val="14"/>
                <w:color w:val="auto"/>
              </w:rPr>
            </w:pPr>
          </w:p>
        </w:tc>
        <w:tc>
          <w:tcPr>
            <w:tcW w:w="660" w:type="dxa"/>
            <w:vAlign w:val="bottom"/>
            <w:tcBorders>
              <w:bottom w:val="single" w:sz="8" w:color="004987"/>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260" w:type="dxa"/>
            <w:vAlign w:val="bottom"/>
            <w:tcBorders>
              <w:bottom w:val="single" w:sz="8" w:color="004987"/>
            </w:tcBorders>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640" w:type="dxa"/>
            <w:vAlign w:val="bottom"/>
            <w:tcBorders>
              <w:bottom w:val="single" w:sz="8" w:color="004987"/>
            </w:tcBorders>
          </w:tcPr>
          <w:p>
            <w:pPr>
              <w:spacing w:after="0"/>
              <w:rPr>
                <w:sz w:val="21"/>
                <w:szCs w:val="21"/>
                <w:color w:val="auto"/>
              </w:rPr>
            </w:pPr>
          </w:p>
        </w:tc>
        <w:tc>
          <w:tcPr>
            <w:tcW w:w="2980" w:type="dxa"/>
            <w:vAlign w:val="bottom"/>
            <w:tcBorders>
              <w:bottom w:val="single" w:sz="8" w:color="004987"/>
            </w:tcBorders>
            <w:gridSpan w:val="4"/>
          </w:tcPr>
          <w:p>
            <w:pPr>
              <w:ind w:left="140"/>
              <w:spacing w:after="0"/>
              <w:rPr>
                <w:sz w:val="20"/>
                <w:szCs w:val="20"/>
                <w:color w:val="auto"/>
              </w:rPr>
            </w:pPr>
            <w:r>
              <w:rPr>
                <w:rFonts w:ascii="Arial" w:cs="Arial" w:eastAsia="Arial" w:hAnsi="Arial"/>
                <w:sz w:val="10"/>
                <w:szCs w:val="10"/>
                <w:color w:val="auto"/>
              </w:rPr>
              <w:t>Report on the Board of Directors and its Committees</w:t>
            </w:r>
          </w:p>
        </w:tc>
        <w:tc>
          <w:tcPr>
            <w:tcW w:w="780" w:type="dxa"/>
            <w:vAlign w:val="bottom"/>
            <w:tcBorders>
              <w:bottom w:val="single" w:sz="8" w:color="004987"/>
            </w:tcBorders>
          </w:tcPr>
          <w:p>
            <w:pPr>
              <w:spacing w:after="0"/>
              <w:rPr>
                <w:sz w:val="21"/>
                <w:szCs w:val="21"/>
                <w:color w:val="auto"/>
              </w:rPr>
            </w:pPr>
          </w:p>
        </w:tc>
        <w:tc>
          <w:tcPr>
            <w:tcW w:w="700" w:type="dxa"/>
            <w:vAlign w:val="bottom"/>
            <w:tcBorders>
              <w:bottom w:val="single" w:sz="8" w:color="004987"/>
            </w:tcBorders>
          </w:tcPr>
          <w:p>
            <w:pPr>
              <w:spacing w:after="0"/>
              <w:rPr>
                <w:sz w:val="21"/>
                <w:szCs w:val="21"/>
                <w:color w:val="auto"/>
              </w:rPr>
            </w:pPr>
          </w:p>
        </w:tc>
        <w:tc>
          <w:tcPr>
            <w:tcW w:w="720" w:type="dxa"/>
            <w:vAlign w:val="bottom"/>
            <w:tcBorders>
              <w:bottom w:val="single" w:sz="8" w:color="004987"/>
            </w:tcBorders>
          </w:tcPr>
          <w:p>
            <w:pPr>
              <w:spacing w:after="0"/>
              <w:rPr>
                <w:sz w:val="21"/>
                <w:szCs w:val="21"/>
                <w:color w:val="auto"/>
              </w:rPr>
            </w:pPr>
          </w:p>
        </w:tc>
        <w:tc>
          <w:tcPr>
            <w:tcW w:w="720" w:type="dxa"/>
            <w:vAlign w:val="bottom"/>
            <w:tcBorders>
              <w:bottom w:val="single" w:sz="8" w:color="004987"/>
            </w:tcBorders>
          </w:tcPr>
          <w:p>
            <w:pPr>
              <w:spacing w:after="0"/>
              <w:rPr>
                <w:sz w:val="21"/>
                <w:szCs w:val="21"/>
                <w:color w:val="auto"/>
              </w:rPr>
            </w:pPr>
          </w:p>
        </w:tc>
        <w:tc>
          <w:tcPr>
            <w:tcW w:w="660" w:type="dxa"/>
            <w:vAlign w:val="bottom"/>
            <w:tcBorders>
              <w:bottom w:val="single" w:sz="8" w:color="004987"/>
            </w:tcBorders>
          </w:tcPr>
          <w:p>
            <w:pPr>
              <w:jc w:val="right"/>
              <w:spacing w:after="0"/>
              <w:rPr>
                <w:sz w:val="20"/>
                <w:szCs w:val="20"/>
                <w:color w:val="auto"/>
              </w:rPr>
            </w:pPr>
            <w:r>
              <w:rPr>
                <w:rFonts w:ascii="Arial" w:cs="Arial" w:eastAsia="Arial" w:hAnsi="Arial"/>
                <w:sz w:val="10"/>
                <w:szCs w:val="10"/>
                <w:b w:val="1"/>
                <w:bCs w:val="1"/>
                <w:color w:val="004987"/>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-6804660</wp:posOffset>
            </wp:positionV>
            <wp:extent cx="138430" cy="195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8430" cy="19558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-6308090</wp:posOffset>
            </wp:positionV>
            <wp:extent cx="227965" cy="195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7965" cy="19558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-5958205</wp:posOffset>
            </wp:positionV>
            <wp:extent cx="211455" cy="195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1455" cy="19558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-5608320</wp:posOffset>
            </wp:positionV>
            <wp:extent cx="227965" cy="195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7965"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-5209540</wp:posOffset>
            </wp:positionV>
            <wp:extent cx="195580" cy="195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5580" cy="19558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-4810125</wp:posOffset>
            </wp:positionV>
            <wp:extent cx="211455" cy="195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1455" cy="19558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-4411345</wp:posOffset>
            </wp:positionV>
            <wp:extent cx="227965" cy="195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7965"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-4061460</wp:posOffset>
            </wp:positionV>
            <wp:extent cx="195580" cy="195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5580"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-3760470</wp:posOffset>
            </wp:positionV>
            <wp:extent cx="203200" cy="195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3200"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-3467100</wp:posOffset>
            </wp:positionV>
            <wp:extent cx="203200" cy="195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3200" cy="195580"/>
                    </a:xfrm>
                    <a:prstGeom prst="rect">
                      <a:avLst/>
                    </a:prstGeom>
                    <a:noFill/>
                  </pic:spPr>
                </pic:pic>
              </a:graphicData>
            </a:graphic>
          </wp:anchor>
        </w:drawing>
        <w:drawing>
          <wp:anchor simplePos="0" relativeHeight="251657728" behindDoc="1" locked="0" layoutInCell="0" allowOverlap="1">
            <wp:simplePos x="0" y="0"/>
            <wp:positionH relativeFrom="column">
              <wp:posOffset>327025</wp:posOffset>
            </wp:positionH>
            <wp:positionV relativeFrom="paragraph">
              <wp:posOffset>-3076575</wp:posOffset>
            </wp:positionV>
            <wp:extent cx="187325" cy="195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7325"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-2628900</wp:posOffset>
            </wp:positionV>
            <wp:extent cx="195580" cy="195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5580" cy="19558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-2279015</wp:posOffset>
            </wp:positionV>
            <wp:extent cx="276860" cy="195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6860"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-1879600</wp:posOffset>
            </wp:positionV>
            <wp:extent cx="203200" cy="195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3200"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-1480820</wp:posOffset>
            </wp:positionV>
            <wp:extent cx="195580" cy="195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5580"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-1114425</wp:posOffset>
            </wp:positionV>
            <wp:extent cx="203200" cy="195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3200" cy="19558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-568960</wp:posOffset>
            </wp:positionV>
            <wp:extent cx="195580" cy="195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5580" cy="195580"/>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0" w:name="page21"/>
    <w:bookmarkEnd w:id="2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Board Composition</w:t>
      </w:r>
    </w:p>
    <w:p>
      <w:pPr>
        <w:spacing w:after="0" w:line="103" w:lineRule="exact"/>
        <w:rPr>
          <w:sz w:val="20"/>
          <w:szCs w:val="20"/>
          <w:color w:val="auto"/>
        </w:rPr>
      </w:pPr>
    </w:p>
    <w:tbl>
      <w:tblPr>
        <w:tblLayout w:type="fixed"/>
        <w:tblInd w:w="400" w:type="dxa"/>
        <w:tblCellMar>
          <w:top w:w="0" w:type="dxa"/>
          <w:left w:w="0" w:type="dxa"/>
          <w:bottom w:w="0" w:type="dxa"/>
          <w:right w:w="0" w:type="dxa"/>
        </w:tblCellMar>
      </w:tblPr>
      <w:tr>
        <w:trPr>
          <w:trHeight w:val="360"/>
        </w:trPr>
        <w:tc>
          <w:tcPr>
            <w:tcW w:w="2420" w:type="dxa"/>
            <w:vAlign w:val="bottom"/>
            <w:tcBorders>
              <w:top w:val="single" w:sz="8" w:color="004987"/>
            </w:tcBorders>
          </w:tcPr>
          <w:p>
            <w:pPr>
              <w:jc w:val="center"/>
              <w:spacing w:after="0"/>
              <w:rPr>
                <w:sz w:val="20"/>
                <w:szCs w:val="20"/>
                <w:color w:val="auto"/>
              </w:rPr>
            </w:pPr>
            <w:r>
              <w:rPr>
                <w:rFonts w:ascii="Arial" w:cs="Arial" w:eastAsia="Arial" w:hAnsi="Arial"/>
                <w:sz w:val="31"/>
                <w:szCs w:val="31"/>
                <w:b w:val="1"/>
                <w:bCs w:val="1"/>
                <w:color w:val="004987"/>
                <w:w w:val="97"/>
              </w:rPr>
              <w:t>9 of 10</w:t>
            </w:r>
          </w:p>
        </w:tc>
        <w:tc>
          <w:tcPr>
            <w:tcW w:w="2820" w:type="dxa"/>
            <w:vAlign w:val="bottom"/>
            <w:tcBorders>
              <w:top w:val="single" w:sz="8" w:color="004987"/>
            </w:tcBorders>
          </w:tcPr>
          <w:p>
            <w:pPr>
              <w:jc w:val="center"/>
              <w:spacing w:after="0"/>
              <w:rPr>
                <w:sz w:val="20"/>
                <w:szCs w:val="20"/>
                <w:color w:val="auto"/>
              </w:rPr>
            </w:pPr>
            <w:r>
              <w:rPr>
                <w:rFonts w:ascii="Arial" w:cs="Arial" w:eastAsia="Arial" w:hAnsi="Arial"/>
                <w:sz w:val="31"/>
                <w:szCs w:val="31"/>
                <w:b w:val="1"/>
                <w:bCs w:val="1"/>
                <w:color w:val="004987"/>
                <w:w w:val="99"/>
              </w:rPr>
              <w:t>7.9 years</w:t>
            </w:r>
          </w:p>
        </w:tc>
        <w:tc>
          <w:tcPr>
            <w:tcW w:w="2500" w:type="dxa"/>
            <w:vAlign w:val="bottom"/>
            <w:tcBorders>
              <w:top w:val="single" w:sz="8" w:color="004987"/>
            </w:tcBorders>
          </w:tcPr>
          <w:p>
            <w:pPr>
              <w:jc w:val="center"/>
              <w:spacing w:after="0"/>
              <w:rPr>
                <w:sz w:val="20"/>
                <w:szCs w:val="20"/>
                <w:color w:val="auto"/>
              </w:rPr>
            </w:pPr>
            <w:r>
              <w:rPr>
                <w:rFonts w:ascii="Arial" w:cs="Arial" w:eastAsia="Arial" w:hAnsi="Arial"/>
                <w:sz w:val="31"/>
                <w:szCs w:val="31"/>
                <w:b w:val="1"/>
                <w:bCs w:val="1"/>
                <w:color w:val="004987"/>
                <w:w w:val="98"/>
              </w:rPr>
              <w:t>68.2 years</w:t>
            </w:r>
          </w:p>
        </w:tc>
        <w:tc>
          <w:tcPr>
            <w:tcW w:w="2720" w:type="dxa"/>
            <w:vAlign w:val="bottom"/>
            <w:tcBorders>
              <w:top w:val="single" w:sz="8" w:color="004987"/>
            </w:tcBorders>
          </w:tcPr>
          <w:p>
            <w:pPr>
              <w:jc w:val="right"/>
              <w:ind w:right="825"/>
              <w:spacing w:after="0"/>
              <w:rPr>
                <w:sz w:val="20"/>
                <w:szCs w:val="20"/>
                <w:color w:val="auto"/>
              </w:rPr>
            </w:pPr>
            <w:r>
              <w:rPr>
                <w:rFonts w:ascii="Arial" w:cs="Arial" w:eastAsia="Arial" w:hAnsi="Arial"/>
                <w:sz w:val="31"/>
                <w:szCs w:val="31"/>
                <w:b w:val="1"/>
                <w:bCs w:val="1"/>
                <w:color w:val="004987"/>
              </w:rPr>
              <w:t>40%</w:t>
            </w:r>
          </w:p>
        </w:tc>
      </w:tr>
      <w:tr>
        <w:trPr>
          <w:trHeight w:val="203"/>
        </w:trPr>
        <w:tc>
          <w:tcPr>
            <w:tcW w:w="2420" w:type="dxa"/>
            <w:vAlign w:val="bottom"/>
            <w:tcBorders>
              <w:bottom w:val="single" w:sz="8" w:color="004987"/>
            </w:tcBorders>
          </w:tcPr>
          <w:p>
            <w:pPr>
              <w:jc w:val="center"/>
              <w:spacing w:after="0"/>
              <w:rPr>
                <w:sz w:val="20"/>
                <w:szCs w:val="20"/>
                <w:color w:val="auto"/>
              </w:rPr>
            </w:pPr>
            <w:r>
              <w:rPr>
                <w:rFonts w:ascii="Arial" w:cs="Arial" w:eastAsia="Arial" w:hAnsi="Arial"/>
                <w:sz w:val="15"/>
                <w:szCs w:val="15"/>
                <w:color w:val="auto"/>
              </w:rPr>
              <w:t>Independent Directors</w:t>
            </w:r>
          </w:p>
        </w:tc>
        <w:tc>
          <w:tcPr>
            <w:tcW w:w="2820" w:type="dxa"/>
            <w:vAlign w:val="bottom"/>
            <w:tcBorders>
              <w:bottom w:val="single" w:sz="8" w:color="004987"/>
            </w:tcBorders>
          </w:tcPr>
          <w:p>
            <w:pPr>
              <w:jc w:val="center"/>
              <w:spacing w:after="0"/>
              <w:rPr>
                <w:sz w:val="20"/>
                <w:szCs w:val="20"/>
                <w:color w:val="auto"/>
              </w:rPr>
            </w:pPr>
            <w:r>
              <w:rPr>
                <w:rFonts w:ascii="Arial" w:cs="Arial" w:eastAsia="Arial" w:hAnsi="Arial"/>
                <w:sz w:val="15"/>
                <w:szCs w:val="15"/>
                <w:color w:val="auto"/>
              </w:rPr>
              <w:t>Average Tenure of Directors</w:t>
            </w:r>
          </w:p>
        </w:tc>
        <w:tc>
          <w:tcPr>
            <w:tcW w:w="2500" w:type="dxa"/>
            <w:vAlign w:val="bottom"/>
            <w:tcBorders>
              <w:bottom w:val="single" w:sz="8" w:color="004987"/>
            </w:tcBorders>
          </w:tcPr>
          <w:p>
            <w:pPr>
              <w:jc w:val="center"/>
              <w:spacing w:after="0"/>
              <w:rPr>
                <w:sz w:val="20"/>
                <w:szCs w:val="20"/>
                <w:color w:val="auto"/>
              </w:rPr>
            </w:pPr>
            <w:r>
              <w:rPr>
                <w:rFonts w:ascii="Arial" w:cs="Arial" w:eastAsia="Arial" w:hAnsi="Arial"/>
                <w:sz w:val="15"/>
                <w:szCs w:val="15"/>
                <w:color w:val="auto"/>
              </w:rPr>
              <w:t>Average Age of Directors</w:t>
            </w:r>
          </w:p>
        </w:tc>
        <w:tc>
          <w:tcPr>
            <w:tcW w:w="2720" w:type="dxa"/>
            <w:vAlign w:val="bottom"/>
            <w:tcBorders>
              <w:bottom w:val="single" w:sz="8" w:color="004987"/>
            </w:tcBorders>
          </w:tcPr>
          <w:p>
            <w:pPr>
              <w:jc w:val="center"/>
              <w:ind w:left="85"/>
              <w:spacing w:after="0"/>
              <w:rPr>
                <w:sz w:val="20"/>
                <w:szCs w:val="20"/>
                <w:color w:val="auto"/>
              </w:rPr>
            </w:pPr>
            <w:r>
              <w:rPr>
                <w:rFonts w:ascii="Arial" w:cs="Arial" w:eastAsia="Arial" w:hAnsi="Arial"/>
                <w:sz w:val="15"/>
                <w:szCs w:val="15"/>
                <w:color w:val="auto"/>
              </w:rPr>
              <w:t>Gender/racially diverse Directors</w:t>
            </w: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Please refer to Item 1, “Business,” of our 2021 Annual Report for information regarding our executive officers.</w:t>
      </w:r>
    </w:p>
    <w:p>
      <w:pPr>
        <w:spacing w:after="0" w:line="30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2021 BOARD AND COMMITTEE MEETINGS AND ATTENDANCE</w:t>
      </w:r>
    </w:p>
    <w:p>
      <w:pPr>
        <w:spacing w:after="0" w:line="106" w:lineRule="exact"/>
        <w:rPr>
          <w:sz w:val="20"/>
          <w:szCs w:val="20"/>
          <w:color w:val="auto"/>
        </w:rPr>
      </w:pPr>
    </w:p>
    <w:p>
      <w:pPr>
        <w:jc w:val="both"/>
        <w:ind w:left="400" w:right="480"/>
        <w:spacing w:after="0" w:line="269" w:lineRule="auto"/>
        <w:rPr>
          <w:sz w:val="20"/>
          <w:szCs w:val="20"/>
          <w:color w:val="auto"/>
        </w:rPr>
      </w:pPr>
      <w:r>
        <w:rPr>
          <w:rFonts w:ascii="Arial" w:cs="Arial" w:eastAsia="Arial" w:hAnsi="Arial"/>
          <w:sz w:val="15"/>
          <w:szCs w:val="15"/>
          <w:color w:val="auto"/>
        </w:rPr>
        <w:t>Our Board met eight times in 2021. No incumbent director attended fewer than 75% of the meetings of the Board or any Committee on which such director served during the period for which such director has been a director or served on such Committee. Directors are expected to attend annual meetings of stockholders, and each of our directors attended the 2021 Annual Meeting of Stockholders.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COMMITTEE CHARTERS</w:t>
      </w:r>
    </w:p>
    <w:p>
      <w:pPr>
        <w:spacing w:after="0" w:line="106" w:lineRule="exact"/>
        <w:rPr>
          <w:sz w:val="20"/>
          <w:szCs w:val="20"/>
          <w:color w:val="auto"/>
        </w:rPr>
      </w:pPr>
    </w:p>
    <w:p>
      <w:pPr>
        <w:ind w:left="400" w:right="120"/>
        <w:spacing w:after="0" w:line="269" w:lineRule="auto"/>
        <w:rPr>
          <w:sz w:val="20"/>
          <w:szCs w:val="20"/>
          <w:color w:val="auto"/>
        </w:rPr>
      </w:pPr>
      <w:r>
        <w:rPr>
          <w:rFonts w:ascii="Arial" w:cs="Arial" w:eastAsia="Arial" w:hAnsi="Arial"/>
          <w:sz w:val="15"/>
          <w:szCs w:val="15"/>
          <w:color w:val="auto"/>
        </w:rPr>
        <w:t>The charters of the Audit, Compensation Policy, and Nominating and Corporate Governance Committees are available via the Investor Relations section of our website (www.marriottvacationsworldwide.com) by clicking on “Corporate Governance.” Copies of the committee charters also may be obtained upon request from our Corporate Secretary. Other committees may also be established by our Board from time to time.</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composition of our committees during 2021 is set forth in the chart below.</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2760" w:type="dxa"/>
            <w:vAlign w:val="bottom"/>
            <w:tcBorders>
              <w:bottom w:val="single" w:sz="8" w:color="004987"/>
            </w:tcBorders>
          </w:tcPr>
          <w:p>
            <w:pPr>
              <w:ind w:left="100"/>
              <w:spacing w:after="0"/>
              <w:rPr>
                <w:sz w:val="20"/>
                <w:szCs w:val="20"/>
                <w:color w:val="auto"/>
              </w:rPr>
            </w:pPr>
            <w:r>
              <w:rPr>
                <w:rFonts w:ascii="Arial" w:cs="Arial" w:eastAsia="Arial" w:hAnsi="Arial"/>
                <w:sz w:val="14"/>
                <w:szCs w:val="14"/>
                <w:b w:val="1"/>
                <w:bCs w:val="1"/>
                <w:color w:val="004987"/>
              </w:rPr>
              <w:t>Audit Committee</w:t>
            </w:r>
          </w:p>
        </w:tc>
        <w:tc>
          <w:tcPr>
            <w:tcW w:w="3760" w:type="dxa"/>
            <w:vAlign w:val="bottom"/>
            <w:tcBorders>
              <w:bottom w:val="single" w:sz="8" w:color="004987"/>
            </w:tcBorders>
          </w:tcPr>
          <w:p>
            <w:pPr>
              <w:ind w:left="1020"/>
              <w:spacing w:after="0"/>
              <w:rPr>
                <w:sz w:val="20"/>
                <w:szCs w:val="20"/>
                <w:color w:val="auto"/>
              </w:rPr>
            </w:pPr>
            <w:r>
              <w:rPr>
                <w:rFonts w:ascii="Arial" w:cs="Arial" w:eastAsia="Arial" w:hAnsi="Arial"/>
                <w:sz w:val="14"/>
                <w:szCs w:val="14"/>
                <w:b w:val="1"/>
                <w:bCs w:val="1"/>
                <w:color w:val="004987"/>
              </w:rPr>
              <w:t>Compensation Policy Committee</w:t>
            </w:r>
          </w:p>
        </w:tc>
        <w:tc>
          <w:tcPr>
            <w:tcW w:w="3940" w:type="dxa"/>
            <w:vAlign w:val="bottom"/>
            <w:tcBorders>
              <w:bottom w:val="single" w:sz="8" w:color="004987"/>
            </w:tcBorders>
          </w:tcPr>
          <w:p>
            <w:pPr>
              <w:ind w:left="640"/>
              <w:spacing w:after="0"/>
              <w:rPr>
                <w:sz w:val="20"/>
                <w:szCs w:val="20"/>
                <w:color w:val="auto"/>
              </w:rPr>
            </w:pPr>
            <w:r>
              <w:rPr>
                <w:rFonts w:ascii="Arial" w:cs="Arial" w:eastAsia="Arial" w:hAnsi="Arial"/>
                <w:sz w:val="14"/>
                <w:szCs w:val="14"/>
                <w:b w:val="1"/>
                <w:bCs w:val="1"/>
                <w:color w:val="004987"/>
                <w:w w:val="97"/>
              </w:rPr>
              <w:t>Nominating and Corporate Governance Committee</w:t>
            </w:r>
          </w:p>
        </w:tc>
      </w:tr>
      <w:tr>
        <w:trPr>
          <w:trHeight w:val="167"/>
        </w:trPr>
        <w:tc>
          <w:tcPr>
            <w:tcW w:w="2760" w:type="dxa"/>
            <w:vAlign w:val="bottom"/>
          </w:tcPr>
          <w:p>
            <w:pPr>
              <w:ind w:left="100"/>
              <w:spacing w:after="0" w:line="167" w:lineRule="exact"/>
              <w:rPr>
                <w:sz w:val="20"/>
                <w:szCs w:val="20"/>
                <w:color w:val="auto"/>
              </w:rPr>
            </w:pPr>
            <w:r>
              <w:rPr>
                <w:rFonts w:ascii="Arial" w:cs="Arial" w:eastAsia="Arial" w:hAnsi="Arial"/>
                <w:sz w:val="15"/>
                <w:szCs w:val="15"/>
                <w:color w:val="auto"/>
              </w:rPr>
              <w:t>C.E. Andrews (Chair)</w:t>
            </w:r>
          </w:p>
        </w:tc>
        <w:tc>
          <w:tcPr>
            <w:tcW w:w="3760" w:type="dxa"/>
            <w:vAlign w:val="bottom"/>
          </w:tcPr>
          <w:p>
            <w:pPr>
              <w:ind w:left="1000"/>
              <w:spacing w:after="0" w:line="167" w:lineRule="exact"/>
              <w:rPr>
                <w:sz w:val="20"/>
                <w:szCs w:val="20"/>
                <w:color w:val="auto"/>
              </w:rPr>
            </w:pPr>
            <w:r>
              <w:rPr>
                <w:rFonts w:ascii="Arial" w:cs="Arial" w:eastAsia="Arial" w:hAnsi="Arial"/>
                <w:sz w:val="15"/>
                <w:szCs w:val="15"/>
                <w:color w:val="auto"/>
              </w:rPr>
              <w:t>Dianna F. Morgan (Chair)</w:t>
            </w:r>
          </w:p>
        </w:tc>
        <w:tc>
          <w:tcPr>
            <w:tcW w:w="3940" w:type="dxa"/>
            <w:vAlign w:val="bottom"/>
          </w:tcPr>
          <w:p>
            <w:pPr>
              <w:ind w:left="620"/>
              <w:spacing w:after="0" w:line="167" w:lineRule="exact"/>
              <w:rPr>
                <w:sz w:val="20"/>
                <w:szCs w:val="20"/>
                <w:color w:val="auto"/>
              </w:rPr>
            </w:pPr>
            <w:r>
              <w:rPr>
                <w:rFonts w:ascii="Arial" w:cs="Arial" w:eastAsia="Arial" w:hAnsi="Arial"/>
                <w:sz w:val="15"/>
                <w:szCs w:val="15"/>
                <w:color w:val="auto"/>
              </w:rPr>
              <w:t>Melquiades R. Martinez (Chair)</w:t>
            </w:r>
          </w:p>
        </w:tc>
      </w:tr>
      <w:tr>
        <w:trPr>
          <w:trHeight w:val="179"/>
        </w:trPr>
        <w:tc>
          <w:tcPr>
            <w:tcW w:w="2760" w:type="dxa"/>
            <w:vAlign w:val="bottom"/>
          </w:tcPr>
          <w:p>
            <w:pPr>
              <w:ind w:left="100"/>
              <w:spacing w:after="0"/>
              <w:rPr>
                <w:sz w:val="20"/>
                <w:szCs w:val="20"/>
                <w:color w:val="auto"/>
              </w:rPr>
            </w:pPr>
            <w:r>
              <w:rPr>
                <w:rFonts w:ascii="Arial" w:cs="Arial" w:eastAsia="Arial" w:hAnsi="Arial"/>
                <w:sz w:val="15"/>
                <w:szCs w:val="15"/>
                <w:color w:val="auto"/>
              </w:rPr>
              <w:t>Raymond L. Gellein, Jr.</w:t>
            </w:r>
          </w:p>
        </w:tc>
        <w:tc>
          <w:tcPr>
            <w:tcW w:w="3760" w:type="dxa"/>
            <w:vAlign w:val="bottom"/>
          </w:tcPr>
          <w:p>
            <w:pPr>
              <w:ind w:left="1000"/>
              <w:spacing w:after="0"/>
              <w:rPr>
                <w:sz w:val="20"/>
                <w:szCs w:val="20"/>
                <w:color w:val="auto"/>
              </w:rPr>
            </w:pPr>
            <w:r>
              <w:rPr>
                <w:rFonts w:ascii="Arial" w:cs="Arial" w:eastAsia="Arial" w:hAnsi="Arial"/>
                <w:sz w:val="15"/>
                <w:szCs w:val="15"/>
                <w:color w:val="auto"/>
              </w:rPr>
              <w:t>Lizanne Galbreath</w:t>
            </w:r>
          </w:p>
        </w:tc>
        <w:tc>
          <w:tcPr>
            <w:tcW w:w="3940" w:type="dxa"/>
            <w:vAlign w:val="bottom"/>
          </w:tcPr>
          <w:p>
            <w:pPr>
              <w:ind w:left="620"/>
              <w:spacing w:after="0"/>
              <w:rPr>
                <w:sz w:val="20"/>
                <w:szCs w:val="20"/>
                <w:color w:val="auto"/>
              </w:rPr>
            </w:pPr>
            <w:r>
              <w:rPr>
                <w:rFonts w:ascii="Arial" w:cs="Arial" w:eastAsia="Arial" w:hAnsi="Arial"/>
                <w:sz w:val="15"/>
                <w:szCs w:val="15"/>
                <w:color w:val="auto"/>
              </w:rPr>
              <w:t>C.E. Andrews</w:t>
            </w:r>
          </w:p>
        </w:tc>
      </w:tr>
      <w:tr>
        <w:trPr>
          <w:trHeight w:val="179"/>
        </w:trPr>
        <w:tc>
          <w:tcPr>
            <w:tcW w:w="2760" w:type="dxa"/>
            <w:vAlign w:val="bottom"/>
          </w:tcPr>
          <w:p>
            <w:pPr>
              <w:ind w:left="100"/>
              <w:spacing w:after="0"/>
              <w:rPr>
                <w:sz w:val="20"/>
                <w:szCs w:val="20"/>
                <w:color w:val="auto"/>
              </w:rPr>
            </w:pPr>
            <w:r>
              <w:rPr>
                <w:rFonts w:ascii="Arial" w:cs="Arial" w:eastAsia="Arial" w:hAnsi="Arial"/>
                <w:sz w:val="15"/>
                <w:szCs w:val="15"/>
                <w:color w:val="auto"/>
              </w:rPr>
              <w:t>Thomas J. Hutchison III*</w:t>
            </w:r>
          </w:p>
        </w:tc>
        <w:tc>
          <w:tcPr>
            <w:tcW w:w="3760" w:type="dxa"/>
            <w:vAlign w:val="bottom"/>
          </w:tcPr>
          <w:p>
            <w:pPr>
              <w:ind w:left="1000"/>
              <w:spacing w:after="0"/>
              <w:rPr>
                <w:sz w:val="20"/>
                <w:szCs w:val="20"/>
                <w:color w:val="auto"/>
              </w:rPr>
            </w:pPr>
            <w:r>
              <w:rPr>
                <w:rFonts w:ascii="Arial" w:cs="Arial" w:eastAsia="Arial" w:hAnsi="Arial"/>
                <w:sz w:val="15"/>
                <w:szCs w:val="15"/>
                <w:color w:val="auto"/>
              </w:rPr>
              <w:t>Raymond Gellein, Jr.</w:t>
            </w:r>
          </w:p>
        </w:tc>
        <w:tc>
          <w:tcPr>
            <w:tcW w:w="3940" w:type="dxa"/>
            <w:vAlign w:val="bottom"/>
          </w:tcPr>
          <w:p>
            <w:pPr>
              <w:ind w:left="620"/>
              <w:spacing w:after="0"/>
              <w:rPr>
                <w:sz w:val="20"/>
                <w:szCs w:val="20"/>
                <w:color w:val="auto"/>
              </w:rPr>
            </w:pPr>
            <w:r>
              <w:rPr>
                <w:rFonts w:ascii="Arial" w:cs="Arial" w:eastAsia="Arial" w:hAnsi="Arial"/>
                <w:sz w:val="15"/>
                <w:szCs w:val="15"/>
                <w:color w:val="auto"/>
              </w:rPr>
              <w:t>Lizanne Galbreath</w:t>
            </w:r>
          </w:p>
        </w:tc>
      </w:tr>
      <w:tr>
        <w:trPr>
          <w:trHeight w:val="179"/>
        </w:trPr>
        <w:tc>
          <w:tcPr>
            <w:tcW w:w="2760" w:type="dxa"/>
            <w:vAlign w:val="bottom"/>
          </w:tcPr>
          <w:p>
            <w:pPr>
              <w:ind w:left="100"/>
              <w:spacing w:after="0"/>
              <w:rPr>
                <w:sz w:val="20"/>
                <w:szCs w:val="20"/>
                <w:color w:val="auto"/>
              </w:rPr>
            </w:pPr>
            <w:r>
              <w:rPr>
                <w:rFonts w:ascii="Arial" w:cs="Arial" w:eastAsia="Arial" w:hAnsi="Arial"/>
                <w:sz w:val="15"/>
                <w:szCs w:val="15"/>
                <w:color w:val="auto"/>
              </w:rPr>
              <w:t>William W. McCarten</w:t>
            </w:r>
          </w:p>
        </w:tc>
        <w:tc>
          <w:tcPr>
            <w:tcW w:w="3760" w:type="dxa"/>
            <w:vAlign w:val="bottom"/>
          </w:tcPr>
          <w:p>
            <w:pPr>
              <w:ind w:left="1000"/>
              <w:spacing w:after="0"/>
              <w:rPr>
                <w:sz w:val="20"/>
                <w:szCs w:val="20"/>
                <w:color w:val="auto"/>
              </w:rPr>
            </w:pPr>
            <w:r>
              <w:rPr>
                <w:rFonts w:ascii="Arial" w:cs="Arial" w:eastAsia="Arial" w:hAnsi="Arial"/>
                <w:sz w:val="15"/>
                <w:szCs w:val="15"/>
                <w:color w:val="auto"/>
              </w:rPr>
              <w:t>Thomas J. Hutchison III*</w:t>
            </w:r>
          </w:p>
        </w:tc>
        <w:tc>
          <w:tcPr>
            <w:tcW w:w="3940" w:type="dxa"/>
            <w:vAlign w:val="bottom"/>
          </w:tcPr>
          <w:p>
            <w:pPr>
              <w:ind w:left="620"/>
              <w:spacing w:after="0"/>
              <w:rPr>
                <w:sz w:val="20"/>
                <w:szCs w:val="20"/>
                <w:color w:val="auto"/>
              </w:rPr>
            </w:pPr>
            <w:r>
              <w:rPr>
                <w:rFonts w:ascii="Arial" w:cs="Arial" w:eastAsia="Arial" w:hAnsi="Arial"/>
                <w:sz w:val="15"/>
                <w:szCs w:val="15"/>
                <w:color w:val="auto"/>
              </w:rPr>
              <w:t>William W. McCarten</w:t>
            </w:r>
          </w:p>
        </w:tc>
      </w:tr>
      <w:tr>
        <w:trPr>
          <w:trHeight w:val="203"/>
        </w:trPr>
        <w:tc>
          <w:tcPr>
            <w:tcW w:w="2760" w:type="dxa"/>
            <w:vAlign w:val="bottom"/>
            <w:tcBorders>
              <w:bottom w:val="single" w:sz="8" w:color="004987"/>
            </w:tcBorders>
          </w:tcPr>
          <w:p>
            <w:pPr>
              <w:ind w:left="100"/>
              <w:spacing w:after="0"/>
              <w:rPr>
                <w:sz w:val="20"/>
                <w:szCs w:val="20"/>
                <w:color w:val="auto"/>
              </w:rPr>
            </w:pPr>
            <w:r>
              <w:rPr>
                <w:rFonts w:ascii="Arial" w:cs="Arial" w:eastAsia="Arial" w:hAnsi="Arial"/>
                <w:sz w:val="15"/>
                <w:szCs w:val="15"/>
                <w:color w:val="auto"/>
              </w:rPr>
              <w:t>Steven R. Quazzo</w:t>
            </w:r>
          </w:p>
        </w:tc>
        <w:tc>
          <w:tcPr>
            <w:tcW w:w="3760" w:type="dxa"/>
            <w:vAlign w:val="bottom"/>
            <w:tcBorders>
              <w:bottom w:val="single" w:sz="8" w:color="004987"/>
            </w:tcBorders>
          </w:tcPr>
          <w:p>
            <w:pPr>
              <w:ind w:left="1000"/>
              <w:spacing w:after="0"/>
              <w:rPr>
                <w:sz w:val="20"/>
                <w:szCs w:val="20"/>
                <w:color w:val="auto"/>
              </w:rPr>
            </w:pPr>
            <w:r>
              <w:rPr>
                <w:rFonts w:ascii="Arial" w:cs="Arial" w:eastAsia="Arial" w:hAnsi="Arial"/>
                <w:sz w:val="15"/>
                <w:szCs w:val="15"/>
                <w:color w:val="auto"/>
              </w:rPr>
              <w:t>Stephen R. Quazzo</w:t>
            </w:r>
          </w:p>
        </w:tc>
        <w:tc>
          <w:tcPr>
            <w:tcW w:w="3940" w:type="dxa"/>
            <w:vAlign w:val="bottom"/>
            <w:tcBorders>
              <w:bottom w:val="single" w:sz="8" w:color="004987"/>
            </w:tcBorders>
          </w:tcPr>
          <w:p>
            <w:pPr>
              <w:ind w:left="620"/>
              <w:spacing w:after="0"/>
              <w:rPr>
                <w:sz w:val="20"/>
                <w:szCs w:val="20"/>
                <w:color w:val="auto"/>
              </w:rPr>
            </w:pPr>
            <w:r>
              <w:rPr>
                <w:rFonts w:ascii="Arial" w:cs="Arial" w:eastAsia="Arial" w:hAnsi="Arial"/>
                <w:sz w:val="15"/>
                <w:szCs w:val="15"/>
                <w:color w:val="auto"/>
              </w:rPr>
              <w:t>Dianna F. Morgan</w:t>
            </w:r>
          </w:p>
        </w:tc>
      </w:tr>
    </w:tbl>
    <w:p>
      <w:pPr>
        <w:spacing w:after="0" w:line="69" w:lineRule="exact"/>
        <w:rPr>
          <w:sz w:val="20"/>
          <w:szCs w:val="20"/>
          <w:color w:val="auto"/>
        </w:rPr>
      </w:pPr>
    </w:p>
    <w:p>
      <w:pPr>
        <w:ind w:left="700" w:hanging="306"/>
        <w:spacing w:after="0"/>
        <w:tabs>
          <w:tab w:leader="none" w:pos="7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Hutchison’s term expires at the 2022 annual meeting.</w:t>
      </w:r>
    </w:p>
    <w:p>
      <w:pPr>
        <w:spacing w:after="0" w:line="28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Committees of the Board of Directors</w:t>
      </w:r>
    </w:p>
    <w:p>
      <w:pPr>
        <w:spacing w:after="0" w:line="98" w:lineRule="exact"/>
        <w:rPr>
          <w:sz w:val="20"/>
          <w:szCs w:val="20"/>
          <w:color w:val="auto"/>
        </w:rPr>
      </w:pPr>
    </w:p>
    <w:p>
      <w:pPr>
        <w:ind w:left="400" w:right="60"/>
        <w:spacing w:after="0" w:line="255" w:lineRule="auto"/>
        <w:rPr>
          <w:sz w:val="20"/>
          <w:szCs w:val="20"/>
          <w:color w:val="auto"/>
        </w:rPr>
      </w:pPr>
      <w:r>
        <w:rPr>
          <w:rFonts w:ascii="Arial" w:cs="Arial" w:eastAsia="Arial" w:hAnsi="Arial"/>
          <w:sz w:val="15"/>
          <w:szCs w:val="15"/>
          <w:i w:val="1"/>
          <w:iCs w:val="1"/>
          <w:color w:val="auto"/>
        </w:rPr>
        <w:t xml:space="preserve">Audit Committee. </w:t>
      </w:r>
      <w:r>
        <w:rPr>
          <w:rFonts w:ascii="Arial" w:cs="Arial" w:eastAsia="Arial" w:hAnsi="Arial"/>
          <w:sz w:val="15"/>
          <w:szCs w:val="15"/>
          <w:color w:val="auto"/>
        </w:rPr>
        <w:t>The Board has determined that each of the members of the Audit Committee is independent as defined under our Corporate</w:t>
      </w:r>
      <w:r>
        <w:rPr>
          <w:rFonts w:ascii="Arial" w:cs="Arial" w:eastAsia="Arial" w:hAnsi="Arial"/>
          <w:sz w:val="15"/>
          <w:szCs w:val="15"/>
          <w:i w:val="1"/>
          <w:iCs w:val="1"/>
          <w:color w:val="auto"/>
        </w:rPr>
        <w:t xml:space="preserve"> </w:t>
      </w:r>
      <w:r>
        <w:rPr>
          <w:rFonts w:ascii="Arial" w:cs="Arial" w:eastAsia="Arial" w:hAnsi="Arial"/>
          <w:sz w:val="15"/>
          <w:szCs w:val="15"/>
          <w:color w:val="auto"/>
        </w:rPr>
        <w:t>Governance Principles, the NYSE Listing Standards and applicable SEC rules for audit committee members. The internal and independent auditors have unrestricted access to the Audit Committee. The Audit Committee meets privately with each of the independent auditors, the internal auditors, and members of management. The Audit Committee met eight times in 2021. Each member of the Audit Committee is financially literate under applicable SEC and NYSE standards. In addition, Mr. Andrews and Mr. McCarten each possesses accounting or related financial management expertise within the meaning of the NYSE Listing Standards and qualifies as an “audit committee financial expert” as defined under the applicable SEC rules. Our Corporate Governance Principles establish a limit on the number of audit committees of publicly traded companies on which members of the Company’s Audit Committee may serve, including our Audit Committee, at three.</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responsibilities of the Audit Committee include, among other things:</w:t>
      </w:r>
    </w:p>
    <w:p>
      <w:pPr>
        <w:spacing w:after="0" w:line="122" w:lineRule="exact"/>
        <w:rPr>
          <w:sz w:val="20"/>
          <w:szCs w:val="20"/>
          <w:color w:val="auto"/>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appointing, retaining, overseeing and determining the compensation of our independent auditor;</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approving all terms and fees associated with any audit engagement of our independent auditor;</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overseeing our accounting, reporting, financial and cybersecurity practices;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overseeing our internal control environment and compliance with legal and regulatory requirements;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overseeing our independent auditor’s qualifications and independence;</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overseeing the performance of our internal audit function and the independent auditor; and</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3"/>
        </w:numPr>
        <w:rPr>
          <w:rFonts w:ascii="Arial" w:cs="Arial" w:eastAsia="Arial" w:hAnsi="Arial"/>
          <w:sz w:val="15"/>
          <w:szCs w:val="15"/>
          <w:color w:val="004987"/>
        </w:rPr>
      </w:pPr>
      <w:r>
        <w:rPr>
          <w:rFonts w:ascii="Arial" w:cs="Arial" w:eastAsia="Arial" w:hAnsi="Arial"/>
          <w:sz w:val="15"/>
          <w:szCs w:val="15"/>
          <w:color w:val="auto"/>
        </w:rPr>
        <w:t>overseeing the Company’s ESG reporting and internal controls and disclosure procedures concerning ESG matters.</w:t>
      </w:r>
    </w:p>
    <w:p>
      <w:pPr>
        <w:spacing w:after="0" w:line="110" w:lineRule="exact"/>
        <w:rPr>
          <w:sz w:val="20"/>
          <w:szCs w:val="20"/>
          <w:color w:val="auto"/>
        </w:rPr>
      </w:pPr>
    </w:p>
    <w:p>
      <w:pPr>
        <w:ind w:left="400" w:right="40"/>
        <w:spacing w:after="0" w:line="269" w:lineRule="auto"/>
        <w:rPr>
          <w:sz w:val="20"/>
          <w:szCs w:val="20"/>
          <w:color w:val="auto"/>
        </w:rPr>
      </w:pPr>
      <w:r>
        <w:rPr>
          <w:rFonts w:ascii="Arial" w:cs="Arial" w:eastAsia="Arial" w:hAnsi="Arial"/>
          <w:sz w:val="15"/>
          <w:szCs w:val="15"/>
          <w:i w:val="1"/>
          <w:iCs w:val="1"/>
          <w:color w:val="auto"/>
        </w:rPr>
        <w:t xml:space="preserve">Compensation Policy Committee. </w:t>
      </w:r>
      <w:r>
        <w:rPr>
          <w:rFonts w:ascii="Arial" w:cs="Arial" w:eastAsia="Arial" w:hAnsi="Arial"/>
          <w:sz w:val="15"/>
          <w:szCs w:val="15"/>
          <w:color w:val="auto"/>
        </w:rPr>
        <w:t>The Board has determined that each of the members of the Compensation Policy Committee is independent as defined</w:t>
      </w:r>
      <w:r>
        <w:rPr>
          <w:rFonts w:ascii="Arial" w:cs="Arial" w:eastAsia="Arial" w:hAnsi="Arial"/>
          <w:sz w:val="15"/>
          <w:szCs w:val="15"/>
          <w:i w:val="1"/>
          <w:iCs w:val="1"/>
          <w:color w:val="auto"/>
        </w:rPr>
        <w:t xml:space="preserve"> </w:t>
      </w:r>
      <w:r>
        <w:rPr>
          <w:rFonts w:ascii="Arial" w:cs="Arial" w:eastAsia="Arial" w:hAnsi="Arial"/>
          <w:sz w:val="15"/>
          <w:szCs w:val="15"/>
          <w:color w:val="auto"/>
        </w:rPr>
        <w:t>under our Corporate Governance Principles and the NYSE Listing Standards for compensation committee members. The Compensation Policy Committee met eight times in 2021.</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responsibilities of the Compensation Policy Committee include, among other things:</w:t>
      </w:r>
    </w:p>
    <w:p>
      <w:pPr>
        <w:spacing w:after="0" w:line="122" w:lineRule="exact"/>
        <w:rPr>
          <w:sz w:val="20"/>
          <w:szCs w:val="20"/>
          <w:color w:val="auto"/>
        </w:rPr>
      </w:pPr>
    </w:p>
    <w:p>
      <w:pPr>
        <w:ind w:left="600" w:hanging="206"/>
        <w:spacing w:after="0"/>
        <w:tabs>
          <w:tab w:leader="none" w:pos="600" w:val="left"/>
        </w:tabs>
        <w:numPr>
          <w:ilvl w:val="0"/>
          <w:numId w:val="34"/>
        </w:numPr>
        <w:rPr>
          <w:rFonts w:ascii="Arial" w:cs="Arial" w:eastAsia="Arial" w:hAnsi="Arial"/>
          <w:sz w:val="15"/>
          <w:szCs w:val="15"/>
          <w:color w:val="004987"/>
        </w:rPr>
      </w:pPr>
      <w:r>
        <w:rPr>
          <w:rFonts w:ascii="Arial" w:cs="Arial" w:eastAsia="Arial" w:hAnsi="Arial"/>
          <w:sz w:val="15"/>
          <w:szCs w:val="15"/>
          <w:color w:val="auto"/>
        </w:rPr>
        <w:t>assisting the Board in discharging its responsibilities relating to executive compensation;</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4"/>
        </w:numPr>
        <w:rPr>
          <w:rFonts w:ascii="Arial" w:cs="Arial" w:eastAsia="Arial" w:hAnsi="Arial"/>
          <w:sz w:val="15"/>
          <w:szCs w:val="15"/>
          <w:color w:val="004987"/>
        </w:rPr>
      </w:pPr>
      <w:r>
        <w:rPr>
          <w:rFonts w:ascii="Arial" w:cs="Arial" w:eastAsia="Arial" w:hAnsi="Arial"/>
          <w:sz w:val="15"/>
          <w:szCs w:val="15"/>
          <w:color w:val="auto"/>
        </w:rPr>
        <w:t>overseeing our overall compensation structure, policies and programs;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4"/>
        </w:numPr>
        <w:rPr>
          <w:rFonts w:ascii="Arial" w:cs="Arial" w:eastAsia="Arial" w:hAnsi="Arial"/>
          <w:sz w:val="15"/>
          <w:szCs w:val="15"/>
          <w:color w:val="004987"/>
        </w:rPr>
      </w:pPr>
      <w:r>
        <w:rPr>
          <w:rFonts w:ascii="Arial" w:cs="Arial" w:eastAsia="Arial" w:hAnsi="Arial"/>
          <w:sz w:val="15"/>
          <w:szCs w:val="15"/>
          <w:color w:val="auto"/>
        </w:rPr>
        <w:t>reviewing and approving on an annual basis the corporate goals and objectives with respect to compensation for the Chief Executive Officer;</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4"/>
        </w:numPr>
        <w:rPr>
          <w:rFonts w:ascii="Arial" w:cs="Arial" w:eastAsia="Arial" w:hAnsi="Arial"/>
          <w:sz w:val="15"/>
          <w:szCs w:val="15"/>
          <w:color w:val="004987"/>
        </w:rPr>
      </w:pPr>
      <w:r>
        <w:rPr>
          <w:rFonts w:ascii="Arial" w:cs="Arial" w:eastAsia="Arial" w:hAnsi="Arial"/>
          <w:sz w:val="15"/>
          <w:szCs w:val="15"/>
          <w:color w:val="auto"/>
        </w:rPr>
        <w:t>overseeing the evaluation and setting the compensation of our other executive officers;</w:t>
      </w:r>
    </w:p>
    <w:p>
      <w:pPr>
        <w:spacing w:after="0" w:line="147" w:lineRule="exact"/>
        <w:rPr>
          <w:sz w:val="20"/>
          <w:szCs w:val="20"/>
          <w:color w:val="auto"/>
        </w:rPr>
      </w:pPr>
    </w:p>
    <w:p>
      <w:pPr>
        <w:ind w:left="400"/>
        <w:spacing w:after="0"/>
        <w:tabs>
          <w:tab w:leader="none" w:pos="4420" w:val="left"/>
          <w:tab w:leader="none" w:pos="7720" w:val="left"/>
        </w:tabs>
        <w:rPr>
          <w:sz w:val="20"/>
          <w:szCs w:val="20"/>
          <w:color w:val="auto"/>
        </w:rPr>
      </w:pPr>
      <w:r>
        <w:rPr>
          <w:rFonts w:ascii="Arial" w:cs="Arial" w:eastAsia="Arial" w:hAnsi="Arial"/>
          <w:sz w:val="10"/>
          <w:szCs w:val="10"/>
          <w:b w:val="1"/>
          <w:bCs w:val="1"/>
          <w:color w:val="004987"/>
        </w:rPr>
        <w:t>16</w:t>
      </w:r>
      <w:r>
        <w:rPr>
          <w:sz w:val="20"/>
          <w:szCs w:val="20"/>
          <w:color w:val="auto"/>
        </w:rPr>
        <w:tab/>
      </w:r>
      <w:r>
        <w:rPr>
          <w:rFonts w:ascii="Arial" w:cs="Arial" w:eastAsia="Arial" w:hAnsi="Arial"/>
          <w:sz w:val="10"/>
          <w:szCs w:val="10"/>
          <w:color w:val="auto"/>
        </w:rPr>
        <w:t>Report on the Board of Directors and its Committees</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1" w:name="page22"/>
    <w:bookmarkEnd w:id="2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600" w:hanging="206"/>
        <w:spacing w:after="0"/>
        <w:tabs>
          <w:tab w:leader="none" w:pos="600" w:val="left"/>
        </w:tabs>
        <w:numPr>
          <w:ilvl w:val="0"/>
          <w:numId w:val="35"/>
        </w:numPr>
        <w:rPr>
          <w:rFonts w:ascii="Arial" w:cs="Arial" w:eastAsia="Arial" w:hAnsi="Arial"/>
          <w:sz w:val="15"/>
          <w:szCs w:val="15"/>
          <w:color w:val="004987"/>
        </w:rPr>
      </w:pPr>
      <w:r>
        <w:rPr>
          <w:rFonts w:ascii="Arial" w:cs="Arial" w:eastAsia="Arial" w:hAnsi="Arial"/>
          <w:sz w:val="15"/>
          <w:szCs w:val="15"/>
          <w:color w:val="auto"/>
        </w:rPr>
        <w:t>maintaining management succession plans;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5"/>
        </w:numPr>
        <w:rPr>
          <w:rFonts w:ascii="Arial" w:cs="Arial" w:eastAsia="Arial" w:hAnsi="Arial"/>
          <w:sz w:val="15"/>
          <w:szCs w:val="15"/>
          <w:color w:val="004987"/>
        </w:rPr>
      </w:pPr>
      <w:r>
        <w:rPr>
          <w:rFonts w:ascii="Arial" w:cs="Arial" w:eastAsia="Arial" w:hAnsi="Arial"/>
          <w:sz w:val="15"/>
          <w:szCs w:val="15"/>
          <w:color w:val="auto"/>
        </w:rPr>
        <w:t>reviewing the compensation of non-employee directors and recommending any changes in compensation to the Board; and</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5"/>
        </w:numPr>
        <w:rPr>
          <w:rFonts w:ascii="Arial" w:cs="Arial" w:eastAsia="Arial" w:hAnsi="Arial"/>
          <w:sz w:val="15"/>
          <w:szCs w:val="15"/>
          <w:color w:val="004987"/>
        </w:rPr>
      </w:pPr>
      <w:r>
        <w:rPr>
          <w:rFonts w:ascii="Arial" w:cs="Arial" w:eastAsia="Arial" w:hAnsi="Arial"/>
          <w:sz w:val="15"/>
          <w:szCs w:val="15"/>
          <w:color w:val="auto"/>
        </w:rPr>
        <w:t>reviewing ESG matters relating to the Company’s workforce and key aspects of the Company’s human resources strategies, policies and programs.</w:t>
      </w:r>
    </w:p>
    <w:p>
      <w:pPr>
        <w:spacing w:after="0" w:line="110" w:lineRule="exact"/>
        <w:rPr>
          <w:sz w:val="20"/>
          <w:szCs w:val="20"/>
          <w:color w:val="auto"/>
        </w:rPr>
      </w:pPr>
    </w:p>
    <w:p>
      <w:pPr>
        <w:ind w:left="400" w:right="140"/>
        <w:spacing w:after="0" w:line="269" w:lineRule="auto"/>
        <w:rPr>
          <w:sz w:val="20"/>
          <w:szCs w:val="20"/>
          <w:color w:val="auto"/>
        </w:rPr>
      </w:pPr>
      <w:r>
        <w:rPr>
          <w:rFonts w:ascii="Arial" w:cs="Arial" w:eastAsia="Arial" w:hAnsi="Arial"/>
          <w:sz w:val="15"/>
          <w:szCs w:val="15"/>
          <w:i w:val="1"/>
          <w:iCs w:val="1"/>
          <w:color w:val="auto"/>
        </w:rPr>
        <w:t xml:space="preserve">Nominating and Corporate Governance Committee. </w:t>
      </w:r>
      <w:r>
        <w:rPr>
          <w:rFonts w:ascii="Arial" w:cs="Arial" w:eastAsia="Arial" w:hAnsi="Arial"/>
          <w:sz w:val="15"/>
          <w:szCs w:val="15"/>
          <w:color w:val="auto"/>
        </w:rPr>
        <w:t>The Board has determined that each of the members of the Nominating and Corporate Governance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is independent as defined under our Corporate Governance Principles and the NYSE Listing Standards. The Nominating and Corporate Governance Committee met four times in 2021.</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responsibilities of the Nominating and Corporate Governance Committee include, among other things:</w:t>
      </w:r>
    </w:p>
    <w:p>
      <w:pPr>
        <w:spacing w:after="0" w:line="122" w:lineRule="exact"/>
        <w:rPr>
          <w:sz w:val="20"/>
          <w:szCs w:val="20"/>
          <w:color w:val="auto"/>
        </w:rPr>
      </w:pPr>
    </w:p>
    <w:p>
      <w:pPr>
        <w:ind w:left="600" w:hanging="206"/>
        <w:spacing w:after="0"/>
        <w:tabs>
          <w:tab w:leader="none" w:pos="600" w:val="left"/>
        </w:tabs>
        <w:numPr>
          <w:ilvl w:val="0"/>
          <w:numId w:val="36"/>
        </w:numPr>
        <w:rPr>
          <w:rFonts w:ascii="Arial" w:cs="Arial" w:eastAsia="Arial" w:hAnsi="Arial"/>
          <w:sz w:val="15"/>
          <w:szCs w:val="15"/>
          <w:color w:val="004987"/>
        </w:rPr>
      </w:pPr>
      <w:r>
        <w:rPr>
          <w:rFonts w:ascii="Arial" w:cs="Arial" w:eastAsia="Arial" w:hAnsi="Arial"/>
          <w:sz w:val="15"/>
          <w:szCs w:val="15"/>
          <w:color w:val="auto"/>
        </w:rPr>
        <w:t>identifying and evaluating director candidates;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6"/>
        </w:numPr>
        <w:rPr>
          <w:rFonts w:ascii="Arial" w:cs="Arial" w:eastAsia="Arial" w:hAnsi="Arial"/>
          <w:sz w:val="15"/>
          <w:szCs w:val="15"/>
          <w:color w:val="004987"/>
        </w:rPr>
      </w:pPr>
      <w:r>
        <w:rPr>
          <w:rFonts w:ascii="Arial" w:cs="Arial" w:eastAsia="Arial" w:hAnsi="Arial"/>
          <w:sz w:val="15"/>
          <w:szCs w:val="15"/>
          <w:color w:val="auto"/>
        </w:rPr>
        <w:t>recommending to the Board director candidates for election;</w:t>
      </w:r>
    </w:p>
    <w:p>
      <w:pPr>
        <w:spacing w:after="0" w:line="122" w:lineRule="exact"/>
        <w:rPr>
          <w:rFonts w:ascii="Arial" w:cs="Arial" w:eastAsia="Arial" w:hAnsi="Arial"/>
          <w:sz w:val="15"/>
          <w:szCs w:val="15"/>
          <w:color w:val="004987"/>
        </w:rPr>
      </w:pPr>
    </w:p>
    <w:p>
      <w:pPr>
        <w:ind w:left="600" w:right="700" w:hanging="206"/>
        <w:spacing w:after="0" w:line="289" w:lineRule="auto"/>
        <w:tabs>
          <w:tab w:leader="none" w:pos="600" w:val="left"/>
        </w:tabs>
        <w:numPr>
          <w:ilvl w:val="0"/>
          <w:numId w:val="36"/>
        </w:numPr>
        <w:rPr>
          <w:rFonts w:ascii="Arial" w:cs="Arial" w:eastAsia="Arial" w:hAnsi="Arial"/>
          <w:sz w:val="15"/>
          <w:szCs w:val="15"/>
          <w:color w:val="004987"/>
        </w:rPr>
      </w:pPr>
      <w:r>
        <w:rPr>
          <w:rFonts w:ascii="Arial" w:cs="Arial" w:eastAsia="Arial" w:hAnsi="Arial"/>
          <w:sz w:val="15"/>
          <w:szCs w:val="15"/>
          <w:color w:val="auto"/>
        </w:rPr>
        <w:t>recommending to the Board implementation of corporate governance principles and annually reviewing and recommending changes to these principles as appropriate;</w:t>
      </w:r>
    </w:p>
    <w:p>
      <w:pPr>
        <w:spacing w:after="0" w:line="58" w:lineRule="exact"/>
        <w:rPr>
          <w:rFonts w:ascii="Arial" w:cs="Arial" w:eastAsia="Arial" w:hAnsi="Arial"/>
          <w:sz w:val="15"/>
          <w:szCs w:val="15"/>
          <w:color w:val="004987"/>
        </w:rPr>
      </w:pPr>
    </w:p>
    <w:p>
      <w:pPr>
        <w:ind w:left="600" w:right="600" w:hanging="206"/>
        <w:spacing w:after="0" w:line="289" w:lineRule="auto"/>
        <w:tabs>
          <w:tab w:leader="none" w:pos="600" w:val="left"/>
        </w:tabs>
        <w:numPr>
          <w:ilvl w:val="0"/>
          <w:numId w:val="36"/>
        </w:numPr>
        <w:rPr>
          <w:rFonts w:ascii="Arial" w:cs="Arial" w:eastAsia="Arial" w:hAnsi="Arial"/>
          <w:sz w:val="15"/>
          <w:szCs w:val="15"/>
          <w:color w:val="004987"/>
        </w:rPr>
      </w:pPr>
      <w:r>
        <w:rPr>
          <w:rFonts w:ascii="Arial" w:cs="Arial" w:eastAsia="Arial" w:hAnsi="Arial"/>
          <w:sz w:val="15"/>
          <w:szCs w:val="15"/>
          <w:color w:val="auto"/>
        </w:rPr>
        <w:t>reviewing our conflict of interest and related party transactions policies and approving certain related party transactions as provided for in such policies;</w:t>
      </w:r>
    </w:p>
    <w:p>
      <w:pPr>
        <w:spacing w:after="0" w:line="58" w:lineRule="exact"/>
        <w:rPr>
          <w:rFonts w:ascii="Arial" w:cs="Arial" w:eastAsia="Arial" w:hAnsi="Arial"/>
          <w:sz w:val="15"/>
          <w:szCs w:val="15"/>
          <w:color w:val="004987"/>
        </w:rPr>
      </w:pPr>
    </w:p>
    <w:p>
      <w:pPr>
        <w:ind w:left="600" w:hanging="206"/>
        <w:spacing w:after="0"/>
        <w:tabs>
          <w:tab w:leader="none" w:pos="600" w:val="left"/>
        </w:tabs>
        <w:numPr>
          <w:ilvl w:val="0"/>
          <w:numId w:val="36"/>
        </w:numPr>
        <w:rPr>
          <w:rFonts w:ascii="Arial" w:cs="Arial" w:eastAsia="Arial" w:hAnsi="Arial"/>
          <w:sz w:val="15"/>
          <w:szCs w:val="15"/>
          <w:color w:val="004987"/>
        </w:rPr>
      </w:pPr>
      <w:r>
        <w:rPr>
          <w:rFonts w:ascii="Arial" w:cs="Arial" w:eastAsia="Arial" w:hAnsi="Arial"/>
          <w:sz w:val="15"/>
          <w:szCs w:val="15"/>
          <w:color w:val="auto"/>
        </w:rPr>
        <w:t>performing a leadership role in shaping our corporate governance; and</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6"/>
        </w:numPr>
        <w:rPr>
          <w:rFonts w:ascii="Arial" w:cs="Arial" w:eastAsia="Arial" w:hAnsi="Arial"/>
          <w:sz w:val="15"/>
          <w:szCs w:val="15"/>
          <w:color w:val="004987"/>
        </w:rPr>
      </w:pPr>
      <w:r>
        <w:rPr>
          <w:rFonts w:ascii="Arial" w:cs="Arial" w:eastAsia="Arial" w:hAnsi="Arial"/>
          <w:sz w:val="15"/>
          <w:szCs w:val="15"/>
          <w:color w:val="auto"/>
        </w:rPr>
        <w:t>reviewing and making recommendations to the Board regarding sustainability matters, including ESG matters.</w:t>
      </w:r>
    </w:p>
    <w:p>
      <w:pPr>
        <w:spacing w:after="0" w:line="30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06" w:lineRule="exact"/>
        <w:rPr>
          <w:sz w:val="20"/>
          <w:szCs w:val="20"/>
          <w:color w:val="auto"/>
        </w:rPr>
      </w:pPr>
    </w:p>
    <w:p>
      <w:pPr>
        <w:ind w:left="400" w:right="540"/>
        <w:spacing w:after="0" w:line="289" w:lineRule="auto"/>
        <w:rPr>
          <w:sz w:val="20"/>
          <w:szCs w:val="20"/>
          <w:color w:val="auto"/>
        </w:rPr>
      </w:pPr>
      <w:r>
        <w:rPr>
          <w:rFonts w:ascii="Arial" w:cs="Arial" w:eastAsia="Arial" w:hAnsi="Arial"/>
          <w:sz w:val="15"/>
          <w:szCs w:val="15"/>
          <w:color w:val="auto"/>
        </w:rPr>
        <w:t>None of the members of the Compensation Policy Committee is or has been an officer or employee of the Company or had any relationship that is required to be disclosed as a transaction with a related party or as an interlocking relationship.</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MEETINGS OF INDEPENDENT DIRECTORS</w:t>
      </w:r>
    </w:p>
    <w:p>
      <w:pPr>
        <w:spacing w:after="0" w:line="106" w:lineRule="exact"/>
        <w:rPr>
          <w:sz w:val="20"/>
          <w:szCs w:val="20"/>
          <w:color w:val="auto"/>
        </w:rPr>
      </w:pPr>
    </w:p>
    <w:p>
      <w:pPr>
        <w:ind w:left="400" w:right="380"/>
        <w:spacing w:after="0" w:line="269" w:lineRule="auto"/>
        <w:rPr>
          <w:sz w:val="20"/>
          <w:szCs w:val="20"/>
          <w:color w:val="auto"/>
        </w:rPr>
      </w:pPr>
      <w:r>
        <w:rPr>
          <w:rFonts w:ascii="Arial" w:cs="Arial" w:eastAsia="Arial" w:hAnsi="Arial"/>
          <w:sz w:val="15"/>
          <w:szCs w:val="15"/>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Chairman, who is currently Mr. Shaw, presides at such executive sessions.</w:t>
      </w:r>
    </w:p>
    <w:p>
      <w:pPr>
        <w:spacing w:after="0" w:line="99" w:lineRule="exact"/>
        <w:rPr>
          <w:sz w:val="20"/>
          <w:szCs w:val="20"/>
          <w:color w:val="auto"/>
        </w:rPr>
      </w:pPr>
    </w:p>
    <w:p>
      <w:pPr>
        <w:ind w:left="400"/>
        <w:spacing w:after="0"/>
        <w:tabs>
          <w:tab w:leader="none" w:pos="44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Report on the Board of Directors and its Committees</w:t>
      </w:r>
      <w:r>
        <w:rPr>
          <w:sz w:val="20"/>
          <w:szCs w:val="20"/>
          <w:color w:val="auto"/>
        </w:rPr>
        <w:tab/>
      </w:r>
      <w:r>
        <w:rPr>
          <w:rFonts w:ascii="Arial" w:cs="Arial" w:eastAsia="Arial" w:hAnsi="Arial"/>
          <w:sz w:val="10"/>
          <w:szCs w:val="10"/>
          <w:b w:val="1"/>
          <w:bCs w:val="1"/>
          <w:color w:val="00498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spacing w:after="0"/>
        <w:rPr>
          <w:sz w:val="20"/>
          <w:szCs w:val="20"/>
          <w:color w:val="auto"/>
        </w:rPr>
      </w:pPr>
      <w:r>
        <w:rPr>
          <w:rFonts w:ascii="Arial" w:cs="Arial" w:eastAsia="Arial" w:hAnsi="Arial"/>
          <w:sz w:val="51"/>
          <w:szCs w:val="51"/>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-337185</wp:posOffset>
            </wp:positionV>
            <wp:extent cx="81280" cy="423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280" cy="423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00" w:right="20"/>
        <w:spacing w:after="0" w:line="263" w:lineRule="auto"/>
        <w:rPr>
          <w:sz w:val="20"/>
          <w:szCs w:val="20"/>
          <w:color w:val="auto"/>
        </w:rPr>
      </w:pPr>
      <w:r>
        <w:rPr>
          <w:rFonts w:ascii="Arial" w:cs="Arial" w:eastAsia="Arial" w:hAnsi="Arial"/>
          <w:sz w:val="15"/>
          <w:szCs w:val="15"/>
          <w:color w:val="auto"/>
        </w:rPr>
        <w:t>The Board is committed to good corporate governance, good business practices and transparency in financial reporting. The Nominating and Corporate Governance Committee annually reviews the Company’s Corporate Governance Principles, a copy of which is available via the Investor Relations section of our website (www.marriottvacationsworldwide.com) by clicking on “Corporate Governance” under the “Investor Relations” tab. A copy of the Company’s Corporate Governance Principles also may be obtained upon request from our Corporate Secretary.</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SEPARATION OF BOARD CHAIRMAN AND CHIEF EXECUTIVE OFFICER</w:t>
      </w:r>
    </w:p>
    <w:p>
      <w:pPr>
        <w:spacing w:after="0" w:line="106" w:lineRule="exact"/>
        <w:rPr>
          <w:sz w:val="20"/>
          <w:szCs w:val="20"/>
          <w:color w:val="auto"/>
        </w:rPr>
      </w:pPr>
    </w:p>
    <w:p>
      <w:pPr>
        <w:ind w:left="400" w:right="100"/>
        <w:spacing w:after="0" w:line="257" w:lineRule="auto"/>
        <w:rPr>
          <w:sz w:val="20"/>
          <w:szCs w:val="20"/>
          <w:color w:val="auto"/>
        </w:rPr>
      </w:pPr>
      <w:r>
        <w:rPr>
          <w:rFonts w:ascii="Arial" w:cs="Arial" w:eastAsia="Arial" w:hAnsi="Arial"/>
          <w:sz w:val="15"/>
          <w:szCs w:val="15"/>
          <w:color w:val="auto"/>
        </w:rPr>
        <w:t>While the Board has no formal policy requiring the separation of the positions of Chairman of the Board and Chief Executive Officer, William J. Shaw, an independent director, currently serves as Chairman of the Board. Our Board regularly reviews our leadership structure and has determined that separating the roles of Chairman and Chief Executive Officer is the optimal leadership structure for the Company, allowing our Chief Executive Officer to focus on his duties while benefiting from the Chairman’s significant experience at Marriott International and in the hospitality industry. The Board believes that having an independent Chairman improves the ability of the Board to exercise its oversight role over management and provides opportunities for discussion and evaluation of management decisions and the direction of the Company.</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BOARD AND COMMITTEE EVALUATIONS</w:t>
      </w:r>
    </w:p>
    <w:p>
      <w:pPr>
        <w:spacing w:after="0" w:line="106" w:lineRule="exact"/>
        <w:rPr>
          <w:sz w:val="20"/>
          <w:szCs w:val="20"/>
          <w:color w:val="auto"/>
        </w:rPr>
      </w:pPr>
    </w:p>
    <w:p>
      <w:pPr>
        <w:ind w:left="400" w:right="180"/>
        <w:spacing w:after="0" w:line="269" w:lineRule="auto"/>
        <w:rPr>
          <w:sz w:val="20"/>
          <w:szCs w:val="20"/>
          <w:color w:val="auto"/>
        </w:rPr>
      </w:pPr>
      <w:r>
        <w:rPr>
          <w:rFonts w:ascii="Arial" w:cs="Arial" w:eastAsia="Arial" w:hAnsi="Arial"/>
          <w:sz w:val="15"/>
          <w:szCs w:val="15"/>
          <w:color w:val="auto"/>
        </w:rPr>
        <w:t>The Board and its committees evaluate their own performance on an ongoing basis. The evaluation process is overseen by the Nominating and Corporate Governance Committee, which recommends enhancements to Board and committee effectiveness as appropriate. The results from the 2021 evaluation process were positive and confirmed our Board’s commitment to high levels of Board effectiveness and governance.</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SELECTION OF DIRECTOR NOMINEES</w:t>
      </w:r>
    </w:p>
    <w:p>
      <w:pPr>
        <w:spacing w:after="0" w:line="106" w:lineRule="exact"/>
        <w:rPr>
          <w:sz w:val="20"/>
          <w:szCs w:val="20"/>
          <w:color w:val="auto"/>
        </w:rPr>
      </w:pPr>
    </w:p>
    <w:p>
      <w:pPr>
        <w:ind w:left="400" w:right="40"/>
        <w:spacing w:after="0" w:line="252" w:lineRule="auto"/>
        <w:rPr>
          <w:sz w:val="20"/>
          <w:szCs w:val="20"/>
          <w:color w:val="auto"/>
        </w:rPr>
      </w:pPr>
      <w:r>
        <w:rPr>
          <w:rFonts w:ascii="Arial" w:cs="Arial" w:eastAsia="Arial" w:hAnsi="Arial"/>
          <w:sz w:val="15"/>
          <w:szCs w:val="15"/>
          <w:color w:val="auto"/>
        </w:rPr>
        <w:t>The Nominating and Corporate Governance Committee identifies and recruits candidates for election to the Board. The Nominating and Corporate Governance Committee evaluates the composition of the Board at least annually to assess the skills and experience that are currently represented on the Board as a whole, and in individual directors, as well as the skills and experience that the Board may find valuable in the future. The Nominating and Corporate Governance Committee selects and recommends to the Board director candidates based on the Nominating and Corporate Governance Committee’s evaluation of each candidate’s character, judgment, personal and professional ethics, personal and professional integrity, values, background experience, technical skills, affiliations, familiarity with national and international issues affecting our business and demonstrated exceptional ability and judgment. Although we do not have a formal policy regarding diversity, our Board views diversity as a priority and seeks diverse representation among its members and evaluates its effectiveness in accounting for diversity as part of its annual evaluation of the composition of the Board. Candidates are selected who not only bring a depth of experience but also provide skills and knowledge complementary to the Board and our business. Candidates must be committed to representing the long-term interests of our stockholders and fulfilling a director’s duties and responsibilities, which include attending Board meetings and our annual stockholders meeting, and preparing for Board meetings by advance review of any meeting materials. The Nominating and Corporate Governance Committee recommends to the Board the Company’s candidates for election or reelection to the Board at each annual meeting of stockholders, as well as candidates to be elected by the Board as necessary to fill vacancies and newly created directorships. The Board proposes a slate of nominees to the stockholders for election to the Board. The Board also determines the number of directors on the Board.</w:t>
      </w:r>
    </w:p>
    <w:p>
      <w:pPr>
        <w:spacing w:after="0" w:line="80" w:lineRule="exact"/>
        <w:rPr>
          <w:sz w:val="20"/>
          <w:szCs w:val="20"/>
          <w:color w:val="auto"/>
        </w:rPr>
      </w:pPr>
    </w:p>
    <w:p>
      <w:pPr>
        <w:ind w:left="400" w:right="60"/>
        <w:spacing w:after="0" w:line="259" w:lineRule="auto"/>
        <w:rPr>
          <w:sz w:val="20"/>
          <w:szCs w:val="20"/>
          <w:color w:val="auto"/>
        </w:rPr>
      </w:pPr>
      <w:r>
        <w:rPr>
          <w:rFonts w:ascii="Arial" w:cs="Arial" w:eastAsia="Arial" w:hAnsi="Arial"/>
          <w:sz w:val="15"/>
          <w:szCs w:val="15"/>
          <w:color w:val="auto"/>
        </w:rPr>
        <w:t>The Nominating and Corporate Governance Committee identifies nominees for director on its own as well as by considering recommendations from other members of the Board, officers and employees of the Company, and other sources that the Nominating and Corporate Governance Committee deems appropriate. The Nominating and Corporate Governance Committee will also consider candidates for Board membership recommended by stockholders. Stockholders may recommend nominees for consideration by the Nominating and Corporate Governance Committee by submitting the names and supporting information to: Marriott Vacations Worldwide Corporation, 9002 San Marco Court, Orlando, Florida, 32819, Attention: Corporate Secretary.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supporting information should include the information required by our Bylaws in connection with the nominations of persons for election to the Board.</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Nominating and Corporate Governance Committee will evaluate all candidates, regardless of source, in light of the Board-approved criteria.</w:t>
      </w:r>
    </w:p>
    <w:p>
      <w:pPr>
        <w:spacing w:after="0" w:line="28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DIRECTOR INDEPENDENCE</w:t>
      </w:r>
    </w:p>
    <w:p>
      <w:pPr>
        <w:spacing w:after="0" w:line="106" w:lineRule="exact"/>
        <w:rPr>
          <w:sz w:val="20"/>
          <w:szCs w:val="20"/>
          <w:color w:val="auto"/>
        </w:rPr>
      </w:pPr>
    </w:p>
    <w:p>
      <w:pPr>
        <w:ind w:left="400" w:right="40"/>
        <w:spacing w:after="0" w:line="263" w:lineRule="auto"/>
        <w:rPr>
          <w:sz w:val="20"/>
          <w:szCs w:val="20"/>
          <w:color w:val="auto"/>
        </w:rPr>
      </w:pPr>
      <w:r>
        <w:rPr>
          <w:rFonts w:ascii="Arial" w:cs="Arial" w:eastAsia="Arial" w:hAnsi="Arial"/>
          <w:sz w:val="15"/>
          <w:szCs w:val="15"/>
          <w:color w:val="auto"/>
        </w:rPr>
        <w:t>The Company has determined that all of the directors, other than Stephen P. Weisz, have no material relationship with the Company and are independent under the criteria set forth in the applicable rules of the SEC, the NYSE Listing Standards and the Company’s Corporate Governance Principles. Additionally, all of the members of the Audit Committee, Compensation Policy Committee, and Nominating and Corporate Governance Committee are independent under such standards.</w:t>
      </w:r>
    </w:p>
    <w:p>
      <w:pPr>
        <w:spacing w:after="0" w:line="102" w:lineRule="exact"/>
        <w:rPr>
          <w:sz w:val="20"/>
          <w:szCs w:val="20"/>
          <w:color w:val="auto"/>
        </w:rPr>
      </w:pPr>
    </w:p>
    <w:p>
      <w:pPr>
        <w:ind w:left="400"/>
        <w:spacing w:after="0"/>
        <w:tabs>
          <w:tab w:leader="none" w:pos="5100" w:val="left"/>
          <w:tab w:leader="none" w:pos="7720" w:val="left"/>
        </w:tabs>
        <w:rPr>
          <w:sz w:val="20"/>
          <w:szCs w:val="20"/>
          <w:color w:val="auto"/>
        </w:rPr>
      </w:pPr>
      <w:r>
        <w:rPr>
          <w:rFonts w:ascii="Arial" w:cs="Arial" w:eastAsia="Arial" w:hAnsi="Arial"/>
          <w:sz w:val="10"/>
          <w:szCs w:val="10"/>
          <w:b w:val="1"/>
          <w:bCs w:val="1"/>
          <w:color w:val="004987"/>
        </w:rPr>
        <w:t>18</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RISK OVERSIGHT</w:t>
      </w:r>
    </w:p>
    <w:p>
      <w:pPr>
        <w:spacing w:after="0" w:line="106" w:lineRule="exact"/>
        <w:rPr>
          <w:sz w:val="20"/>
          <w:szCs w:val="20"/>
          <w:color w:val="auto"/>
        </w:rPr>
      </w:pPr>
    </w:p>
    <w:p>
      <w:pPr>
        <w:ind w:left="400" w:right="20"/>
        <w:spacing w:after="0" w:line="259" w:lineRule="auto"/>
        <w:rPr>
          <w:sz w:val="20"/>
          <w:szCs w:val="20"/>
          <w:color w:val="auto"/>
        </w:rPr>
      </w:pPr>
      <w:r>
        <w:rPr>
          <w:rFonts w:ascii="Arial" w:cs="Arial" w:eastAsia="Arial" w:hAnsi="Arial"/>
          <w:sz w:val="15"/>
          <w:szCs w:val="15"/>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enterprise risk assessment report from our Chief Financial Officer and our Senior Vice President, Internal Audit (who is our Chief Audit Executive) and discusses the most significant risks facing us. The Board believes that its risk oversight process would be effective under a variety of Board leadership structures, and therefore, it does not materially affect the Board’s choice of leadership structure.</w:t>
      </w:r>
    </w:p>
    <w:p>
      <w:pPr>
        <w:spacing w:after="0" w:line="69" w:lineRule="exact"/>
        <w:rPr>
          <w:sz w:val="20"/>
          <w:szCs w:val="20"/>
          <w:color w:val="auto"/>
        </w:rPr>
      </w:pPr>
    </w:p>
    <w:p>
      <w:pPr>
        <w:ind w:left="400" w:right="40"/>
        <w:spacing w:after="0" w:line="259" w:lineRule="auto"/>
        <w:rPr>
          <w:sz w:val="20"/>
          <w:szCs w:val="20"/>
          <w:color w:val="auto"/>
        </w:rPr>
      </w:pPr>
      <w:r>
        <w:rPr>
          <w:rFonts w:ascii="Arial" w:cs="Arial" w:eastAsia="Arial" w:hAnsi="Arial"/>
          <w:sz w:val="15"/>
          <w:szCs w:val="15"/>
          <w:color w:val="auto"/>
        </w:rPr>
        <w:t>Each of the Board’s committees addresses risks that fall within that committee’s area of responsibility. The Board has delegated certain risk oversight functions to the Audit Committee, including the periodic review of the audit plan of the internal audit department, the tax function, treasury operations, and insurance. The Audit Committee receives regular reports from: the corporate controllership and our outside independent accounting firm on financial reporting matters; the internal audit department about significant findings; and the General Counsel regarding legal and regulatory risks. The Audit Committee incorporates its risk assessment function into its reports to the Board.</w:t>
      </w:r>
    </w:p>
    <w:p>
      <w:pPr>
        <w:spacing w:after="0" w:line="69" w:lineRule="exact"/>
        <w:rPr>
          <w:sz w:val="20"/>
          <w:szCs w:val="20"/>
          <w:color w:val="auto"/>
        </w:rPr>
      </w:pPr>
    </w:p>
    <w:p>
      <w:pPr>
        <w:ind w:left="400" w:right="40"/>
        <w:spacing w:after="0" w:line="269" w:lineRule="auto"/>
        <w:rPr>
          <w:sz w:val="20"/>
          <w:szCs w:val="20"/>
          <w:color w:val="auto"/>
        </w:rPr>
      </w:pPr>
      <w:r>
        <w:rPr>
          <w:rFonts w:ascii="Arial" w:cs="Arial" w:eastAsia="Arial" w:hAnsi="Arial"/>
          <w:sz w:val="15"/>
          <w:szCs w:val="15"/>
          <w:color w:val="auto"/>
        </w:rPr>
        <w:t>Our Compensation Policy Committee evaluates any incentives and risks arising from or related to our compensation programs and plans and assesses whether the incentives and risks are appropriate. As discussed in the Compensation Discussion and Analysis below, the Compensation Policy Committee believes that our compensation programs do not present risks that are reasonably likely to have a material adverse effect on the Company.</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OVERSIGHT OF CYBERSECURITY</w:t>
      </w:r>
    </w:p>
    <w:p>
      <w:pPr>
        <w:spacing w:after="0" w:line="106" w:lineRule="exact"/>
        <w:rPr>
          <w:sz w:val="20"/>
          <w:szCs w:val="20"/>
          <w:color w:val="auto"/>
        </w:rPr>
      </w:pPr>
    </w:p>
    <w:p>
      <w:pPr>
        <w:ind w:left="400" w:right="20"/>
        <w:spacing w:after="0" w:line="255" w:lineRule="auto"/>
        <w:rPr>
          <w:sz w:val="20"/>
          <w:szCs w:val="20"/>
          <w:color w:val="auto"/>
        </w:rPr>
      </w:pPr>
      <w:r>
        <w:rPr>
          <w:rFonts w:ascii="Arial" w:cs="Arial" w:eastAsia="Arial" w:hAnsi="Arial"/>
          <w:sz w:val="15"/>
          <w:szCs w:val="15"/>
          <w:color w:val="auto"/>
        </w:rPr>
        <w:t>Our Audit Committee is responsible for oversight of cybersecurity risk. The Company’s Senior Vice President, Global Information Security, and its Executive Vice President and Chief Information Officer review cybersecurity and data security risks and mitigation strategies with the Audit Committee at least twice per year. The Company has a dedicated team that is responsible for managing enterprise-wide information security strategy, policy, standards, architecture and processes. This team follows a documented process to identify, quantify and mitigate security risks. Risks are reported to and reviewed by senior leadership, and more significant risks are reported to our executive officers and the Audit Committee. In addition, we require our associates to receive annual training on our information security policies. This includes but is not limited to information classification and handling, data privacy, physical security, phishing, malware and ransomeware, social engineering, identifying and reporting information security incidents, and secure credit card handling as well as additional topics based on job roles and responsibilities.</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BOARD AND COMMITTEE OVERSIGHT OF ENVIRONMENTAL, SOCIAL AND GOVERNANCE MATTERS</w:t>
      </w:r>
    </w:p>
    <w:p>
      <w:pPr>
        <w:spacing w:after="0" w:line="106" w:lineRule="exact"/>
        <w:rPr>
          <w:sz w:val="20"/>
          <w:szCs w:val="20"/>
          <w:color w:val="auto"/>
        </w:rPr>
      </w:pPr>
    </w:p>
    <w:p>
      <w:pPr>
        <w:ind w:left="400" w:right="80"/>
        <w:spacing w:after="0" w:line="263" w:lineRule="auto"/>
        <w:rPr>
          <w:sz w:val="20"/>
          <w:szCs w:val="20"/>
          <w:color w:val="auto"/>
        </w:rPr>
      </w:pPr>
      <w:r>
        <w:rPr>
          <w:rFonts w:ascii="Arial" w:cs="Arial" w:eastAsia="Arial" w:hAnsi="Arial"/>
          <w:sz w:val="15"/>
          <w:szCs w:val="15"/>
          <w:color w:val="auto"/>
        </w:rPr>
        <w:t>Over the past year we have implemented a governance structure for our ESG program. Oversight of ESG matters happens at multiple levels within our ESG governance structure. Our Board has overall responsibility for managing ESG risks and opportunities, and is provided with updates on ESG matters at least quarterly. Each of the Board’s committees assist the board in fulfilling this responsibility by overseeing the ESG-related risks in areas over which they have responsibility.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Board of Directors: Leading sponsor of our ESG program. Responsible for general oversight of the ESG program.</w:t>
      </w:r>
    </w:p>
    <w:p>
      <w:pPr>
        <w:spacing w:after="0" w:line="110" w:lineRule="exact"/>
        <w:rPr>
          <w:sz w:val="20"/>
          <w:szCs w:val="20"/>
          <w:color w:val="auto"/>
        </w:rPr>
      </w:pPr>
    </w:p>
    <w:p>
      <w:pPr>
        <w:ind w:left="400" w:right="880"/>
        <w:spacing w:after="0" w:line="269" w:lineRule="auto"/>
        <w:rPr>
          <w:sz w:val="20"/>
          <w:szCs w:val="20"/>
          <w:color w:val="auto"/>
        </w:rPr>
      </w:pPr>
      <w:r>
        <w:rPr>
          <w:rFonts w:ascii="Arial" w:cs="Arial" w:eastAsia="Arial" w:hAnsi="Arial"/>
          <w:sz w:val="15"/>
          <w:szCs w:val="15"/>
          <w:color w:val="auto"/>
        </w:rPr>
        <w:t>Nominating &amp; Corporate Governance Committee: Oversees the Company’s ESG priorities, objectives, strategy and performance. Makes recommendations to the Board. Oversees climate and other environmental risks and opportunities. Reviews ESG risks and opportunities with management.</w:t>
      </w:r>
    </w:p>
    <w:p>
      <w:pPr>
        <w:spacing w:after="0" w:line="61" w:lineRule="exact"/>
        <w:rPr>
          <w:sz w:val="20"/>
          <w:szCs w:val="20"/>
          <w:color w:val="auto"/>
        </w:rPr>
      </w:pPr>
    </w:p>
    <w:p>
      <w:pPr>
        <w:ind w:left="400" w:right="280"/>
        <w:spacing w:after="0" w:line="289" w:lineRule="auto"/>
        <w:rPr>
          <w:sz w:val="20"/>
          <w:szCs w:val="20"/>
          <w:color w:val="auto"/>
        </w:rPr>
      </w:pPr>
      <w:r>
        <w:rPr>
          <w:rFonts w:ascii="Arial" w:cs="Arial" w:eastAsia="Arial" w:hAnsi="Arial"/>
          <w:sz w:val="15"/>
          <w:szCs w:val="15"/>
          <w:color w:val="auto"/>
        </w:rPr>
        <w:t>Compensation Policy Committee: Oversees initiatives relative to inclusion, diversity, and other social responsibility matters. Oversees executive officer compensation programs related to ESG matters.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Audit Committee: Oversees reporting, internal control and disclosure procedures with respect to ESG matters.</w:t>
      </w:r>
    </w:p>
    <w:p>
      <w:pPr>
        <w:spacing w:after="0" w:line="110" w:lineRule="exact"/>
        <w:rPr>
          <w:sz w:val="20"/>
          <w:szCs w:val="20"/>
          <w:color w:val="auto"/>
        </w:rPr>
      </w:pPr>
    </w:p>
    <w:p>
      <w:pPr>
        <w:ind w:left="400" w:right="20"/>
        <w:spacing w:after="0" w:line="263" w:lineRule="auto"/>
        <w:rPr>
          <w:sz w:val="20"/>
          <w:szCs w:val="20"/>
          <w:color w:val="auto"/>
        </w:rPr>
      </w:pPr>
      <w:r>
        <w:rPr>
          <w:rFonts w:ascii="Arial" w:cs="Arial" w:eastAsia="Arial" w:hAnsi="Arial"/>
          <w:sz w:val="15"/>
          <w:szCs w:val="15"/>
          <w:color w:val="auto"/>
        </w:rPr>
        <w:t>ESG Steering Committee: A cross-functional management committee of the Company that supports our ongoing commitment to ESG matters. Assists the executive officers of the Company in setting a general strategy related to ESG matters; developing, implementing and monitoring initiatives and policies related to that strategy; overseeing communications with employees, investors and other stakeholders with respect to ESG matters; and monitoring and assessing developments related to, and improving the Company’s understanding of, ESG issues.</w:t>
      </w:r>
    </w:p>
    <w:p>
      <w:pPr>
        <w:spacing w:after="0" w:line="64" w:lineRule="exact"/>
        <w:rPr>
          <w:sz w:val="20"/>
          <w:szCs w:val="20"/>
          <w:color w:val="auto"/>
        </w:rPr>
      </w:pPr>
    </w:p>
    <w:p>
      <w:pPr>
        <w:ind w:left="400" w:right="140"/>
        <w:spacing w:after="0" w:line="269" w:lineRule="auto"/>
        <w:rPr>
          <w:sz w:val="20"/>
          <w:szCs w:val="20"/>
          <w:color w:val="auto"/>
        </w:rPr>
      </w:pPr>
      <w:r>
        <w:rPr>
          <w:rFonts w:ascii="Arial" w:cs="Arial" w:eastAsia="Arial" w:hAnsi="Arial"/>
          <w:sz w:val="15"/>
          <w:szCs w:val="15"/>
          <w:color w:val="auto"/>
        </w:rPr>
        <w:t>ESG Task Force: Responsible for coordinating, executing and administering the essential functions and objectives of the ESG Steering Committee. Business units throughout the Company are responsible for deploying our ESG strategy and implementing action plans as directed by the ESG Steering Committee, our executive officers, our Chief Executive Officer, the Board, and the standing Committees of the Board.</w:t>
      </w:r>
    </w:p>
    <w:p>
      <w:pPr>
        <w:spacing w:after="0" w:line="99" w:lineRule="exact"/>
        <w:rPr>
          <w:sz w:val="20"/>
          <w:szCs w:val="20"/>
          <w:color w:val="auto"/>
        </w:rPr>
      </w:pPr>
    </w:p>
    <w:p>
      <w:pPr>
        <w:ind w:left="400"/>
        <w:spacing w:after="0"/>
        <w:tabs>
          <w:tab w:leader="none" w:pos="510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00498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COMMUNICATIONS WITH THE BOARD</w:t>
      </w:r>
    </w:p>
    <w:p>
      <w:pPr>
        <w:spacing w:after="0" w:line="106" w:lineRule="exact"/>
        <w:rPr>
          <w:sz w:val="20"/>
          <w:szCs w:val="20"/>
          <w:color w:val="auto"/>
        </w:rPr>
      </w:pPr>
    </w:p>
    <w:p>
      <w:pPr>
        <w:ind w:left="400" w:right="60"/>
        <w:spacing w:after="0" w:line="263" w:lineRule="auto"/>
        <w:rPr>
          <w:sz w:val="20"/>
          <w:szCs w:val="20"/>
          <w:color w:val="auto"/>
        </w:rPr>
      </w:pPr>
      <w:r>
        <w:rPr>
          <w:rFonts w:ascii="Arial" w:cs="Arial" w:eastAsia="Arial" w:hAnsi="Arial"/>
          <w:sz w:val="15"/>
          <w:szCs w:val="15"/>
          <w:color w:val="auto"/>
        </w:rPr>
        <w:t>Stockholders and other interested parties wishing to communicate with our Board as a group or with any individual director (including the Chairman of the Board) may do so by sending an e-mail to business.ethics@mvwc.com or sending a letter to Marriott Vacations Worldwide Corporation, 9002 San Marco Court, Orlando, Florida, 32819, Attention: Chief Audit Executive. Such communications may be confidential and/or anonymous. All such concerns are forwarded to the appropriate directors for their review and are reviewed and addressed by us in the same way that we address other concerns.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OTHER DIRECTORSHIPS</w:t>
      </w:r>
    </w:p>
    <w:p>
      <w:pPr>
        <w:spacing w:after="0" w:line="106" w:lineRule="exact"/>
        <w:rPr>
          <w:sz w:val="20"/>
          <w:szCs w:val="20"/>
          <w:color w:val="auto"/>
        </w:rPr>
      </w:pPr>
    </w:p>
    <w:p>
      <w:pPr>
        <w:ind w:left="400" w:right="480"/>
        <w:spacing w:after="0" w:line="289" w:lineRule="auto"/>
        <w:rPr>
          <w:sz w:val="20"/>
          <w:szCs w:val="20"/>
          <w:color w:val="auto"/>
        </w:rPr>
      </w:pPr>
      <w:r>
        <w:rPr>
          <w:rFonts w:ascii="Arial" w:cs="Arial" w:eastAsia="Arial" w:hAnsi="Arial"/>
          <w:sz w:val="15"/>
          <w:szCs w:val="15"/>
          <w:color w:val="auto"/>
        </w:rPr>
        <w:t>Our Corporate Governance Principles limit the number of boards of publicly traded companies on which the Company’s directors may serve to two, including our Board, for directors who are chief executive officers of publicly traded companies, and four for other directors.</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CODE OF CONDUCT</w:t>
      </w:r>
    </w:p>
    <w:p>
      <w:pPr>
        <w:spacing w:after="0" w:line="106" w:lineRule="exact"/>
        <w:rPr>
          <w:sz w:val="20"/>
          <w:szCs w:val="20"/>
          <w:color w:val="auto"/>
        </w:rPr>
      </w:pPr>
    </w:p>
    <w:p>
      <w:pPr>
        <w:ind w:left="400" w:right="40"/>
        <w:spacing w:after="0" w:line="257" w:lineRule="auto"/>
        <w:rPr>
          <w:sz w:val="20"/>
          <w:szCs w:val="20"/>
          <w:color w:val="auto"/>
        </w:rPr>
      </w:pPr>
      <w:r>
        <w:rPr>
          <w:rFonts w:ascii="Arial" w:cs="Arial" w:eastAsia="Arial" w:hAnsi="Arial"/>
          <w:sz w:val="15"/>
          <w:szCs w:val="15"/>
          <w:color w:val="auto"/>
        </w:rPr>
        <w:t>Our Board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 www.marriottvacationsworldwide.com or on a Current Report on Form 8-K.</w:t>
      </w:r>
    </w:p>
    <w:p>
      <w:pPr>
        <w:spacing w:after="0" w:line="109" w:lineRule="exact"/>
        <w:rPr>
          <w:sz w:val="20"/>
          <w:szCs w:val="20"/>
          <w:color w:val="auto"/>
        </w:rPr>
      </w:pPr>
    </w:p>
    <w:p>
      <w:pPr>
        <w:ind w:left="400"/>
        <w:spacing w:after="0"/>
        <w:tabs>
          <w:tab w:leader="none" w:pos="5100" w:val="left"/>
          <w:tab w:leader="none" w:pos="7720" w:val="left"/>
        </w:tabs>
        <w:rPr>
          <w:sz w:val="20"/>
          <w:szCs w:val="20"/>
          <w:color w:val="auto"/>
        </w:rPr>
      </w:pPr>
      <w:r>
        <w:rPr>
          <w:rFonts w:ascii="Arial" w:cs="Arial" w:eastAsia="Arial" w:hAnsi="Arial"/>
          <w:sz w:val="10"/>
          <w:szCs w:val="10"/>
          <w:b w:val="1"/>
          <w:bCs w:val="1"/>
          <w:color w:val="004987"/>
        </w:rPr>
        <w:t>20</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right="1720"/>
        <w:spacing w:after="0" w:line="285" w:lineRule="auto"/>
        <w:rPr>
          <w:sz w:val="20"/>
          <w:szCs w:val="20"/>
          <w:color w:val="auto"/>
        </w:rPr>
      </w:pPr>
      <w:r>
        <w:rPr>
          <w:rFonts w:ascii="Arial" w:cs="Arial" w:eastAsia="Arial" w:hAnsi="Arial"/>
          <w:sz w:val="51"/>
          <w:szCs w:val="51"/>
          <w:b w:val="1"/>
          <w:bCs w:val="1"/>
          <w:color w:val="auto"/>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-848995</wp:posOffset>
            </wp:positionV>
            <wp:extent cx="81280" cy="789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280" cy="789940"/>
                    </a:xfrm>
                    <a:prstGeom prst="rect">
                      <a:avLst/>
                    </a:prstGeom>
                    <a:noFill/>
                  </pic:spPr>
                </pic:pic>
              </a:graphicData>
            </a:graphic>
          </wp:anchor>
        </w:drawing>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REPORT OF THE AUDIT COMMITTEE</w:t>
      </w:r>
    </w:p>
    <w:p>
      <w:pPr>
        <w:spacing w:after="0" w:line="106" w:lineRule="exact"/>
        <w:rPr>
          <w:sz w:val="20"/>
          <w:szCs w:val="20"/>
          <w:color w:val="auto"/>
        </w:rPr>
      </w:pPr>
    </w:p>
    <w:p>
      <w:pPr>
        <w:ind w:left="400" w:right="100"/>
        <w:spacing w:after="0" w:line="259" w:lineRule="auto"/>
        <w:rPr>
          <w:sz w:val="20"/>
          <w:szCs w:val="20"/>
          <w:color w:val="auto"/>
        </w:rPr>
      </w:pPr>
      <w:r>
        <w:rPr>
          <w:rFonts w:ascii="Arial" w:cs="Arial" w:eastAsia="Arial" w:hAnsi="Arial"/>
          <w:sz w:val="15"/>
          <w:szCs w:val="15"/>
          <w:color w:val="auto"/>
        </w:rPr>
        <w:t>The Audit Committee is composed solely of independent directors meeting the requirements of applicable SEC and NYSE rules. Each member is financially literate for audit committee purposes under the NYSE rules, and two members of the Audit Committee also qualify as an “audit committee financial expert” within the meaning of SEC regulations. The key responsibilities of the Audit Committee are set forth in its charter, which was adopted by us and approved by the Board and is posted under “Corporate Governance” in the Investor Relations section of our website at ir.marriottvacationsworldwide.com/investor-relations.</w:t>
      </w:r>
    </w:p>
    <w:p>
      <w:pPr>
        <w:spacing w:after="0" w:line="69" w:lineRule="exact"/>
        <w:rPr>
          <w:sz w:val="20"/>
          <w:szCs w:val="20"/>
          <w:color w:val="auto"/>
        </w:rPr>
      </w:pPr>
    </w:p>
    <w:p>
      <w:pPr>
        <w:ind w:left="400" w:right="100"/>
        <w:spacing w:after="0" w:line="256" w:lineRule="auto"/>
        <w:rPr>
          <w:sz w:val="20"/>
          <w:szCs w:val="20"/>
          <w:color w:val="auto"/>
        </w:rPr>
      </w:pPr>
      <w:r>
        <w:rPr>
          <w:rFonts w:ascii="Arial" w:cs="Arial" w:eastAsia="Arial" w:hAnsi="Arial"/>
          <w:sz w:val="15"/>
          <w:szCs w:val="15"/>
          <w:color w:val="auto"/>
        </w:rPr>
        <w:t>As more fully described in our charter, our Audit Committee assists the Board in its oversight of risks related to financial reporting, accounting, financial practices and cybersecurity. Our Audit Committee also oversees reporting and internal controls and disclosure procedures concerning the Company’s environmental, social and governance program. Management is responsible for the preparation, presentation and integrity of our consolidated financial statements, accounting and financial reporting principles, and maintaining an effective system of internal controls over financial reporting. Ernst &amp; Young, our independent registered public accountant, is responsible for performing an independent audit of our consolidated financial statements and the effectiveness of internal controls over financial reporting in accordance with the auditing standards of the Public Company Accounting Oversight Board (“PCAOB”).</w:t>
      </w:r>
    </w:p>
    <w:p>
      <w:pPr>
        <w:spacing w:after="0" w:line="71" w:lineRule="exact"/>
        <w:rPr>
          <w:sz w:val="20"/>
          <w:szCs w:val="20"/>
          <w:color w:val="auto"/>
        </w:rPr>
      </w:pPr>
    </w:p>
    <w:p>
      <w:pPr>
        <w:ind w:left="400" w:right="40"/>
        <w:spacing w:after="0" w:line="261" w:lineRule="auto"/>
        <w:rPr>
          <w:sz w:val="20"/>
          <w:szCs w:val="20"/>
          <w:color w:val="auto"/>
        </w:rPr>
      </w:pPr>
      <w:r>
        <w:rPr>
          <w:rFonts w:ascii="Arial" w:cs="Arial" w:eastAsia="Arial" w:hAnsi="Arial"/>
          <w:sz w:val="15"/>
          <w:szCs w:val="15"/>
          <w:color w:val="auto"/>
        </w:rPr>
        <w:t>The Audit Committee has selected Ernst &amp; Young as our independent registered public accountant for 2022. Ernst &amp; Young has served as our independent registered public accountant since 2011. The Audit Committee is responsible for the appointment, compensation and oversight of our independent registered public accountant. The Audit Committee regularly reviews Ernst &amp; Young’s independence and performance in deciding whether to retain Ernst &amp; Young or engage another firm as our independent registered public accountant. In the course of these reviews, the Audit Committee considers, among other things:</w:t>
      </w:r>
    </w:p>
    <w:p>
      <w:pPr>
        <w:spacing w:after="0" w:line="262" w:lineRule="exact"/>
        <w:rPr>
          <w:sz w:val="20"/>
          <w:szCs w:val="20"/>
          <w:color w:val="auto"/>
        </w:rPr>
      </w:pPr>
    </w:p>
    <w:p>
      <w:pPr>
        <w:ind w:left="600" w:hanging="206"/>
        <w:spacing w:after="0"/>
        <w:tabs>
          <w:tab w:leader="none" w:pos="600" w:val="left"/>
        </w:tabs>
        <w:numPr>
          <w:ilvl w:val="0"/>
          <w:numId w:val="37"/>
        </w:numPr>
        <w:rPr>
          <w:rFonts w:ascii="Arial" w:cs="Arial" w:eastAsia="Arial" w:hAnsi="Arial"/>
          <w:sz w:val="15"/>
          <w:szCs w:val="15"/>
          <w:color w:val="004987"/>
        </w:rPr>
      </w:pPr>
      <w:r>
        <w:rPr>
          <w:rFonts w:ascii="Arial" w:cs="Arial" w:eastAsia="Arial" w:hAnsi="Arial"/>
          <w:sz w:val="15"/>
          <w:szCs w:val="15"/>
          <w:color w:val="auto"/>
        </w:rPr>
        <w:t>Ernst &amp; Young’s historical and recent performance on our audit;</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7"/>
        </w:numPr>
        <w:rPr>
          <w:rFonts w:ascii="Arial" w:cs="Arial" w:eastAsia="Arial" w:hAnsi="Arial"/>
          <w:sz w:val="15"/>
          <w:szCs w:val="15"/>
          <w:color w:val="004987"/>
        </w:rPr>
      </w:pPr>
      <w:r>
        <w:rPr>
          <w:rFonts w:ascii="Arial" w:cs="Arial" w:eastAsia="Arial" w:hAnsi="Arial"/>
          <w:sz w:val="15"/>
          <w:szCs w:val="15"/>
          <w:color w:val="auto"/>
        </w:rPr>
        <w:t>Ernst &amp; Young’s capability and expertise in handling the breadth and complexity of our operations;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7"/>
        </w:numPr>
        <w:rPr>
          <w:rFonts w:ascii="Arial" w:cs="Arial" w:eastAsia="Arial" w:hAnsi="Arial"/>
          <w:sz w:val="15"/>
          <w:szCs w:val="15"/>
          <w:color w:val="004987"/>
        </w:rPr>
      </w:pPr>
      <w:r>
        <w:rPr>
          <w:rFonts w:ascii="Arial" w:cs="Arial" w:eastAsia="Arial" w:hAnsi="Arial"/>
          <w:sz w:val="15"/>
          <w:szCs w:val="15"/>
          <w:color w:val="auto"/>
        </w:rPr>
        <w:t>data on audit quality and performance, including recent PCAOB reports on Ernst &amp; Young and its peer firms;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7"/>
        </w:numPr>
        <w:rPr>
          <w:rFonts w:ascii="Arial" w:cs="Arial" w:eastAsia="Arial" w:hAnsi="Arial"/>
          <w:sz w:val="15"/>
          <w:szCs w:val="15"/>
          <w:color w:val="004987"/>
        </w:rPr>
      </w:pPr>
      <w:r>
        <w:rPr>
          <w:rFonts w:ascii="Arial" w:cs="Arial" w:eastAsia="Arial" w:hAnsi="Arial"/>
          <w:sz w:val="15"/>
          <w:szCs w:val="15"/>
          <w:color w:val="auto"/>
        </w:rPr>
        <w:t>the appropriateness of Ernst &amp; Young’s fees for audit and non-audit services, on both an absolute basis and as compared to its peer firms;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37"/>
        </w:numPr>
        <w:rPr>
          <w:rFonts w:ascii="Arial" w:cs="Arial" w:eastAsia="Arial" w:hAnsi="Arial"/>
          <w:sz w:val="15"/>
          <w:szCs w:val="15"/>
          <w:color w:val="004987"/>
        </w:rPr>
      </w:pPr>
      <w:r>
        <w:rPr>
          <w:rFonts w:ascii="Arial" w:cs="Arial" w:eastAsia="Arial" w:hAnsi="Arial"/>
          <w:sz w:val="15"/>
          <w:szCs w:val="15"/>
          <w:color w:val="auto"/>
        </w:rPr>
        <w:t>Ernst &amp; Young’s independence, including the possible effects of its provision of non-audit services and associated fees on its independence; and</w:t>
      </w:r>
    </w:p>
    <w:p>
      <w:pPr>
        <w:spacing w:after="0" w:line="122" w:lineRule="exact"/>
        <w:rPr>
          <w:rFonts w:ascii="Arial" w:cs="Arial" w:eastAsia="Arial" w:hAnsi="Arial"/>
          <w:sz w:val="15"/>
          <w:szCs w:val="15"/>
          <w:color w:val="004987"/>
        </w:rPr>
      </w:pPr>
    </w:p>
    <w:p>
      <w:pPr>
        <w:ind w:left="600" w:right="100" w:hanging="206"/>
        <w:spacing w:after="0" w:line="289" w:lineRule="auto"/>
        <w:tabs>
          <w:tab w:leader="none" w:pos="600" w:val="left"/>
        </w:tabs>
        <w:numPr>
          <w:ilvl w:val="0"/>
          <w:numId w:val="37"/>
        </w:numPr>
        <w:rPr>
          <w:rFonts w:ascii="Arial" w:cs="Arial" w:eastAsia="Arial" w:hAnsi="Arial"/>
          <w:sz w:val="15"/>
          <w:szCs w:val="15"/>
          <w:color w:val="004987"/>
        </w:rPr>
      </w:pPr>
      <w:r>
        <w:rPr>
          <w:rFonts w:ascii="Arial" w:cs="Arial" w:eastAsia="Arial" w:hAnsi="Arial"/>
          <w:sz w:val="15"/>
          <w:szCs w:val="15"/>
          <w:color w:val="auto"/>
        </w:rPr>
        <w:t>Ernst &amp; Young’s tenure as our independent registered public accountant, including the benefits of having an independent registered public accountant that is familiar with us, and the controls and processes that help ensure Ernst &amp; Young’s independence.</w:t>
      </w:r>
    </w:p>
    <w:p>
      <w:pPr>
        <w:spacing w:after="0" w:line="46" w:lineRule="exact"/>
        <w:rPr>
          <w:sz w:val="20"/>
          <w:szCs w:val="20"/>
          <w:color w:val="auto"/>
        </w:rPr>
      </w:pPr>
    </w:p>
    <w:p>
      <w:pPr>
        <w:ind w:left="400" w:right="20"/>
        <w:spacing w:after="0" w:line="259" w:lineRule="auto"/>
        <w:rPr>
          <w:sz w:val="20"/>
          <w:szCs w:val="20"/>
          <w:color w:val="auto"/>
        </w:rPr>
      </w:pPr>
      <w:r>
        <w:rPr>
          <w:rFonts w:ascii="Arial" w:cs="Arial" w:eastAsia="Arial" w:hAnsi="Arial"/>
          <w:sz w:val="15"/>
          <w:szCs w:val="15"/>
          <w:color w:val="auto"/>
        </w:rPr>
        <w:t>In accordance with SEC rules and Ernst &amp; Young policies, audit partners are subject to rotation requirements to limit the number of consecutive years an individual partner may provide service to us. For lead and concurring audit partners, the maximum number of consecutive years of service in that capacity is five years. The process for selection of our lead audit partner pursuant to this rotation policy involves a meeting between the Chair of the Audit Committee and the candidate for the role, as well as discussion by the full Audit Committee and with management. The lead partner from Ernst &amp; Young who was assigned to us in 2014 completed his five years of service in 2019, and a new lead partner was assigned to us beginning in 2020.</w:t>
      </w:r>
    </w:p>
    <w:p>
      <w:pPr>
        <w:spacing w:after="0" w:line="69" w:lineRule="exact"/>
        <w:rPr>
          <w:sz w:val="20"/>
          <w:szCs w:val="20"/>
          <w:color w:val="auto"/>
        </w:rPr>
      </w:pPr>
    </w:p>
    <w:p>
      <w:pPr>
        <w:ind w:left="400" w:right="40"/>
        <w:spacing w:after="0" w:line="265" w:lineRule="auto"/>
        <w:rPr>
          <w:sz w:val="20"/>
          <w:szCs w:val="20"/>
          <w:color w:val="auto"/>
        </w:rPr>
      </w:pPr>
      <w:r>
        <w:rPr>
          <w:rFonts w:ascii="Arial" w:cs="Arial" w:eastAsia="Arial" w:hAnsi="Arial"/>
          <w:sz w:val="15"/>
          <w:szCs w:val="15"/>
          <w:color w:val="auto"/>
        </w:rPr>
        <w:t>The Audit Committee engages in an annual evaluation of our independent registered public accounting firm’s qualifications, assessing the firm’s quality of service, the firm’s sufficiency of resources, the quality of the communication and interaction with the firm, and the firm’s independence, objectivity, and professional skepticism. The Audit Committee also considers the advisability and potential impact of selecting a different independent public accounting firm.</w:t>
      </w:r>
    </w:p>
    <w:p>
      <w:pPr>
        <w:spacing w:after="0" w:line="249" w:lineRule="exact"/>
        <w:rPr>
          <w:sz w:val="20"/>
          <w:szCs w:val="20"/>
          <w:color w:val="auto"/>
        </w:rPr>
      </w:pPr>
    </w:p>
    <w:p>
      <w:pPr>
        <w:ind w:left="400" w:right="200"/>
        <w:spacing w:after="0" w:line="289" w:lineRule="auto"/>
        <w:rPr>
          <w:sz w:val="20"/>
          <w:szCs w:val="20"/>
          <w:color w:val="auto"/>
        </w:rPr>
      </w:pPr>
      <w:r>
        <w:rPr>
          <w:rFonts w:ascii="Arial" w:cs="Arial" w:eastAsia="Arial" w:hAnsi="Arial"/>
          <w:sz w:val="15"/>
          <w:szCs w:val="15"/>
          <w:color w:val="auto"/>
        </w:rPr>
        <w:t>The Audit Committee and the Board believe that the continued retention of Ernst &amp; Young as our independent registered public accounting firm is in the best interest of our stockholders.</w:t>
      </w:r>
    </w:p>
    <w:p>
      <w:pPr>
        <w:spacing w:after="0" w:line="46" w:lineRule="exact"/>
        <w:rPr>
          <w:sz w:val="20"/>
          <w:szCs w:val="20"/>
          <w:color w:val="auto"/>
        </w:rPr>
      </w:pPr>
    </w:p>
    <w:p>
      <w:pPr>
        <w:ind w:left="400" w:right="60"/>
        <w:spacing w:after="0" w:line="256" w:lineRule="auto"/>
        <w:rPr>
          <w:sz w:val="20"/>
          <w:szCs w:val="20"/>
          <w:color w:val="auto"/>
        </w:rPr>
      </w:pPr>
      <w:r>
        <w:rPr>
          <w:rFonts w:ascii="Arial" w:cs="Arial" w:eastAsia="Arial" w:hAnsi="Arial"/>
          <w:sz w:val="15"/>
          <w:szCs w:val="15"/>
          <w:color w:val="auto"/>
        </w:rPr>
        <w:t>The Audit Committee regularly meets and holds separate discussions with management, our internal auditors, and Ernst &amp; Young. Prior to their issuance, the Audit Committee reviewed and discussed our quarterly and annual consolidated financial statements (including the presentation of non-GAAP financial information) and disclosures under “Management’s Discussion and Analysis of Financial Condition and Results of Operations” (including significant accounting policies and judgments) with management, our internal auditors and Ernst &amp; Young. During 2021, management, our internal auditors and Ernst &amp; Young also made presentations to the Audit Committee on specific topics of interest, including: our information technology systems and controls; our federal and state income tax positions, including our tax strategy and risks; our critical accounting policies; new accounting guidance and the potential impact of new accounting pronouncements; our strategy and the implementation of new systems; and cyber security.</w:t>
      </w:r>
    </w:p>
    <w:p>
      <w:pPr>
        <w:spacing w:after="0" w:line="71" w:lineRule="exact"/>
        <w:rPr>
          <w:sz w:val="20"/>
          <w:szCs w:val="20"/>
          <w:color w:val="auto"/>
        </w:rPr>
      </w:pPr>
    </w:p>
    <w:p>
      <w:pPr>
        <w:ind w:left="400" w:right="80"/>
        <w:spacing w:after="0" w:line="255" w:lineRule="auto"/>
        <w:rPr>
          <w:sz w:val="20"/>
          <w:szCs w:val="20"/>
          <w:color w:val="auto"/>
        </w:rPr>
      </w:pPr>
      <w:r>
        <w:rPr>
          <w:rFonts w:ascii="Arial" w:cs="Arial" w:eastAsia="Arial" w:hAnsi="Arial"/>
          <w:sz w:val="15"/>
          <w:szCs w:val="15"/>
          <w:color w:val="auto"/>
        </w:rPr>
        <w:t>The Audit Committee has met and held discussions with management and Ernst &amp; Young regarding the fair and complete presentation of our results and the assessment of our internal control over financial reporting. Management has represented to the Audit Committee that our consolidated financial statements were prepared in accordance with accounting principles generally accepted in the United States of America, and the Audit Committee has reviewed and discussed the consolidated financial statements with management and Ernst &amp; Young. The Audit Committee has discussed with Ernst &amp; Young the matters that are required to be discussed by the applicable requirements of the PCAOB. The Audit Committee discussed with Ernst &amp; Young their independence from the Company and our management, including the matters, if any, in the written disclosures delivered pursuant to the applicable requirements of the PCAOB. The Audit Committee has concluded that Ernst &amp; Young’s provision of audit and non-audit services to us and our affiliates is compatible with Ernst &amp; Young’s independence.</w:t>
      </w:r>
    </w:p>
    <w:p>
      <w:pPr>
        <w:sectPr>
          <w:pgSz w:w="11900" w:h="16838" w:orient="portrait"/>
          <w:cols w:equalWidth="0" w:num="1">
            <w:col w:w="10860"/>
          </w:cols>
          <w:pgMar w:left="320" w:top="440" w:right="719" w:bottom="1440" w:gutter="0" w:footer="0" w:header="0"/>
        </w:sectPr>
      </w:pPr>
    </w:p>
    <w:p>
      <w:pPr>
        <w:spacing w:after="0" w:line="110" w:lineRule="exact"/>
        <w:rPr>
          <w:sz w:val="20"/>
          <w:szCs w:val="20"/>
          <w:color w:val="auto"/>
        </w:rPr>
      </w:pPr>
    </w:p>
    <w:p>
      <w:pPr>
        <w:ind w:left="400"/>
        <w:spacing w:after="0"/>
        <w:tabs>
          <w:tab w:leader="none" w:pos="43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Audit Committee Report and Independent Auditor Fees</w:t>
      </w:r>
      <w:r>
        <w:rPr>
          <w:sz w:val="20"/>
          <w:szCs w:val="20"/>
          <w:color w:val="auto"/>
        </w:rPr>
        <w:tab/>
      </w:r>
      <w:r>
        <w:rPr>
          <w:rFonts w:ascii="Arial" w:cs="Arial" w:eastAsia="Arial" w:hAnsi="Arial"/>
          <w:sz w:val="10"/>
          <w:szCs w:val="10"/>
          <w:b w:val="1"/>
          <w:bCs w:val="1"/>
          <w:color w:val="00498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type w:val="continuous"/>
        </w:sectPr>
      </w:pPr>
    </w:p>
    <w:bookmarkStart w:id="26" w:name="page27"/>
    <w:bookmarkEnd w:id="2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right="60"/>
        <w:spacing w:after="0" w:line="259" w:lineRule="auto"/>
        <w:rPr>
          <w:sz w:val="20"/>
          <w:szCs w:val="20"/>
          <w:color w:val="auto"/>
        </w:rPr>
      </w:pPr>
      <w:r>
        <w:rPr>
          <w:rFonts w:ascii="Arial" w:cs="Arial" w:eastAsia="Arial" w:hAnsi="Arial"/>
          <w:sz w:val="15"/>
          <w:szCs w:val="15"/>
          <w:color w:val="auto"/>
        </w:rPr>
        <w:t>The Audit Committee discussed with Ernst &amp; Young the overall scope and plans for their audit, including the estimated audit fees and non-audit fees. The Audit Committee has also discussed with our Senior Vice President, Internal Audit, the overall scope of and plans for our internal audits. The Audit Committee met with Ernst &amp; Young and with our internal auditors, in each case, with and without other members of management present, to discuss the results of their respective examinations, the evaluations of our internal controls and the overall quality and integrity of our financial reporting. Additionally, the Audit Committee has reviewed the performance, responsibilities, budget, and staffing of our internal audit department.</w:t>
      </w:r>
    </w:p>
    <w:p>
      <w:pPr>
        <w:spacing w:after="0" w:line="69" w:lineRule="exact"/>
        <w:rPr>
          <w:sz w:val="20"/>
          <w:szCs w:val="20"/>
          <w:color w:val="auto"/>
        </w:rPr>
      </w:pPr>
    </w:p>
    <w:p>
      <w:pPr>
        <w:jc w:val="both"/>
        <w:ind w:left="400" w:right="80"/>
        <w:spacing w:after="0" w:line="269" w:lineRule="auto"/>
        <w:rPr>
          <w:sz w:val="20"/>
          <w:szCs w:val="20"/>
          <w:color w:val="auto"/>
        </w:rPr>
      </w:pPr>
      <w:r>
        <w:rPr>
          <w:rFonts w:ascii="Arial" w:cs="Arial" w:eastAsia="Arial" w:hAnsi="Arial"/>
          <w:sz w:val="15"/>
          <w:szCs w:val="15"/>
          <w:color w:val="auto"/>
        </w:rPr>
        <w:t>Based on the reviews and discussions referred to above, the Audit Committee recommended to the Board, and the Board has approved, that the audited financial statements be included in the Company’s Annual Report on Form 10-K for the year ended December 31, 2021, for filing with the Securities and Exchange Commission.</w:t>
      </w:r>
    </w:p>
    <w:p>
      <w:pPr>
        <w:spacing w:after="0" w:line="74"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Members of the Audit Committee:</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C.E. Andrews, Chair</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Raymond L. Gellein, Jr.</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Thomas J. Hutchison III</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William W. McCarten</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Stephen R. Quazzo</w:t>
      </w:r>
    </w:p>
    <w:p>
      <w:pPr>
        <w:spacing w:after="0" w:line="28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PRE-APPROVAL OF INDEPENDENT AUDITOR FEES AND SERVICES POLICY</w:t>
      </w:r>
    </w:p>
    <w:p>
      <w:pPr>
        <w:spacing w:after="0" w:line="106" w:lineRule="exact"/>
        <w:rPr>
          <w:sz w:val="20"/>
          <w:szCs w:val="20"/>
          <w:color w:val="auto"/>
        </w:rPr>
      </w:pPr>
    </w:p>
    <w:p>
      <w:pPr>
        <w:ind w:left="400" w:right="60"/>
        <w:spacing w:after="0" w:line="258" w:lineRule="auto"/>
        <w:rPr>
          <w:sz w:val="20"/>
          <w:szCs w:val="20"/>
          <w:color w:val="auto"/>
        </w:rPr>
      </w:pPr>
      <w:r>
        <w:rPr>
          <w:rFonts w:ascii="Arial" w:cs="Arial" w:eastAsia="Arial" w:hAnsi="Arial"/>
          <w:sz w:val="15"/>
          <w:szCs w:val="15"/>
          <w:color w:val="auto"/>
        </w:rPr>
        <w:t>The Audit Committee’s Pre-Approval of Independent Auditor Fees and Services Policy provides for pre-approval of all audit, audit-related, tax and other permissible non-audit services provided by our principal independent auditor on an annual basis and as needed. The Audit Committee has delegated authority to the Audit Committee Chair to pre-approve principal independent auditor services where we deem it necessary or advisable that such services commence prior to the next regularly scheduled meeting (provided that the Audit Committee Chair informs the Audit Committee of any such services and the estimated fees that were pre-approved at the next regularly scheduled meeting). During 2021, all such services were pre-approved by the Audit Committee.</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INDEPENDENT REGISTERED PUBLIC ACCOUNTING FIRM FEE DISCLOSURE</w:t>
      </w:r>
    </w:p>
    <w:p>
      <w:pPr>
        <w:spacing w:after="0" w:line="106" w:lineRule="exact"/>
        <w:rPr>
          <w:sz w:val="20"/>
          <w:szCs w:val="20"/>
          <w:color w:val="auto"/>
        </w:rPr>
      </w:pPr>
    </w:p>
    <w:p>
      <w:pPr>
        <w:ind w:left="400" w:right="100"/>
        <w:spacing w:after="0" w:line="259" w:lineRule="auto"/>
        <w:rPr>
          <w:sz w:val="20"/>
          <w:szCs w:val="20"/>
          <w:color w:val="auto"/>
        </w:rPr>
      </w:pPr>
      <w:r>
        <w:rPr>
          <w:rFonts w:ascii="Arial" w:cs="Arial" w:eastAsia="Arial" w:hAnsi="Arial"/>
          <w:sz w:val="15"/>
          <w:szCs w:val="15"/>
          <w:color w:val="auto"/>
        </w:rPr>
        <w:t>The following table presents aggregate fees billed for professional services rendered by our independent registered public accounting firm, Ernst &amp; Young, for the audit of our annual financial statements for fiscal 2021 and fiscal 2020 and aggregate fees billed in fiscal 2021 and fiscal 2020 for audit-related services, tax services and all other permissible non-audit services rendered by our independent registered public accounting firm. The Audit Committee approved all of the fees presented in the table below. The Audit Committee is also responsible for overseeing the fee negotiations associated with the retention of Ernst &amp; Young for the audit of our financial statements and internal control over financial reporting.</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840" w:type="dxa"/>
            <w:vAlign w:val="bottom"/>
            <w:tcBorders>
              <w:bottom w:val="single" w:sz="8" w:color="004987"/>
            </w:tcBorders>
          </w:tcPr>
          <w:p>
            <w:pPr>
              <w:spacing w:after="0"/>
              <w:rPr>
                <w:sz w:val="14"/>
                <w:szCs w:val="14"/>
                <w:color w:val="auto"/>
              </w:rPr>
            </w:pPr>
          </w:p>
        </w:tc>
        <w:tc>
          <w:tcPr>
            <w:tcW w:w="3760" w:type="dxa"/>
            <w:vAlign w:val="bottom"/>
            <w:tcBorders>
              <w:bottom w:val="single" w:sz="8" w:color="004987"/>
            </w:tcBorders>
          </w:tcPr>
          <w:p>
            <w:pPr>
              <w:spacing w:after="0"/>
              <w:rPr>
                <w:sz w:val="14"/>
                <w:szCs w:val="14"/>
                <w:color w:val="auto"/>
              </w:rPr>
            </w:pPr>
          </w:p>
        </w:tc>
        <w:tc>
          <w:tcPr>
            <w:tcW w:w="840" w:type="dxa"/>
            <w:vAlign w:val="bottom"/>
            <w:tcBorders>
              <w:bottom w:val="single" w:sz="8" w:color="004987"/>
            </w:tcBorders>
          </w:tcPr>
          <w:p>
            <w:pPr>
              <w:jc w:val="right"/>
              <w:ind w:right="285"/>
              <w:spacing w:after="0"/>
              <w:rPr>
                <w:sz w:val="20"/>
                <w:szCs w:val="20"/>
                <w:color w:val="auto"/>
              </w:rPr>
            </w:pPr>
            <w:r>
              <w:rPr>
                <w:rFonts w:ascii="Arial" w:cs="Arial" w:eastAsia="Arial" w:hAnsi="Arial"/>
                <w:sz w:val="14"/>
                <w:szCs w:val="14"/>
                <w:b w:val="1"/>
                <w:bCs w:val="1"/>
                <w:color w:val="004987"/>
              </w:rPr>
              <w:t>2021</w:t>
            </w:r>
          </w:p>
        </w:tc>
        <w:tc>
          <w:tcPr>
            <w:tcW w:w="180" w:type="dxa"/>
            <w:vAlign w:val="bottom"/>
            <w:tcBorders>
              <w:bottom w:val="single" w:sz="8" w:color="004987"/>
            </w:tcBorders>
          </w:tcPr>
          <w:p>
            <w:pPr>
              <w:spacing w:after="0"/>
              <w:rPr>
                <w:sz w:val="14"/>
                <w:szCs w:val="14"/>
                <w:color w:val="auto"/>
              </w:rPr>
            </w:pPr>
          </w:p>
        </w:tc>
        <w:tc>
          <w:tcPr>
            <w:tcW w:w="820" w:type="dxa"/>
            <w:vAlign w:val="bottom"/>
            <w:tcBorders>
              <w:bottom w:val="single" w:sz="8" w:color="004987"/>
            </w:tcBorders>
          </w:tcPr>
          <w:p>
            <w:pPr>
              <w:jc w:val="right"/>
              <w:ind w:right="265"/>
              <w:spacing w:after="0"/>
              <w:rPr>
                <w:sz w:val="20"/>
                <w:szCs w:val="20"/>
                <w:color w:val="auto"/>
              </w:rPr>
            </w:pPr>
            <w:r>
              <w:rPr>
                <w:rFonts w:ascii="Arial" w:cs="Arial" w:eastAsia="Arial" w:hAnsi="Arial"/>
                <w:sz w:val="14"/>
                <w:szCs w:val="14"/>
                <w:b w:val="1"/>
                <w:bCs w:val="1"/>
                <w:color w:val="004987"/>
              </w:rPr>
              <w:t>2020</w:t>
            </w:r>
          </w:p>
        </w:tc>
      </w:tr>
      <w:tr>
        <w:trPr>
          <w:trHeight w:val="179"/>
        </w:trPr>
        <w:tc>
          <w:tcPr>
            <w:tcW w:w="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Audit fees</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8,634,631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8,260,894</w:t>
            </w:r>
          </w:p>
        </w:tc>
      </w:tr>
      <w:tr>
        <w:trPr>
          <w:trHeight w:val="172"/>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Audit-related fees</w:t>
            </w:r>
          </w:p>
        </w:tc>
        <w:tc>
          <w:tcPr>
            <w:tcW w:w="3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398,600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298,500</w:t>
            </w:r>
          </w:p>
        </w:tc>
      </w:tr>
      <w:tr>
        <w:trPr>
          <w:trHeight w:val="172"/>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Tax fees</w:t>
            </w:r>
          </w:p>
        </w:tc>
        <w:tc>
          <w:tcPr>
            <w:tcW w:w="3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1,089,990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1,449,091</w:t>
            </w:r>
          </w:p>
        </w:tc>
      </w:tr>
      <w:tr>
        <w:trPr>
          <w:trHeight w:val="172"/>
        </w:trPr>
        <w:tc>
          <w:tcPr>
            <w:tcW w:w="4860" w:type="dxa"/>
            <w:vAlign w:val="bottom"/>
            <w:gridSpan w:val="2"/>
          </w:tcPr>
          <w:p>
            <w:pPr>
              <w:spacing w:after="0"/>
              <w:rPr>
                <w:sz w:val="20"/>
                <w:szCs w:val="20"/>
                <w:color w:val="auto"/>
              </w:rPr>
            </w:pPr>
            <w:r>
              <w:rPr>
                <w:rFonts w:ascii="Arial" w:cs="Arial" w:eastAsia="Arial" w:hAnsi="Arial"/>
                <w:sz w:val="15"/>
                <w:szCs w:val="15"/>
                <w:color w:val="auto"/>
              </w:rPr>
              <w:t>All other fees</w:t>
            </w:r>
          </w:p>
        </w:tc>
        <w:tc>
          <w:tcPr>
            <w:tcW w:w="37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1,320</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3,000</w:t>
            </w:r>
          </w:p>
        </w:tc>
      </w:tr>
      <w:tr>
        <w:trPr>
          <w:trHeight w:val="172"/>
        </w:trPr>
        <w:tc>
          <w:tcPr>
            <w:tcW w:w="20" w:type="dxa"/>
            <w:vAlign w:val="bottom"/>
          </w:tcPr>
          <w:p>
            <w:pPr>
              <w:spacing w:after="0"/>
              <w:rPr>
                <w:sz w:val="14"/>
                <w:szCs w:val="14"/>
                <w:color w:val="auto"/>
              </w:rPr>
            </w:pPr>
          </w:p>
        </w:tc>
        <w:tc>
          <w:tcPr>
            <w:tcW w:w="4840" w:type="dxa"/>
            <w:vAlign w:val="bottom"/>
            <w:tcBorders>
              <w:top w:val="single" w:sz="8" w:color="auto"/>
              <w:bottom w:val="single" w:sz="8" w:color="004987"/>
            </w:tcBorders>
          </w:tcPr>
          <w:p>
            <w:pPr>
              <w:ind w:left="120"/>
              <w:spacing w:after="0"/>
              <w:rPr>
                <w:sz w:val="20"/>
                <w:szCs w:val="20"/>
                <w:color w:val="auto"/>
              </w:rPr>
            </w:pPr>
            <w:r>
              <w:rPr>
                <w:rFonts w:ascii="Arial" w:cs="Arial" w:eastAsia="Arial" w:hAnsi="Arial"/>
                <w:sz w:val="15"/>
                <w:szCs w:val="15"/>
                <w:b w:val="1"/>
                <w:bCs w:val="1"/>
                <w:color w:val="auto"/>
              </w:rPr>
              <w:t>Total</w:t>
            </w:r>
          </w:p>
        </w:tc>
        <w:tc>
          <w:tcPr>
            <w:tcW w:w="3760" w:type="dxa"/>
            <w:vAlign w:val="bottom"/>
            <w:tcBorders>
              <w:top w:val="single" w:sz="8" w:color="auto"/>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10,124,541</w:t>
            </w:r>
          </w:p>
        </w:tc>
        <w:tc>
          <w:tcPr>
            <w:tcW w:w="180" w:type="dxa"/>
            <w:vAlign w:val="bottom"/>
            <w:tcBorders>
              <w:top w:val="single" w:sz="8" w:color="auto"/>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004987"/>
            </w:tcBorders>
          </w:tcPr>
          <w:p>
            <w:pPr>
              <w:jc w:val="right"/>
              <w:spacing w:after="0"/>
              <w:rPr>
                <w:sz w:val="20"/>
                <w:szCs w:val="20"/>
                <w:color w:val="auto"/>
              </w:rPr>
            </w:pPr>
            <w:r>
              <w:rPr>
                <w:rFonts w:ascii="Arial" w:cs="Arial" w:eastAsia="Arial" w:hAnsi="Arial"/>
                <w:sz w:val="15"/>
                <w:szCs w:val="15"/>
                <w:b w:val="1"/>
                <w:bCs w:val="1"/>
                <w:color w:val="auto"/>
                <w:w w:val="98"/>
              </w:rPr>
              <w:t>10,011,485</w:t>
            </w: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purposes of the preceding table, the professional fees are classified as follows:</w:t>
      </w:r>
    </w:p>
    <w:p>
      <w:pPr>
        <w:spacing w:after="0" w:line="122" w:lineRule="exact"/>
        <w:rPr>
          <w:sz w:val="20"/>
          <w:szCs w:val="20"/>
          <w:color w:val="auto"/>
        </w:rPr>
      </w:pPr>
    </w:p>
    <w:p>
      <w:pPr>
        <w:ind w:left="600" w:right="160" w:hanging="206"/>
        <w:spacing w:after="0" w:line="257" w:lineRule="auto"/>
        <w:tabs>
          <w:tab w:leader="none" w:pos="600" w:val="left"/>
        </w:tabs>
        <w:numPr>
          <w:ilvl w:val="0"/>
          <w:numId w:val="38"/>
        </w:numPr>
        <w:rPr>
          <w:rFonts w:ascii="Arial" w:cs="Arial" w:eastAsia="Arial" w:hAnsi="Arial"/>
          <w:sz w:val="15"/>
          <w:szCs w:val="15"/>
          <w:color w:val="004987"/>
        </w:rPr>
      </w:pPr>
      <w:r>
        <w:rPr>
          <w:rFonts w:ascii="Arial" w:cs="Arial" w:eastAsia="Arial" w:hAnsi="Arial"/>
          <w:sz w:val="15"/>
          <w:szCs w:val="15"/>
          <w:color w:val="auto"/>
        </w:rPr>
        <w:t>Audit fees – These are fees for professional services performed for the audit of our annual financial statements and the required review of quarterly financial statements and other procedures performed by the independent auditors in order for them to be able to form an opinion on our consolidated financial statements. These fees also cover services that are normally provided by independent auditors in connection with statutory and regulatory filings or engagements and other services that generally only the independent auditor reasonably can provide, such as services associated with filing registration statements, periodic reports and other filings with the SEC, and audits of acquired properties or businesses or statutory audits for our subsidiaries or its affiliates.</w:t>
      </w:r>
    </w:p>
    <w:p>
      <w:pPr>
        <w:spacing w:after="0" w:line="84" w:lineRule="exact"/>
        <w:rPr>
          <w:rFonts w:ascii="Arial" w:cs="Arial" w:eastAsia="Arial" w:hAnsi="Arial"/>
          <w:sz w:val="15"/>
          <w:szCs w:val="15"/>
          <w:color w:val="004987"/>
        </w:rPr>
      </w:pPr>
    </w:p>
    <w:p>
      <w:pPr>
        <w:ind w:left="600" w:right="80" w:hanging="206"/>
        <w:spacing w:after="0" w:line="269" w:lineRule="auto"/>
        <w:tabs>
          <w:tab w:leader="none" w:pos="600" w:val="left"/>
        </w:tabs>
        <w:numPr>
          <w:ilvl w:val="0"/>
          <w:numId w:val="38"/>
        </w:numPr>
        <w:rPr>
          <w:rFonts w:ascii="Arial" w:cs="Arial" w:eastAsia="Arial" w:hAnsi="Arial"/>
          <w:sz w:val="15"/>
          <w:szCs w:val="15"/>
          <w:color w:val="004987"/>
        </w:rPr>
      </w:pPr>
      <w:r>
        <w:rPr>
          <w:rFonts w:ascii="Arial" w:cs="Arial" w:eastAsia="Arial" w:hAnsi="Arial"/>
          <w:sz w:val="15"/>
          <w:szCs w:val="15"/>
          <w:color w:val="auto"/>
        </w:rPr>
        <w:t>Audit-related fees – These are fees for assurance and related services that traditionally are performed by independent auditors, such as due diligence related to acquisitions and dispositions, attestation services that are not required by statute or regulation, and the audit of the effectiveness of the Company’s internal control over financial reporting pursuant to Section 404 of the Sarbanes-Oxley Act of 2002.</w:t>
      </w:r>
    </w:p>
    <w:p>
      <w:pPr>
        <w:spacing w:after="0" w:line="73" w:lineRule="exact"/>
        <w:rPr>
          <w:rFonts w:ascii="Arial" w:cs="Arial" w:eastAsia="Arial" w:hAnsi="Arial"/>
          <w:sz w:val="15"/>
          <w:szCs w:val="15"/>
          <w:color w:val="004987"/>
        </w:rPr>
      </w:pPr>
    </w:p>
    <w:p>
      <w:pPr>
        <w:ind w:left="600" w:right="100" w:hanging="206"/>
        <w:spacing w:after="0" w:line="263" w:lineRule="auto"/>
        <w:tabs>
          <w:tab w:leader="none" w:pos="600" w:val="left"/>
        </w:tabs>
        <w:numPr>
          <w:ilvl w:val="0"/>
          <w:numId w:val="38"/>
        </w:numPr>
        <w:rPr>
          <w:rFonts w:ascii="Arial" w:cs="Arial" w:eastAsia="Arial" w:hAnsi="Arial"/>
          <w:sz w:val="15"/>
          <w:szCs w:val="15"/>
          <w:color w:val="004987"/>
        </w:rPr>
      </w:pPr>
      <w:r>
        <w:rPr>
          <w:rFonts w:ascii="Arial" w:cs="Arial" w:eastAsia="Arial" w:hAnsi="Arial"/>
          <w:sz w:val="15"/>
          <w:szCs w:val="15"/>
          <w:color w:val="auto"/>
        </w:rPr>
        <w:t>Tax fees – These are fees for all professional services performed by professional staff in Ernst &amp; Young’s tax division, except those services related to the audit of our financial statements. These include fees for tax compliance, tax planning, and tax advice, including federal, state, and local issues. Services may also include assistance with tax audits and appeals before the IRS and similar state and local agencies, as well as federal, state, and local tax issues related to due diligence.</w:t>
      </w:r>
    </w:p>
    <w:p>
      <w:pPr>
        <w:spacing w:after="0" w:line="77" w:lineRule="exact"/>
        <w:rPr>
          <w:rFonts w:ascii="Arial" w:cs="Arial" w:eastAsia="Arial" w:hAnsi="Arial"/>
          <w:sz w:val="15"/>
          <w:szCs w:val="15"/>
          <w:color w:val="004987"/>
        </w:rPr>
      </w:pPr>
    </w:p>
    <w:p>
      <w:pPr>
        <w:ind w:left="600" w:right="200" w:hanging="206"/>
        <w:spacing w:after="0" w:line="289" w:lineRule="auto"/>
        <w:tabs>
          <w:tab w:leader="none" w:pos="600" w:val="left"/>
        </w:tabs>
        <w:numPr>
          <w:ilvl w:val="0"/>
          <w:numId w:val="38"/>
        </w:numPr>
        <w:rPr>
          <w:rFonts w:ascii="Arial" w:cs="Arial" w:eastAsia="Arial" w:hAnsi="Arial"/>
          <w:sz w:val="15"/>
          <w:szCs w:val="15"/>
          <w:color w:val="004987"/>
        </w:rPr>
      </w:pPr>
      <w:r>
        <w:rPr>
          <w:rFonts w:ascii="Arial" w:cs="Arial" w:eastAsia="Arial" w:hAnsi="Arial"/>
          <w:sz w:val="15"/>
          <w:szCs w:val="15"/>
          <w:color w:val="auto"/>
        </w:rPr>
        <w:t>All other fees – These are fees for other permissible work performed that do not meet the above-described categories, including a subscription to an accounting research website.</w:t>
      </w:r>
    </w:p>
    <w:p>
      <w:pPr>
        <w:spacing w:after="0" w:line="84" w:lineRule="exact"/>
        <w:rPr>
          <w:sz w:val="20"/>
          <w:szCs w:val="20"/>
          <w:color w:val="auto"/>
        </w:rPr>
      </w:pPr>
    </w:p>
    <w:p>
      <w:pPr>
        <w:ind w:left="400"/>
        <w:spacing w:after="0"/>
        <w:tabs>
          <w:tab w:leader="none" w:pos="4360" w:val="left"/>
          <w:tab w:leader="none" w:pos="7720" w:val="left"/>
        </w:tabs>
        <w:rPr>
          <w:sz w:val="20"/>
          <w:szCs w:val="20"/>
          <w:color w:val="auto"/>
        </w:rPr>
      </w:pPr>
      <w:r>
        <w:rPr>
          <w:rFonts w:ascii="Arial" w:cs="Arial" w:eastAsia="Arial" w:hAnsi="Arial"/>
          <w:sz w:val="10"/>
          <w:szCs w:val="10"/>
          <w:b w:val="1"/>
          <w:bCs w:val="1"/>
          <w:color w:val="004987"/>
        </w:rPr>
        <w:t>22</w:t>
      </w:r>
      <w:r>
        <w:rPr>
          <w:sz w:val="20"/>
          <w:szCs w:val="20"/>
          <w:color w:val="auto"/>
        </w:rPr>
        <w:tab/>
      </w:r>
      <w:r>
        <w:rPr>
          <w:rFonts w:ascii="Arial" w:cs="Arial" w:eastAsia="Arial" w:hAnsi="Arial"/>
          <w:sz w:val="10"/>
          <w:szCs w:val="10"/>
          <w:color w:val="auto"/>
        </w:rPr>
        <w:t>Audit Committee Report and Independent Auditor Fees</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7" w:name="page28"/>
    <w:bookmarkEnd w:id="2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9" w:lineRule="exact"/>
        <w:rPr>
          <w:sz w:val="20"/>
          <w:szCs w:val="20"/>
          <w:color w:val="auto"/>
        </w:rPr>
      </w:pPr>
    </w:p>
    <w:p>
      <w:pPr>
        <w:ind w:left="860" w:right="3060"/>
        <w:spacing w:after="0" w:line="274" w:lineRule="auto"/>
        <w:rPr>
          <w:sz w:val="20"/>
          <w:szCs w:val="20"/>
          <w:color w:val="auto"/>
        </w:rPr>
      </w:pPr>
      <w:r>
        <w:rPr>
          <w:rFonts w:ascii="Arial" w:cs="Arial" w:eastAsia="Arial" w:hAnsi="Arial"/>
          <w:sz w:val="51"/>
          <w:szCs w:val="5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-816610</wp:posOffset>
            </wp:positionV>
            <wp:extent cx="81280" cy="789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280" cy="789940"/>
                    </a:xfrm>
                    <a:prstGeom prst="rect">
                      <a:avLst/>
                    </a:prstGeom>
                    <a:noFill/>
                  </pic:spPr>
                </pic:pic>
              </a:graphicData>
            </a:graphic>
          </wp:anchor>
        </w:drawing>
      </w:r>
    </w:p>
    <w:p>
      <w:pPr>
        <w:spacing w:after="0" w:line="32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COMPENSATION DISCUSSION AND ANALYSIS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NEOs for whom compensation information is presented in the Summary Compensation Table below are:</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5"/>
          <w:szCs w:val="15"/>
          <w:color w:val="004987"/>
        </w:rPr>
        <w:t>Stephen P. Weisz,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-100965</wp:posOffset>
            </wp:positionV>
            <wp:extent cx="6642735" cy="10096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42735" cy="1009650"/>
                    </a:xfrm>
                    <a:prstGeom prst="rect">
                      <a:avLst/>
                    </a:prstGeom>
                    <a:noFill/>
                  </pic:spPr>
                </pic:pic>
              </a:graphicData>
            </a:graphic>
          </wp:anchor>
        </w:drawing>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004987"/>
        </w:rPr>
        <w:t>John E. Geller, Jr.</w:t>
      </w:r>
      <w:r>
        <w:rPr>
          <w:rFonts w:ascii="Arial" w:cs="Arial" w:eastAsia="Arial" w:hAnsi="Arial"/>
          <w:sz w:val="15"/>
          <w:szCs w:val="15"/>
          <w:color w:val="000000"/>
        </w:rPr>
        <w:t>, President*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004987"/>
        </w:rPr>
        <w:t>Anthony E. Terry</w:t>
      </w:r>
      <w:r>
        <w:rPr>
          <w:rFonts w:ascii="Arial" w:cs="Arial" w:eastAsia="Arial" w:hAnsi="Arial"/>
          <w:sz w:val="15"/>
          <w:szCs w:val="15"/>
          <w:color w:val="000000"/>
        </w:rPr>
        <w:t>, Executive Vice President and Chief Financial Officer</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004987"/>
        </w:rPr>
        <w:t>R. Lee Cunningham</w:t>
      </w:r>
      <w:r>
        <w:rPr>
          <w:rFonts w:ascii="Arial" w:cs="Arial" w:eastAsia="Arial" w:hAnsi="Arial"/>
          <w:sz w:val="15"/>
          <w:szCs w:val="15"/>
          <w:color w:val="000000"/>
        </w:rPr>
        <w:t>, Executive Vice President and Chief Operating Officer—Vacation Ownership**</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004987"/>
        </w:rPr>
        <w:t>Brian E. Miller</w:t>
      </w:r>
      <w:r>
        <w:rPr>
          <w:rFonts w:ascii="Arial" w:cs="Arial" w:eastAsia="Arial" w:hAnsi="Arial"/>
          <w:sz w:val="15"/>
          <w:szCs w:val="15"/>
          <w:color w:val="000000"/>
        </w:rPr>
        <w:t>, President, Vacation Ownership</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004987"/>
        </w:rPr>
        <w:t>Jeanette E. Marbert</w:t>
      </w:r>
      <w:r>
        <w:rPr>
          <w:rFonts w:ascii="Arial" w:cs="Arial" w:eastAsia="Arial" w:hAnsi="Arial"/>
          <w:sz w:val="15"/>
          <w:szCs w:val="15"/>
          <w:color w:val="000000"/>
        </w:rPr>
        <w:t>, President, Exchange and Third-Party Management</w:t>
      </w:r>
    </w:p>
    <w:p>
      <w:pPr>
        <w:spacing w:after="0" w:line="257" w:lineRule="exact"/>
        <w:rPr>
          <w:sz w:val="20"/>
          <w:szCs w:val="20"/>
          <w:color w:val="auto"/>
        </w:rPr>
      </w:pPr>
    </w:p>
    <w:p>
      <w:pPr>
        <w:ind w:left="700" w:right="380" w:hanging="306"/>
        <w:spacing w:after="0" w:line="257" w:lineRule="auto"/>
        <w:tabs>
          <w:tab w:leader="none" w:pos="7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Until October 16, 2021, with the appointment of Mr. Terry as the Executive Vice President and Chief Financial Officer, Mr. Geller served as the President and Chief Financial Officer.</w:t>
      </w:r>
    </w:p>
    <w:p>
      <w:pPr>
        <w:spacing w:after="0" w:line="40" w:lineRule="exact"/>
        <w:rPr>
          <w:sz w:val="20"/>
          <w:szCs w:val="20"/>
          <w:color w:val="auto"/>
        </w:rPr>
      </w:pPr>
    </w:p>
    <w:p>
      <w:pPr>
        <w:ind w:left="700" w:right="260" w:hanging="306"/>
        <w:spacing w:after="0" w:line="257" w:lineRule="auto"/>
        <w:tabs>
          <w:tab w:leader="none" w:pos="7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reported in a Current Report on Form 8-K filed on January 12, 2022, Mr. Cunningham announced his decision to retire as our Executive Vice President and Chief Operating Officer – Vacation Ownership in April 2022; Mr. Cunningham subsequently announced that he would instead retire in May 2022.</w:t>
      </w:r>
    </w:p>
    <w:p>
      <w:pPr>
        <w:spacing w:after="0" w:line="61" w:lineRule="exact"/>
        <w:rPr>
          <w:sz w:val="20"/>
          <w:szCs w:val="20"/>
          <w:color w:val="auto"/>
        </w:rPr>
      </w:pPr>
    </w:p>
    <w:p>
      <w:pPr>
        <w:ind w:left="400" w:right="660"/>
        <w:spacing w:after="0" w:line="289" w:lineRule="auto"/>
        <w:rPr>
          <w:sz w:val="20"/>
          <w:szCs w:val="20"/>
          <w:color w:val="auto"/>
        </w:rPr>
      </w:pPr>
      <w:r>
        <w:rPr>
          <w:rFonts w:ascii="Arial" w:cs="Arial" w:eastAsia="Arial" w:hAnsi="Arial"/>
          <w:sz w:val="15"/>
          <w:szCs w:val="15"/>
          <w:color w:val="auto"/>
        </w:rPr>
        <w:t>Our executive compensation programs are designed to reward financial results and effective strategic leadership to build sustainable value for stockholders by correlating the timing and amount of actual pay with performance goals over various time horizons without excessive risk-taking.</w:t>
      </w:r>
    </w:p>
    <w:p>
      <w:pPr>
        <w:spacing w:after="0" w:line="46" w:lineRule="exact"/>
        <w:rPr>
          <w:sz w:val="20"/>
          <w:szCs w:val="20"/>
          <w:color w:val="auto"/>
        </w:rPr>
      </w:pPr>
    </w:p>
    <w:p>
      <w:pPr>
        <w:ind w:left="400" w:right="20"/>
        <w:spacing w:after="0" w:line="259" w:lineRule="auto"/>
        <w:rPr>
          <w:sz w:val="20"/>
          <w:szCs w:val="20"/>
          <w:color w:val="auto"/>
        </w:rPr>
      </w:pPr>
      <w:r>
        <w:rPr>
          <w:rFonts w:ascii="Arial" w:cs="Arial" w:eastAsia="Arial" w:hAnsi="Arial"/>
          <w:sz w:val="15"/>
          <w:szCs w:val="15"/>
          <w:color w:val="auto"/>
        </w:rPr>
        <w:t>Our seasoned management team is led by Stephen P. Weisz, our CEO, who has nearly 50 years of combined experience at Marriott Vacations Worldwide and Marriott International. Our 11 executive officers have an average of over 25 years of total combined experience at Marriott Vacations Worldwide, our subsidiaries and Marriott International. We believe our management team’s extensive public company and vacation ownership industry experience has enabled us to achieve solid performance and will enable us to continue to respond quickly and effectively to changing market conditions and consumer trends.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executive compensation program includes the following key elements:</w:t>
      </w:r>
    </w:p>
    <w:p>
      <w:pPr>
        <w:spacing w:after="0" w:line="122" w:lineRule="exact"/>
        <w:rPr>
          <w:sz w:val="20"/>
          <w:szCs w:val="20"/>
          <w:color w:val="auto"/>
        </w:rPr>
      </w:pPr>
    </w:p>
    <w:p>
      <w:pPr>
        <w:ind w:left="600" w:hanging="206"/>
        <w:spacing w:after="0"/>
        <w:tabs>
          <w:tab w:leader="none" w:pos="600" w:val="left"/>
        </w:tabs>
        <w:numPr>
          <w:ilvl w:val="0"/>
          <w:numId w:val="41"/>
        </w:numPr>
        <w:rPr>
          <w:rFonts w:ascii="Arial" w:cs="Arial" w:eastAsia="Arial" w:hAnsi="Arial"/>
          <w:sz w:val="15"/>
          <w:szCs w:val="15"/>
          <w:color w:val="004987"/>
        </w:rPr>
      </w:pPr>
      <w:r>
        <w:rPr>
          <w:rFonts w:ascii="Arial" w:cs="Arial" w:eastAsia="Arial" w:hAnsi="Arial"/>
          <w:sz w:val="15"/>
          <w:szCs w:val="15"/>
          <w:color w:val="auto"/>
        </w:rPr>
        <w:t>base salary, which provides our named executive officers a fixed level of compensation;</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41"/>
        </w:numPr>
        <w:rPr>
          <w:rFonts w:ascii="Arial" w:cs="Arial" w:eastAsia="Arial" w:hAnsi="Arial"/>
          <w:sz w:val="15"/>
          <w:szCs w:val="15"/>
          <w:color w:val="004987"/>
        </w:rPr>
      </w:pPr>
      <w:r>
        <w:rPr>
          <w:rFonts w:ascii="Arial" w:cs="Arial" w:eastAsia="Arial" w:hAnsi="Arial"/>
          <w:sz w:val="15"/>
          <w:szCs w:val="15"/>
          <w:color w:val="auto"/>
        </w:rPr>
        <w:t>annual bonus, which encourages the achievement of current year objectives; and</w:t>
      </w:r>
    </w:p>
    <w:p>
      <w:pPr>
        <w:spacing w:after="0" w:line="122" w:lineRule="exact"/>
        <w:rPr>
          <w:rFonts w:ascii="Arial" w:cs="Arial" w:eastAsia="Arial" w:hAnsi="Arial"/>
          <w:sz w:val="15"/>
          <w:szCs w:val="15"/>
          <w:color w:val="004987"/>
        </w:rPr>
      </w:pPr>
    </w:p>
    <w:p>
      <w:pPr>
        <w:ind w:left="600" w:right="440" w:hanging="206"/>
        <w:spacing w:after="0" w:line="289" w:lineRule="auto"/>
        <w:tabs>
          <w:tab w:leader="none" w:pos="600" w:val="left"/>
        </w:tabs>
        <w:numPr>
          <w:ilvl w:val="0"/>
          <w:numId w:val="41"/>
        </w:numPr>
        <w:rPr>
          <w:rFonts w:ascii="Arial" w:cs="Arial" w:eastAsia="Arial" w:hAnsi="Arial"/>
          <w:sz w:val="15"/>
          <w:szCs w:val="15"/>
          <w:color w:val="004987"/>
        </w:rPr>
      </w:pPr>
      <w:r>
        <w:rPr>
          <w:rFonts w:ascii="Arial" w:cs="Arial" w:eastAsia="Arial" w:hAnsi="Arial"/>
          <w:sz w:val="15"/>
          <w:szCs w:val="15"/>
          <w:color w:val="auto"/>
        </w:rPr>
        <w:t>stock based awards, which align the long-term interests of our named executive officers with the interests of our stockholders and encourage the achievement of longer-term objectives.</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February 2021 Compensation Actions</w:t>
      </w:r>
    </w:p>
    <w:p>
      <w:pPr>
        <w:spacing w:after="0" w:line="98" w:lineRule="exact"/>
        <w:rPr>
          <w:sz w:val="20"/>
          <w:szCs w:val="20"/>
          <w:color w:val="auto"/>
        </w:rPr>
      </w:pPr>
    </w:p>
    <w:p>
      <w:pPr>
        <w:ind w:left="400" w:right="400"/>
        <w:spacing w:after="0" w:line="289" w:lineRule="auto"/>
        <w:rPr>
          <w:sz w:val="20"/>
          <w:szCs w:val="20"/>
          <w:color w:val="auto"/>
        </w:rPr>
      </w:pPr>
      <w:r>
        <w:rPr>
          <w:rFonts w:ascii="Arial" w:cs="Arial" w:eastAsia="Arial" w:hAnsi="Arial"/>
          <w:sz w:val="15"/>
          <w:szCs w:val="15"/>
          <w:color w:val="auto"/>
        </w:rPr>
        <w:t>The Compensation Policy Committee made the following key compensation decisions for 2021, which are discussed in greater detail in the following pages:</w:t>
      </w:r>
    </w:p>
    <w:p>
      <w:pPr>
        <w:spacing w:after="0" w:line="177"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1600" w:type="dxa"/>
            <w:vAlign w:val="bottom"/>
            <w:tcBorders>
              <w:bottom w:val="single" w:sz="8" w:color="004987"/>
            </w:tcBorders>
            <w:gridSpan w:val="2"/>
          </w:tcPr>
          <w:p>
            <w:pPr>
              <w:spacing w:after="0"/>
              <w:rPr>
                <w:sz w:val="20"/>
                <w:szCs w:val="20"/>
                <w:color w:val="auto"/>
              </w:rPr>
            </w:pPr>
            <w:r>
              <w:rPr>
                <w:rFonts w:ascii="Arial" w:cs="Arial" w:eastAsia="Arial" w:hAnsi="Arial"/>
                <w:sz w:val="14"/>
                <w:szCs w:val="14"/>
                <w:b w:val="1"/>
                <w:bCs w:val="1"/>
                <w:color w:val="004987"/>
              </w:rPr>
              <w:t>Compensation Element</w:t>
            </w:r>
          </w:p>
        </w:tc>
        <w:tc>
          <w:tcPr>
            <w:tcW w:w="8860" w:type="dxa"/>
            <w:vAlign w:val="bottom"/>
            <w:tcBorders>
              <w:bottom w:val="single" w:sz="8" w:color="004987"/>
            </w:tcBorders>
          </w:tcPr>
          <w:p>
            <w:pPr>
              <w:ind w:left="80"/>
              <w:spacing w:after="0"/>
              <w:rPr>
                <w:sz w:val="20"/>
                <w:szCs w:val="20"/>
                <w:color w:val="auto"/>
              </w:rPr>
            </w:pPr>
            <w:r>
              <w:rPr>
                <w:rFonts w:ascii="Arial" w:cs="Arial" w:eastAsia="Arial" w:hAnsi="Arial"/>
                <w:sz w:val="14"/>
                <w:szCs w:val="14"/>
                <w:b w:val="1"/>
                <w:bCs w:val="1"/>
                <w:color w:val="004987"/>
              </w:rPr>
              <w:t>Compensation Decisions</w:t>
            </w:r>
          </w:p>
        </w:tc>
      </w:tr>
      <w:tr>
        <w:trPr>
          <w:trHeight w:val="167"/>
        </w:trPr>
        <w:tc>
          <w:tcPr>
            <w:tcW w:w="1600" w:type="dxa"/>
            <w:vAlign w:val="bottom"/>
            <w:gridSpan w:val="2"/>
          </w:tcPr>
          <w:p>
            <w:pPr>
              <w:spacing w:after="0" w:line="167" w:lineRule="exact"/>
              <w:rPr>
                <w:sz w:val="20"/>
                <w:szCs w:val="20"/>
                <w:color w:val="auto"/>
              </w:rPr>
            </w:pPr>
            <w:r>
              <w:rPr>
                <w:rFonts w:ascii="Arial" w:cs="Arial" w:eastAsia="Arial" w:hAnsi="Arial"/>
                <w:sz w:val="15"/>
                <w:szCs w:val="15"/>
                <w:b w:val="1"/>
                <w:bCs w:val="1"/>
                <w:color w:val="auto"/>
              </w:rPr>
              <w:t>Base Salary</w:t>
            </w:r>
          </w:p>
        </w:tc>
        <w:tc>
          <w:tcPr>
            <w:tcW w:w="8860" w:type="dxa"/>
            <w:vAlign w:val="bottom"/>
          </w:tcPr>
          <w:p>
            <w:pPr>
              <w:ind w:left="80"/>
              <w:spacing w:after="0" w:line="167" w:lineRule="exact"/>
              <w:rPr>
                <w:sz w:val="20"/>
                <w:szCs w:val="20"/>
                <w:color w:val="auto"/>
              </w:rPr>
            </w:pPr>
            <w:r>
              <w:rPr>
                <w:rFonts w:ascii="Arial" w:cs="Arial" w:eastAsia="Arial" w:hAnsi="Arial"/>
                <w:sz w:val="15"/>
                <w:szCs w:val="15"/>
                <w:color w:val="auto"/>
              </w:rPr>
              <w:t>Each of our named executive officers received a base salary increase of between 1.5% and 7% effective as of December 26,</w:t>
            </w:r>
          </w:p>
        </w:tc>
      </w:tr>
      <w:tr>
        <w:trPr>
          <w:trHeight w:val="192"/>
        </w:trPr>
        <w:tc>
          <w:tcPr>
            <w:tcW w:w="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2020 based on individual contributions to overall corporate results, company budget and salary level relative to market.</w:t>
            </w:r>
          </w:p>
        </w:tc>
      </w:tr>
      <w:tr>
        <w:trPr>
          <w:trHeight w:val="160"/>
        </w:trPr>
        <w:tc>
          <w:tcPr>
            <w:tcW w:w="20" w:type="dxa"/>
            <w:vAlign w:val="bottom"/>
          </w:tcPr>
          <w:p>
            <w:pPr>
              <w:spacing w:after="0"/>
              <w:rPr>
                <w:sz w:val="13"/>
                <w:szCs w:val="13"/>
                <w:color w:val="auto"/>
              </w:rPr>
            </w:pPr>
          </w:p>
        </w:tc>
        <w:tc>
          <w:tcPr>
            <w:tcW w:w="1580" w:type="dxa"/>
            <w:vAlign w:val="bottom"/>
          </w:tcPr>
          <w:p>
            <w:pPr>
              <w:spacing w:after="0" w:line="160" w:lineRule="exact"/>
              <w:rPr>
                <w:sz w:val="20"/>
                <w:szCs w:val="20"/>
                <w:color w:val="auto"/>
              </w:rPr>
            </w:pPr>
            <w:r>
              <w:rPr>
                <w:rFonts w:ascii="Arial" w:cs="Arial" w:eastAsia="Arial" w:hAnsi="Arial"/>
                <w:sz w:val="15"/>
                <w:szCs w:val="15"/>
                <w:b w:val="1"/>
                <w:bCs w:val="1"/>
                <w:color w:val="auto"/>
              </w:rPr>
              <w:t>Annual Bonus</w:t>
            </w:r>
          </w:p>
        </w:tc>
        <w:tc>
          <w:tcPr>
            <w:tcW w:w="8860" w:type="dxa"/>
            <w:vAlign w:val="bottom"/>
          </w:tcPr>
          <w:p>
            <w:pPr>
              <w:ind w:left="80"/>
              <w:spacing w:after="0" w:line="160" w:lineRule="exact"/>
              <w:rPr>
                <w:sz w:val="20"/>
                <w:szCs w:val="20"/>
                <w:color w:val="auto"/>
              </w:rPr>
            </w:pPr>
            <w:r>
              <w:rPr>
                <w:rFonts w:ascii="Arial" w:cs="Arial" w:eastAsia="Arial" w:hAnsi="Arial"/>
                <w:sz w:val="15"/>
                <w:szCs w:val="15"/>
                <w:color w:val="auto"/>
              </w:rPr>
              <w:t>Due to the unpredictable impact of the COVID-19 pandemic on our business, in 2021, our Board elected to use two 6-month</w:t>
            </w:r>
          </w:p>
        </w:tc>
      </w:tr>
      <w:tr>
        <w:trPr>
          <w:trHeight w:val="179"/>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860" w:type="dxa"/>
            <w:vAlign w:val="bottom"/>
          </w:tcPr>
          <w:p>
            <w:pPr>
              <w:ind w:left="80"/>
              <w:spacing w:after="0"/>
              <w:rPr>
                <w:sz w:val="20"/>
                <w:szCs w:val="20"/>
                <w:color w:val="auto"/>
              </w:rPr>
            </w:pPr>
            <w:r>
              <w:rPr>
                <w:rFonts w:ascii="Arial" w:cs="Arial" w:eastAsia="Arial" w:hAnsi="Arial"/>
                <w:sz w:val="15"/>
                <w:szCs w:val="15"/>
                <w:color w:val="auto"/>
              </w:rPr>
              <w:t>measurement periods to determine any cash bonus payable for performance during 2021. For the period January 1—June 30,</w:t>
            </w:r>
          </w:p>
        </w:tc>
      </w:tr>
      <w:tr>
        <w:trPr>
          <w:trHeight w:val="179"/>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860" w:type="dxa"/>
            <w:vAlign w:val="bottom"/>
          </w:tcPr>
          <w:p>
            <w:pPr>
              <w:ind w:left="80"/>
              <w:spacing w:after="0"/>
              <w:rPr>
                <w:sz w:val="20"/>
                <w:szCs w:val="20"/>
                <w:color w:val="auto"/>
              </w:rPr>
            </w:pPr>
            <w:r>
              <w:rPr>
                <w:rFonts w:ascii="Arial" w:cs="Arial" w:eastAsia="Arial" w:hAnsi="Arial"/>
                <w:sz w:val="15"/>
                <w:szCs w:val="15"/>
                <w:color w:val="auto"/>
              </w:rPr>
              <w:t>2021, the bonus was solely based upon achieving Adjusted EBITDA metrics. For the period July 1—December 31, 2021, the</w:t>
            </w:r>
          </w:p>
        </w:tc>
      </w:tr>
      <w:tr>
        <w:trPr>
          <w:trHeight w:val="201"/>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860" w:type="dxa"/>
            <w:vAlign w:val="bottom"/>
          </w:tcPr>
          <w:p>
            <w:pPr>
              <w:ind w:left="80"/>
              <w:spacing w:after="0"/>
              <w:rPr>
                <w:sz w:val="20"/>
                <w:szCs w:val="20"/>
                <w:color w:val="auto"/>
              </w:rPr>
            </w:pPr>
            <w:r>
              <w:rPr>
                <w:rFonts w:ascii="Arial" w:cs="Arial" w:eastAsia="Arial" w:hAnsi="Arial"/>
                <w:sz w:val="15"/>
                <w:szCs w:val="15"/>
                <w:color w:val="auto"/>
              </w:rPr>
              <w:t>bonus was based on both Adjusted EBITDA and Total Revenue (which are defined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66427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ind w:left="2080" w:right="220" w:hanging="1678"/>
        <w:spacing w:after="0" w:line="258" w:lineRule="auto"/>
        <w:rPr>
          <w:sz w:val="20"/>
          <w:szCs w:val="20"/>
          <w:color w:val="auto"/>
        </w:rPr>
      </w:pPr>
      <w:r>
        <w:rPr>
          <w:rFonts w:ascii="Arial" w:cs="Arial" w:eastAsia="Arial" w:hAnsi="Arial"/>
          <w:sz w:val="15"/>
          <w:szCs w:val="15"/>
          <w:b w:val="1"/>
          <w:bCs w:val="1"/>
          <w:color w:val="auto"/>
        </w:rPr>
        <w:t xml:space="preserve">Equity Compensation </w:t>
      </w:r>
      <w:r>
        <w:rPr>
          <w:rFonts w:ascii="Arial" w:cs="Arial" w:eastAsia="Arial" w:hAnsi="Arial"/>
          <w:sz w:val="15"/>
          <w:szCs w:val="15"/>
          <w:color w:val="auto"/>
        </w:rPr>
        <w:t>Due to the uncertainty with three-year forecasting as a result of uncertainty due to the COVID-19 pandemic, our equity awards</w:t>
      </w:r>
      <w:r>
        <w:rPr>
          <w:rFonts w:ascii="Arial" w:cs="Arial" w:eastAsia="Arial" w:hAnsi="Arial"/>
          <w:sz w:val="15"/>
          <w:szCs w:val="15"/>
          <w:b w:val="1"/>
          <w:bCs w:val="1"/>
          <w:color w:val="auto"/>
        </w:rPr>
        <w:t xml:space="preserve"> </w:t>
      </w:r>
      <w:r>
        <w:rPr>
          <w:rFonts w:ascii="Arial" w:cs="Arial" w:eastAsia="Arial" w:hAnsi="Arial"/>
          <w:sz w:val="15"/>
          <w:szCs w:val="15"/>
          <w:color w:val="auto"/>
        </w:rPr>
        <w:t>for 2021 were a combination of stock appreciation rights (“SARs”) and restricted stock units (“RSUs”), with 50% consisting of SARs and 50% consisting of RSUs, based on grant date value. The amount of each named executive officer’s award was determined by considering market data and internal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-12065</wp:posOffset>
            </wp:positionV>
            <wp:extent cx="66427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100"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8" w:name="page29"/>
    <w:bookmarkEnd w:id="2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COVID-19 Response Actions in 2021</w:t>
      </w:r>
    </w:p>
    <w:p>
      <w:pPr>
        <w:spacing w:after="0" w:line="98" w:lineRule="exact"/>
        <w:rPr>
          <w:sz w:val="20"/>
          <w:szCs w:val="20"/>
          <w:color w:val="auto"/>
        </w:rPr>
      </w:pPr>
    </w:p>
    <w:p>
      <w:pPr>
        <w:ind w:left="400" w:right="40"/>
        <w:spacing w:after="0" w:line="253" w:lineRule="auto"/>
        <w:rPr>
          <w:sz w:val="20"/>
          <w:szCs w:val="20"/>
          <w:color w:val="auto"/>
        </w:rPr>
      </w:pPr>
      <w:r>
        <w:rPr>
          <w:rFonts w:ascii="Arial" w:cs="Arial" w:eastAsia="Arial" w:hAnsi="Arial"/>
          <w:sz w:val="15"/>
          <w:szCs w:val="15"/>
          <w:color w:val="auto"/>
        </w:rPr>
        <w:t>To recognize management’s response to the COVID-19 pandemic, including efforts to conserve cash, reopen resorts and sales centers, implement safety protocols, manage return to office and related on-going safety issues for associates, among other measures, and to retain executive officers who were particularly vulnerable to recruitment efforts from companies not in the hospitality industry, the Compensation Policy Committee reviewed the Company’s 2019 performance in comparison to 2020 and 2021 and exercised its discretion to approve modifications to the performance criteria to be applied to the Performance Units for the performance period that began on January 1, 2019 and ended on December 31, 2021 (the “2019-2021 Performance Units”). The Compensation Policy Committee modified the performance period with respect to the 2019-2021 Performance Units so that rather than evaluating Company performance based upon one cumulative three-year performance period beginning on January 1, 2019 and ending on December 31, 2021, the Committee evaluated Company performance with respect to three separate annual periods, one for each of the 2019, 2020, and 2021 fiscal years of the Company. The cumulative Adjusted EBITDA and ROIC goals originally established for the three-year performance period resulted in achievement of 0% of the target Performance Units. The equal weighting of the three separate annual performance periods, with 2020 and 2021 achievement at zero percent, yielded an achievement and a payout of 33.18% of target.</w:t>
      </w:r>
    </w:p>
    <w:p>
      <w:pPr>
        <w:spacing w:after="0" w:line="77" w:lineRule="exact"/>
        <w:rPr>
          <w:sz w:val="20"/>
          <w:szCs w:val="20"/>
          <w:color w:val="auto"/>
        </w:rPr>
      </w:pPr>
    </w:p>
    <w:p>
      <w:pPr>
        <w:ind w:left="400" w:right="80"/>
        <w:spacing w:after="0" w:line="254" w:lineRule="auto"/>
        <w:rPr>
          <w:sz w:val="20"/>
          <w:szCs w:val="20"/>
          <w:color w:val="auto"/>
        </w:rPr>
      </w:pPr>
      <w:r>
        <w:rPr>
          <w:rFonts w:ascii="Arial" w:cs="Arial" w:eastAsia="Arial" w:hAnsi="Arial"/>
          <w:sz w:val="15"/>
          <w:szCs w:val="15"/>
          <w:color w:val="auto"/>
        </w:rPr>
        <w:t>In addition, to address the economic volatility faced in 2020 and 2021, as well as expected volatility in 2022, the Company’s executives enacted several measures to mitigate the impact of the pandemic noted above, such as reopening resorts and sales centers and implementing safety protocols for associates, owners and guests. As a result of these actions, the Company returned to pre-pandemic levels of key metrics, including contract sales and EBITDA, by the end of third-quarter 2021. In recognition of their contributions to the Company’s response and recovery, delivering shareholder value through an increase in the Company’s stock price in excess of pre-pandemic pricing, and building a solid foundation for growth, and in order to retain key talent, the Compensation Policy Committee awarded the executive team a one-time equity grant on December 15, 2021. The RSUs vest in full after a three-year period and are subject to forfeiture if an executive officer terminates his or her employment with the Company, with the exception of the grants to Mr. Weisz and Mr. Cunningham, which will not be forfeited in the event of a termination due to retirement, but will continue to vest at the end of the three-year period.</w:t>
      </w:r>
    </w:p>
    <w:p>
      <w:pPr>
        <w:spacing w:after="0" w:line="75" w:lineRule="exact"/>
        <w:rPr>
          <w:sz w:val="20"/>
          <w:szCs w:val="20"/>
          <w:color w:val="auto"/>
        </w:rPr>
      </w:pPr>
    </w:p>
    <w:p>
      <w:pPr>
        <w:ind w:left="400" w:right="420"/>
        <w:spacing w:after="0" w:line="269" w:lineRule="auto"/>
        <w:rPr>
          <w:sz w:val="20"/>
          <w:szCs w:val="20"/>
          <w:color w:val="auto"/>
        </w:rPr>
      </w:pPr>
      <w:r>
        <w:rPr>
          <w:rFonts w:ascii="Arial" w:cs="Arial" w:eastAsia="Arial" w:hAnsi="Arial"/>
          <w:sz w:val="15"/>
          <w:szCs w:val="15"/>
          <w:color w:val="auto"/>
        </w:rPr>
        <w:t>Due to the uncertainty with three-year forecasting as a result of uncertainty due to the COVID-19 pandemic, our equity awards for 2021 were a combination of SARs and RSUs, with 50% consisting of SARs and 50% consisting of RSUs, based on grant date value. The amount of each named executive officer’s award was determined by considering market data and internal factors.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PHILOSOPHY</w:t>
      </w:r>
    </w:p>
    <w:p>
      <w:pPr>
        <w:spacing w:after="0" w:line="106" w:lineRule="exact"/>
        <w:rPr>
          <w:sz w:val="20"/>
          <w:szCs w:val="20"/>
          <w:color w:val="auto"/>
        </w:rPr>
      </w:pPr>
    </w:p>
    <w:p>
      <w:pPr>
        <w:ind w:left="400" w:right="640"/>
        <w:spacing w:after="0" w:line="269" w:lineRule="auto"/>
        <w:rPr>
          <w:sz w:val="20"/>
          <w:szCs w:val="20"/>
          <w:color w:val="auto"/>
        </w:rPr>
      </w:pPr>
      <w:r>
        <w:rPr>
          <w:rFonts w:ascii="Arial" w:cs="Arial" w:eastAsia="Arial" w:hAnsi="Arial"/>
          <w:sz w:val="15"/>
          <w:szCs w:val="15"/>
          <w:color w:val="auto"/>
        </w:rPr>
        <w:t>The Compensation Policy Committee has approved, and periodically reviews, compensation principles that form the basis of our compensation philosophy and reflect our belief that strong and consistent leadership is the key to long-term success in our industry. Accordingly, our program is designed around the following three principles:</w:t>
      </w:r>
    </w:p>
    <w:p>
      <w:pPr>
        <w:spacing w:after="0" w:line="72" w:lineRule="exact"/>
        <w:rPr>
          <w:sz w:val="20"/>
          <w:szCs w:val="20"/>
          <w:color w:val="auto"/>
        </w:rPr>
      </w:pPr>
    </w:p>
    <w:p>
      <w:pPr>
        <w:ind w:left="600" w:right="440" w:hanging="206"/>
        <w:spacing w:after="0" w:line="292" w:lineRule="auto"/>
        <w:tabs>
          <w:tab w:leader="none" w:pos="600" w:val="left"/>
        </w:tabs>
        <w:numPr>
          <w:ilvl w:val="0"/>
          <w:numId w:val="42"/>
        </w:numPr>
        <w:rPr>
          <w:rFonts w:ascii="Arial" w:cs="Arial" w:eastAsia="Arial" w:hAnsi="Arial"/>
          <w:sz w:val="15"/>
          <w:szCs w:val="15"/>
          <w:color w:val="004987"/>
        </w:rPr>
      </w:pPr>
      <w:r>
        <w:rPr>
          <w:rFonts w:ascii="Arial" w:cs="Arial" w:eastAsia="Arial" w:hAnsi="Arial"/>
          <w:sz w:val="15"/>
          <w:szCs w:val="15"/>
          <w:b w:val="1"/>
          <w:bCs w:val="1"/>
          <w:color w:val="auto"/>
        </w:rPr>
        <w:t xml:space="preserve">Drive Stockholder Value: </w:t>
      </w:r>
      <w:r>
        <w:rPr>
          <w:rFonts w:ascii="Arial" w:cs="Arial" w:eastAsia="Arial" w:hAnsi="Arial"/>
          <w:sz w:val="15"/>
          <w:szCs w:val="15"/>
          <w:color w:val="auto"/>
        </w:rPr>
        <w:t>Executive officers should be paid in a manner that is primarily focused on driving stockholder value. Therefore, equity</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is and has been a significant component of total pay opportunity for the named executive officers.</w:t>
      </w:r>
    </w:p>
    <w:p>
      <w:pPr>
        <w:spacing w:after="0" w:line="54" w:lineRule="exact"/>
        <w:rPr>
          <w:rFonts w:ascii="Arial" w:cs="Arial" w:eastAsia="Arial" w:hAnsi="Arial"/>
          <w:sz w:val="15"/>
          <w:szCs w:val="15"/>
          <w:color w:val="004987"/>
        </w:rPr>
      </w:pPr>
    </w:p>
    <w:p>
      <w:pPr>
        <w:ind w:left="600" w:right="180" w:hanging="206"/>
        <w:spacing w:after="0" w:line="271" w:lineRule="auto"/>
        <w:tabs>
          <w:tab w:leader="none" w:pos="600" w:val="left"/>
        </w:tabs>
        <w:numPr>
          <w:ilvl w:val="0"/>
          <w:numId w:val="42"/>
        </w:numPr>
        <w:rPr>
          <w:rFonts w:ascii="Arial" w:cs="Arial" w:eastAsia="Arial" w:hAnsi="Arial"/>
          <w:sz w:val="15"/>
          <w:szCs w:val="15"/>
          <w:color w:val="004987"/>
        </w:rPr>
      </w:pPr>
      <w:r>
        <w:rPr>
          <w:rFonts w:ascii="Arial" w:cs="Arial" w:eastAsia="Arial" w:hAnsi="Arial"/>
          <w:sz w:val="15"/>
          <w:szCs w:val="15"/>
          <w:b w:val="1"/>
          <w:bCs w:val="1"/>
          <w:color w:val="auto"/>
        </w:rPr>
        <w:t xml:space="preserve">Motivate and Balance Short-term and Long-term Performance: </w:t>
      </w:r>
      <w:r>
        <w:rPr>
          <w:rFonts w:ascii="Arial" w:cs="Arial" w:eastAsia="Arial" w:hAnsi="Arial"/>
          <w:sz w:val="15"/>
          <w:szCs w:val="15"/>
          <w:color w:val="auto"/>
        </w:rPr>
        <w:t>Compensation should be designed to motivate executive officers to perform their</w:t>
      </w:r>
      <w:r>
        <w:rPr>
          <w:rFonts w:ascii="Arial" w:cs="Arial" w:eastAsia="Arial" w:hAnsi="Arial"/>
          <w:sz w:val="15"/>
          <w:szCs w:val="15"/>
          <w:b w:val="1"/>
          <w:bCs w:val="1"/>
          <w:color w:val="auto"/>
        </w:rPr>
        <w:t xml:space="preserve"> </w:t>
      </w:r>
      <w:r>
        <w:rPr>
          <w:rFonts w:ascii="Arial" w:cs="Arial" w:eastAsia="Arial" w:hAnsi="Arial"/>
          <w:sz w:val="15"/>
          <w:szCs w:val="15"/>
          <w:color w:val="auto"/>
        </w:rPr>
        <w:t>duties in ways that would help achieve current year as well as longer-term objectives. This has been achieved by offering a mix of short-term cash-based and long-term equity-based incentives.</w:t>
      </w:r>
    </w:p>
    <w:p>
      <w:pPr>
        <w:spacing w:after="0" w:line="69" w:lineRule="exact"/>
        <w:rPr>
          <w:rFonts w:ascii="Arial" w:cs="Arial" w:eastAsia="Arial" w:hAnsi="Arial"/>
          <w:sz w:val="15"/>
          <w:szCs w:val="15"/>
          <w:color w:val="004987"/>
        </w:rPr>
      </w:pPr>
    </w:p>
    <w:p>
      <w:pPr>
        <w:ind w:left="600" w:right="180" w:hanging="206"/>
        <w:spacing w:after="0" w:line="263" w:lineRule="auto"/>
        <w:tabs>
          <w:tab w:leader="none" w:pos="600" w:val="left"/>
        </w:tabs>
        <w:numPr>
          <w:ilvl w:val="0"/>
          <w:numId w:val="42"/>
        </w:numPr>
        <w:rPr>
          <w:rFonts w:ascii="Arial" w:cs="Arial" w:eastAsia="Arial" w:hAnsi="Arial"/>
          <w:sz w:val="15"/>
          <w:szCs w:val="15"/>
          <w:color w:val="004987"/>
        </w:rPr>
      </w:pPr>
      <w:r>
        <w:rPr>
          <w:rFonts w:ascii="Arial" w:cs="Arial" w:eastAsia="Arial" w:hAnsi="Arial"/>
          <w:sz w:val="15"/>
          <w:szCs w:val="15"/>
          <w:b w:val="1"/>
          <w:bCs w:val="1"/>
          <w:color w:val="auto"/>
        </w:rPr>
        <w:t xml:space="preserve">Retain Talent: </w:t>
      </w:r>
      <w:r>
        <w:rPr>
          <w:rFonts w:ascii="Arial" w:cs="Arial" w:eastAsia="Arial" w:hAnsi="Arial"/>
          <w:sz w:val="15"/>
          <w:szCs w:val="15"/>
          <w:color w:val="auto"/>
        </w:rPr>
        <w:t>The compensation program must be competitive in order to attract key talent from within and outside of our industry and retain key</w:t>
      </w:r>
      <w:r>
        <w:rPr>
          <w:rFonts w:ascii="Arial" w:cs="Arial" w:eastAsia="Arial" w:hAnsi="Arial"/>
          <w:sz w:val="15"/>
          <w:szCs w:val="15"/>
          <w:b w:val="1"/>
          <w:bCs w:val="1"/>
          <w:color w:val="auto"/>
        </w:rPr>
        <w:t xml:space="preserve"> </w:t>
      </w:r>
      <w:r>
        <w:rPr>
          <w:rFonts w:ascii="Arial" w:cs="Arial" w:eastAsia="Arial" w:hAnsi="Arial"/>
          <w:sz w:val="15"/>
          <w:szCs w:val="15"/>
          <w:color w:val="auto"/>
        </w:rPr>
        <w:t>talent at costs consistent with market practice. We work to achieve this, in part, through our review of the market data and internal pay equity considerations described below in making compensation decisions. The Compensation Policy Committee seeks to establish compensation generally consistent with the median in total direct compensation, while also considering performance and scope of job.</w:t>
      </w:r>
    </w:p>
    <w:p>
      <w:pPr>
        <w:spacing w:after="0" w:line="104" w:lineRule="exact"/>
        <w:rPr>
          <w:sz w:val="20"/>
          <w:szCs w:val="20"/>
          <w:color w:val="auto"/>
        </w:rPr>
      </w:pPr>
    </w:p>
    <w:p>
      <w:pPr>
        <w:ind w:left="400"/>
        <w:spacing w:after="0"/>
        <w:tabs>
          <w:tab w:leader="none" w:pos="4760" w:val="left"/>
          <w:tab w:leader="none" w:pos="7720" w:val="left"/>
        </w:tabs>
        <w:rPr>
          <w:sz w:val="20"/>
          <w:szCs w:val="20"/>
          <w:color w:val="auto"/>
        </w:rPr>
      </w:pPr>
      <w:r>
        <w:rPr>
          <w:rFonts w:ascii="Arial" w:cs="Arial" w:eastAsia="Arial" w:hAnsi="Arial"/>
          <w:sz w:val="10"/>
          <w:szCs w:val="10"/>
          <w:b w:val="1"/>
          <w:bCs w:val="1"/>
          <w:color w:val="004987"/>
        </w:rPr>
        <w:t>24</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COMPENSATION PROGRAM PRINCIPLES AND GOVERNANCE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Pay for Performance is Key Compensation Program Principle</w:t>
      </w:r>
    </w:p>
    <w:p>
      <w:pPr>
        <w:spacing w:after="0" w:line="98" w:lineRule="exact"/>
        <w:rPr>
          <w:sz w:val="20"/>
          <w:szCs w:val="20"/>
          <w:color w:val="auto"/>
        </w:rPr>
      </w:pPr>
    </w:p>
    <w:p>
      <w:pPr>
        <w:ind w:left="400" w:right="180"/>
        <w:spacing w:after="0" w:line="255" w:lineRule="auto"/>
        <w:rPr>
          <w:sz w:val="20"/>
          <w:szCs w:val="20"/>
          <w:color w:val="auto"/>
        </w:rPr>
      </w:pPr>
      <w:r>
        <w:rPr>
          <w:rFonts w:ascii="Arial" w:cs="Arial" w:eastAsia="Arial" w:hAnsi="Arial"/>
          <w:sz w:val="15"/>
          <w:szCs w:val="15"/>
          <w:color w:val="auto"/>
        </w:rPr>
        <w:t>A large portion of the total pay opportunity for our named executive officers is performance based or tied to stock performance. This means that it is contingent upon achieving specific results that are essential to the Company’s short- and long-term success and growth in stockholder value. As described in more detail in the following pages, the performance-based components of the 2021 compensation program include annual and long-term incentives that are comprised of SARs and RSUs, temporarily shifting the mix to exclude performance units due to the uncertainty resulting from the COVID-19 pandemic. With the 2022 grants, the mix of equity was restored to the prior 2020 mix, which includes approximately 50% performance units, 30% SARs and 20% RSUs. The Compensation Policy Committee has not established a specific formula for the allocation of performance-based compensation components and instead retains the discretion to modify the allocation from year to year. The chart below reflects the percentage of each named executive officer’s total target compensation that was performance-based in 2021:</w:t>
      </w:r>
    </w:p>
    <w:p>
      <w:pPr>
        <w:spacing w:after="0" w:line="203" w:lineRule="exact"/>
        <w:rPr>
          <w:sz w:val="20"/>
          <w:szCs w:val="20"/>
          <w:color w:val="auto"/>
        </w:rPr>
      </w:pPr>
    </w:p>
    <w:p>
      <w:pPr>
        <w:ind w:left="2080"/>
        <w:spacing w:after="0"/>
        <w:tabs>
          <w:tab w:leader="none" w:pos="6760" w:val="left"/>
        </w:tabs>
        <w:rPr>
          <w:sz w:val="20"/>
          <w:szCs w:val="20"/>
          <w:color w:val="auto"/>
        </w:rPr>
      </w:pPr>
      <w:r>
        <w:rPr>
          <w:rFonts w:ascii="Arial" w:cs="Arial" w:eastAsia="Arial" w:hAnsi="Arial"/>
          <w:sz w:val="14"/>
          <w:szCs w:val="14"/>
          <w:b w:val="1"/>
          <w:bCs w:val="1"/>
          <w:color w:val="auto"/>
        </w:rPr>
        <w:t>2021 Target Pay Matrix — CEO</w:t>
      </w:r>
      <w:r>
        <w:rPr>
          <w:sz w:val="20"/>
          <w:szCs w:val="20"/>
          <w:color w:val="auto"/>
        </w:rPr>
        <w:tab/>
      </w:r>
      <w:r>
        <w:rPr>
          <w:rFonts w:ascii="Arial" w:cs="Arial" w:eastAsia="Arial" w:hAnsi="Arial"/>
          <w:sz w:val="13"/>
          <w:szCs w:val="13"/>
          <w:b w:val="1"/>
          <w:bCs w:val="1"/>
          <w:color w:val="auto"/>
        </w:rPr>
        <w:t>2021 Target Pay Matrix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74930</wp:posOffset>
            </wp:positionV>
            <wp:extent cx="5681980" cy="23444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81980"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Additional Principles and Corporate Governance Policies</w:t>
      </w:r>
    </w:p>
    <w:p>
      <w:pPr>
        <w:spacing w:after="0" w:line="98" w:lineRule="exact"/>
        <w:rPr>
          <w:sz w:val="20"/>
          <w:szCs w:val="20"/>
          <w:color w:val="auto"/>
        </w:rPr>
      </w:pPr>
    </w:p>
    <w:p>
      <w:pPr>
        <w:ind w:left="400" w:right="700"/>
        <w:spacing w:after="0" w:line="289" w:lineRule="auto"/>
        <w:rPr>
          <w:sz w:val="20"/>
          <w:szCs w:val="20"/>
          <w:color w:val="auto"/>
        </w:rPr>
      </w:pPr>
      <w:r>
        <w:rPr>
          <w:rFonts w:ascii="Arial" w:cs="Arial" w:eastAsia="Arial" w:hAnsi="Arial"/>
          <w:sz w:val="15"/>
          <w:szCs w:val="15"/>
          <w:color w:val="auto"/>
        </w:rPr>
        <w:t>Our executive compensation programs contain features that are intended to embody our compensation principles and promote strong executive compensation corporate governance.</w:t>
      </w:r>
    </w:p>
    <w:p>
      <w:pPr>
        <w:spacing w:after="0" w:line="59" w:lineRule="exact"/>
        <w:rPr>
          <w:sz w:val="20"/>
          <w:szCs w:val="20"/>
          <w:color w:val="auto"/>
        </w:rPr>
      </w:pPr>
    </w:p>
    <w:p>
      <w:pPr>
        <w:ind w:left="600" w:right="140" w:hanging="206"/>
        <w:spacing w:after="0" w:line="269" w:lineRule="auto"/>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We have a clawback policy applicable to incentive compensation paid to our executive officers and directors, which is in addition to the clawback provision that applies to equity awards under the Marriott Vacations Worldwide 2020 Equity Incentive Plan (the “2020 Equity Plan”) and the Marriott Vacations Worldwide Corporation Stock and Cash Incentive Plan (the “Prior Equity Plan” and, together with the 2020 Equity Plan, the “Equity Plans”).</w:t>
      </w:r>
    </w:p>
    <w:p>
      <w:pPr>
        <w:spacing w:after="0" w:line="73" w:lineRule="exact"/>
        <w:rPr>
          <w:rFonts w:ascii="Arial" w:cs="Arial" w:eastAsia="Arial" w:hAnsi="Arial"/>
          <w:sz w:val="15"/>
          <w:szCs w:val="15"/>
          <w:color w:val="004987"/>
        </w:rPr>
      </w:pPr>
    </w:p>
    <w:p>
      <w:pPr>
        <w:ind w:left="600" w:hanging="206"/>
        <w:spacing w:after="0"/>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We do not provide for a gross-up of excise taxes on any “parachute payments” that could become payable in connection with a change in control.</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Executive officers are provided only limited perquisites and are not provided with tax gross-ups with respect to such perquisites.</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The Equity Plans do not include an “evergreen” provision.</w:t>
      </w:r>
    </w:p>
    <w:p>
      <w:pPr>
        <w:spacing w:after="0" w:line="122" w:lineRule="exact"/>
        <w:rPr>
          <w:rFonts w:ascii="Arial" w:cs="Arial" w:eastAsia="Arial" w:hAnsi="Arial"/>
          <w:sz w:val="15"/>
          <w:szCs w:val="15"/>
          <w:color w:val="004987"/>
        </w:rPr>
      </w:pPr>
    </w:p>
    <w:p>
      <w:pPr>
        <w:ind w:left="600" w:right="20" w:hanging="206"/>
        <w:spacing w:after="0" w:line="269" w:lineRule="auto"/>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We cannot, without stockholder approval, “reprice” stock options or SARs by reducing the exercise price of such stock option or SAR, exchanging such stock option or SAR for a new award with a lower exercise price, or exchanging such stock option or SAR for cash (other than in connection with specified corporate transactions).</w:t>
      </w:r>
    </w:p>
    <w:p>
      <w:pPr>
        <w:spacing w:after="0" w:line="73" w:lineRule="exact"/>
        <w:rPr>
          <w:rFonts w:ascii="Arial" w:cs="Arial" w:eastAsia="Arial" w:hAnsi="Arial"/>
          <w:sz w:val="15"/>
          <w:szCs w:val="15"/>
          <w:color w:val="004987"/>
        </w:rPr>
      </w:pPr>
    </w:p>
    <w:p>
      <w:pPr>
        <w:ind w:left="600" w:right="240" w:hanging="206"/>
        <w:spacing w:after="0" w:line="289" w:lineRule="auto"/>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We do not provide “single trigger” change in control benefits, except with respect to equity awards which are not retained or replaced with substitute awards following a change in control.</w:t>
      </w:r>
    </w:p>
    <w:p>
      <w:pPr>
        <w:spacing w:after="0" w:line="58" w:lineRule="exact"/>
        <w:rPr>
          <w:rFonts w:ascii="Arial" w:cs="Arial" w:eastAsia="Arial" w:hAnsi="Arial"/>
          <w:sz w:val="15"/>
          <w:szCs w:val="15"/>
          <w:color w:val="004987"/>
        </w:rPr>
      </w:pPr>
    </w:p>
    <w:p>
      <w:pPr>
        <w:ind w:left="600" w:right="20" w:hanging="206"/>
        <w:spacing w:after="0" w:line="259" w:lineRule="auto"/>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We have stock ownership guidelines that require our Chief Executive Officer to own shares of our common stock (as determined under the guidelines) with a market value equal to five times base salary and other executive officers to own shares of our common stock with a market value equal to two to three times annual base salary. All but two of our executive officers were in compliance with these guidelines as of the end of 2021. The executive officers who were not in compliance with the guidelines were newly appointed on November 20, 2020, and October 16, 2021 and each has five calendar years, or by year end 2025 and 2026, respectively, to achieve target ownership.</w:t>
      </w:r>
    </w:p>
    <w:p>
      <w:pPr>
        <w:spacing w:after="0" w:line="82" w:lineRule="exact"/>
        <w:rPr>
          <w:rFonts w:ascii="Arial" w:cs="Arial" w:eastAsia="Arial" w:hAnsi="Arial"/>
          <w:sz w:val="15"/>
          <w:szCs w:val="15"/>
          <w:color w:val="004987"/>
        </w:rPr>
      </w:pPr>
    </w:p>
    <w:p>
      <w:pPr>
        <w:ind w:left="600" w:right="420" w:hanging="206"/>
        <w:spacing w:after="0" w:line="269" w:lineRule="auto"/>
        <w:tabs>
          <w:tab w:leader="none" w:pos="600" w:val="left"/>
        </w:tabs>
        <w:numPr>
          <w:ilvl w:val="0"/>
          <w:numId w:val="43"/>
        </w:numPr>
        <w:rPr>
          <w:rFonts w:ascii="Arial" w:cs="Arial" w:eastAsia="Arial" w:hAnsi="Arial"/>
          <w:sz w:val="15"/>
          <w:szCs w:val="15"/>
          <w:color w:val="004987"/>
        </w:rPr>
      </w:pPr>
      <w:r>
        <w:rPr>
          <w:rFonts w:ascii="Arial" w:cs="Arial" w:eastAsia="Arial" w:hAnsi="Arial"/>
          <w:sz w:val="15"/>
          <w:szCs w:val="15"/>
          <w:color w:val="auto"/>
        </w:rPr>
        <w:t>Equity grants are made on a consistent schedule and are not made in anticipation of significant developments that may impact the price of our common shares. Annual grants are typically made during the first quarter, after the release of our earnings for the prior year and guidance for the current year, which is intended to ensure that we do not make equity grants when we have such material, non-public information.</w:t>
      </w:r>
    </w:p>
    <w:p>
      <w:pPr>
        <w:spacing w:after="0" w:line="99"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600" w:right="60" w:hanging="206"/>
        <w:spacing w:after="0" w:line="289" w:lineRule="auto"/>
        <w:tabs>
          <w:tab w:leader="none" w:pos="600" w:val="left"/>
        </w:tabs>
        <w:numPr>
          <w:ilvl w:val="0"/>
          <w:numId w:val="44"/>
        </w:numPr>
        <w:rPr>
          <w:rFonts w:ascii="Arial" w:cs="Arial" w:eastAsia="Arial" w:hAnsi="Arial"/>
          <w:sz w:val="15"/>
          <w:szCs w:val="15"/>
          <w:color w:val="004987"/>
        </w:rPr>
      </w:pPr>
      <w:r>
        <w:rPr>
          <w:rFonts w:ascii="Arial" w:cs="Arial" w:eastAsia="Arial" w:hAnsi="Arial"/>
          <w:sz w:val="15"/>
          <w:szCs w:val="15"/>
          <w:color w:val="auto"/>
        </w:rPr>
        <w:t>Our associates, officers and directors may not at any time engage in any form of derivative transactions (such as “short” sales or “option puts or calls”) in our securities.</w:t>
      </w:r>
    </w:p>
    <w:p>
      <w:pPr>
        <w:spacing w:after="0" w:line="58" w:lineRule="exact"/>
        <w:rPr>
          <w:rFonts w:ascii="Arial" w:cs="Arial" w:eastAsia="Arial" w:hAnsi="Arial"/>
          <w:sz w:val="15"/>
          <w:szCs w:val="15"/>
          <w:color w:val="004987"/>
        </w:rPr>
      </w:pPr>
    </w:p>
    <w:p>
      <w:pPr>
        <w:ind w:left="600" w:right="320" w:hanging="206"/>
        <w:spacing w:after="0" w:line="289" w:lineRule="auto"/>
        <w:tabs>
          <w:tab w:leader="none" w:pos="600" w:val="left"/>
        </w:tabs>
        <w:numPr>
          <w:ilvl w:val="0"/>
          <w:numId w:val="44"/>
        </w:numPr>
        <w:rPr>
          <w:rFonts w:ascii="Arial" w:cs="Arial" w:eastAsia="Arial" w:hAnsi="Arial"/>
          <w:sz w:val="15"/>
          <w:szCs w:val="15"/>
          <w:color w:val="004987"/>
        </w:rPr>
      </w:pPr>
      <w:r>
        <w:rPr>
          <w:rFonts w:ascii="Arial" w:cs="Arial" w:eastAsia="Arial" w:hAnsi="Arial"/>
          <w:sz w:val="15"/>
          <w:szCs w:val="15"/>
          <w:color w:val="auto"/>
        </w:rPr>
        <w:t>Our associates, officers and directors are prohibited from including our securities in a margin account or pledging such securities as collateral for a loan.</w:t>
      </w:r>
    </w:p>
    <w:p>
      <w:pPr>
        <w:spacing w:after="0" w:line="58" w:lineRule="exact"/>
        <w:rPr>
          <w:rFonts w:ascii="Arial" w:cs="Arial" w:eastAsia="Arial" w:hAnsi="Arial"/>
          <w:sz w:val="15"/>
          <w:szCs w:val="15"/>
          <w:color w:val="004987"/>
        </w:rPr>
      </w:pPr>
    </w:p>
    <w:p>
      <w:pPr>
        <w:ind w:left="600" w:right="560" w:hanging="206"/>
        <w:spacing w:after="0" w:line="289" w:lineRule="auto"/>
        <w:tabs>
          <w:tab w:leader="none" w:pos="600" w:val="left"/>
        </w:tabs>
        <w:numPr>
          <w:ilvl w:val="0"/>
          <w:numId w:val="44"/>
        </w:numPr>
        <w:rPr>
          <w:rFonts w:ascii="Arial" w:cs="Arial" w:eastAsia="Arial" w:hAnsi="Arial"/>
          <w:sz w:val="15"/>
          <w:szCs w:val="15"/>
          <w:color w:val="004987"/>
        </w:rPr>
      </w:pPr>
      <w:r>
        <w:rPr>
          <w:rFonts w:ascii="Arial" w:cs="Arial" w:eastAsia="Arial" w:hAnsi="Arial"/>
          <w:sz w:val="15"/>
          <w:szCs w:val="15"/>
          <w:color w:val="auto"/>
        </w:rPr>
        <w:t>We, as a practice, do not have employment agreements with any of our named executive officers or other executive officers. However, with the acquisition of ILG, we assumed an employment agreement for Jeanette E. Marbert, President, Exchange and Third-Party Management.</w:t>
      </w:r>
    </w:p>
    <w:p>
      <w:pPr>
        <w:spacing w:after="0" w:line="58" w:lineRule="exact"/>
        <w:rPr>
          <w:rFonts w:ascii="Arial" w:cs="Arial" w:eastAsia="Arial" w:hAnsi="Arial"/>
          <w:sz w:val="15"/>
          <w:szCs w:val="15"/>
          <w:color w:val="004987"/>
        </w:rPr>
      </w:pPr>
    </w:p>
    <w:p>
      <w:pPr>
        <w:ind w:left="600" w:hanging="206"/>
        <w:spacing w:after="0"/>
        <w:tabs>
          <w:tab w:leader="none" w:pos="600" w:val="left"/>
        </w:tabs>
        <w:numPr>
          <w:ilvl w:val="0"/>
          <w:numId w:val="44"/>
        </w:numPr>
        <w:rPr>
          <w:rFonts w:ascii="Arial" w:cs="Arial" w:eastAsia="Arial" w:hAnsi="Arial"/>
          <w:sz w:val="15"/>
          <w:szCs w:val="15"/>
          <w:color w:val="004987"/>
        </w:rPr>
      </w:pPr>
      <w:r>
        <w:rPr>
          <w:rFonts w:ascii="Arial" w:cs="Arial" w:eastAsia="Arial" w:hAnsi="Arial"/>
          <w:sz w:val="15"/>
          <w:szCs w:val="15"/>
          <w:color w:val="auto"/>
        </w:rPr>
        <w:t>None of our named executive officers are entitled to guaranteed annual bonuses.</w:t>
      </w:r>
    </w:p>
    <w:p>
      <w:pPr>
        <w:spacing w:after="0" w:line="30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COMPENSATION PROCESS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Market Data</w:t>
      </w:r>
    </w:p>
    <w:p>
      <w:pPr>
        <w:spacing w:after="0" w:line="108" w:lineRule="exact"/>
        <w:rPr>
          <w:sz w:val="20"/>
          <w:szCs w:val="20"/>
          <w:color w:val="auto"/>
        </w:rPr>
      </w:pPr>
    </w:p>
    <w:p>
      <w:pPr>
        <w:ind w:left="400" w:right="100"/>
        <w:spacing w:after="0" w:line="257" w:lineRule="auto"/>
        <w:rPr>
          <w:sz w:val="20"/>
          <w:szCs w:val="20"/>
          <w:color w:val="auto"/>
        </w:rPr>
      </w:pPr>
      <w:r>
        <w:rPr>
          <w:rFonts w:ascii="Arial" w:cs="Arial" w:eastAsia="Arial" w:hAnsi="Arial"/>
          <w:sz w:val="15"/>
          <w:szCs w:val="15"/>
          <w:color w:val="auto"/>
        </w:rPr>
        <w:t>To assist in determining the levels of compensation for our named executive officers in 2021, Exequity LLP (“Exequity”), the Compensation Policy Committee’s compensation consultant, recommended an appropriate peer group for approval by the Compensation Policy Committee and management. Considerations for developing the peer group included company size as measured by revenues (generally one-half to two times the Company’s revenues) and market capitalization (companies with very low or very high market capitalization relative to the Company were excluded), industry and business model similarities, and trading on a major exchange. Human resources management analyzed market data collected by Exequity, including base salary and target short- and long-term incentive opportunities for each of the named executive officers.</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companies in the peer group used as the basis for 2021 compensation decisions, which are the same companies used as the basis for the</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Compensation Policy Committee’s 2020 compensation decisions, consisted of the following:</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7140" w:type="dxa"/>
            <w:vAlign w:val="bottom"/>
          </w:tcPr>
          <w:p>
            <w:pPr>
              <w:ind w:left="1140"/>
              <w:spacing w:after="0"/>
              <w:rPr>
                <w:sz w:val="20"/>
                <w:szCs w:val="20"/>
                <w:color w:val="auto"/>
              </w:rPr>
            </w:pPr>
            <w:r>
              <w:rPr>
                <w:rFonts w:ascii="Arial" w:cs="Arial" w:eastAsia="Arial" w:hAnsi="Arial"/>
                <w:sz w:val="14"/>
                <w:szCs w:val="14"/>
                <w:b w:val="1"/>
                <w:bCs w:val="1"/>
                <w:color w:val="004987"/>
              </w:rPr>
              <w:t>Peer Group Companies</w:t>
            </w:r>
          </w:p>
        </w:tc>
      </w:tr>
      <w:tr>
        <w:trPr>
          <w:trHeight w:val="58"/>
        </w:trPr>
        <w:tc>
          <w:tcPr>
            <w:tcW w:w="3320" w:type="dxa"/>
            <w:vAlign w:val="bottom"/>
            <w:gridSpan w:val="2"/>
          </w:tcPr>
          <w:p>
            <w:pPr>
              <w:spacing w:after="0"/>
              <w:rPr>
                <w:sz w:val="5"/>
                <w:szCs w:val="5"/>
                <w:color w:val="auto"/>
              </w:rPr>
            </w:pPr>
          </w:p>
        </w:tc>
        <w:tc>
          <w:tcPr>
            <w:tcW w:w="7140" w:type="dxa"/>
            <w:vAlign w:val="bottom"/>
          </w:tcPr>
          <w:p>
            <w:pPr>
              <w:spacing w:after="0"/>
              <w:rPr>
                <w:sz w:val="5"/>
                <w:szCs w:val="5"/>
                <w:color w:val="auto"/>
              </w:rPr>
            </w:pPr>
          </w:p>
        </w:tc>
      </w:tr>
      <w:tr>
        <w:trPr>
          <w:trHeight w:val="167"/>
        </w:trPr>
        <w:tc>
          <w:tcPr>
            <w:tcW w:w="20" w:type="dxa"/>
            <w:vAlign w:val="bottom"/>
          </w:tcPr>
          <w:p>
            <w:pPr>
              <w:spacing w:after="0"/>
              <w:rPr>
                <w:sz w:val="14"/>
                <w:szCs w:val="14"/>
                <w:color w:val="auto"/>
              </w:rPr>
            </w:pPr>
          </w:p>
        </w:tc>
        <w:tc>
          <w:tcPr>
            <w:tcW w:w="3300" w:type="dxa"/>
            <w:vAlign w:val="bottom"/>
            <w:tcBorders>
              <w:top w:val="single" w:sz="8" w:color="004987"/>
            </w:tcBorders>
          </w:tcPr>
          <w:p>
            <w:pPr>
              <w:spacing w:after="0" w:line="167" w:lineRule="exact"/>
              <w:rPr>
                <w:sz w:val="20"/>
                <w:szCs w:val="20"/>
                <w:color w:val="auto"/>
              </w:rPr>
            </w:pPr>
            <w:r>
              <w:rPr>
                <w:rFonts w:ascii="Arial" w:cs="Arial" w:eastAsia="Arial" w:hAnsi="Arial"/>
                <w:sz w:val="15"/>
                <w:szCs w:val="15"/>
                <w:color w:val="auto"/>
              </w:rPr>
              <w:t>Bloomin’ Brands, Inc.</w:t>
            </w:r>
          </w:p>
        </w:tc>
        <w:tc>
          <w:tcPr>
            <w:tcW w:w="7140" w:type="dxa"/>
            <w:vAlign w:val="bottom"/>
            <w:tcBorders>
              <w:top w:val="single" w:sz="8" w:color="004987"/>
            </w:tcBorders>
          </w:tcPr>
          <w:p>
            <w:pPr>
              <w:ind w:left="2220"/>
              <w:spacing w:after="0" w:line="167" w:lineRule="exact"/>
              <w:rPr>
                <w:sz w:val="20"/>
                <w:szCs w:val="20"/>
                <w:color w:val="auto"/>
              </w:rPr>
            </w:pPr>
            <w:r>
              <w:rPr>
                <w:rFonts w:ascii="Arial" w:cs="Arial" w:eastAsia="Arial" w:hAnsi="Arial"/>
                <w:sz w:val="15"/>
                <w:szCs w:val="15"/>
                <w:color w:val="auto"/>
              </w:rPr>
              <w:t>Norwegian Cruise Line Holdings Ltd.</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Boyd Gaming Corporation</w:t>
            </w:r>
          </w:p>
        </w:tc>
        <w:tc>
          <w:tcPr>
            <w:tcW w:w="7140" w:type="dxa"/>
            <w:vAlign w:val="bottom"/>
          </w:tcPr>
          <w:p>
            <w:pPr>
              <w:ind w:left="2220"/>
              <w:spacing w:after="0"/>
              <w:rPr>
                <w:sz w:val="20"/>
                <w:szCs w:val="20"/>
                <w:color w:val="auto"/>
              </w:rPr>
            </w:pPr>
            <w:r>
              <w:rPr>
                <w:rFonts w:ascii="Arial" w:cs="Arial" w:eastAsia="Arial" w:hAnsi="Arial"/>
                <w:sz w:val="15"/>
                <w:szCs w:val="15"/>
                <w:color w:val="auto"/>
              </w:rPr>
              <w:t>Park Hotels &amp; Resorts Inc.</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Brookdale Senior Living Inc.</w:t>
            </w:r>
          </w:p>
        </w:tc>
        <w:tc>
          <w:tcPr>
            <w:tcW w:w="7140" w:type="dxa"/>
            <w:vAlign w:val="bottom"/>
          </w:tcPr>
          <w:p>
            <w:pPr>
              <w:ind w:left="2220"/>
              <w:spacing w:after="0"/>
              <w:rPr>
                <w:sz w:val="20"/>
                <w:szCs w:val="20"/>
                <w:color w:val="auto"/>
              </w:rPr>
            </w:pPr>
            <w:r>
              <w:rPr>
                <w:rFonts w:ascii="Arial" w:cs="Arial" w:eastAsia="Arial" w:hAnsi="Arial"/>
                <w:sz w:val="15"/>
                <w:szCs w:val="15"/>
                <w:color w:val="auto"/>
              </w:rPr>
              <w:t>Penn National Gaming, Inc.</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Choice Hotels International, Inc.</w:t>
            </w:r>
          </w:p>
        </w:tc>
        <w:tc>
          <w:tcPr>
            <w:tcW w:w="7140" w:type="dxa"/>
            <w:vAlign w:val="bottom"/>
          </w:tcPr>
          <w:p>
            <w:pPr>
              <w:ind w:left="2220"/>
              <w:spacing w:after="0"/>
              <w:rPr>
                <w:sz w:val="20"/>
                <w:szCs w:val="20"/>
                <w:color w:val="auto"/>
              </w:rPr>
            </w:pPr>
            <w:r>
              <w:rPr>
                <w:rFonts w:ascii="Arial" w:cs="Arial" w:eastAsia="Arial" w:hAnsi="Arial"/>
                <w:sz w:val="15"/>
                <w:szCs w:val="15"/>
                <w:color w:val="auto"/>
              </w:rPr>
              <w:t>Toll Brothers, Inc.</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Darden Restaurants, Inc.</w:t>
            </w:r>
          </w:p>
        </w:tc>
        <w:tc>
          <w:tcPr>
            <w:tcW w:w="7140" w:type="dxa"/>
            <w:vAlign w:val="bottom"/>
          </w:tcPr>
          <w:p>
            <w:pPr>
              <w:ind w:left="2220"/>
              <w:spacing w:after="0"/>
              <w:rPr>
                <w:sz w:val="20"/>
                <w:szCs w:val="20"/>
                <w:color w:val="auto"/>
              </w:rPr>
            </w:pPr>
            <w:r>
              <w:rPr>
                <w:rFonts w:ascii="Arial" w:cs="Arial" w:eastAsia="Arial" w:hAnsi="Arial"/>
                <w:sz w:val="15"/>
                <w:szCs w:val="15"/>
                <w:color w:val="auto"/>
              </w:rPr>
              <w:t>Travel+Leisure Co.</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Hilton Grand Vacations Inc.</w:t>
            </w:r>
          </w:p>
        </w:tc>
        <w:tc>
          <w:tcPr>
            <w:tcW w:w="7140" w:type="dxa"/>
            <w:vAlign w:val="bottom"/>
          </w:tcPr>
          <w:p>
            <w:pPr>
              <w:ind w:left="2380"/>
              <w:spacing w:after="0"/>
              <w:rPr>
                <w:sz w:val="20"/>
                <w:szCs w:val="20"/>
                <w:color w:val="auto"/>
              </w:rPr>
            </w:pPr>
            <w:r>
              <w:rPr>
                <w:rFonts w:ascii="Arial" w:cs="Arial" w:eastAsia="Arial" w:hAnsi="Arial"/>
                <w:sz w:val="15"/>
                <w:szCs w:val="15"/>
                <w:color w:val="auto"/>
              </w:rPr>
              <w:t>(formerly known as Wyndham Destinations, Inc.)</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Host Hotels &amp; Resorts, Inc.</w:t>
            </w:r>
          </w:p>
        </w:tc>
        <w:tc>
          <w:tcPr>
            <w:tcW w:w="7140" w:type="dxa"/>
            <w:vAlign w:val="bottom"/>
          </w:tcPr>
          <w:p>
            <w:pPr>
              <w:ind w:left="2220"/>
              <w:spacing w:after="0"/>
              <w:rPr>
                <w:sz w:val="20"/>
                <w:szCs w:val="20"/>
                <w:color w:val="auto"/>
              </w:rPr>
            </w:pPr>
            <w:r>
              <w:rPr>
                <w:rFonts w:ascii="Arial" w:cs="Arial" w:eastAsia="Arial" w:hAnsi="Arial"/>
                <w:sz w:val="15"/>
                <w:szCs w:val="15"/>
                <w:color w:val="auto"/>
              </w:rPr>
              <w:t>Vail Resorts, Inc.</w:t>
            </w:r>
          </w:p>
        </w:tc>
      </w:tr>
      <w:tr>
        <w:trPr>
          <w:trHeight w:val="179"/>
        </w:trPr>
        <w:tc>
          <w:tcPr>
            <w:tcW w:w="3320" w:type="dxa"/>
            <w:vAlign w:val="bottom"/>
            <w:gridSpan w:val="2"/>
          </w:tcPr>
          <w:p>
            <w:pPr>
              <w:spacing w:after="0"/>
              <w:rPr>
                <w:sz w:val="20"/>
                <w:szCs w:val="20"/>
                <w:color w:val="auto"/>
              </w:rPr>
            </w:pPr>
            <w:r>
              <w:rPr>
                <w:rFonts w:ascii="Arial" w:cs="Arial" w:eastAsia="Arial" w:hAnsi="Arial"/>
                <w:sz w:val="15"/>
                <w:szCs w:val="15"/>
                <w:color w:val="auto"/>
              </w:rPr>
              <w:t>Hyatt Hotels Corporation</w:t>
            </w:r>
          </w:p>
        </w:tc>
        <w:tc>
          <w:tcPr>
            <w:tcW w:w="7140" w:type="dxa"/>
            <w:vAlign w:val="bottom"/>
          </w:tcPr>
          <w:p>
            <w:pPr>
              <w:ind w:left="2220"/>
              <w:spacing w:after="0"/>
              <w:rPr>
                <w:sz w:val="20"/>
                <w:szCs w:val="20"/>
                <w:color w:val="auto"/>
              </w:rPr>
            </w:pPr>
            <w:r>
              <w:rPr>
                <w:rFonts w:ascii="Arial" w:cs="Arial" w:eastAsia="Arial" w:hAnsi="Arial"/>
                <w:sz w:val="15"/>
                <w:szCs w:val="15"/>
                <w:color w:val="auto"/>
              </w:rPr>
              <w:t>Wyndham Hotels &amp; Resorts, Inc.</w:t>
            </w:r>
          </w:p>
        </w:tc>
      </w:tr>
      <w:tr>
        <w:trPr>
          <w:trHeight w:val="203"/>
        </w:trPr>
        <w:tc>
          <w:tcPr>
            <w:tcW w:w="20" w:type="dxa"/>
            <w:vAlign w:val="bottom"/>
          </w:tcPr>
          <w:p>
            <w:pPr>
              <w:spacing w:after="0"/>
              <w:rPr>
                <w:sz w:val="17"/>
                <w:szCs w:val="17"/>
                <w:color w:val="auto"/>
              </w:rPr>
            </w:pPr>
          </w:p>
        </w:tc>
        <w:tc>
          <w:tcPr>
            <w:tcW w:w="3300" w:type="dxa"/>
            <w:vAlign w:val="bottom"/>
            <w:tcBorders>
              <w:bottom w:val="single" w:sz="8" w:color="004987"/>
            </w:tcBorders>
          </w:tcPr>
          <w:p>
            <w:pPr>
              <w:spacing w:after="0"/>
              <w:rPr>
                <w:sz w:val="17"/>
                <w:szCs w:val="17"/>
                <w:color w:val="auto"/>
              </w:rPr>
            </w:pPr>
          </w:p>
        </w:tc>
        <w:tc>
          <w:tcPr>
            <w:tcW w:w="7140" w:type="dxa"/>
            <w:vAlign w:val="bottom"/>
            <w:tcBorders>
              <w:bottom w:val="single" w:sz="8" w:color="004987"/>
            </w:tcBorders>
          </w:tcPr>
          <w:p>
            <w:pPr>
              <w:ind w:left="2220"/>
              <w:spacing w:after="0"/>
              <w:rPr>
                <w:sz w:val="20"/>
                <w:szCs w:val="20"/>
                <w:color w:val="auto"/>
              </w:rPr>
            </w:pPr>
            <w:r>
              <w:rPr>
                <w:rFonts w:ascii="Arial" w:cs="Arial" w:eastAsia="Arial" w:hAnsi="Arial"/>
                <w:sz w:val="15"/>
                <w:szCs w:val="15"/>
                <w:color w:val="auto"/>
              </w:rPr>
              <w:t>Wynn Resorts, Limited</w:t>
            </w:r>
          </w:p>
        </w:tc>
      </w:tr>
    </w:tbl>
    <w:p>
      <w:pPr>
        <w:spacing w:after="0" w:line="90" w:lineRule="exact"/>
        <w:rPr>
          <w:sz w:val="20"/>
          <w:szCs w:val="20"/>
          <w:color w:val="auto"/>
        </w:rPr>
      </w:pPr>
    </w:p>
    <w:p>
      <w:pPr>
        <w:ind w:left="400" w:right="60"/>
        <w:spacing w:after="0" w:line="259" w:lineRule="auto"/>
        <w:rPr>
          <w:sz w:val="20"/>
          <w:szCs w:val="20"/>
          <w:color w:val="auto"/>
        </w:rPr>
      </w:pPr>
      <w:r>
        <w:rPr>
          <w:rFonts w:ascii="Arial" w:cs="Arial" w:eastAsia="Arial" w:hAnsi="Arial"/>
          <w:sz w:val="15"/>
          <w:szCs w:val="15"/>
          <w:color w:val="auto"/>
        </w:rPr>
        <w:t>In addition, in part due to the fact that there are very few public company direct competitors, the Compensation Policy Committee determined that it was appropriate to consider the compensation practices of a general industry peer group as an additional reference point for its 2021 executive pay decisions. Accordingly, the Compensation Policy Committee considers the compensation practices of a general industry peer group consisting of forty companies in the consumer products industry that participated in Equilar’s Top 25 database (i.e., 20 consumer products companies with revenues greater and 20 consumer products companies with revenues less than the Company’s revenues).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companies that met these objective criteria with revenues greater and less than the Company’s revenues consisted of the following:</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384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Revenues Greater than the Company’s Revenues</w:t>
            </w:r>
          </w:p>
        </w:tc>
        <w:tc>
          <w:tcPr>
            <w:tcW w:w="6620" w:type="dxa"/>
            <w:vAlign w:val="bottom"/>
            <w:tcBorders>
              <w:bottom w:val="single" w:sz="8" w:color="004987"/>
            </w:tcBorders>
            <w:gridSpan w:val="2"/>
          </w:tcPr>
          <w:p>
            <w:pPr>
              <w:ind w:left="1900"/>
              <w:spacing w:after="0"/>
              <w:rPr>
                <w:sz w:val="20"/>
                <w:szCs w:val="20"/>
                <w:color w:val="auto"/>
              </w:rPr>
            </w:pPr>
            <w:r>
              <w:rPr>
                <w:rFonts w:ascii="Arial" w:cs="Arial" w:eastAsia="Arial" w:hAnsi="Arial"/>
                <w:sz w:val="14"/>
                <w:szCs w:val="14"/>
                <w:b w:val="1"/>
                <w:bCs w:val="1"/>
                <w:color w:val="004987"/>
              </w:rPr>
              <w:t>Revenues Less than the Company’s Revenues</w:t>
            </w:r>
          </w:p>
        </w:tc>
      </w:tr>
      <w:tr>
        <w:trPr>
          <w:trHeight w:val="167"/>
        </w:trPr>
        <w:tc>
          <w:tcPr>
            <w:tcW w:w="3840" w:type="dxa"/>
            <w:vAlign w:val="bottom"/>
          </w:tcPr>
          <w:p>
            <w:pPr>
              <w:spacing w:after="0" w:line="167" w:lineRule="exact"/>
              <w:rPr>
                <w:sz w:val="20"/>
                <w:szCs w:val="20"/>
                <w:color w:val="auto"/>
              </w:rPr>
            </w:pPr>
            <w:r>
              <w:rPr>
                <w:rFonts w:ascii="Arial" w:cs="Arial" w:eastAsia="Arial" w:hAnsi="Arial"/>
                <w:sz w:val="15"/>
                <w:szCs w:val="15"/>
                <w:color w:val="auto"/>
              </w:rPr>
              <w:t>Advance Auto Parts, Inc.</w:t>
            </w:r>
          </w:p>
        </w:tc>
        <w:tc>
          <w:tcPr>
            <w:tcW w:w="6620" w:type="dxa"/>
            <w:vAlign w:val="bottom"/>
            <w:gridSpan w:val="2"/>
          </w:tcPr>
          <w:p>
            <w:pPr>
              <w:ind w:left="1900"/>
              <w:spacing w:after="0" w:line="167" w:lineRule="exact"/>
              <w:rPr>
                <w:sz w:val="20"/>
                <w:szCs w:val="20"/>
                <w:color w:val="auto"/>
              </w:rPr>
            </w:pPr>
            <w:r>
              <w:rPr>
                <w:rFonts w:ascii="Arial" w:cs="Arial" w:eastAsia="Arial" w:hAnsi="Arial"/>
                <w:sz w:val="15"/>
                <w:szCs w:val="15"/>
                <w:color w:val="auto"/>
              </w:rPr>
              <w:t>Abercrombie &amp; Fitch Co.</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Big Lots, Inc.</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American Eagle Outfitters, Inc.</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Burlington Stores, Inc.</w:t>
            </w:r>
          </w:p>
        </w:tc>
        <w:tc>
          <w:tcPr>
            <w:tcW w:w="3480" w:type="dxa"/>
            <w:vAlign w:val="bottom"/>
          </w:tcPr>
          <w:p>
            <w:pPr>
              <w:ind w:left="1900"/>
              <w:spacing w:after="0"/>
              <w:rPr>
                <w:sz w:val="20"/>
                <w:szCs w:val="20"/>
                <w:color w:val="auto"/>
              </w:rPr>
            </w:pPr>
            <w:r>
              <w:rPr>
                <w:rFonts w:ascii="Arial" w:cs="Arial" w:eastAsia="Arial" w:hAnsi="Arial"/>
                <w:sz w:val="15"/>
                <w:szCs w:val="15"/>
                <w:color w:val="auto"/>
              </w:rPr>
              <w:t>Bloomin’ Brands, Inc.</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Church &amp; Dwight Co., Inc</w:t>
            </w:r>
          </w:p>
        </w:tc>
        <w:tc>
          <w:tcPr>
            <w:tcW w:w="3480" w:type="dxa"/>
            <w:vAlign w:val="bottom"/>
          </w:tcPr>
          <w:p>
            <w:pPr>
              <w:ind w:left="1900"/>
              <w:spacing w:after="0"/>
              <w:rPr>
                <w:sz w:val="20"/>
                <w:szCs w:val="20"/>
                <w:color w:val="auto"/>
              </w:rPr>
            </w:pPr>
            <w:r>
              <w:rPr>
                <w:rFonts w:ascii="Arial" w:cs="Arial" w:eastAsia="Arial" w:hAnsi="Arial"/>
                <w:sz w:val="15"/>
                <w:szCs w:val="15"/>
                <w:color w:val="auto"/>
              </w:rPr>
              <w:t>Brunswick Corporation</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DICK’S Sporting Goods, Inc.</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Callaway Golf Company</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Foot Locker, Inc.</w:t>
            </w:r>
          </w:p>
        </w:tc>
        <w:tc>
          <w:tcPr>
            <w:tcW w:w="3480" w:type="dxa"/>
            <w:vAlign w:val="bottom"/>
          </w:tcPr>
          <w:p>
            <w:pPr>
              <w:ind w:left="1900"/>
              <w:spacing w:after="0"/>
              <w:rPr>
                <w:sz w:val="20"/>
                <w:szCs w:val="20"/>
                <w:color w:val="auto"/>
              </w:rPr>
            </w:pPr>
            <w:r>
              <w:rPr>
                <w:rFonts w:ascii="Arial" w:cs="Arial" w:eastAsia="Arial" w:hAnsi="Arial"/>
                <w:sz w:val="15"/>
                <w:szCs w:val="15"/>
                <w:color w:val="auto"/>
              </w:rPr>
              <w:t>Cedar Fair, L.P.</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Hilton Worldwide Holdings Inc.</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Columbia Sportswear Company</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Hyatt Hotels Corporation</w:t>
            </w:r>
          </w:p>
        </w:tc>
        <w:tc>
          <w:tcPr>
            <w:tcW w:w="3480" w:type="dxa"/>
            <w:vAlign w:val="bottom"/>
          </w:tcPr>
          <w:p>
            <w:pPr>
              <w:ind w:left="1900"/>
              <w:spacing w:after="0"/>
              <w:rPr>
                <w:sz w:val="20"/>
                <w:szCs w:val="20"/>
                <w:color w:val="auto"/>
              </w:rPr>
            </w:pPr>
            <w:r>
              <w:rPr>
                <w:rFonts w:ascii="Arial" w:cs="Arial" w:eastAsia="Arial" w:hAnsi="Arial"/>
                <w:sz w:val="15"/>
                <w:szCs w:val="15"/>
                <w:color w:val="auto"/>
              </w:rPr>
              <w:t>Domino’s Pizza, Inc.</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Leggett &amp; Platt, Incorporated</w:t>
            </w:r>
          </w:p>
        </w:tc>
        <w:tc>
          <w:tcPr>
            <w:tcW w:w="3480" w:type="dxa"/>
            <w:vAlign w:val="bottom"/>
          </w:tcPr>
          <w:p>
            <w:pPr>
              <w:ind w:left="1900"/>
              <w:spacing w:after="0"/>
              <w:rPr>
                <w:sz w:val="20"/>
                <w:szCs w:val="20"/>
                <w:color w:val="auto"/>
              </w:rPr>
            </w:pPr>
            <w:r>
              <w:rPr>
                <w:rFonts w:ascii="Arial" w:cs="Arial" w:eastAsia="Arial" w:hAnsi="Arial"/>
                <w:sz w:val="15"/>
                <w:szCs w:val="15"/>
                <w:color w:val="auto"/>
              </w:rPr>
              <w:t>Express, Inc.</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Levi Strauss &amp; Co.</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Hilton Grand Vacations Inc.</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Mahwah Bergen Retail Group, Inc.</w:t>
            </w:r>
          </w:p>
        </w:tc>
        <w:tc>
          <w:tcPr>
            <w:tcW w:w="3480" w:type="dxa"/>
            <w:vAlign w:val="bottom"/>
          </w:tcPr>
          <w:p>
            <w:pPr>
              <w:ind w:left="1900"/>
              <w:spacing w:after="0"/>
              <w:rPr>
                <w:sz w:val="20"/>
                <w:szCs w:val="20"/>
                <w:color w:val="auto"/>
              </w:rPr>
            </w:pPr>
            <w:r>
              <w:rPr>
                <w:rFonts w:ascii="Arial" w:cs="Arial" w:eastAsia="Arial" w:hAnsi="Arial"/>
                <w:sz w:val="15"/>
                <w:szCs w:val="15"/>
                <w:color w:val="auto"/>
              </w:rPr>
              <w:t>Steelcase Inc.</w:t>
            </w:r>
          </w:p>
        </w:tc>
        <w:tc>
          <w:tcPr>
            <w:tcW w:w="3140" w:type="dxa"/>
            <w:vAlign w:val="bottom"/>
          </w:tcPr>
          <w:p>
            <w:pPr>
              <w:spacing w:after="0"/>
              <w:rPr>
                <w:sz w:val="15"/>
                <w:szCs w:val="15"/>
                <w:color w:val="auto"/>
              </w:rPr>
            </w:pPr>
          </w:p>
        </w:tc>
      </w:tr>
      <w:tr>
        <w:trPr>
          <w:trHeight w:val="179"/>
        </w:trPr>
        <w:tc>
          <w:tcPr>
            <w:tcW w:w="3840" w:type="dxa"/>
            <w:vAlign w:val="bottom"/>
          </w:tcPr>
          <w:p>
            <w:pPr>
              <w:ind w:left="140"/>
              <w:spacing w:after="0"/>
              <w:rPr>
                <w:sz w:val="20"/>
                <w:szCs w:val="20"/>
                <w:color w:val="auto"/>
              </w:rPr>
            </w:pPr>
            <w:r>
              <w:rPr>
                <w:rFonts w:ascii="Arial" w:cs="Arial" w:eastAsia="Arial" w:hAnsi="Arial"/>
                <w:sz w:val="15"/>
                <w:szCs w:val="15"/>
                <w:color w:val="auto"/>
              </w:rPr>
              <w:t>(formerly known as Ascena Retail Group, Inc.)</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The Aaron’s Company, Inc.</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Newell Brands Inc.</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The Cheesecake Factory Incorporated</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Ralph Lauren Corporation</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The E.W. Scripps Company</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The Hershey Company</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The New York Times Company</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The J.M. Smucker Company</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The Wendy’s Company</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Tractor Supply Company</w:t>
            </w:r>
          </w:p>
        </w:tc>
        <w:tc>
          <w:tcPr>
            <w:tcW w:w="3480" w:type="dxa"/>
            <w:vAlign w:val="bottom"/>
          </w:tcPr>
          <w:p>
            <w:pPr>
              <w:ind w:left="1900"/>
              <w:spacing w:after="0"/>
              <w:rPr>
                <w:sz w:val="20"/>
                <w:szCs w:val="20"/>
                <w:color w:val="auto"/>
              </w:rPr>
            </w:pPr>
            <w:r>
              <w:rPr>
                <w:rFonts w:ascii="Arial" w:cs="Arial" w:eastAsia="Arial" w:hAnsi="Arial"/>
                <w:sz w:val="15"/>
                <w:szCs w:val="15"/>
                <w:color w:val="auto"/>
              </w:rPr>
              <w:t>Tripadvisor, Inc.</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Ulta Beauty, Inc.</w:t>
            </w:r>
          </w:p>
        </w:tc>
        <w:tc>
          <w:tcPr>
            <w:tcW w:w="6620" w:type="dxa"/>
            <w:vAlign w:val="bottom"/>
            <w:gridSpan w:val="2"/>
          </w:tcPr>
          <w:p>
            <w:pPr>
              <w:ind w:left="1900"/>
              <w:spacing w:after="0"/>
              <w:rPr>
                <w:sz w:val="20"/>
                <w:szCs w:val="20"/>
                <w:color w:val="auto"/>
              </w:rPr>
            </w:pPr>
            <w:r>
              <w:rPr>
                <w:rFonts w:ascii="Arial" w:cs="Arial" w:eastAsia="Arial" w:hAnsi="Arial"/>
                <w:sz w:val="15"/>
                <w:szCs w:val="15"/>
                <w:color w:val="auto"/>
              </w:rPr>
              <w:t>Wolverine World Wide, Inc.</w:t>
            </w: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UnderArmour, Inc.</w:t>
            </w:r>
          </w:p>
        </w:tc>
        <w:tc>
          <w:tcPr>
            <w:tcW w:w="3480" w:type="dxa"/>
            <w:vAlign w:val="bottom"/>
          </w:tcPr>
          <w:p>
            <w:pPr>
              <w:ind w:left="1900"/>
              <w:spacing w:after="0"/>
              <w:rPr>
                <w:sz w:val="20"/>
                <w:szCs w:val="20"/>
                <w:color w:val="auto"/>
              </w:rPr>
            </w:pPr>
            <w:r>
              <w:rPr>
                <w:rFonts w:ascii="Arial" w:cs="Arial" w:eastAsia="Arial" w:hAnsi="Arial"/>
                <w:sz w:val="15"/>
                <w:szCs w:val="15"/>
                <w:color w:val="auto"/>
              </w:rPr>
              <w:t>Travel + Leisure Co.</w:t>
            </w:r>
          </w:p>
        </w:tc>
        <w:tc>
          <w:tcPr>
            <w:tcW w:w="3140" w:type="dxa"/>
            <w:vAlign w:val="bottom"/>
          </w:tcPr>
          <w:p>
            <w:pPr>
              <w:spacing w:after="0"/>
              <w:rPr>
                <w:sz w:val="15"/>
                <w:szCs w:val="15"/>
                <w:color w:val="auto"/>
              </w:rPr>
            </w:pPr>
          </w:p>
        </w:tc>
      </w:tr>
      <w:tr>
        <w:trPr>
          <w:trHeight w:val="179"/>
        </w:trPr>
        <w:tc>
          <w:tcPr>
            <w:tcW w:w="3840" w:type="dxa"/>
            <w:vAlign w:val="bottom"/>
          </w:tcPr>
          <w:p>
            <w:pPr>
              <w:spacing w:after="0"/>
              <w:rPr>
                <w:sz w:val="20"/>
                <w:szCs w:val="20"/>
                <w:color w:val="auto"/>
              </w:rPr>
            </w:pPr>
            <w:r>
              <w:rPr>
                <w:rFonts w:ascii="Arial" w:cs="Arial" w:eastAsia="Arial" w:hAnsi="Arial"/>
                <w:sz w:val="15"/>
                <w:szCs w:val="15"/>
                <w:color w:val="auto"/>
              </w:rPr>
              <w:t>V.F. Corporation</w:t>
            </w:r>
          </w:p>
        </w:tc>
        <w:tc>
          <w:tcPr>
            <w:tcW w:w="6620" w:type="dxa"/>
            <w:vAlign w:val="bottom"/>
            <w:gridSpan w:val="2"/>
          </w:tcPr>
          <w:p>
            <w:pPr>
              <w:ind w:left="2060"/>
              <w:spacing w:after="0"/>
              <w:rPr>
                <w:sz w:val="20"/>
                <w:szCs w:val="20"/>
                <w:color w:val="auto"/>
              </w:rPr>
            </w:pPr>
            <w:r>
              <w:rPr>
                <w:rFonts w:ascii="Arial" w:cs="Arial" w:eastAsia="Arial" w:hAnsi="Arial"/>
                <w:sz w:val="15"/>
                <w:szCs w:val="15"/>
                <w:color w:val="auto"/>
              </w:rPr>
              <w:t>(formerly known as Wyndham Destinations, Inc.)</w:t>
            </w:r>
          </w:p>
        </w:tc>
      </w:tr>
      <w:tr>
        <w:trPr>
          <w:trHeight w:val="203"/>
        </w:trPr>
        <w:tc>
          <w:tcPr>
            <w:tcW w:w="384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Yum! Brands, Inc.</w:t>
            </w:r>
          </w:p>
        </w:tc>
        <w:tc>
          <w:tcPr>
            <w:tcW w:w="3480" w:type="dxa"/>
            <w:vAlign w:val="bottom"/>
            <w:tcBorders>
              <w:bottom w:val="single" w:sz="8" w:color="004987"/>
            </w:tcBorders>
          </w:tcPr>
          <w:p>
            <w:pPr>
              <w:ind w:left="1900"/>
              <w:spacing w:after="0"/>
              <w:rPr>
                <w:sz w:val="20"/>
                <w:szCs w:val="20"/>
                <w:color w:val="auto"/>
              </w:rPr>
            </w:pPr>
            <w:r>
              <w:rPr>
                <w:rFonts w:ascii="Arial" w:cs="Arial" w:eastAsia="Arial" w:hAnsi="Arial"/>
                <w:sz w:val="15"/>
                <w:szCs w:val="15"/>
                <w:color w:val="auto"/>
              </w:rPr>
              <w:t>Zillow Group, Inc.</w:t>
            </w:r>
          </w:p>
        </w:tc>
        <w:tc>
          <w:tcPr>
            <w:tcW w:w="3140" w:type="dxa"/>
            <w:vAlign w:val="bottom"/>
            <w:tcBorders>
              <w:bottom w:val="single" w:sz="8" w:color="004987"/>
            </w:tcBorders>
          </w:tcPr>
          <w:p>
            <w:pPr>
              <w:spacing w:after="0"/>
              <w:rPr>
                <w:sz w:val="17"/>
                <w:szCs w:val="17"/>
                <w:color w:val="auto"/>
              </w:rPr>
            </w:pPr>
          </w:p>
        </w:tc>
      </w:tr>
      <w:tr>
        <w:trPr>
          <w:trHeight w:val="251"/>
        </w:trPr>
        <w:tc>
          <w:tcPr>
            <w:tcW w:w="3840" w:type="dxa"/>
            <w:vAlign w:val="bottom"/>
            <w:tcBorders>
              <w:bottom w:val="single" w:sz="8" w:color="004987"/>
            </w:tcBorders>
          </w:tcPr>
          <w:p>
            <w:pPr>
              <w:spacing w:after="0"/>
              <w:rPr>
                <w:sz w:val="20"/>
                <w:szCs w:val="20"/>
                <w:color w:val="auto"/>
              </w:rPr>
            </w:pPr>
            <w:r>
              <w:rPr>
                <w:rFonts w:ascii="Arial" w:cs="Arial" w:eastAsia="Arial" w:hAnsi="Arial"/>
                <w:sz w:val="10"/>
                <w:szCs w:val="10"/>
                <w:b w:val="1"/>
                <w:bCs w:val="1"/>
                <w:color w:val="004987"/>
              </w:rPr>
              <w:t>26</w:t>
            </w:r>
          </w:p>
        </w:tc>
        <w:tc>
          <w:tcPr>
            <w:tcW w:w="3480" w:type="dxa"/>
            <w:vAlign w:val="bottom"/>
            <w:tcBorders>
              <w:bottom w:val="single" w:sz="8" w:color="004987"/>
            </w:tcBorders>
          </w:tcPr>
          <w:p>
            <w:pPr>
              <w:ind w:left="540"/>
              <w:spacing w:after="0"/>
              <w:rPr>
                <w:sz w:val="20"/>
                <w:szCs w:val="20"/>
                <w:color w:val="auto"/>
              </w:rPr>
            </w:pPr>
            <w:r>
              <w:rPr>
                <w:rFonts w:ascii="Arial" w:cs="Arial" w:eastAsia="Arial" w:hAnsi="Arial"/>
                <w:sz w:val="10"/>
                <w:szCs w:val="10"/>
                <w:color w:val="auto"/>
              </w:rPr>
              <w:t>Executive and Director Compensation</w:t>
            </w:r>
          </w:p>
        </w:tc>
        <w:tc>
          <w:tcPr>
            <w:tcW w:w="3140" w:type="dxa"/>
            <w:vAlign w:val="bottom"/>
            <w:tcBorders>
              <w:bottom w:val="single" w:sz="8" w:color="004987"/>
            </w:tcBorders>
          </w:tcPr>
          <w:p>
            <w:pPr>
              <w:ind w:left="20"/>
              <w:spacing w:after="0"/>
              <w:rPr>
                <w:sz w:val="20"/>
                <w:szCs w:val="20"/>
                <w:color w:val="auto"/>
              </w:rPr>
            </w:pP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tc>
      </w:tr>
    </w:tbl>
    <w:p>
      <w:pPr>
        <w:sectPr>
          <w:pgSz w:w="11900" w:h="16838" w:orient="portrait"/>
          <w:cols w:equalWidth="0" w:num="1">
            <w:col w:w="10860"/>
          </w:cols>
          <w:pgMar w:left="320" w:top="440" w:right="719" w:bottom="1440" w:gutter="0" w:footer="0" w:header="0"/>
        </w:sectPr>
      </w:pPr>
    </w:p>
    <w:bookmarkStart w:id="31" w:name="page32"/>
    <w:bookmarkEnd w:id="3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2" w:lineRule="exact"/>
        <w:rPr>
          <w:sz w:val="20"/>
          <w:szCs w:val="20"/>
          <w:color w:val="auto"/>
        </w:rPr>
      </w:pPr>
    </w:p>
    <w:p>
      <w:pPr>
        <w:ind w:left="920"/>
        <w:spacing w:after="0"/>
        <w:rPr>
          <w:sz w:val="20"/>
          <w:szCs w:val="20"/>
          <w:color w:val="auto"/>
        </w:rPr>
      </w:pPr>
      <w:r>
        <w:rPr>
          <w:rFonts w:ascii="Arial" w:cs="Arial" w:eastAsia="Arial" w:hAnsi="Arial"/>
          <w:sz w:val="19"/>
          <w:szCs w:val="19"/>
          <w:b w:val="1"/>
          <w:bCs w:val="1"/>
          <w:i w:val="1"/>
          <w:iCs w:val="1"/>
          <w:color w:val="auto"/>
        </w:rPr>
        <w:t>Tally Sheets</w:t>
      </w:r>
    </w:p>
    <w:p>
      <w:pPr>
        <w:spacing w:after="0" w:line="96" w:lineRule="exact"/>
        <w:rPr>
          <w:sz w:val="20"/>
          <w:szCs w:val="20"/>
          <w:color w:val="auto"/>
        </w:rPr>
      </w:pPr>
    </w:p>
    <w:p>
      <w:pPr>
        <w:ind w:left="400" w:right="140"/>
        <w:spacing w:after="0" w:line="259" w:lineRule="auto"/>
        <w:rPr>
          <w:sz w:val="20"/>
          <w:szCs w:val="20"/>
          <w:color w:val="auto"/>
        </w:rPr>
      </w:pPr>
      <w:r>
        <w:rPr>
          <w:rFonts w:ascii="Arial" w:cs="Arial" w:eastAsia="Arial" w:hAnsi="Arial"/>
          <w:sz w:val="15"/>
          <w:szCs w:val="15"/>
          <w:color w:val="auto"/>
        </w:rPr>
        <w:t>On an annual basis, the Compensation Policy Committee reviews “tally sheets” prepared by management for each of the named executive officers. The tally sheet includes, among other things, total annual compensation, the value of unexercised or unvested equity compensation awards, and amounts payable upon termination of employment under various circumstances, including following a change in control. The Compensation Policy Committee did not recommend specific changes to the executive compensation program for 2021 in response to a review of tally sheets in 2021, although it used the tally sheet information as one data point when considering executive compensation matters.</w:t>
      </w:r>
    </w:p>
    <w:p>
      <w:pPr>
        <w:spacing w:after="0" w:line="265"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Role of the Compensation Policy Committee</w:t>
      </w:r>
    </w:p>
    <w:p>
      <w:pPr>
        <w:spacing w:after="0" w:line="98" w:lineRule="exact"/>
        <w:rPr>
          <w:sz w:val="20"/>
          <w:szCs w:val="20"/>
          <w:color w:val="auto"/>
        </w:rPr>
      </w:pPr>
    </w:p>
    <w:p>
      <w:pPr>
        <w:ind w:left="400" w:right="160"/>
        <w:spacing w:after="0" w:line="257" w:lineRule="auto"/>
        <w:rPr>
          <w:sz w:val="20"/>
          <w:szCs w:val="20"/>
          <w:color w:val="auto"/>
        </w:rPr>
      </w:pPr>
      <w:r>
        <w:rPr>
          <w:rFonts w:ascii="Arial" w:cs="Arial" w:eastAsia="Arial" w:hAnsi="Arial"/>
          <w:sz w:val="15"/>
          <w:szCs w:val="15"/>
          <w:color w:val="auto"/>
        </w:rPr>
        <w:t>Our Compensation Policy Committee is responsible for reviewing and approving the Company’s executive compensation policies and plan designs, including compensation of our named executive officers. The Compensation Policy Committee considers various factors in determining compensation levels for named executive officers, including the officer’s responsibilities and performance, the effectiveness of our programs in supporting the Company’s short- and long-term strategic objectives, and overall financial performance. Additionally, our Compensation Policy Committee Chair, Dianna F. Morgan, with input from our Chairman, William J. Shaw, makes recommendations to the Compensation Policy Committee with respect to the compensation of our CEO, Mr. Weisz.</w:t>
      </w:r>
    </w:p>
    <w:p>
      <w:pPr>
        <w:spacing w:after="0" w:line="71" w:lineRule="exact"/>
        <w:rPr>
          <w:sz w:val="20"/>
          <w:szCs w:val="20"/>
          <w:color w:val="auto"/>
        </w:rPr>
      </w:pPr>
    </w:p>
    <w:p>
      <w:pPr>
        <w:ind w:left="400" w:right="500"/>
        <w:spacing w:after="0" w:line="269" w:lineRule="auto"/>
        <w:rPr>
          <w:sz w:val="20"/>
          <w:szCs w:val="20"/>
          <w:color w:val="auto"/>
        </w:rPr>
      </w:pPr>
      <w:r>
        <w:rPr>
          <w:rFonts w:ascii="Arial" w:cs="Arial" w:eastAsia="Arial" w:hAnsi="Arial"/>
          <w:sz w:val="15"/>
          <w:szCs w:val="15"/>
          <w:color w:val="auto"/>
        </w:rPr>
        <w:t>To this end, our Compensation Policy Committee conducts an annual review of executive officer pay levels, reviews market data provided by the independent consultant, and approves changes to program designs, based on an assessment of competitive market practice and emerging trends. Additionally, the Compensation Policy Committee evaluates the risks associated with the Company’s executive compensation programs.</w:t>
      </w:r>
    </w:p>
    <w:p>
      <w:pPr>
        <w:spacing w:after="0" w:line="61" w:lineRule="exact"/>
        <w:rPr>
          <w:sz w:val="20"/>
          <w:szCs w:val="20"/>
          <w:color w:val="auto"/>
        </w:rPr>
      </w:pPr>
    </w:p>
    <w:p>
      <w:pPr>
        <w:ind w:left="400" w:right="140"/>
        <w:spacing w:after="0" w:line="289" w:lineRule="auto"/>
        <w:rPr>
          <w:sz w:val="20"/>
          <w:szCs w:val="20"/>
          <w:color w:val="auto"/>
        </w:rPr>
      </w:pPr>
      <w:r>
        <w:rPr>
          <w:rFonts w:ascii="Arial" w:cs="Arial" w:eastAsia="Arial" w:hAnsi="Arial"/>
          <w:sz w:val="15"/>
          <w:szCs w:val="15"/>
          <w:color w:val="auto"/>
        </w:rPr>
        <w:t>Our Compensation Policy Committee approved the total compensation packages for each of the named executive officers, including base salary, annual bonus targets, actual bonuses earned, and equity awards.</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Role of the Compensation Consultant</w:t>
      </w:r>
    </w:p>
    <w:p>
      <w:pPr>
        <w:spacing w:after="0" w:line="98" w:lineRule="exact"/>
        <w:rPr>
          <w:sz w:val="20"/>
          <w:szCs w:val="20"/>
          <w:color w:val="auto"/>
        </w:rPr>
      </w:pPr>
    </w:p>
    <w:p>
      <w:pPr>
        <w:ind w:left="400" w:right="100"/>
        <w:spacing w:after="0" w:line="256" w:lineRule="auto"/>
        <w:rPr>
          <w:sz w:val="20"/>
          <w:szCs w:val="20"/>
          <w:color w:val="auto"/>
        </w:rPr>
      </w:pPr>
      <w:r>
        <w:rPr>
          <w:rFonts w:ascii="Arial" w:cs="Arial" w:eastAsia="Arial" w:hAnsi="Arial"/>
          <w:sz w:val="15"/>
          <w:szCs w:val="15"/>
          <w:color w:val="auto"/>
        </w:rPr>
        <w:t>In 2021, the Compensation Policy Committee engaged Exequity to provide executive compensation consulting services. Exequity’s services to the Compensation Policy Committee have included updates on best practices and market trends in executive and director compensation, recommendations regarding executive and director compensation, and an independent review of compensation proposals by the Company’s senior management. Exequity attended meetings of the Compensation Policy Committee at the Committee’s request and was available to provide guidance as questions and issues arose. During 2021, Exequity did not perform any services for the Company other than in connection with providing advice and recommendations on executive and director compensation. The Compensation Policy Committee determined that Exequity is independent after consideration of the SEC independence factors.</w:t>
      </w:r>
    </w:p>
    <w:p>
      <w:pPr>
        <w:spacing w:after="0" w:line="26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Role of Management</w:t>
      </w:r>
    </w:p>
    <w:p>
      <w:pPr>
        <w:spacing w:after="0" w:line="98" w:lineRule="exact"/>
        <w:rPr>
          <w:sz w:val="20"/>
          <w:szCs w:val="20"/>
          <w:color w:val="auto"/>
        </w:rPr>
      </w:pPr>
    </w:p>
    <w:p>
      <w:pPr>
        <w:ind w:left="400" w:right="60"/>
        <w:spacing w:after="0" w:line="259" w:lineRule="auto"/>
        <w:rPr>
          <w:sz w:val="20"/>
          <w:szCs w:val="20"/>
          <w:color w:val="auto"/>
        </w:rPr>
      </w:pPr>
      <w:r>
        <w:rPr>
          <w:rFonts w:ascii="Arial" w:cs="Arial" w:eastAsia="Arial" w:hAnsi="Arial"/>
          <w:sz w:val="15"/>
          <w:szCs w:val="15"/>
          <w:color w:val="auto"/>
        </w:rPr>
        <w:t>At the request of the Compensation Policy Committee, the CEO presents individual pay recommendations for each of the named executive officers, other than himself. In forming his recommendations, he is advised by human resources management, including our Chief Human Resources Officer and our Senior Vice President, Global Rewards &amp; HRIS, and the independent compensation consultant with regard to assessment of individual contributions, achievement of performance objectives and other qualitative factors. The Compensation Policy Committee considers these recommendations in approving the pay levels of each named executive officer. The CEO does not make recommendations concerning his own compensation.</w:t>
      </w:r>
    </w:p>
    <w:p>
      <w:pPr>
        <w:spacing w:after="0" w:line="69" w:lineRule="exact"/>
        <w:rPr>
          <w:sz w:val="20"/>
          <w:szCs w:val="20"/>
          <w:color w:val="auto"/>
        </w:rPr>
      </w:pPr>
    </w:p>
    <w:p>
      <w:pPr>
        <w:jc w:val="both"/>
        <w:ind w:left="400" w:right="220"/>
        <w:spacing w:after="0" w:line="269" w:lineRule="auto"/>
        <w:rPr>
          <w:sz w:val="20"/>
          <w:szCs w:val="20"/>
          <w:color w:val="auto"/>
        </w:rPr>
      </w:pPr>
      <w:r>
        <w:rPr>
          <w:rFonts w:ascii="Arial" w:cs="Arial" w:eastAsia="Arial" w:hAnsi="Arial"/>
          <w:sz w:val="15"/>
          <w:szCs w:val="15"/>
          <w:color w:val="auto"/>
        </w:rPr>
        <w:t>The CEO and members of human resources management regularly attend Compensation Policy Committee meetings. Human resources management typically presents recommendations for changes to program designs and individual pay levels for executive officers, taking into consideration individual performance of each incumbent, appropriate benchmarking information and issues that may arise from an accounting, legal or tax perspective.</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ANALYSIS OF EACH COMPENSATION ELEMENT</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Base Salary</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February 2021, the Compensation Policy Committee approved the following base salaries for the named executive officers: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358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3820" w:type="dxa"/>
            <w:vAlign w:val="bottom"/>
            <w:tcBorders>
              <w:bottom w:val="single" w:sz="8" w:color="004987"/>
            </w:tcBorders>
            <w:gridSpan w:val="2"/>
          </w:tcPr>
          <w:p>
            <w:pPr>
              <w:ind w:left="2460"/>
              <w:spacing w:after="0"/>
              <w:rPr>
                <w:sz w:val="20"/>
                <w:szCs w:val="20"/>
                <w:color w:val="auto"/>
              </w:rPr>
            </w:pPr>
            <w:r>
              <w:rPr>
                <w:rFonts w:ascii="Arial" w:cs="Arial" w:eastAsia="Arial" w:hAnsi="Arial"/>
                <w:sz w:val="14"/>
                <w:szCs w:val="14"/>
                <w:b w:val="1"/>
                <w:bCs w:val="1"/>
                <w:color w:val="004987"/>
              </w:rPr>
              <w:t>2021 Base Salary</w:t>
            </w:r>
          </w:p>
        </w:tc>
        <w:tc>
          <w:tcPr>
            <w:tcW w:w="1580" w:type="dxa"/>
            <w:vAlign w:val="bottom"/>
            <w:tcBorders>
              <w:bottom w:val="single" w:sz="8" w:color="004987"/>
            </w:tcBorders>
            <w:gridSpan w:val="2"/>
          </w:tcPr>
          <w:p>
            <w:pPr>
              <w:ind w:left="220"/>
              <w:spacing w:after="0"/>
              <w:rPr>
                <w:sz w:val="20"/>
                <w:szCs w:val="20"/>
                <w:color w:val="auto"/>
              </w:rPr>
            </w:pPr>
            <w:r>
              <w:rPr>
                <w:rFonts w:ascii="Arial" w:cs="Arial" w:eastAsia="Arial" w:hAnsi="Arial"/>
                <w:sz w:val="14"/>
                <w:szCs w:val="14"/>
                <w:b w:val="1"/>
                <w:bCs w:val="1"/>
                <w:color w:val="004987"/>
              </w:rPr>
              <w:t>2020 Base Salary</w:t>
            </w:r>
          </w:p>
        </w:tc>
        <w:tc>
          <w:tcPr>
            <w:tcW w:w="1480" w:type="dxa"/>
            <w:vAlign w:val="bottom"/>
            <w:tcBorders>
              <w:bottom w:val="single" w:sz="8" w:color="004987"/>
            </w:tcBorders>
          </w:tcPr>
          <w:p>
            <w:pPr>
              <w:jc w:val="right"/>
              <w:ind w:right="125"/>
              <w:spacing w:after="0"/>
              <w:rPr>
                <w:sz w:val="20"/>
                <w:szCs w:val="20"/>
                <w:color w:val="auto"/>
              </w:rPr>
            </w:pPr>
            <w:r>
              <w:rPr>
                <w:rFonts w:ascii="Arial" w:cs="Arial" w:eastAsia="Arial" w:hAnsi="Arial"/>
                <w:sz w:val="14"/>
                <w:szCs w:val="14"/>
                <w:b w:val="1"/>
                <w:bCs w:val="1"/>
                <w:color w:val="004987"/>
              </w:rPr>
              <w:t>Percent Change</w:t>
            </w:r>
          </w:p>
        </w:tc>
      </w:tr>
      <w:tr>
        <w:trPr>
          <w:trHeight w:val="179"/>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Weisz</w:t>
            </w:r>
          </w:p>
        </w:tc>
        <w:tc>
          <w:tcPr>
            <w:tcW w:w="2720" w:type="dxa"/>
            <w:vAlign w:val="bottom"/>
            <w:tcBorders>
              <w:bottom w:val="single" w:sz="8" w:color="auto"/>
            </w:tcBorders>
          </w:tcPr>
          <w:p>
            <w:pPr>
              <w:ind w:left="24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1,000,000</w:t>
            </w: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985,000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w:t>
            </w:r>
          </w:p>
        </w:tc>
      </w:tr>
      <w:tr>
        <w:trPr>
          <w:trHeight w:val="172"/>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Geller</w:t>
            </w:r>
          </w:p>
        </w:tc>
        <w:tc>
          <w:tcPr>
            <w:tcW w:w="2720" w:type="dxa"/>
            <w:vAlign w:val="bottom"/>
            <w:tcBorders>
              <w:bottom w:val="single" w:sz="8" w:color="auto"/>
            </w:tcBorders>
          </w:tcPr>
          <w:p>
            <w:pPr>
              <w:ind w:left="24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675,000</w:t>
            </w: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631,000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6.97%</w:t>
            </w:r>
          </w:p>
        </w:tc>
      </w:tr>
      <w:tr>
        <w:trPr>
          <w:trHeight w:val="172"/>
        </w:trPr>
        <w:tc>
          <w:tcPr>
            <w:tcW w:w="3580" w:type="dxa"/>
            <w:vAlign w:val="bottom"/>
            <w:tcBorders>
              <w:bottom w:val="single" w:sz="8" w:color="auto"/>
            </w:tcBorders>
          </w:tcPr>
          <w:p>
            <w:pPr>
              <w:spacing w:after="0" w:line="173" w:lineRule="exact"/>
              <w:rPr>
                <w:sz w:val="20"/>
                <w:szCs w:val="20"/>
                <w:color w:val="auto"/>
              </w:rPr>
            </w:pPr>
            <w:r>
              <w:rPr>
                <w:rFonts w:ascii="Arial" w:cs="Arial" w:eastAsia="Arial" w:hAnsi="Arial"/>
                <w:sz w:val="12"/>
                <w:szCs w:val="12"/>
                <w:color w:val="auto"/>
              </w:rPr>
              <w:t>Mr. Terry</w:t>
            </w:r>
            <w:r>
              <w:rPr>
                <w:rFonts w:ascii="Arial" w:cs="Arial" w:eastAsia="Arial" w:hAnsi="Arial"/>
                <w:sz w:val="19"/>
                <w:szCs w:val="19"/>
                <w:color w:val="auto"/>
                <w:vertAlign w:val="superscript"/>
              </w:rPr>
              <w:t>1</w:t>
            </w:r>
          </w:p>
        </w:tc>
        <w:tc>
          <w:tcPr>
            <w:tcW w:w="2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172"/>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Cunningham</w:t>
            </w:r>
          </w:p>
        </w:tc>
        <w:tc>
          <w:tcPr>
            <w:tcW w:w="2720" w:type="dxa"/>
            <w:vAlign w:val="bottom"/>
            <w:tcBorders>
              <w:bottom w:val="single" w:sz="8" w:color="auto"/>
            </w:tcBorders>
          </w:tcPr>
          <w:p>
            <w:pPr>
              <w:ind w:left="24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510,000</w:t>
            </w: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495,000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r>
      <w:tr>
        <w:trPr>
          <w:trHeight w:val="172"/>
        </w:trPr>
        <w:tc>
          <w:tcPr>
            <w:tcW w:w="3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Miller</w:t>
            </w:r>
          </w:p>
        </w:tc>
        <w:tc>
          <w:tcPr>
            <w:tcW w:w="2720" w:type="dxa"/>
            <w:vAlign w:val="bottom"/>
            <w:tcBorders>
              <w:bottom w:val="single" w:sz="8" w:color="auto"/>
            </w:tcBorders>
          </w:tcPr>
          <w:p>
            <w:pPr>
              <w:ind w:left="24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770,000</w:t>
            </w: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733,000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w:t>
            </w:r>
          </w:p>
        </w:tc>
      </w:tr>
      <w:tr>
        <w:trPr>
          <w:trHeight w:val="172"/>
        </w:trPr>
        <w:tc>
          <w:tcPr>
            <w:tcW w:w="358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Ms. Marbert</w:t>
            </w:r>
          </w:p>
        </w:tc>
        <w:tc>
          <w:tcPr>
            <w:tcW w:w="2720" w:type="dxa"/>
            <w:vAlign w:val="bottom"/>
            <w:tcBorders>
              <w:bottom w:val="single" w:sz="8" w:color="004987"/>
            </w:tcBorders>
          </w:tcPr>
          <w:p>
            <w:pPr>
              <w:ind w:left="24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4987"/>
            </w:tcBorders>
          </w:tcPr>
          <w:p>
            <w:pPr>
              <w:jc w:val="right"/>
              <w:ind w:right="163"/>
              <w:spacing w:after="0"/>
              <w:rPr>
                <w:sz w:val="20"/>
                <w:szCs w:val="20"/>
                <w:color w:val="auto"/>
              </w:rPr>
            </w:pPr>
            <w:r>
              <w:rPr>
                <w:rFonts w:ascii="Arial" w:cs="Arial" w:eastAsia="Arial" w:hAnsi="Arial"/>
                <w:sz w:val="15"/>
                <w:szCs w:val="15"/>
                <w:color w:val="auto"/>
              </w:rPr>
              <w:t>525,000</w:t>
            </w:r>
          </w:p>
        </w:tc>
        <w:tc>
          <w:tcPr>
            <w:tcW w:w="560" w:type="dxa"/>
            <w:vAlign w:val="bottom"/>
            <w:tcBorders>
              <w:bottom w:val="single" w:sz="8" w:color="004987"/>
            </w:tcBorders>
          </w:tcPr>
          <w:p>
            <w:pPr>
              <w:ind w:left="2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04987"/>
            </w:tcBorders>
          </w:tcPr>
          <w:p>
            <w:pPr>
              <w:jc w:val="right"/>
              <w:ind w:right="163"/>
              <w:spacing w:after="0"/>
              <w:rPr>
                <w:sz w:val="20"/>
                <w:szCs w:val="20"/>
                <w:color w:val="auto"/>
              </w:rPr>
            </w:pPr>
            <w:r>
              <w:rPr>
                <w:rFonts w:ascii="Arial" w:cs="Arial" w:eastAsia="Arial" w:hAnsi="Arial"/>
                <w:sz w:val="15"/>
                <w:szCs w:val="15"/>
                <w:color w:val="auto"/>
              </w:rPr>
              <w:t>510,000</w:t>
            </w:r>
          </w:p>
        </w:tc>
        <w:tc>
          <w:tcPr>
            <w:tcW w:w="148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2.94%</w:t>
            </w:r>
          </w:p>
        </w:tc>
      </w:tr>
    </w:tbl>
    <w:p>
      <w:pPr>
        <w:spacing w:after="0" w:line="69" w:lineRule="exact"/>
        <w:rPr>
          <w:sz w:val="20"/>
          <w:szCs w:val="20"/>
          <w:color w:val="auto"/>
        </w:rPr>
      </w:pPr>
    </w:p>
    <w:p>
      <w:pPr>
        <w:ind w:left="700" w:right="140" w:hanging="306"/>
        <w:spacing w:after="0" w:line="199" w:lineRule="auto"/>
        <w:tabs>
          <w:tab w:leader="none" w:pos="700" w:val="left"/>
        </w:tabs>
        <w:numPr>
          <w:ilvl w:val="0"/>
          <w:numId w:val="45"/>
        </w:numPr>
        <w:rPr>
          <w:rFonts w:ascii="Arial" w:cs="Arial" w:eastAsia="Arial" w:hAnsi="Arial"/>
          <w:sz w:val="23"/>
          <w:szCs w:val="23"/>
          <w:color w:val="auto"/>
          <w:vertAlign w:val="superscript"/>
        </w:rPr>
      </w:pPr>
      <w:r>
        <w:rPr>
          <w:rFonts w:ascii="Arial" w:cs="Arial" w:eastAsia="Arial" w:hAnsi="Arial"/>
          <w:sz w:val="14"/>
          <w:szCs w:val="14"/>
          <w:color w:val="auto"/>
        </w:rPr>
        <w:t>Mr. Terry was promoted to the Executive Vice President and Chief Financial Officer effective October 16, 2021 and was not an executive officer during 2020 or the first nine and one-half months of 2021. Based on market analysis of the role, the Compensation Policy Committee approved the increase of his base pay to $475,000 effective October 16, 2021, an increase of 38.26% from his then current base pay of $343,565.</w:t>
      </w:r>
    </w:p>
    <w:p>
      <w:pPr>
        <w:spacing w:after="0" w:line="111"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2" w:name="page33"/>
    <w:bookmarkEnd w:id="3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right="100"/>
        <w:spacing w:after="0" w:line="263" w:lineRule="auto"/>
        <w:rPr>
          <w:sz w:val="20"/>
          <w:szCs w:val="20"/>
          <w:color w:val="auto"/>
        </w:rPr>
      </w:pPr>
      <w:r>
        <w:rPr>
          <w:rFonts w:ascii="Arial" w:cs="Arial" w:eastAsia="Arial" w:hAnsi="Arial"/>
          <w:sz w:val="15"/>
          <w:szCs w:val="15"/>
          <w:color w:val="auto"/>
        </w:rPr>
        <w:t>In determining whether to make adjustments to base salaries, the Compensation Policy Committee considered market data, as well as internal factors, experience, time in position and internal pay equity, and subjective factors such as individual performance and future potential. No specific weightings were assigned to the factors considered. The Compensation Policy Committee expects to review base salaries for the named executive officers annually to determine whether base salary levels are commensurate with the officers’ responsibilities and the competitive market.</w:t>
      </w:r>
    </w:p>
    <w:p>
      <w:pPr>
        <w:spacing w:after="0" w:line="26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Bonuses and Incentives</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Annual Bonuses</w:t>
      </w:r>
    </w:p>
    <w:p>
      <w:pPr>
        <w:spacing w:after="0" w:line="96" w:lineRule="exact"/>
        <w:rPr>
          <w:sz w:val="20"/>
          <w:szCs w:val="20"/>
          <w:color w:val="auto"/>
        </w:rPr>
      </w:pPr>
    </w:p>
    <w:p>
      <w:pPr>
        <w:ind w:left="400" w:right="240"/>
        <w:spacing w:after="0" w:line="263" w:lineRule="auto"/>
        <w:rPr>
          <w:sz w:val="20"/>
          <w:szCs w:val="20"/>
          <w:color w:val="auto"/>
        </w:rPr>
      </w:pPr>
      <w:r>
        <w:rPr>
          <w:rFonts w:ascii="Arial" w:cs="Arial" w:eastAsia="Arial" w:hAnsi="Arial"/>
          <w:sz w:val="15"/>
          <w:szCs w:val="15"/>
          <w:color w:val="auto"/>
        </w:rPr>
        <w:t>For 2021, due to the unpredictable impact of the COVID-19 pandemic on our business, the Compensation Policy Committee modified the performance period for the Bonus Plan, changing from the past practice of a calendar year period to two six-month periods. The Bonus Plan was intended to reward executives for achievement of pre-established financial objectives tied to 2021 business recovery and performance. The potential and actual awards under the Bonus Plan are reported in the Grants of Plan-Based Awards for Fiscal Year 2021 table and Summary Compensation Table, respectively.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Compensation Policy Committee approved the following target awards as a percentage of base salary for the named executive officers: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376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3780" w:type="dxa"/>
            <w:vAlign w:val="bottom"/>
            <w:tcBorders>
              <w:bottom w:val="single" w:sz="8" w:color="004987"/>
            </w:tcBorders>
          </w:tcPr>
          <w:p>
            <w:pPr>
              <w:jc w:val="right"/>
              <w:ind w:right="324"/>
              <w:spacing w:after="0"/>
              <w:rPr>
                <w:sz w:val="20"/>
                <w:szCs w:val="20"/>
                <w:color w:val="auto"/>
              </w:rPr>
            </w:pPr>
            <w:r>
              <w:rPr>
                <w:rFonts w:ascii="Arial" w:cs="Arial" w:eastAsia="Arial" w:hAnsi="Arial"/>
                <w:sz w:val="14"/>
                <w:szCs w:val="14"/>
                <w:b w:val="1"/>
                <w:bCs w:val="1"/>
                <w:color w:val="004987"/>
              </w:rPr>
              <w:t>2021 Target</w:t>
            </w:r>
          </w:p>
        </w:tc>
        <w:tc>
          <w:tcPr>
            <w:tcW w:w="1420" w:type="dxa"/>
            <w:vAlign w:val="bottom"/>
            <w:tcBorders>
              <w:bottom w:val="single" w:sz="8" w:color="004987"/>
            </w:tcBorders>
          </w:tcPr>
          <w:p>
            <w:pPr>
              <w:jc w:val="right"/>
              <w:ind w:right="324"/>
              <w:spacing w:after="0"/>
              <w:rPr>
                <w:sz w:val="20"/>
                <w:szCs w:val="20"/>
                <w:color w:val="auto"/>
              </w:rPr>
            </w:pPr>
            <w:r>
              <w:rPr>
                <w:rFonts w:ascii="Arial" w:cs="Arial" w:eastAsia="Arial" w:hAnsi="Arial"/>
                <w:sz w:val="14"/>
                <w:szCs w:val="14"/>
                <w:b w:val="1"/>
                <w:bCs w:val="1"/>
                <w:color w:val="004987"/>
              </w:rPr>
              <w:t>2020 Target</w:t>
            </w:r>
          </w:p>
        </w:tc>
        <w:tc>
          <w:tcPr>
            <w:tcW w:w="1500" w:type="dxa"/>
            <w:vAlign w:val="bottom"/>
            <w:tcBorders>
              <w:bottom w:val="single" w:sz="8" w:color="004987"/>
            </w:tcBorders>
          </w:tcPr>
          <w:p>
            <w:pPr>
              <w:jc w:val="right"/>
              <w:ind w:right="124"/>
              <w:spacing w:after="0"/>
              <w:rPr>
                <w:sz w:val="20"/>
                <w:szCs w:val="20"/>
                <w:color w:val="auto"/>
              </w:rPr>
            </w:pPr>
            <w:r>
              <w:rPr>
                <w:rFonts w:ascii="Arial" w:cs="Arial" w:eastAsia="Arial" w:hAnsi="Arial"/>
                <w:sz w:val="14"/>
                <w:szCs w:val="14"/>
                <w:b w:val="1"/>
                <w:bCs w:val="1"/>
                <w:color w:val="004987"/>
              </w:rPr>
              <w:t>Percent Change</w:t>
            </w:r>
          </w:p>
        </w:tc>
      </w:tr>
      <w:tr>
        <w:trPr>
          <w:trHeight w:val="179"/>
        </w:trPr>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Weisz</w:t>
            </w:r>
          </w:p>
        </w:tc>
        <w:tc>
          <w:tcPr>
            <w:tcW w:w="37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150%</w:t>
            </w:r>
          </w:p>
        </w:tc>
        <w:tc>
          <w:tcPr>
            <w:tcW w:w="14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150%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Geller</w:t>
            </w:r>
          </w:p>
        </w:tc>
        <w:tc>
          <w:tcPr>
            <w:tcW w:w="37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100%</w:t>
            </w:r>
          </w:p>
        </w:tc>
        <w:tc>
          <w:tcPr>
            <w:tcW w:w="14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3760" w:type="dxa"/>
            <w:vAlign w:val="bottom"/>
            <w:tcBorders>
              <w:bottom w:val="single" w:sz="8" w:color="auto"/>
            </w:tcBorders>
          </w:tcPr>
          <w:p>
            <w:pPr>
              <w:spacing w:after="0" w:line="173" w:lineRule="exact"/>
              <w:rPr>
                <w:sz w:val="20"/>
                <w:szCs w:val="20"/>
                <w:color w:val="auto"/>
              </w:rPr>
            </w:pPr>
            <w:r>
              <w:rPr>
                <w:rFonts w:ascii="Arial" w:cs="Arial" w:eastAsia="Arial" w:hAnsi="Arial"/>
                <w:sz w:val="12"/>
                <w:szCs w:val="12"/>
                <w:color w:val="auto"/>
              </w:rPr>
              <w:t>Mr. Terry</w:t>
            </w:r>
            <w:r>
              <w:rPr>
                <w:rFonts w:ascii="Arial" w:cs="Arial" w:eastAsia="Arial" w:hAnsi="Arial"/>
                <w:sz w:val="19"/>
                <w:szCs w:val="19"/>
                <w:color w:val="auto"/>
                <w:vertAlign w:val="superscript"/>
              </w:rPr>
              <w:t>1</w:t>
            </w:r>
          </w:p>
        </w:tc>
        <w:tc>
          <w:tcPr>
            <w:tcW w:w="37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100%</w:t>
            </w:r>
          </w:p>
        </w:tc>
        <w:tc>
          <w:tcPr>
            <w:tcW w:w="14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40%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r>
      <w:tr>
        <w:trPr>
          <w:trHeight w:val="172"/>
        </w:trPr>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Cunningham</w:t>
            </w:r>
          </w:p>
        </w:tc>
        <w:tc>
          <w:tcPr>
            <w:tcW w:w="37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90%</w:t>
            </w:r>
          </w:p>
        </w:tc>
        <w:tc>
          <w:tcPr>
            <w:tcW w:w="14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90%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3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Miller</w:t>
            </w:r>
          </w:p>
        </w:tc>
        <w:tc>
          <w:tcPr>
            <w:tcW w:w="37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90%</w:t>
            </w:r>
          </w:p>
        </w:tc>
        <w:tc>
          <w:tcPr>
            <w:tcW w:w="14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80%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r>
      <w:tr>
        <w:trPr>
          <w:trHeight w:val="172"/>
        </w:trPr>
        <w:tc>
          <w:tcPr>
            <w:tcW w:w="376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Ms. Marbert</w:t>
            </w:r>
          </w:p>
        </w:tc>
        <w:tc>
          <w:tcPr>
            <w:tcW w:w="3780" w:type="dxa"/>
            <w:vAlign w:val="bottom"/>
            <w:tcBorders>
              <w:bottom w:val="single" w:sz="8" w:color="004987"/>
            </w:tcBorders>
          </w:tcPr>
          <w:p>
            <w:pPr>
              <w:jc w:val="right"/>
              <w:ind w:right="184"/>
              <w:spacing w:after="0"/>
              <w:rPr>
                <w:sz w:val="20"/>
                <w:szCs w:val="20"/>
                <w:color w:val="auto"/>
              </w:rPr>
            </w:pPr>
            <w:r>
              <w:rPr>
                <w:rFonts w:ascii="Arial" w:cs="Arial" w:eastAsia="Arial" w:hAnsi="Arial"/>
                <w:sz w:val="15"/>
                <w:szCs w:val="15"/>
                <w:color w:val="auto"/>
              </w:rPr>
              <w:t>90%</w:t>
            </w:r>
          </w:p>
        </w:tc>
        <w:tc>
          <w:tcPr>
            <w:tcW w:w="1420" w:type="dxa"/>
            <w:vAlign w:val="bottom"/>
            <w:tcBorders>
              <w:bottom w:val="single" w:sz="8" w:color="004987"/>
            </w:tcBorders>
          </w:tcPr>
          <w:p>
            <w:pPr>
              <w:jc w:val="right"/>
              <w:ind w:right="184"/>
              <w:spacing w:after="0"/>
              <w:rPr>
                <w:sz w:val="20"/>
                <w:szCs w:val="20"/>
                <w:color w:val="auto"/>
              </w:rPr>
            </w:pPr>
            <w:r>
              <w:rPr>
                <w:rFonts w:ascii="Arial" w:cs="Arial" w:eastAsia="Arial" w:hAnsi="Arial"/>
                <w:sz w:val="15"/>
                <w:szCs w:val="15"/>
                <w:color w:val="auto"/>
              </w:rPr>
              <w:t>90%</w:t>
            </w:r>
          </w:p>
        </w:tc>
        <w:tc>
          <w:tcPr>
            <w:tcW w:w="150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w:t>
            </w:r>
          </w:p>
        </w:tc>
      </w:tr>
    </w:tbl>
    <w:p>
      <w:pPr>
        <w:spacing w:after="0" w:line="69" w:lineRule="exact"/>
        <w:rPr>
          <w:sz w:val="20"/>
          <w:szCs w:val="20"/>
          <w:color w:val="auto"/>
        </w:rPr>
      </w:pPr>
    </w:p>
    <w:p>
      <w:pPr>
        <w:jc w:val="both"/>
        <w:ind w:left="700" w:right="500" w:hanging="306"/>
        <w:spacing w:after="0" w:line="211" w:lineRule="auto"/>
        <w:tabs>
          <w:tab w:leader="none" w:pos="700" w:val="left"/>
        </w:tabs>
        <w:numPr>
          <w:ilvl w:val="0"/>
          <w:numId w:val="46"/>
        </w:numPr>
        <w:rPr>
          <w:rFonts w:ascii="Arial" w:cs="Arial" w:eastAsia="Arial" w:hAnsi="Arial"/>
          <w:sz w:val="22"/>
          <w:szCs w:val="22"/>
          <w:color w:val="auto"/>
          <w:vertAlign w:val="superscript"/>
        </w:rPr>
      </w:pPr>
      <w:r>
        <w:rPr>
          <w:rFonts w:ascii="Arial" w:cs="Arial" w:eastAsia="Arial" w:hAnsi="Arial"/>
          <w:sz w:val="13"/>
          <w:szCs w:val="13"/>
          <w:color w:val="auto"/>
        </w:rPr>
        <w:t>Effective October 16, 2021, Mr. Terry was promoted to the role of Executive Vice President and Chief Financial Officer. Based on market analysis of the role, the Compensation Policy Committee approved an increase of his then current target bonus potential from 40% to 100%. In 2021, the increased target opportunity is pro-rated for the portion of time Mr. Terry was the Executive Vice President and Chief Financial Officer during the second six-month performance period.</w:t>
      </w:r>
    </w:p>
    <w:p>
      <w:pPr>
        <w:spacing w:after="0" w:line="74" w:lineRule="exact"/>
        <w:rPr>
          <w:sz w:val="20"/>
          <w:szCs w:val="20"/>
          <w:color w:val="auto"/>
        </w:rPr>
      </w:pPr>
    </w:p>
    <w:p>
      <w:pPr>
        <w:ind w:left="400" w:right="240"/>
        <w:spacing w:after="0" w:line="263" w:lineRule="auto"/>
        <w:rPr>
          <w:sz w:val="20"/>
          <w:szCs w:val="20"/>
          <w:color w:val="auto"/>
        </w:rPr>
      </w:pPr>
      <w:r>
        <w:rPr>
          <w:rFonts w:ascii="Arial" w:cs="Arial" w:eastAsia="Arial" w:hAnsi="Arial"/>
          <w:sz w:val="15"/>
          <w:szCs w:val="15"/>
          <w:color w:val="auto"/>
        </w:rPr>
        <w:t>In determining the target award percentage for each named executive officer, as well as in determining the differences in the target award percentages among the named executive officers, the Compensation Policy Committee considered market data and internal factors, including pay equity with other officers, differences in responsibilities, and future potential. Threshold performance was required in order to pay 25 percent of such named executive officer’s target award and the maximum award for each named executive officer was 200 percent of such named executive officer’s target award.</w:t>
      </w:r>
    </w:p>
    <w:p>
      <w:pPr>
        <w:spacing w:after="0" w:line="64" w:lineRule="exact"/>
        <w:rPr>
          <w:sz w:val="20"/>
          <w:szCs w:val="20"/>
          <w:color w:val="auto"/>
        </w:rPr>
      </w:pPr>
    </w:p>
    <w:p>
      <w:pPr>
        <w:ind w:left="400" w:right="80"/>
        <w:spacing w:after="0" w:line="259" w:lineRule="auto"/>
        <w:rPr>
          <w:sz w:val="20"/>
          <w:szCs w:val="20"/>
          <w:color w:val="auto"/>
        </w:rPr>
      </w:pPr>
      <w:r>
        <w:rPr>
          <w:rFonts w:ascii="Arial" w:cs="Arial" w:eastAsia="Arial" w:hAnsi="Arial"/>
          <w:sz w:val="15"/>
          <w:szCs w:val="15"/>
          <w:color w:val="auto"/>
        </w:rPr>
        <w:t>For the period of January 1 – June 30, 2021 (“First Half 2021”), the Bonus Plan was solely tied to the achievement of Adjusted EBITDA target. For the period July 1 – December 31, 2021 (“Second Half 2021”), the Bonus Plan was tied to two financial objectives: Adjusted EBITDA and Total Revenue. In Second Half 2021, these financial objectives were weighted at 80% and 20%, respectively. These financial performance measures were selected because they are important indicators of the Company’s profitability and sustainability. Mr. Weisz and Mr. Geller developed the specific performance level percentages for these objectives, which were reviewed and approved by the Compensation Policy Committee.</w:t>
      </w:r>
    </w:p>
    <w:p>
      <w:pPr>
        <w:spacing w:after="0" w:line="69" w:lineRule="exact"/>
        <w:rPr>
          <w:sz w:val="20"/>
          <w:szCs w:val="20"/>
          <w:color w:val="auto"/>
        </w:rPr>
      </w:pPr>
    </w:p>
    <w:p>
      <w:pPr>
        <w:ind w:left="400" w:right="360"/>
        <w:spacing w:after="0" w:line="254" w:lineRule="auto"/>
        <w:rPr>
          <w:sz w:val="20"/>
          <w:szCs w:val="20"/>
          <w:color w:val="auto"/>
        </w:rPr>
      </w:pPr>
      <w:r>
        <w:rPr>
          <w:rFonts w:ascii="Arial" w:cs="Arial" w:eastAsia="Arial" w:hAnsi="Arial"/>
          <w:sz w:val="15"/>
          <w:szCs w:val="15"/>
          <w:color w:val="auto"/>
        </w:rPr>
        <w:t>For First Half 2021, Adjusted EBITDA was the sole performance criteria because it is reflective of the financial viability and success of the Company, particularly as it recovers from the COVID-19 pandemic. “Adjusted EBITDA” with respect to First Half 2021 means EBITDA for the first and second quarters of 2021 (as reported in the Company’s Report on Form 10-Q for the second quarter), excluding the impact of non-cash share based compensation expense, impairments, transaction costs, gains and losses on the disposal of assets, gains and losses on foreign currency exchange related activity, litigation charges and activity not associated with the Company’s on-going core operations. Adjusted EBITDA includes the impact of interest expense associated with the Company’s debt from the securitization of vacation ownership notes receivable. Adjusted EBITDA is a financial measure that is not prescribed by GAAP. Please refer to Appendix A for a reconciliation of Adjusted EBITDA to net income, which is the most directly comparable GAAP financial measure, as well as our reasons for presenting this measure. The Adjusted EBITDA target for First Half 2021 was set at $175 million, a level we believed to be achievable but not certain to be met.</w:t>
      </w:r>
    </w:p>
    <w:p>
      <w:pPr>
        <w:spacing w:after="0" w:line="75" w:lineRule="exact"/>
        <w:rPr>
          <w:sz w:val="20"/>
          <w:szCs w:val="20"/>
          <w:color w:val="auto"/>
        </w:rPr>
      </w:pPr>
    </w:p>
    <w:p>
      <w:pPr>
        <w:ind w:left="400" w:right="360"/>
        <w:spacing w:after="0" w:line="289" w:lineRule="auto"/>
        <w:rPr>
          <w:sz w:val="20"/>
          <w:szCs w:val="20"/>
          <w:color w:val="auto"/>
        </w:rPr>
      </w:pPr>
      <w:r>
        <w:rPr>
          <w:rFonts w:ascii="Arial" w:cs="Arial" w:eastAsia="Arial" w:hAnsi="Arial"/>
          <w:sz w:val="15"/>
          <w:szCs w:val="15"/>
          <w:color w:val="auto"/>
        </w:rPr>
        <w:t>For First Half 2021, the named executive officers were eligible to receive a bonus solely based on the achievement of the following Adjusted EBITDA targets:</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4760" w:type="dxa"/>
            <w:vAlign w:val="bottom"/>
          </w:tcPr>
          <w:p>
            <w:pPr>
              <w:jc w:val="right"/>
              <w:ind w:right="126"/>
              <w:spacing w:after="0"/>
              <w:rPr>
                <w:sz w:val="20"/>
                <w:szCs w:val="20"/>
                <w:color w:val="auto"/>
              </w:rPr>
            </w:pPr>
            <w:r>
              <w:rPr>
                <w:rFonts w:ascii="Arial" w:cs="Arial" w:eastAsia="Arial" w:hAnsi="Arial"/>
                <w:sz w:val="14"/>
                <w:szCs w:val="14"/>
                <w:b w:val="1"/>
                <w:bCs w:val="1"/>
                <w:color w:val="004987"/>
              </w:rPr>
              <w:t>Payout as a Percent</w:t>
            </w:r>
          </w:p>
        </w:tc>
      </w:tr>
      <w:tr>
        <w:trPr>
          <w:trHeight w:val="169"/>
        </w:trPr>
        <w:tc>
          <w:tcPr>
            <w:tcW w:w="570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Adjusted EBITDA Achievement Target</w:t>
            </w:r>
          </w:p>
        </w:tc>
        <w:tc>
          <w:tcPr>
            <w:tcW w:w="4760" w:type="dxa"/>
            <w:vAlign w:val="bottom"/>
            <w:tcBorders>
              <w:bottom w:val="single" w:sz="8" w:color="004987"/>
            </w:tcBorders>
          </w:tcPr>
          <w:p>
            <w:pPr>
              <w:jc w:val="right"/>
              <w:ind w:right="486"/>
              <w:spacing w:after="0"/>
              <w:rPr>
                <w:sz w:val="20"/>
                <w:szCs w:val="20"/>
                <w:color w:val="auto"/>
              </w:rPr>
            </w:pPr>
            <w:r>
              <w:rPr>
                <w:rFonts w:ascii="Arial" w:cs="Arial" w:eastAsia="Arial" w:hAnsi="Arial"/>
                <w:sz w:val="14"/>
                <w:szCs w:val="14"/>
                <w:b w:val="1"/>
                <w:bCs w:val="1"/>
                <w:color w:val="004987"/>
              </w:rPr>
              <w:t>of Target</w:t>
            </w:r>
          </w:p>
        </w:tc>
      </w:tr>
      <w:tr>
        <w:trPr>
          <w:trHeight w:val="179"/>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Less than $122.5 million</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0%</w:t>
            </w:r>
          </w:p>
        </w:tc>
      </w:tr>
      <w:tr>
        <w:trPr>
          <w:trHeight w:val="172"/>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$122.5 million</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25%</w:t>
            </w:r>
          </w:p>
        </w:tc>
      </w:tr>
      <w:tr>
        <w:trPr>
          <w:trHeight w:val="172"/>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$175.0 million</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100%</w:t>
            </w:r>
          </w:p>
        </w:tc>
      </w:tr>
      <w:tr>
        <w:trPr>
          <w:trHeight w:val="172"/>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$218.75 million or more</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200%</w:t>
            </w:r>
          </w:p>
        </w:tc>
      </w:tr>
    </w:tbl>
    <w:p>
      <w:pPr>
        <w:spacing w:after="0" w:line="90" w:lineRule="exact"/>
        <w:rPr>
          <w:sz w:val="20"/>
          <w:szCs w:val="20"/>
          <w:color w:val="auto"/>
        </w:rPr>
      </w:pPr>
    </w:p>
    <w:p>
      <w:pPr>
        <w:jc w:val="both"/>
        <w:ind w:left="400" w:right="160"/>
        <w:spacing w:after="0" w:line="263" w:lineRule="auto"/>
        <w:rPr>
          <w:sz w:val="20"/>
          <w:szCs w:val="20"/>
          <w:color w:val="auto"/>
        </w:rPr>
      </w:pPr>
      <w:r>
        <w:rPr>
          <w:rFonts w:ascii="Arial" w:cs="Arial" w:eastAsia="Arial" w:hAnsi="Arial"/>
          <w:sz w:val="15"/>
          <w:szCs w:val="15"/>
          <w:color w:val="auto"/>
        </w:rPr>
        <w:t>For Second Half 2021, the named executive officers were eligible to receive a bonus based on the achievement of the Adjusted EBITDA targets and the achievement of the Total Revenue targets, set forth below. For purposes of the Bonus Plan, “Total Revenue” means total revenue for the second half of 2021, excluding cost reimbursement revenues (calculated by subtracting the Company’s first half results reported on its second quarter Form 10-Q from the</w:t>
      </w:r>
    </w:p>
    <w:p>
      <w:pPr>
        <w:spacing w:after="0" w:line="102" w:lineRule="exact"/>
        <w:rPr>
          <w:sz w:val="20"/>
          <w:szCs w:val="20"/>
          <w:color w:val="auto"/>
        </w:rPr>
      </w:pPr>
    </w:p>
    <w:p>
      <w:pPr>
        <w:ind w:left="400"/>
        <w:spacing w:after="0"/>
        <w:tabs>
          <w:tab w:leader="none" w:pos="4760" w:val="left"/>
          <w:tab w:leader="none" w:pos="7720" w:val="left"/>
        </w:tabs>
        <w:rPr>
          <w:sz w:val="20"/>
          <w:szCs w:val="20"/>
          <w:color w:val="auto"/>
        </w:rPr>
      </w:pPr>
      <w:r>
        <w:rPr>
          <w:rFonts w:ascii="Arial" w:cs="Arial" w:eastAsia="Arial" w:hAnsi="Arial"/>
          <w:sz w:val="10"/>
          <w:szCs w:val="10"/>
          <w:b w:val="1"/>
          <w:bCs w:val="1"/>
          <w:color w:val="004987"/>
        </w:rPr>
        <w:t>28</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3" w:name="page34"/>
    <w:bookmarkEnd w:id="3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jc w:val="both"/>
        <w:ind w:left="400" w:right="160"/>
        <w:spacing w:after="0" w:line="269" w:lineRule="auto"/>
        <w:rPr>
          <w:sz w:val="20"/>
          <w:szCs w:val="20"/>
          <w:color w:val="auto"/>
        </w:rPr>
      </w:pPr>
      <w:r>
        <w:rPr>
          <w:rFonts w:ascii="Arial" w:cs="Arial" w:eastAsia="Arial" w:hAnsi="Arial"/>
          <w:sz w:val="15"/>
          <w:szCs w:val="15"/>
          <w:color w:val="auto"/>
        </w:rPr>
        <w:t>Company’s annual results as reported in our 2021 Form 10-K) less revenues from the consolidation of the property owners’ associations and the rental revenue reduction related to revenues from unsold inventory. The Adjusted EBITDA target was set at $350 million and the Total Revenue target was set at $1,549 million, both levels we believed to be achievable but not certain to be met.</w:t>
      </w:r>
    </w:p>
    <w:p>
      <w:pPr>
        <w:spacing w:after="0" w:line="18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4760" w:type="dxa"/>
            <w:vAlign w:val="bottom"/>
          </w:tcPr>
          <w:p>
            <w:pPr>
              <w:jc w:val="center"/>
              <w:ind w:left="2986"/>
              <w:spacing w:after="0"/>
              <w:rPr>
                <w:sz w:val="20"/>
                <w:szCs w:val="20"/>
                <w:color w:val="auto"/>
              </w:rPr>
            </w:pPr>
            <w:r>
              <w:rPr>
                <w:rFonts w:ascii="Arial" w:cs="Arial" w:eastAsia="Arial" w:hAnsi="Arial"/>
                <w:sz w:val="14"/>
                <w:szCs w:val="14"/>
                <w:b w:val="1"/>
                <w:bCs w:val="1"/>
                <w:color w:val="004987"/>
                <w:w w:val="97"/>
              </w:rPr>
              <w:t>Payout as a Percent</w:t>
            </w:r>
          </w:p>
        </w:tc>
      </w:tr>
      <w:tr>
        <w:trPr>
          <w:trHeight w:val="182"/>
        </w:trPr>
        <w:tc>
          <w:tcPr>
            <w:tcW w:w="570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Adjusted EBITDA Achievement Target</w:t>
            </w:r>
          </w:p>
        </w:tc>
        <w:tc>
          <w:tcPr>
            <w:tcW w:w="4760" w:type="dxa"/>
            <w:vAlign w:val="bottom"/>
            <w:tcBorders>
              <w:bottom w:val="single" w:sz="8" w:color="004987"/>
            </w:tcBorders>
          </w:tcPr>
          <w:p>
            <w:pPr>
              <w:jc w:val="center"/>
              <w:ind w:left="2986"/>
              <w:spacing w:after="0"/>
              <w:rPr>
                <w:sz w:val="20"/>
                <w:szCs w:val="20"/>
                <w:color w:val="auto"/>
              </w:rPr>
            </w:pPr>
            <w:r>
              <w:rPr>
                <w:rFonts w:ascii="Arial" w:cs="Arial" w:eastAsia="Arial" w:hAnsi="Arial"/>
                <w:sz w:val="14"/>
                <w:szCs w:val="14"/>
                <w:b w:val="1"/>
                <w:bCs w:val="1"/>
                <w:color w:val="004987"/>
                <w:w w:val="96"/>
              </w:rPr>
              <w:t>of Target</w:t>
            </w:r>
          </w:p>
        </w:tc>
      </w:tr>
      <w:tr>
        <w:trPr>
          <w:trHeight w:val="179"/>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Less than $280.0 million</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0%</w:t>
            </w:r>
          </w:p>
        </w:tc>
      </w:tr>
      <w:tr>
        <w:trPr>
          <w:trHeight w:val="172"/>
        </w:trPr>
        <w:tc>
          <w:tcPr>
            <w:tcW w:w="5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$280.0 million</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r>
        <w:trPr>
          <w:trHeight w:val="172"/>
        </w:trPr>
        <w:tc>
          <w:tcPr>
            <w:tcW w:w="5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$350.0 million</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r>
      <w:tr>
        <w:trPr>
          <w:trHeight w:val="172"/>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$420.0 million or more</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200%</w:t>
            </w:r>
          </w:p>
        </w:tc>
      </w:tr>
      <w:tr>
        <w:trPr>
          <w:trHeight w:val="368"/>
        </w:trPr>
        <w:tc>
          <w:tcPr>
            <w:tcW w:w="5700" w:type="dxa"/>
            <w:vAlign w:val="bottom"/>
          </w:tcPr>
          <w:p>
            <w:pPr>
              <w:spacing w:after="0"/>
              <w:rPr>
                <w:sz w:val="24"/>
                <w:szCs w:val="24"/>
                <w:color w:val="auto"/>
              </w:rPr>
            </w:pPr>
          </w:p>
        </w:tc>
        <w:tc>
          <w:tcPr>
            <w:tcW w:w="4760" w:type="dxa"/>
            <w:vAlign w:val="bottom"/>
          </w:tcPr>
          <w:p>
            <w:pPr>
              <w:jc w:val="center"/>
              <w:ind w:left="2986"/>
              <w:spacing w:after="0"/>
              <w:rPr>
                <w:sz w:val="20"/>
                <w:szCs w:val="20"/>
                <w:color w:val="auto"/>
              </w:rPr>
            </w:pPr>
            <w:r>
              <w:rPr>
                <w:rFonts w:ascii="Arial" w:cs="Arial" w:eastAsia="Arial" w:hAnsi="Arial"/>
                <w:sz w:val="14"/>
                <w:szCs w:val="14"/>
                <w:b w:val="1"/>
                <w:bCs w:val="1"/>
                <w:color w:val="004987"/>
                <w:w w:val="97"/>
              </w:rPr>
              <w:t>Payout as a Percent</w:t>
            </w:r>
          </w:p>
        </w:tc>
      </w:tr>
      <w:tr>
        <w:trPr>
          <w:trHeight w:val="182"/>
        </w:trPr>
        <w:tc>
          <w:tcPr>
            <w:tcW w:w="570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Total Revenue Achievement Target</w:t>
            </w:r>
          </w:p>
        </w:tc>
        <w:tc>
          <w:tcPr>
            <w:tcW w:w="4760" w:type="dxa"/>
            <w:vAlign w:val="bottom"/>
            <w:tcBorders>
              <w:bottom w:val="single" w:sz="8" w:color="004987"/>
            </w:tcBorders>
          </w:tcPr>
          <w:p>
            <w:pPr>
              <w:jc w:val="center"/>
              <w:ind w:left="2986"/>
              <w:spacing w:after="0"/>
              <w:rPr>
                <w:sz w:val="20"/>
                <w:szCs w:val="20"/>
                <w:color w:val="auto"/>
              </w:rPr>
            </w:pPr>
            <w:r>
              <w:rPr>
                <w:rFonts w:ascii="Arial" w:cs="Arial" w:eastAsia="Arial" w:hAnsi="Arial"/>
                <w:sz w:val="14"/>
                <w:szCs w:val="14"/>
                <w:b w:val="1"/>
                <w:bCs w:val="1"/>
                <w:color w:val="004987"/>
                <w:w w:val="96"/>
              </w:rPr>
              <w:t>of Target</w:t>
            </w:r>
          </w:p>
        </w:tc>
      </w:tr>
      <w:tr>
        <w:trPr>
          <w:trHeight w:val="179"/>
        </w:trPr>
        <w:tc>
          <w:tcPr>
            <w:tcW w:w="5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Less than $1,394.0 million</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r>
      <w:tr>
        <w:trPr>
          <w:trHeight w:val="172"/>
        </w:trPr>
        <w:tc>
          <w:tcPr>
            <w:tcW w:w="5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$1,394.0 million</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r>
        <w:trPr>
          <w:trHeight w:val="172"/>
        </w:trPr>
        <w:tc>
          <w:tcPr>
            <w:tcW w:w="5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$1,549.0 million</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r>
      <w:tr>
        <w:trPr>
          <w:trHeight w:val="172"/>
        </w:trPr>
        <w:tc>
          <w:tcPr>
            <w:tcW w:w="57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$1,704.0 million or more</w:t>
            </w:r>
          </w:p>
        </w:tc>
        <w:tc>
          <w:tcPr>
            <w:tcW w:w="47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200%</w:t>
            </w:r>
          </w:p>
        </w:tc>
      </w:tr>
    </w:tbl>
    <w:p>
      <w:pPr>
        <w:spacing w:after="0" w:line="90" w:lineRule="exact"/>
        <w:rPr>
          <w:sz w:val="20"/>
          <w:szCs w:val="20"/>
          <w:color w:val="auto"/>
        </w:rPr>
      </w:pPr>
    </w:p>
    <w:p>
      <w:pPr>
        <w:ind w:left="400" w:right="120"/>
        <w:spacing w:after="0" w:line="269" w:lineRule="auto"/>
        <w:rPr>
          <w:sz w:val="20"/>
          <w:szCs w:val="20"/>
          <w:color w:val="auto"/>
        </w:rPr>
      </w:pPr>
      <w:r>
        <w:rPr>
          <w:rFonts w:ascii="Arial" w:cs="Arial" w:eastAsia="Arial" w:hAnsi="Arial"/>
          <w:sz w:val="15"/>
          <w:szCs w:val="15"/>
          <w:color w:val="auto"/>
        </w:rPr>
        <w:t>For each of the financial measures, achievement falling between two of the stated performance achievement levels resulted in the payment for that portion of the bonus being interpolated between the corresponding bonus levels, except that there is no interpolation between 0% and 25%. Accordingly, there is no payout if achievement is below the threshold level of achievement of 25%.</w:t>
      </w:r>
    </w:p>
    <w:p>
      <w:pPr>
        <w:spacing w:after="0" w:line="61" w:lineRule="exact"/>
        <w:rPr>
          <w:sz w:val="20"/>
          <w:szCs w:val="20"/>
          <w:color w:val="auto"/>
        </w:rPr>
      </w:pPr>
    </w:p>
    <w:p>
      <w:pPr>
        <w:ind w:left="400" w:right="660"/>
        <w:spacing w:after="0" w:line="289" w:lineRule="auto"/>
        <w:rPr>
          <w:sz w:val="20"/>
          <w:szCs w:val="20"/>
          <w:color w:val="auto"/>
        </w:rPr>
      </w:pPr>
      <w:r>
        <w:rPr>
          <w:rFonts w:ascii="Arial" w:cs="Arial" w:eastAsia="Arial" w:hAnsi="Arial"/>
          <w:sz w:val="15"/>
          <w:szCs w:val="15"/>
          <w:color w:val="auto"/>
        </w:rPr>
        <w:t>For First Half 2021, Adjusted EBITDA was $218.5 million, or payout of 199.45% of the target bonus for the period, which resulted in the following payments for our named executive officers:</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160" w:type="dxa"/>
            <w:vAlign w:val="bottom"/>
          </w:tcPr>
          <w:p>
            <w:pPr>
              <w:jc w:val="right"/>
              <w:spacing w:after="0"/>
              <w:rPr>
                <w:sz w:val="20"/>
                <w:szCs w:val="20"/>
                <w:color w:val="auto"/>
              </w:rPr>
            </w:pPr>
            <w:r>
              <w:rPr>
                <w:rFonts w:ascii="Arial" w:cs="Arial" w:eastAsia="Arial" w:hAnsi="Arial"/>
                <w:sz w:val="14"/>
                <w:szCs w:val="14"/>
                <w:b w:val="1"/>
                <w:bCs w:val="1"/>
                <w:color w:val="004987"/>
              </w:rPr>
              <w:t>First Half 2021</w:t>
            </w:r>
          </w:p>
        </w:tc>
      </w:tr>
      <w:tr>
        <w:trPr>
          <w:trHeight w:val="169"/>
        </w:trPr>
        <w:tc>
          <w:tcPr>
            <w:tcW w:w="530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5160" w:type="dxa"/>
            <w:vAlign w:val="bottom"/>
            <w:tcBorders>
              <w:bottom w:val="single" w:sz="8" w:color="004987"/>
            </w:tcBorders>
          </w:tcPr>
          <w:p>
            <w:pPr>
              <w:jc w:val="right"/>
              <w:spacing w:after="0"/>
              <w:rPr>
                <w:sz w:val="20"/>
                <w:szCs w:val="20"/>
                <w:color w:val="auto"/>
              </w:rPr>
            </w:pPr>
            <w:r>
              <w:rPr>
                <w:rFonts w:ascii="Arial" w:cs="Arial" w:eastAsia="Arial" w:hAnsi="Arial"/>
                <w:sz w:val="14"/>
                <w:szCs w:val="14"/>
                <w:b w:val="1"/>
                <w:bCs w:val="1"/>
                <w:color w:val="004987"/>
              </w:rPr>
              <w:t>Bonus Payout</w:t>
            </w:r>
          </w:p>
        </w:tc>
      </w:tr>
      <w:tr>
        <w:trPr>
          <w:trHeight w:val="179"/>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Weisz</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1,495,889</w:t>
            </w:r>
          </w:p>
        </w:tc>
      </w:tr>
      <w:tr>
        <w:trPr>
          <w:trHeight w:val="172"/>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Geller</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673,150</w:t>
            </w:r>
          </w:p>
        </w:tc>
      </w:tr>
      <w:tr>
        <w:trPr>
          <w:trHeight w:val="172"/>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Terry</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135,205</w:t>
            </w:r>
          </w:p>
        </w:tc>
      </w:tr>
      <w:tr>
        <w:trPr>
          <w:trHeight w:val="172"/>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Cunningham</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457,742</w:t>
            </w:r>
          </w:p>
        </w:tc>
      </w:tr>
      <w:tr>
        <w:trPr>
          <w:trHeight w:val="172"/>
        </w:trPr>
        <w:tc>
          <w:tcPr>
            <w:tcW w:w="5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Miller</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691,101</w:t>
            </w:r>
          </w:p>
        </w:tc>
      </w:tr>
      <w:tr>
        <w:trPr>
          <w:trHeight w:val="172"/>
        </w:trPr>
        <w:tc>
          <w:tcPr>
            <w:tcW w:w="53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Ms. Marbert</w:t>
            </w:r>
          </w:p>
        </w:tc>
        <w:tc>
          <w:tcPr>
            <w:tcW w:w="51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471,205</w:t>
            </w:r>
          </w:p>
        </w:tc>
      </w:tr>
    </w:tbl>
    <w:p>
      <w:pPr>
        <w:spacing w:after="0" w:line="90" w:lineRule="exact"/>
        <w:rPr>
          <w:sz w:val="20"/>
          <w:szCs w:val="20"/>
          <w:color w:val="auto"/>
        </w:rPr>
      </w:pPr>
    </w:p>
    <w:p>
      <w:pPr>
        <w:ind w:left="400" w:right="400"/>
        <w:spacing w:after="0" w:line="289" w:lineRule="auto"/>
        <w:rPr>
          <w:sz w:val="20"/>
          <w:szCs w:val="20"/>
          <w:color w:val="auto"/>
        </w:rPr>
      </w:pPr>
      <w:r>
        <w:rPr>
          <w:rFonts w:ascii="Arial" w:cs="Arial" w:eastAsia="Arial" w:hAnsi="Arial"/>
          <w:sz w:val="15"/>
          <w:szCs w:val="15"/>
          <w:color w:val="auto"/>
        </w:rPr>
        <w:t>For Second Half 2021, Adjusted EBITDA was $425.7 million and Total Revenue was $1,545 million, or payout of 179.57% of the target bonus for the period, which resulted in the following payments for our named executive officers:</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260" w:type="dxa"/>
            <w:vAlign w:val="bottom"/>
            <w:gridSpan w:val="2"/>
          </w:tcPr>
          <w:p>
            <w:pPr>
              <w:ind w:left="4060"/>
              <w:spacing w:after="0"/>
              <w:rPr>
                <w:sz w:val="20"/>
                <w:szCs w:val="20"/>
                <w:color w:val="auto"/>
              </w:rPr>
            </w:pPr>
            <w:r>
              <w:rPr>
                <w:rFonts w:ascii="Arial" w:cs="Arial" w:eastAsia="Arial" w:hAnsi="Arial"/>
                <w:sz w:val="14"/>
                <w:szCs w:val="14"/>
                <w:b w:val="1"/>
                <w:bCs w:val="1"/>
                <w:color w:val="004987"/>
              </w:rPr>
              <w:t>Second Half 2021</w:t>
            </w:r>
          </w:p>
        </w:tc>
      </w:tr>
      <w:tr>
        <w:trPr>
          <w:trHeight w:val="169"/>
        </w:trPr>
        <w:tc>
          <w:tcPr>
            <w:tcW w:w="520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4160" w:type="dxa"/>
            <w:vAlign w:val="bottom"/>
            <w:tcBorders>
              <w:bottom w:val="single" w:sz="8" w:color="004987"/>
            </w:tcBorders>
          </w:tcPr>
          <w:p>
            <w:pPr>
              <w:spacing w:after="0"/>
              <w:rPr>
                <w:sz w:val="14"/>
                <w:szCs w:val="14"/>
                <w:color w:val="auto"/>
              </w:rPr>
            </w:pPr>
          </w:p>
        </w:tc>
        <w:tc>
          <w:tcPr>
            <w:tcW w:w="1100" w:type="dxa"/>
            <w:vAlign w:val="bottom"/>
            <w:tcBorders>
              <w:bottom w:val="single" w:sz="8" w:color="004987"/>
            </w:tcBorders>
          </w:tcPr>
          <w:p>
            <w:pPr>
              <w:jc w:val="right"/>
              <w:ind w:right="84"/>
              <w:spacing w:after="0"/>
              <w:rPr>
                <w:sz w:val="20"/>
                <w:szCs w:val="20"/>
                <w:color w:val="auto"/>
              </w:rPr>
            </w:pPr>
            <w:r>
              <w:rPr>
                <w:rFonts w:ascii="Arial" w:cs="Arial" w:eastAsia="Arial" w:hAnsi="Arial"/>
                <w:sz w:val="14"/>
                <w:szCs w:val="14"/>
                <w:b w:val="1"/>
                <w:bCs w:val="1"/>
                <w:color w:val="004987"/>
                <w:w w:val="97"/>
              </w:rPr>
              <w:t>Bonus Payout</w:t>
            </w:r>
          </w:p>
        </w:tc>
      </w:tr>
      <w:tr>
        <w:trPr>
          <w:trHeight w:val="179"/>
        </w:trPr>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Weisz</w:t>
            </w:r>
          </w:p>
        </w:tc>
        <w:tc>
          <w:tcPr>
            <w:tcW w:w="4160" w:type="dxa"/>
            <w:vAlign w:val="bottom"/>
            <w:tcBorders>
              <w:bottom w:val="single" w:sz="8" w:color="auto"/>
            </w:tcBorders>
          </w:tcPr>
          <w:p>
            <w:pPr>
              <w:ind w:left="4060"/>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1,346,742</w:t>
            </w:r>
          </w:p>
        </w:tc>
      </w:tr>
      <w:tr>
        <w:trPr>
          <w:trHeight w:val="172"/>
        </w:trPr>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Geller</w:t>
            </w:r>
          </w:p>
        </w:tc>
        <w:tc>
          <w:tcPr>
            <w:tcW w:w="4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606,034</w:t>
            </w:r>
          </w:p>
        </w:tc>
      </w:tr>
      <w:tr>
        <w:trPr>
          <w:trHeight w:val="172"/>
        </w:trPr>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Terry</w:t>
            </w:r>
          </w:p>
        </w:tc>
        <w:tc>
          <w:tcPr>
            <w:tcW w:w="4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249,255</w:t>
            </w:r>
          </w:p>
        </w:tc>
      </w:tr>
      <w:tr>
        <w:trPr>
          <w:trHeight w:val="172"/>
        </w:trPr>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Cunningham</w:t>
            </w:r>
          </w:p>
        </w:tc>
        <w:tc>
          <w:tcPr>
            <w:tcW w:w="4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412,103</w:t>
            </w:r>
          </w:p>
        </w:tc>
      </w:tr>
      <w:tr>
        <w:trPr>
          <w:trHeight w:val="172"/>
        </w:trPr>
        <w:tc>
          <w:tcPr>
            <w:tcW w:w="5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Miller</w:t>
            </w:r>
          </w:p>
        </w:tc>
        <w:tc>
          <w:tcPr>
            <w:tcW w:w="4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622,195</w:t>
            </w:r>
          </w:p>
        </w:tc>
      </w:tr>
      <w:tr>
        <w:trPr>
          <w:trHeight w:val="172"/>
        </w:trPr>
        <w:tc>
          <w:tcPr>
            <w:tcW w:w="52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Ms. Marbert</w:t>
            </w:r>
          </w:p>
        </w:tc>
        <w:tc>
          <w:tcPr>
            <w:tcW w:w="4160" w:type="dxa"/>
            <w:vAlign w:val="bottom"/>
            <w:tcBorders>
              <w:bottom w:val="single" w:sz="8" w:color="004987"/>
            </w:tcBorders>
          </w:tcPr>
          <w:p>
            <w:pPr>
              <w:spacing w:after="0"/>
              <w:rPr>
                <w:sz w:val="14"/>
                <w:szCs w:val="14"/>
                <w:color w:val="auto"/>
              </w:rPr>
            </w:pPr>
          </w:p>
        </w:tc>
        <w:tc>
          <w:tcPr>
            <w:tcW w:w="110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424,224</w:t>
            </w:r>
          </w:p>
        </w:tc>
      </w:tr>
    </w:tbl>
    <w:p>
      <w:pPr>
        <w:spacing w:after="0" w:line="286"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Stock Awards</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Stock Awards Granted in 2021</w:t>
      </w:r>
    </w:p>
    <w:p>
      <w:pPr>
        <w:spacing w:after="0" w:line="96" w:lineRule="exact"/>
        <w:rPr>
          <w:sz w:val="20"/>
          <w:szCs w:val="20"/>
          <w:color w:val="auto"/>
        </w:rPr>
      </w:pPr>
    </w:p>
    <w:p>
      <w:pPr>
        <w:ind w:left="400" w:right="140"/>
        <w:spacing w:after="0" w:line="263" w:lineRule="auto"/>
        <w:rPr>
          <w:sz w:val="20"/>
          <w:szCs w:val="20"/>
          <w:color w:val="auto"/>
        </w:rPr>
      </w:pPr>
      <w:r>
        <w:rPr>
          <w:rFonts w:ascii="Arial" w:cs="Arial" w:eastAsia="Arial" w:hAnsi="Arial"/>
          <w:sz w:val="15"/>
          <w:szCs w:val="15"/>
          <w:color w:val="auto"/>
        </w:rPr>
        <w:t>We expect that equity compensation awards will be granted to the named executive officers under the 2020 Equity Plan on an annual basis. With multi-year and, in some cases, performance-based vesting conditions, and the opportunity for long-term capital appreciation, the annual stock awards help us achieve our objectives of attracting and retaining key executive talent, linking named executive officer pay to long-term Company performance and aligning the interests of named executive officers with those of stockholders.</w:t>
      </w:r>
    </w:p>
    <w:p>
      <w:pPr>
        <w:spacing w:after="0" w:line="102"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4" w:name="page35"/>
    <w:bookmarkEnd w:id="3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Compensation Policy Committee approved the following annual equity awards for 2021 for our named executive officers: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69"/>
        </w:trPr>
        <w:tc>
          <w:tcPr>
            <w:tcW w:w="348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3780" w:type="dxa"/>
            <w:vAlign w:val="bottom"/>
            <w:tcBorders>
              <w:bottom w:val="single" w:sz="8" w:color="004987"/>
            </w:tcBorders>
            <w:gridSpan w:val="2"/>
          </w:tcPr>
          <w:p>
            <w:pPr>
              <w:ind w:left="2380"/>
              <w:spacing w:after="0"/>
              <w:rPr>
                <w:sz w:val="20"/>
                <w:szCs w:val="20"/>
                <w:color w:val="auto"/>
              </w:rPr>
            </w:pPr>
            <w:r>
              <w:rPr>
                <w:rFonts w:ascii="Arial" w:cs="Arial" w:eastAsia="Arial" w:hAnsi="Arial"/>
                <w:sz w:val="14"/>
                <w:szCs w:val="14"/>
                <w:b w:val="1"/>
                <w:bCs w:val="1"/>
                <w:color w:val="004987"/>
              </w:rPr>
              <w:t>2021 Award Value</w:t>
            </w:r>
          </w:p>
        </w:tc>
        <w:tc>
          <w:tcPr>
            <w:tcW w:w="1700" w:type="dxa"/>
            <w:vAlign w:val="bottom"/>
            <w:tcBorders>
              <w:bottom w:val="single" w:sz="8" w:color="004987"/>
            </w:tcBorders>
            <w:gridSpan w:val="2"/>
          </w:tcPr>
          <w:p>
            <w:pPr>
              <w:ind w:left="280"/>
              <w:spacing w:after="0"/>
              <w:rPr>
                <w:sz w:val="20"/>
                <w:szCs w:val="20"/>
                <w:color w:val="auto"/>
              </w:rPr>
            </w:pPr>
            <w:r>
              <w:rPr>
                <w:rFonts w:ascii="Arial" w:cs="Arial" w:eastAsia="Arial" w:hAnsi="Arial"/>
                <w:sz w:val="14"/>
                <w:szCs w:val="14"/>
                <w:b w:val="1"/>
                <w:bCs w:val="1"/>
                <w:color w:val="004987"/>
              </w:rPr>
              <w:t>2020 Award Value</w:t>
            </w:r>
          </w:p>
        </w:tc>
        <w:tc>
          <w:tcPr>
            <w:tcW w:w="1500" w:type="dxa"/>
            <w:vAlign w:val="bottom"/>
            <w:tcBorders>
              <w:bottom w:val="single" w:sz="8" w:color="004987"/>
            </w:tcBorders>
          </w:tcPr>
          <w:p>
            <w:pPr>
              <w:jc w:val="right"/>
              <w:ind w:right="124"/>
              <w:spacing w:after="0"/>
              <w:rPr>
                <w:sz w:val="20"/>
                <w:szCs w:val="20"/>
                <w:color w:val="auto"/>
              </w:rPr>
            </w:pPr>
            <w:r>
              <w:rPr>
                <w:rFonts w:ascii="Arial" w:cs="Arial" w:eastAsia="Arial" w:hAnsi="Arial"/>
                <w:sz w:val="14"/>
                <w:szCs w:val="14"/>
                <w:b w:val="1"/>
                <w:bCs w:val="1"/>
                <w:color w:val="004987"/>
              </w:rPr>
              <w:t>Percent Change</w:t>
            </w:r>
          </w:p>
        </w:tc>
      </w:tr>
      <w:tr>
        <w:trPr>
          <w:trHeight w:val="179"/>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Weisz</w:t>
            </w:r>
          </w:p>
        </w:tc>
        <w:tc>
          <w:tcPr>
            <w:tcW w:w="2640" w:type="dxa"/>
            <w:vAlign w:val="bottom"/>
            <w:tcBorders>
              <w:bottom w:val="single" w:sz="8" w:color="auto"/>
            </w:tcBorders>
          </w:tcPr>
          <w:p>
            <w:pPr>
              <w:ind w:left="238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5,500,000</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4,600,000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172"/>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Geller</w:t>
            </w:r>
          </w:p>
        </w:tc>
        <w:tc>
          <w:tcPr>
            <w:tcW w:w="2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2,000,000</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1,500,000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r>
      <w:tr>
        <w:trPr>
          <w:trHeight w:val="172"/>
        </w:trPr>
        <w:tc>
          <w:tcPr>
            <w:tcW w:w="3480" w:type="dxa"/>
            <w:vAlign w:val="bottom"/>
            <w:tcBorders>
              <w:bottom w:val="single" w:sz="8" w:color="auto"/>
            </w:tcBorders>
          </w:tcPr>
          <w:p>
            <w:pPr>
              <w:spacing w:after="0" w:line="173" w:lineRule="exact"/>
              <w:rPr>
                <w:sz w:val="20"/>
                <w:szCs w:val="20"/>
                <w:color w:val="auto"/>
              </w:rPr>
            </w:pPr>
            <w:r>
              <w:rPr>
                <w:rFonts w:ascii="Arial" w:cs="Arial" w:eastAsia="Arial" w:hAnsi="Arial"/>
                <w:sz w:val="12"/>
                <w:szCs w:val="12"/>
                <w:color w:val="auto"/>
              </w:rPr>
              <w:t>Mr. Terry</w:t>
            </w:r>
            <w:r>
              <w:rPr>
                <w:rFonts w:ascii="Arial" w:cs="Arial" w:eastAsia="Arial" w:hAnsi="Arial"/>
                <w:sz w:val="19"/>
                <w:szCs w:val="19"/>
                <w:color w:val="auto"/>
                <w:vertAlign w:val="superscript"/>
              </w:rPr>
              <w:t>1</w:t>
            </w:r>
          </w:p>
        </w:tc>
        <w:tc>
          <w:tcPr>
            <w:tcW w:w="2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Cunningham</w:t>
            </w:r>
          </w:p>
        </w:tc>
        <w:tc>
          <w:tcPr>
            <w:tcW w:w="2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900,000</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900,000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3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Miller</w:t>
            </w:r>
          </w:p>
        </w:tc>
        <w:tc>
          <w:tcPr>
            <w:tcW w:w="2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1,100,000</w:t>
            </w:r>
          </w:p>
        </w:tc>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900,000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172"/>
        </w:trPr>
        <w:tc>
          <w:tcPr>
            <w:tcW w:w="348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Ms. Marbert</w:t>
            </w:r>
          </w:p>
        </w:tc>
        <w:tc>
          <w:tcPr>
            <w:tcW w:w="2640" w:type="dxa"/>
            <w:vAlign w:val="bottom"/>
            <w:tcBorders>
              <w:bottom w:val="single" w:sz="8" w:color="004987"/>
            </w:tcBorders>
          </w:tcPr>
          <w:p>
            <w:pPr>
              <w:spacing w:after="0"/>
              <w:rPr>
                <w:sz w:val="14"/>
                <w:szCs w:val="14"/>
                <w:color w:val="auto"/>
              </w:rPr>
            </w:pPr>
          </w:p>
        </w:tc>
        <w:tc>
          <w:tcPr>
            <w:tcW w:w="1140" w:type="dxa"/>
            <w:vAlign w:val="bottom"/>
            <w:tcBorders>
              <w:bottom w:val="single" w:sz="8" w:color="004987"/>
            </w:tcBorders>
          </w:tcPr>
          <w:p>
            <w:pPr>
              <w:jc w:val="right"/>
              <w:ind w:right="183"/>
              <w:spacing w:after="0"/>
              <w:rPr>
                <w:sz w:val="20"/>
                <w:szCs w:val="20"/>
                <w:color w:val="auto"/>
              </w:rPr>
            </w:pPr>
            <w:r>
              <w:rPr>
                <w:rFonts w:ascii="Arial" w:cs="Arial" w:eastAsia="Arial" w:hAnsi="Arial"/>
                <w:sz w:val="15"/>
                <w:szCs w:val="15"/>
                <w:color w:val="auto"/>
              </w:rPr>
              <w:t>1,000,000</w:t>
            </w:r>
          </w:p>
        </w:tc>
        <w:tc>
          <w:tcPr>
            <w:tcW w:w="540" w:type="dxa"/>
            <w:vAlign w:val="bottom"/>
            <w:tcBorders>
              <w:bottom w:val="single" w:sz="8" w:color="004987"/>
            </w:tcBorders>
          </w:tcPr>
          <w:p>
            <w:pPr>
              <w:spacing w:after="0"/>
              <w:rPr>
                <w:sz w:val="14"/>
                <w:szCs w:val="14"/>
                <w:color w:val="auto"/>
              </w:rPr>
            </w:pPr>
          </w:p>
        </w:tc>
        <w:tc>
          <w:tcPr>
            <w:tcW w:w="1160" w:type="dxa"/>
            <w:vAlign w:val="bottom"/>
            <w:tcBorders>
              <w:bottom w:val="single" w:sz="8" w:color="004987"/>
            </w:tcBorders>
          </w:tcPr>
          <w:p>
            <w:pPr>
              <w:jc w:val="right"/>
              <w:ind w:right="203"/>
              <w:spacing w:after="0"/>
              <w:rPr>
                <w:sz w:val="20"/>
                <w:szCs w:val="20"/>
                <w:color w:val="auto"/>
              </w:rPr>
            </w:pPr>
            <w:r>
              <w:rPr>
                <w:rFonts w:ascii="Arial" w:cs="Arial" w:eastAsia="Arial" w:hAnsi="Arial"/>
                <w:sz w:val="15"/>
                <w:szCs w:val="15"/>
                <w:color w:val="auto"/>
              </w:rPr>
              <w:t>950,000</w:t>
            </w:r>
          </w:p>
        </w:tc>
        <w:tc>
          <w:tcPr>
            <w:tcW w:w="150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5%</w:t>
            </w:r>
          </w:p>
        </w:tc>
      </w:tr>
    </w:tbl>
    <w:p>
      <w:pPr>
        <w:spacing w:after="0" w:line="69" w:lineRule="exact"/>
        <w:rPr>
          <w:sz w:val="20"/>
          <w:szCs w:val="20"/>
          <w:color w:val="auto"/>
        </w:rPr>
      </w:pPr>
    </w:p>
    <w:p>
      <w:pPr>
        <w:ind w:left="700" w:right="60" w:hanging="306"/>
        <w:spacing w:after="0" w:line="199" w:lineRule="auto"/>
        <w:tabs>
          <w:tab w:leader="none" w:pos="70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Effective October 16, 2021, Mr. Terry was promoted to the role of Executive Vice President and Chief Financial Officer and received an award with a grant date value of $250,000. In addition, while in his prior role, Mr. Terry received an annual equity award with a grant date value of $235,000. In connection with the promotion, he received a grant of equity awards as described in more detail below.</w:t>
      </w:r>
    </w:p>
    <w:p>
      <w:pPr>
        <w:spacing w:after="0" w:line="73" w:lineRule="exact"/>
        <w:rPr>
          <w:sz w:val="20"/>
          <w:szCs w:val="20"/>
          <w:color w:val="auto"/>
        </w:rPr>
      </w:pPr>
    </w:p>
    <w:p>
      <w:pPr>
        <w:ind w:left="400" w:right="80"/>
        <w:spacing w:after="0" w:line="256" w:lineRule="auto"/>
        <w:rPr>
          <w:sz w:val="20"/>
          <w:szCs w:val="20"/>
          <w:color w:val="auto"/>
        </w:rPr>
      </w:pPr>
      <w:r>
        <w:rPr>
          <w:rFonts w:ascii="Arial" w:cs="Arial" w:eastAsia="Arial" w:hAnsi="Arial"/>
          <w:sz w:val="15"/>
          <w:szCs w:val="15"/>
          <w:color w:val="auto"/>
        </w:rPr>
        <w:t>The amount of each named executive officer’s award, as well as the differences in the award amounts among the named executive officers, were determined by considering market data (as described above) and internal factors, including pay equity with other officers, differences in responsibilities, job performance, and future potential. The Compensation Policy Committee’s consideration of the external market pay practices of various companies discussed above under “Market Data” resulted in the determination to increase the value of the awards for Mr. Weisz, Mr. Miller and Mr. Geller. Total target direct compensation for Mr. Weisz was below market median following the increases in equity awards for 2021; all other named executive officers were at median. The awards are reflected in the Summary Compensation Table for 2021 and the Grants of Plan-Based Awards for Fiscal Year 2021. The value of the awards was allocated among SARs and RSUs as follows: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680" w:type="dxa"/>
            <w:vAlign w:val="bottom"/>
          </w:tcPr>
          <w:p>
            <w:pPr>
              <w:jc w:val="center"/>
              <w:ind w:left="3067"/>
              <w:spacing w:after="0"/>
              <w:rPr>
                <w:sz w:val="20"/>
                <w:szCs w:val="20"/>
                <w:color w:val="auto"/>
              </w:rPr>
            </w:pPr>
            <w:r>
              <w:rPr>
                <w:rFonts w:ascii="Arial" w:cs="Arial" w:eastAsia="Arial" w:hAnsi="Arial"/>
                <w:sz w:val="14"/>
                <w:szCs w:val="14"/>
                <w:b w:val="1"/>
                <w:bCs w:val="1"/>
                <w:color w:val="004987"/>
                <w:w w:val="97"/>
              </w:rPr>
              <w:t>Percentage of</w:t>
            </w:r>
          </w:p>
        </w:tc>
        <w:tc>
          <w:tcPr>
            <w:tcW w:w="1420" w:type="dxa"/>
            <w:vAlign w:val="bottom"/>
          </w:tcPr>
          <w:p>
            <w:pPr>
              <w:jc w:val="right"/>
              <w:ind w:right="127"/>
              <w:spacing w:after="0"/>
              <w:rPr>
                <w:sz w:val="20"/>
                <w:szCs w:val="20"/>
                <w:color w:val="auto"/>
              </w:rPr>
            </w:pPr>
            <w:r>
              <w:rPr>
                <w:rFonts w:ascii="Arial" w:cs="Arial" w:eastAsia="Arial" w:hAnsi="Arial"/>
                <w:sz w:val="14"/>
                <w:szCs w:val="14"/>
                <w:b w:val="1"/>
                <w:bCs w:val="1"/>
                <w:color w:val="004987"/>
              </w:rPr>
              <w:t>Percentage of</w:t>
            </w:r>
          </w:p>
        </w:tc>
      </w:tr>
      <w:tr>
        <w:trPr>
          <w:trHeight w:val="182"/>
        </w:trPr>
        <w:tc>
          <w:tcPr>
            <w:tcW w:w="436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Type of Award</w:t>
            </w:r>
          </w:p>
        </w:tc>
        <w:tc>
          <w:tcPr>
            <w:tcW w:w="4680" w:type="dxa"/>
            <w:vAlign w:val="bottom"/>
            <w:tcBorders>
              <w:bottom w:val="single" w:sz="8" w:color="004987"/>
            </w:tcBorders>
          </w:tcPr>
          <w:p>
            <w:pPr>
              <w:jc w:val="center"/>
              <w:ind w:left="3067"/>
              <w:spacing w:after="0"/>
              <w:rPr>
                <w:sz w:val="20"/>
                <w:szCs w:val="20"/>
                <w:color w:val="auto"/>
              </w:rPr>
            </w:pPr>
            <w:r>
              <w:rPr>
                <w:rFonts w:ascii="Arial" w:cs="Arial" w:eastAsia="Arial" w:hAnsi="Arial"/>
                <w:sz w:val="14"/>
                <w:szCs w:val="14"/>
                <w:b w:val="1"/>
                <w:bCs w:val="1"/>
                <w:color w:val="004987"/>
                <w:w w:val="95"/>
              </w:rPr>
              <w:t>2021 Award</w:t>
            </w:r>
          </w:p>
        </w:tc>
        <w:tc>
          <w:tcPr>
            <w:tcW w:w="1420" w:type="dxa"/>
            <w:vAlign w:val="bottom"/>
            <w:tcBorders>
              <w:bottom w:val="single" w:sz="8" w:color="004987"/>
            </w:tcBorders>
          </w:tcPr>
          <w:p>
            <w:pPr>
              <w:jc w:val="right"/>
              <w:ind w:right="207"/>
              <w:spacing w:after="0"/>
              <w:rPr>
                <w:sz w:val="20"/>
                <w:szCs w:val="20"/>
                <w:color w:val="auto"/>
              </w:rPr>
            </w:pPr>
            <w:r>
              <w:rPr>
                <w:rFonts w:ascii="Arial" w:cs="Arial" w:eastAsia="Arial" w:hAnsi="Arial"/>
                <w:sz w:val="14"/>
                <w:szCs w:val="14"/>
                <w:b w:val="1"/>
                <w:bCs w:val="1"/>
                <w:color w:val="004987"/>
              </w:rPr>
              <w:t>2020 Award</w:t>
            </w:r>
          </w:p>
        </w:tc>
      </w:tr>
      <w:tr>
        <w:trPr>
          <w:trHeight w:val="179"/>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SARs</w:t>
            </w:r>
          </w:p>
        </w:tc>
        <w:tc>
          <w:tcPr>
            <w:tcW w:w="4680" w:type="dxa"/>
            <w:vAlign w:val="bottom"/>
            <w:tcBorders>
              <w:bottom w:val="single" w:sz="8" w:color="auto"/>
            </w:tcBorders>
          </w:tcPr>
          <w:p>
            <w:pPr>
              <w:jc w:val="center"/>
              <w:ind w:left="3067"/>
              <w:spacing w:after="0"/>
              <w:rPr>
                <w:sz w:val="20"/>
                <w:szCs w:val="20"/>
                <w:color w:val="auto"/>
              </w:rPr>
            </w:pPr>
            <w:r>
              <w:rPr>
                <w:rFonts w:ascii="Arial" w:cs="Arial" w:eastAsia="Arial" w:hAnsi="Arial"/>
                <w:sz w:val="15"/>
                <w:szCs w:val="15"/>
                <w:color w:val="auto"/>
                <w:w w:val="99"/>
              </w:rPr>
              <w:t>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r>
      <w:tr>
        <w:trPr>
          <w:trHeight w:val="172"/>
        </w:trPr>
        <w:tc>
          <w:tcPr>
            <w:tcW w:w="436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RSUs</w:t>
            </w:r>
          </w:p>
        </w:tc>
        <w:tc>
          <w:tcPr>
            <w:tcW w:w="4680" w:type="dxa"/>
            <w:vAlign w:val="bottom"/>
            <w:tcBorders>
              <w:bottom w:val="single" w:sz="8" w:color="004987"/>
            </w:tcBorders>
          </w:tcPr>
          <w:p>
            <w:pPr>
              <w:jc w:val="center"/>
              <w:ind w:left="3067"/>
              <w:spacing w:after="0"/>
              <w:rPr>
                <w:sz w:val="20"/>
                <w:szCs w:val="20"/>
                <w:color w:val="auto"/>
              </w:rPr>
            </w:pPr>
            <w:r>
              <w:rPr>
                <w:rFonts w:ascii="Arial" w:cs="Arial" w:eastAsia="Arial" w:hAnsi="Arial"/>
                <w:sz w:val="15"/>
                <w:szCs w:val="15"/>
                <w:color w:val="auto"/>
                <w:w w:val="99"/>
              </w:rPr>
              <w:t>50%</w:t>
            </w:r>
          </w:p>
        </w:tc>
        <w:tc>
          <w:tcPr>
            <w:tcW w:w="142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20%</w:t>
            </w:r>
          </w:p>
        </w:tc>
      </w:tr>
    </w:tbl>
    <w:p>
      <w:pPr>
        <w:spacing w:after="0" w:line="90" w:lineRule="exact"/>
        <w:rPr>
          <w:sz w:val="20"/>
          <w:szCs w:val="20"/>
          <w:color w:val="auto"/>
        </w:rPr>
      </w:pPr>
    </w:p>
    <w:p>
      <w:pPr>
        <w:ind w:left="400" w:right="240"/>
        <w:spacing w:after="0" w:line="263" w:lineRule="auto"/>
        <w:rPr>
          <w:sz w:val="20"/>
          <w:szCs w:val="20"/>
          <w:color w:val="auto"/>
        </w:rPr>
      </w:pPr>
      <w:r>
        <w:rPr>
          <w:rFonts w:ascii="Arial" w:cs="Arial" w:eastAsia="Arial" w:hAnsi="Arial"/>
          <w:sz w:val="15"/>
          <w:szCs w:val="15"/>
          <w:color w:val="auto"/>
        </w:rPr>
        <w:t>The allocations were set so as to advance the executives’ alignment with stockholders by increasing their equity ownership, while tying a portion of the awards to future stock price performance. The RSUs are time-based stock awards that focus on retention of the executives and SARs are granted to further align the executives’ and stockholders’ interests by requiring an increase in stock price in order for the executives to recognize value from the awards.</w:t>
      </w:r>
    </w:p>
    <w:p>
      <w:pPr>
        <w:spacing w:after="0" w:line="64" w:lineRule="exact"/>
        <w:rPr>
          <w:sz w:val="20"/>
          <w:szCs w:val="20"/>
          <w:color w:val="auto"/>
        </w:rPr>
      </w:pPr>
    </w:p>
    <w:p>
      <w:pPr>
        <w:ind w:left="400" w:right="180"/>
        <w:spacing w:after="0" w:line="256" w:lineRule="auto"/>
        <w:rPr>
          <w:sz w:val="20"/>
          <w:szCs w:val="20"/>
          <w:color w:val="auto"/>
        </w:rPr>
      </w:pPr>
      <w:r>
        <w:rPr>
          <w:rFonts w:ascii="Arial" w:cs="Arial" w:eastAsia="Arial" w:hAnsi="Arial"/>
          <w:sz w:val="15"/>
          <w:szCs w:val="15"/>
          <w:color w:val="auto"/>
        </w:rPr>
        <w:t>The economic volatility faced in 2021 and beyond required analysis and consideration to adjust the mix of equity awards to exclude performance-based three-year restricted stock units for the 2021 fiscal year only. The Company has returned to its traditional equity mix effective with the 2022 fiscal year. Equity awards granted March 2021 to the executive officers represent an even split between time-based RSUs and SARs. Our decision to make this change for 2021 was predicated on the inability to accurately predict one and three years of performance metrics. To mitigate the risk of making projections with respect to the metric in the midst of such economic uncertainty (which may result in a windfall to our executive officers), the Company believed that it was appropriate to grant equity awards solely in the form of RSUs and SARs, which, although time-based, continue to align executives’ interests with those of shareholders by keeping them dedicated to stock price appreciation.</w:t>
      </w:r>
    </w:p>
    <w:p>
      <w:pPr>
        <w:spacing w:after="0" w:line="71" w:lineRule="exact"/>
        <w:rPr>
          <w:sz w:val="20"/>
          <w:szCs w:val="20"/>
          <w:color w:val="auto"/>
        </w:rPr>
      </w:pPr>
    </w:p>
    <w:p>
      <w:pPr>
        <w:ind w:left="400" w:right="40"/>
        <w:spacing w:after="0" w:line="269" w:lineRule="auto"/>
        <w:rPr>
          <w:sz w:val="20"/>
          <w:szCs w:val="20"/>
          <w:color w:val="auto"/>
        </w:rPr>
      </w:pPr>
      <w:r>
        <w:rPr>
          <w:rFonts w:ascii="Arial" w:cs="Arial" w:eastAsia="Arial" w:hAnsi="Arial"/>
          <w:sz w:val="15"/>
          <w:szCs w:val="15"/>
          <w:color w:val="auto"/>
        </w:rPr>
        <w:t>In connection with Mr. Terry’s promotion to the role of Executive Vice President and Chief Financial Officer, he was awarded RSUs with a grant date value of $250,000 that will vest equally in four annual installments beginning one year from the grant date of November 16, 2021. The award is captured in the Grants of Plan Based Awards table.</w:t>
      </w:r>
    </w:p>
    <w:p>
      <w:pPr>
        <w:spacing w:after="0" w:line="61" w:lineRule="exact"/>
        <w:rPr>
          <w:sz w:val="20"/>
          <w:szCs w:val="20"/>
          <w:color w:val="auto"/>
        </w:rPr>
      </w:pPr>
    </w:p>
    <w:p>
      <w:pPr>
        <w:ind w:left="400"/>
        <w:spacing w:after="0" w:line="254" w:lineRule="auto"/>
        <w:rPr>
          <w:sz w:val="20"/>
          <w:szCs w:val="20"/>
          <w:color w:val="auto"/>
        </w:rPr>
      </w:pPr>
      <w:r>
        <w:rPr>
          <w:rFonts w:ascii="Arial" w:cs="Arial" w:eastAsia="Arial" w:hAnsi="Arial"/>
          <w:sz w:val="15"/>
          <w:szCs w:val="15"/>
          <w:color w:val="auto"/>
        </w:rPr>
        <w:t>The Compensation Policy Committee awarded the executive team a one-time equity grant on December 15, 2021 to address the economic volatility faced in 2020 and 2021, as well as expected volatility in 2022. The Company’s executives enacted several measures to mitigate the impact of the pandemic noted above, such as reopening resorts and sales centers and implementing safety protocols for associates, owners and guests. As a result of these actions, the Company returned to pre-pandemic levels of key metrics, including contract sales and EBITDA, by the end of third-quarter 2021. In recognition of their contributions to the Company’s response and recovery, delivering shareholder value through an increase in the Company’s stock price in excess of pre-pandemic pricing, and building a solid foundation for growth, and in order to retain key talent, the one-time equity grant was awarded. The RSUs vest in full after a three-year period and are subject to forfeiture if an executive officer terminates his or her employment with the Company, with the exception of the grants to Mr. Weisz and Mr. Cunningham,which will not be forfeited in the event of a termination due to retirement, but will continue to vest at the end of the three-year period.</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Performance Units Vested in 2021</w:t>
      </w:r>
    </w:p>
    <w:p>
      <w:pPr>
        <w:spacing w:after="0" w:line="96" w:lineRule="exact"/>
        <w:rPr>
          <w:sz w:val="20"/>
          <w:szCs w:val="20"/>
          <w:color w:val="auto"/>
        </w:rPr>
      </w:pPr>
    </w:p>
    <w:p>
      <w:pPr>
        <w:ind w:left="400" w:right="100"/>
        <w:spacing w:after="0" w:line="259" w:lineRule="auto"/>
        <w:rPr>
          <w:sz w:val="20"/>
          <w:szCs w:val="20"/>
          <w:color w:val="auto"/>
        </w:rPr>
      </w:pPr>
      <w:r>
        <w:rPr>
          <w:rFonts w:ascii="Arial" w:cs="Arial" w:eastAsia="Arial" w:hAnsi="Arial"/>
          <w:sz w:val="15"/>
          <w:szCs w:val="15"/>
          <w:color w:val="auto"/>
        </w:rPr>
        <w:t>Following the end of 2021, each of the named executive officers received shares upon the vesting of the Performance Units granted in 2019. These performance units represented the right to receive shares of our common stock at the end of the performance period beginning January 1, 2019 and ending December 31, 2021, in an amount determined based on the Company’s cumulative achievement over the performance period with respect to two performance objectives: Adjusted EBITDA and Adjusted ROIC, each weighted equally. The targets were set at levels we believed to be achievable but not certain to be met.</w:t>
      </w:r>
    </w:p>
    <w:p>
      <w:pPr>
        <w:spacing w:after="0" w:line="107" w:lineRule="exact"/>
        <w:rPr>
          <w:sz w:val="20"/>
          <w:szCs w:val="20"/>
          <w:color w:val="auto"/>
        </w:rPr>
      </w:pPr>
    </w:p>
    <w:p>
      <w:pPr>
        <w:ind w:left="400"/>
        <w:spacing w:after="0"/>
        <w:tabs>
          <w:tab w:leader="none" w:pos="4760" w:val="left"/>
          <w:tab w:leader="none" w:pos="7720" w:val="left"/>
        </w:tabs>
        <w:rPr>
          <w:sz w:val="20"/>
          <w:szCs w:val="20"/>
          <w:color w:val="auto"/>
        </w:rPr>
      </w:pPr>
      <w:r>
        <w:rPr>
          <w:rFonts w:ascii="Arial" w:cs="Arial" w:eastAsia="Arial" w:hAnsi="Arial"/>
          <w:sz w:val="10"/>
          <w:szCs w:val="10"/>
          <w:b w:val="1"/>
          <w:bCs w:val="1"/>
          <w:color w:val="004987"/>
        </w:rPr>
        <w:t>30</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5" w:name="page36"/>
    <w:bookmarkEnd w:id="3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spacing w:after="0" w:line="254" w:lineRule="auto"/>
        <w:rPr>
          <w:sz w:val="20"/>
          <w:szCs w:val="20"/>
          <w:color w:val="auto"/>
        </w:rPr>
      </w:pPr>
      <w:r>
        <w:rPr>
          <w:rFonts w:ascii="Arial" w:cs="Arial" w:eastAsia="Arial" w:hAnsi="Arial"/>
          <w:sz w:val="15"/>
          <w:szCs w:val="15"/>
          <w:color w:val="auto"/>
        </w:rPr>
        <w:t>In December 2021, due to circumstances caused by the COVID-19 pandemic, which had an impact on the financial performance of the Company, the Compensation Policy Committee exercised its discretion and approved modifications to the performance period that began on January 1, 2019 and ended on December 31, 2021 so that rather than evaluating Company performance based on one three-year performance period, performance was evaluated based on three separate annual performance periods, one for each of the 2019, 2020 and 2021 fiscal years of the Company. The Compensation Policy Committee determined that such modification was necessary to recognize management’s response to the pandemic, including efforts to conserve cash, reopen resorts and sales centers, implement safety protocols, manage return to office and related ongoing safety issues for associates, among other measures, and to retain executive officers, who were particularly vulnerable to recruitment efforts from companies not in the hospitality business. The cumulative Adjusted EBITDA and Adjusted ROIC goals originally established for the three-year performance period resulted in achievement of 0% of the target Performance Units. The equal weighting of the three separate annual performance periods, with 2020 and 2021 achievement at zero percent, yielded an achievement of 33.18% of the target.</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Achievement based upon the three performance periods is as follows: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1740" w:type="dxa"/>
            <w:vAlign w:val="bottom"/>
          </w:tcPr>
          <w:p>
            <w:pPr>
              <w:spacing w:after="0"/>
              <w:rPr>
                <w:sz w:val="14"/>
                <w:szCs w:val="14"/>
                <w:color w:val="auto"/>
              </w:rPr>
            </w:pPr>
          </w:p>
        </w:tc>
        <w:tc>
          <w:tcPr>
            <w:tcW w:w="2560" w:type="dxa"/>
            <w:vAlign w:val="bottom"/>
            <w:gridSpan w:val="3"/>
          </w:tcPr>
          <w:p>
            <w:pPr>
              <w:jc w:val="right"/>
              <w:ind w:right="768"/>
              <w:spacing w:after="0"/>
              <w:rPr>
                <w:sz w:val="20"/>
                <w:szCs w:val="20"/>
                <w:color w:val="auto"/>
              </w:rPr>
            </w:pPr>
            <w:r>
              <w:rPr>
                <w:rFonts w:ascii="Arial" w:cs="Arial" w:eastAsia="Arial" w:hAnsi="Arial"/>
                <w:sz w:val="14"/>
                <w:szCs w:val="14"/>
                <w:b w:val="1"/>
                <w:bCs w:val="1"/>
                <w:color w:val="004987"/>
              </w:rPr>
              <w:t>2019</w:t>
            </w:r>
          </w:p>
        </w:tc>
        <w:tc>
          <w:tcPr>
            <w:tcW w:w="220" w:type="dxa"/>
            <w:vAlign w:val="bottom"/>
          </w:tcPr>
          <w:p>
            <w:pPr>
              <w:spacing w:after="0"/>
              <w:rPr>
                <w:sz w:val="14"/>
                <w:szCs w:val="14"/>
                <w:color w:val="auto"/>
              </w:rPr>
            </w:pPr>
          </w:p>
        </w:tc>
        <w:tc>
          <w:tcPr>
            <w:tcW w:w="2100" w:type="dxa"/>
            <w:vAlign w:val="bottom"/>
            <w:gridSpan w:val="3"/>
          </w:tcPr>
          <w:p>
            <w:pPr>
              <w:jc w:val="right"/>
              <w:ind w:right="768"/>
              <w:spacing w:after="0"/>
              <w:rPr>
                <w:sz w:val="20"/>
                <w:szCs w:val="20"/>
                <w:color w:val="auto"/>
              </w:rPr>
            </w:pPr>
            <w:r>
              <w:rPr>
                <w:rFonts w:ascii="Arial" w:cs="Arial" w:eastAsia="Arial" w:hAnsi="Arial"/>
                <w:sz w:val="14"/>
                <w:szCs w:val="14"/>
                <w:b w:val="1"/>
                <w:bCs w:val="1"/>
                <w:color w:val="004987"/>
              </w:rPr>
              <w:t>2020</w:t>
            </w:r>
          </w:p>
        </w:tc>
        <w:tc>
          <w:tcPr>
            <w:tcW w:w="240" w:type="dxa"/>
            <w:vAlign w:val="bottom"/>
          </w:tcPr>
          <w:p>
            <w:pPr>
              <w:spacing w:after="0"/>
              <w:rPr>
                <w:sz w:val="14"/>
                <w:szCs w:val="14"/>
                <w:color w:val="auto"/>
              </w:rPr>
            </w:pPr>
          </w:p>
        </w:tc>
        <w:tc>
          <w:tcPr>
            <w:tcW w:w="2080" w:type="dxa"/>
            <w:vAlign w:val="bottom"/>
            <w:gridSpan w:val="3"/>
          </w:tcPr>
          <w:p>
            <w:pPr>
              <w:jc w:val="right"/>
              <w:ind w:right="768"/>
              <w:spacing w:after="0"/>
              <w:rPr>
                <w:sz w:val="20"/>
                <w:szCs w:val="20"/>
                <w:color w:val="auto"/>
              </w:rPr>
            </w:pPr>
            <w:r>
              <w:rPr>
                <w:rFonts w:ascii="Arial" w:cs="Arial" w:eastAsia="Arial" w:hAnsi="Arial"/>
                <w:sz w:val="14"/>
                <w:szCs w:val="14"/>
                <w:b w:val="1"/>
                <w:bCs w:val="1"/>
                <w:color w:val="004987"/>
              </w:rPr>
              <w:t>2021</w:t>
            </w:r>
          </w:p>
        </w:tc>
        <w:tc>
          <w:tcPr>
            <w:tcW w:w="240" w:type="dxa"/>
            <w:vAlign w:val="bottom"/>
          </w:tcPr>
          <w:p>
            <w:pPr>
              <w:spacing w:after="0"/>
              <w:rPr>
                <w:sz w:val="14"/>
                <w:szCs w:val="14"/>
                <w:color w:val="auto"/>
              </w:rPr>
            </w:pPr>
          </w:p>
        </w:tc>
        <w:tc>
          <w:tcPr>
            <w:tcW w:w="1080" w:type="dxa"/>
            <w:vAlign w:val="bottom"/>
            <w:gridSpan w:val="2"/>
          </w:tcPr>
          <w:p>
            <w:pPr>
              <w:jc w:val="center"/>
              <w:ind w:left="7"/>
              <w:spacing w:after="0"/>
              <w:rPr>
                <w:sz w:val="20"/>
                <w:szCs w:val="20"/>
                <w:color w:val="auto"/>
              </w:rPr>
            </w:pPr>
            <w:r>
              <w:rPr>
                <w:rFonts w:ascii="Arial" w:cs="Arial" w:eastAsia="Arial" w:hAnsi="Arial"/>
                <w:sz w:val="14"/>
                <w:szCs w:val="14"/>
                <w:b w:val="1"/>
                <w:bCs w:val="1"/>
                <w:color w:val="004987"/>
                <w:w w:val="95"/>
              </w:rPr>
              <w:t>2019-2021</w:t>
            </w:r>
          </w:p>
        </w:tc>
        <w:tc>
          <w:tcPr>
            <w:tcW w:w="200" w:type="dxa"/>
            <w:vAlign w:val="bottom"/>
          </w:tcPr>
          <w:p>
            <w:pPr>
              <w:spacing w:after="0"/>
              <w:rPr>
                <w:sz w:val="14"/>
                <w:szCs w:val="14"/>
                <w:color w:val="auto"/>
              </w:rPr>
            </w:pPr>
          </w:p>
        </w:tc>
      </w:tr>
      <w:tr>
        <w:trPr>
          <w:trHeight w:val="137"/>
        </w:trPr>
        <w:tc>
          <w:tcPr>
            <w:tcW w:w="1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Borders>
              <w:top w:val="single" w:sz="8" w:color="004987"/>
            </w:tcBorders>
          </w:tcPr>
          <w:p>
            <w:pPr>
              <w:spacing w:after="0"/>
              <w:rPr>
                <w:sz w:val="11"/>
                <w:szCs w:val="11"/>
                <w:color w:val="auto"/>
              </w:rPr>
            </w:pPr>
          </w:p>
        </w:tc>
        <w:tc>
          <w:tcPr>
            <w:tcW w:w="960" w:type="dxa"/>
            <w:vAlign w:val="bottom"/>
            <w:tcBorders>
              <w:top w:val="single" w:sz="8" w:color="004987"/>
            </w:tcBorders>
          </w:tcPr>
          <w:p>
            <w:pPr>
              <w:jc w:val="center"/>
              <w:ind w:left="28"/>
              <w:spacing w:after="0" w:line="137" w:lineRule="exact"/>
              <w:rPr>
                <w:sz w:val="20"/>
                <w:szCs w:val="20"/>
                <w:color w:val="auto"/>
              </w:rPr>
            </w:pPr>
            <w:r>
              <w:rPr>
                <w:rFonts w:ascii="Arial" w:cs="Arial" w:eastAsia="Arial" w:hAnsi="Arial"/>
                <w:sz w:val="14"/>
                <w:szCs w:val="14"/>
                <w:b w:val="1"/>
                <w:bCs w:val="1"/>
                <w:color w:val="004987"/>
                <w:w w:val="98"/>
              </w:rPr>
              <w:t>RSUs earned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top w:val="single" w:sz="8" w:color="004987"/>
            </w:tcBorders>
          </w:tcPr>
          <w:p>
            <w:pPr>
              <w:spacing w:after="0"/>
              <w:rPr>
                <w:sz w:val="11"/>
                <w:szCs w:val="11"/>
                <w:color w:val="auto"/>
              </w:rPr>
            </w:pPr>
          </w:p>
        </w:tc>
        <w:tc>
          <w:tcPr>
            <w:tcW w:w="960" w:type="dxa"/>
            <w:vAlign w:val="bottom"/>
            <w:tcBorders>
              <w:top w:val="single" w:sz="8" w:color="004987"/>
            </w:tcBorders>
          </w:tcPr>
          <w:p>
            <w:pPr>
              <w:jc w:val="center"/>
              <w:ind w:left="28"/>
              <w:spacing w:after="0" w:line="137" w:lineRule="exact"/>
              <w:rPr>
                <w:sz w:val="20"/>
                <w:szCs w:val="20"/>
                <w:color w:val="auto"/>
              </w:rPr>
            </w:pPr>
            <w:r>
              <w:rPr>
                <w:rFonts w:ascii="Arial" w:cs="Arial" w:eastAsia="Arial" w:hAnsi="Arial"/>
                <w:sz w:val="14"/>
                <w:szCs w:val="14"/>
                <w:b w:val="1"/>
                <w:bCs w:val="1"/>
                <w:color w:val="004987"/>
                <w:w w:val="98"/>
              </w:rPr>
              <w:t>RSUs earned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004987"/>
            </w:tcBorders>
          </w:tcPr>
          <w:p>
            <w:pPr>
              <w:spacing w:after="0"/>
              <w:rPr>
                <w:sz w:val="11"/>
                <w:szCs w:val="11"/>
                <w:color w:val="auto"/>
              </w:rPr>
            </w:pPr>
          </w:p>
        </w:tc>
        <w:tc>
          <w:tcPr>
            <w:tcW w:w="960" w:type="dxa"/>
            <w:vAlign w:val="bottom"/>
            <w:tcBorders>
              <w:top w:val="single" w:sz="8" w:color="004987"/>
            </w:tcBorders>
          </w:tcPr>
          <w:p>
            <w:pPr>
              <w:jc w:val="center"/>
              <w:ind w:left="28"/>
              <w:spacing w:after="0" w:line="137" w:lineRule="exact"/>
              <w:rPr>
                <w:sz w:val="20"/>
                <w:szCs w:val="20"/>
                <w:color w:val="auto"/>
              </w:rPr>
            </w:pPr>
            <w:r>
              <w:rPr>
                <w:rFonts w:ascii="Arial" w:cs="Arial" w:eastAsia="Arial" w:hAnsi="Arial"/>
                <w:sz w:val="14"/>
                <w:szCs w:val="14"/>
                <w:b w:val="1"/>
                <w:bCs w:val="1"/>
                <w:color w:val="004987"/>
                <w:w w:val="98"/>
              </w:rPr>
              <w:t>RSUs earned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004987"/>
            </w:tcBorders>
          </w:tcPr>
          <w:p>
            <w:pPr>
              <w:spacing w:after="0"/>
              <w:rPr>
                <w:sz w:val="11"/>
                <w:szCs w:val="11"/>
                <w:color w:val="auto"/>
              </w:rPr>
            </w:pPr>
          </w:p>
        </w:tc>
        <w:tc>
          <w:tcPr>
            <w:tcW w:w="200" w:type="dxa"/>
            <w:vAlign w:val="bottom"/>
          </w:tcPr>
          <w:p>
            <w:pPr>
              <w:spacing w:after="0"/>
              <w:rPr>
                <w:sz w:val="11"/>
                <w:szCs w:val="11"/>
                <w:color w:val="auto"/>
              </w:rPr>
            </w:pPr>
          </w:p>
        </w:tc>
      </w:tr>
      <w:tr>
        <w:trPr>
          <w:trHeight w:val="154"/>
        </w:trPr>
        <w:tc>
          <w:tcPr>
            <w:tcW w:w="1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jc w:val="center"/>
              <w:ind w:right="32"/>
              <w:spacing w:after="0" w:line="154" w:lineRule="exact"/>
              <w:rPr>
                <w:sz w:val="20"/>
                <w:szCs w:val="20"/>
                <w:color w:val="auto"/>
              </w:rPr>
            </w:pPr>
            <w:r>
              <w:rPr>
                <w:rFonts w:ascii="Arial" w:cs="Arial" w:eastAsia="Arial" w:hAnsi="Arial"/>
                <w:sz w:val="14"/>
                <w:szCs w:val="14"/>
                <w:b w:val="1"/>
                <w:bCs w:val="1"/>
                <w:color w:val="004987"/>
                <w:w w:val="98"/>
              </w:rPr>
              <w:t>Actual</w:t>
            </w:r>
          </w:p>
        </w:tc>
        <w:tc>
          <w:tcPr>
            <w:tcW w:w="118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004987"/>
                <w:w w:val="97"/>
              </w:rPr>
              <w:t>(as a percent</w:t>
            </w:r>
          </w:p>
        </w:tc>
        <w:tc>
          <w:tcPr>
            <w:tcW w:w="100" w:type="dxa"/>
            <w:vAlign w:val="bottom"/>
          </w:tcPr>
          <w:p>
            <w:pPr>
              <w:spacing w:after="0"/>
              <w:rPr>
                <w:sz w:val="13"/>
                <w:szCs w:val="13"/>
                <w:color w:val="auto"/>
              </w:rPr>
            </w:pPr>
          </w:p>
        </w:tc>
        <w:tc>
          <w:tcPr>
            <w:tcW w:w="1040" w:type="dxa"/>
            <w:vAlign w:val="bottom"/>
          </w:tcPr>
          <w:p>
            <w:pPr>
              <w:jc w:val="center"/>
              <w:ind w:right="32"/>
              <w:spacing w:after="0" w:line="154" w:lineRule="exact"/>
              <w:rPr>
                <w:sz w:val="20"/>
                <w:szCs w:val="20"/>
                <w:color w:val="auto"/>
              </w:rPr>
            </w:pPr>
            <w:r>
              <w:rPr>
                <w:rFonts w:ascii="Arial" w:cs="Arial" w:eastAsia="Arial" w:hAnsi="Arial"/>
                <w:sz w:val="14"/>
                <w:szCs w:val="14"/>
                <w:b w:val="1"/>
                <w:bCs w:val="1"/>
                <w:color w:val="004987"/>
                <w:w w:val="98"/>
              </w:rPr>
              <w:t>Actual</w:t>
            </w:r>
          </w:p>
        </w:tc>
        <w:tc>
          <w:tcPr>
            <w:tcW w:w="12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004987"/>
                <w:w w:val="97"/>
              </w:rPr>
              <w:t>(as a percent</w:t>
            </w:r>
          </w:p>
        </w:tc>
        <w:tc>
          <w:tcPr>
            <w:tcW w:w="80" w:type="dxa"/>
            <w:vAlign w:val="bottom"/>
          </w:tcPr>
          <w:p>
            <w:pPr>
              <w:spacing w:after="0"/>
              <w:rPr>
                <w:sz w:val="13"/>
                <w:szCs w:val="13"/>
                <w:color w:val="auto"/>
              </w:rPr>
            </w:pPr>
          </w:p>
        </w:tc>
        <w:tc>
          <w:tcPr>
            <w:tcW w:w="1040" w:type="dxa"/>
            <w:vAlign w:val="bottom"/>
          </w:tcPr>
          <w:p>
            <w:pPr>
              <w:jc w:val="center"/>
              <w:ind w:right="32"/>
              <w:spacing w:after="0" w:line="154" w:lineRule="exact"/>
              <w:rPr>
                <w:sz w:val="20"/>
                <w:szCs w:val="20"/>
                <w:color w:val="auto"/>
              </w:rPr>
            </w:pPr>
            <w:r>
              <w:rPr>
                <w:rFonts w:ascii="Arial" w:cs="Arial" w:eastAsia="Arial" w:hAnsi="Arial"/>
                <w:sz w:val="14"/>
                <w:szCs w:val="14"/>
                <w:b w:val="1"/>
                <w:bCs w:val="1"/>
                <w:color w:val="004987"/>
                <w:w w:val="98"/>
              </w:rPr>
              <w:t>Actual</w:t>
            </w:r>
          </w:p>
        </w:tc>
        <w:tc>
          <w:tcPr>
            <w:tcW w:w="12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004987"/>
                <w:w w:val="97"/>
              </w:rPr>
              <w:t>(as a percent</w:t>
            </w:r>
          </w:p>
        </w:tc>
        <w:tc>
          <w:tcPr>
            <w:tcW w:w="80" w:type="dxa"/>
            <w:vAlign w:val="bottom"/>
          </w:tcPr>
          <w:p>
            <w:pPr>
              <w:spacing w:after="0"/>
              <w:rPr>
                <w:sz w:val="13"/>
                <w:szCs w:val="13"/>
                <w:color w:val="auto"/>
              </w:rPr>
            </w:pPr>
          </w:p>
        </w:tc>
        <w:tc>
          <w:tcPr>
            <w:tcW w:w="120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004987"/>
                <w:w w:val="98"/>
              </w:rPr>
              <w:t>Performance</w:t>
            </w:r>
          </w:p>
        </w:tc>
      </w:tr>
      <w:tr>
        <w:trPr>
          <w:trHeight w:val="182"/>
        </w:trPr>
        <w:tc>
          <w:tcPr>
            <w:tcW w:w="174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Criteria</w:t>
            </w:r>
          </w:p>
        </w:tc>
        <w:tc>
          <w:tcPr>
            <w:tcW w:w="560" w:type="dxa"/>
            <w:vAlign w:val="bottom"/>
            <w:tcBorders>
              <w:bottom w:val="single" w:sz="8" w:color="004987"/>
            </w:tcBorders>
          </w:tcPr>
          <w:p>
            <w:pPr>
              <w:spacing w:after="0"/>
              <w:rPr>
                <w:sz w:val="15"/>
                <w:szCs w:val="15"/>
                <w:color w:val="auto"/>
              </w:rPr>
            </w:pPr>
          </w:p>
        </w:tc>
        <w:tc>
          <w:tcPr>
            <w:tcW w:w="1040" w:type="dxa"/>
            <w:vAlign w:val="bottom"/>
            <w:tcBorders>
              <w:bottom w:val="single" w:sz="8" w:color="004987"/>
            </w:tcBorders>
          </w:tcPr>
          <w:p>
            <w:pPr>
              <w:jc w:val="center"/>
              <w:ind w:right="12"/>
              <w:spacing w:after="0"/>
              <w:rPr>
                <w:sz w:val="20"/>
                <w:szCs w:val="20"/>
                <w:color w:val="auto"/>
              </w:rPr>
            </w:pPr>
            <w:r>
              <w:rPr>
                <w:rFonts w:ascii="Arial" w:cs="Arial" w:eastAsia="Arial" w:hAnsi="Arial"/>
                <w:sz w:val="14"/>
                <w:szCs w:val="14"/>
                <w:b w:val="1"/>
                <w:bCs w:val="1"/>
                <w:color w:val="004987"/>
                <w:w w:val="98"/>
              </w:rPr>
              <w:t>Performance</w:t>
            </w:r>
          </w:p>
        </w:tc>
        <w:tc>
          <w:tcPr>
            <w:tcW w:w="1180" w:type="dxa"/>
            <w:vAlign w:val="bottom"/>
            <w:tcBorders>
              <w:bottom w:val="single" w:sz="8" w:color="004987"/>
            </w:tcBorders>
            <w:gridSpan w:val="2"/>
          </w:tcPr>
          <w:p>
            <w:pPr>
              <w:jc w:val="center"/>
              <w:ind w:right="120"/>
              <w:spacing w:after="0"/>
              <w:rPr>
                <w:sz w:val="20"/>
                <w:szCs w:val="20"/>
                <w:color w:val="auto"/>
              </w:rPr>
            </w:pPr>
            <w:r>
              <w:rPr>
                <w:rFonts w:ascii="Arial" w:cs="Arial" w:eastAsia="Arial" w:hAnsi="Arial"/>
                <w:sz w:val="14"/>
                <w:szCs w:val="14"/>
                <w:b w:val="1"/>
                <w:bCs w:val="1"/>
                <w:color w:val="004987"/>
                <w:w w:val="95"/>
              </w:rPr>
              <w:t>of Target)</w:t>
            </w:r>
          </w:p>
        </w:tc>
        <w:tc>
          <w:tcPr>
            <w:tcW w:w="100" w:type="dxa"/>
            <w:vAlign w:val="bottom"/>
            <w:tcBorders>
              <w:bottom w:val="single" w:sz="8" w:color="004987"/>
            </w:tcBorders>
          </w:tcPr>
          <w:p>
            <w:pPr>
              <w:spacing w:after="0"/>
              <w:rPr>
                <w:sz w:val="15"/>
                <w:szCs w:val="15"/>
                <w:color w:val="auto"/>
              </w:rPr>
            </w:pPr>
          </w:p>
        </w:tc>
        <w:tc>
          <w:tcPr>
            <w:tcW w:w="1040" w:type="dxa"/>
            <w:vAlign w:val="bottom"/>
            <w:tcBorders>
              <w:bottom w:val="single" w:sz="8" w:color="004987"/>
            </w:tcBorders>
          </w:tcPr>
          <w:p>
            <w:pPr>
              <w:jc w:val="center"/>
              <w:ind w:right="12"/>
              <w:spacing w:after="0"/>
              <w:rPr>
                <w:sz w:val="20"/>
                <w:szCs w:val="20"/>
                <w:color w:val="auto"/>
              </w:rPr>
            </w:pPr>
            <w:r>
              <w:rPr>
                <w:rFonts w:ascii="Arial" w:cs="Arial" w:eastAsia="Arial" w:hAnsi="Arial"/>
                <w:sz w:val="14"/>
                <w:szCs w:val="14"/>
                <w:b w:val="1"/>
                <w:bCs w:val="1"/>
                <w:color w:val="004987"/>
                <w:w w:val="98"/>
              </w:rPr>
              <w:t>Performance</w:t>
            </w:r>
          </w:p>
        </w:tc>
        <w:tc>
          <w:tcPr>
            <w:tcW w:w="1200" w:type="dxa"/>
            <w:vAlign w:val="bottom"/>
            <w:tcBorders>
              <w:bottom w:val="single" w:sz="8" w:color="004987"/>
            </w:tcBorders>
            <w:gridSpan w:val="2"/>
          </w:tcPr>
          <w:p>
            <w:pPr>
              <w:jc w:val="center"/>
              <w:ind w:right="140"/>
              <w:spacing w:after="0"/>
              <w:rPr>
                <w:sz w:val="20"/>
                <w:szCs w:val="20"/>
                <w:color w:val="auto"/>
              </w:rPr>
            </w:pPr>
            <w:r>
              <w:rPr>
                <w:rFonts w:ascii="Arial" w:cs="Arial" w:eastAsia="Arial" w:hAnsi="Arial"/>
                <w:sz w:val="14"/>
                <w:szCs w:val="14"/>
                <w:b w:val="1"/>
                <w:bCs w:val="1"/>
                <w:color w:val="004987"/>
                <w:w w:val="95"/>
              </w:rPr>
              <w:t>of Target)</w:t>
            </w:r>
          </w:p>
        </w:tc>
        <w:tc>
          <w:tcPr>
            <w:tcW w:w="80" w:type="dxa"/>
            <w:vAlign w:val="bottom"/>
            <w:tcBorders>
              <w:bottom w:val="single" w:sz="8" w:color="004987"/>
            </w:tcBorders>
          </w:tcPr>
          <w:p>
            <w:pPr>
              <w:spacing w:after="0"/>
              <w:rPr>
                <w:sz w:val="15"/>
                <w:szCs w:val="15"/>
                <w:color w:val="auto"/>
              </w:rPr>
            </w:pPr>
          </w:p>
        </w:tc>
        <w:tc>
          <w:tcPr>
            <w:tcW w:w="1040" w:type="dxa"/>
            <w:vAlign w:val="bottom"/>
            <w:tcBorders>
              <w:bottom w:val="single" w:sz="8" w:color="004987"/>
            </w:tcBorders>
          </w:tcPr>
          <w:p>
            <w:pPr>
              <w:jc w:val="center"/>
              <w:ind w:right="12"/>
              <w:spacing w:after="0"/>
              <w:rPr>
                <w:sz w:val="20"/>
                <w:szCs w:val="20"/>
                <w:color w:val="auto"/>
              </w:rPr>
            </w:pPr>
            <w:r>
              <w:rPr>
                <w:rFonts w:ascii="Arial" w:cs="Arial" w:eastAsia="Arial" w:hAnsi="Arial"/>
                <w:sz w:val="14"/>
                <w:szCs w:val="14"/>
                <w:b w:val="1"/>
                <w:bCs w:val="1"/>
                <w:color w:val="004987"/>
                <w:w w:val="98"/>
              </w:rPr>
              <w:t>Performance</w:t>
            </w:r>
          </w:p>
        </w:tc>
        <w:tc>
          <w:tcPr>
            <w:tcW w:w="1200" w:type="dxa"/>
            <w:vAlign w:val="bottom"/>
            <w:tcBorders>
              <w:bottom w:val="single" w:sz="8" w:color="004987"/>
            </w:tcBorders>
            <w:gridSpan w:val="2"/>
          </w:tcPr>
          <w:p>
            <w:pPr>
              <w:jc w:val="center"/>
              <w:ind w:right="140"/>
              <w:spacing w:after="0"/>
              <w:rPr>
                <w:sz w:val="20"/>
                <w:szCs w:val="20"/>
                <w:color w:val="auto"/>
              </w:rPr>
            </w:pPr>
            <w:r>
              <w:rPr>
                <w:rFonts w:ascii="Arial" w:cs="Arial" w:eastAsia="Arial" w:hAnsi="Arial"/>
                <w:sz w:val="14"/>
                <w:szCs w:val="14"/>
                <w:b w:val="1"/>
                <w:bCs w:val="1"/>
                <w:color w:val="004987"/>
                <w:w w:val="95"/>
              </w:rPr>
              <w:t>of Target)</w:t>
            </w:r>
          </w:p>
        </w:tc>
        <w:tc>
          <w:tcPr>
            <w:tcW w:w="1280" w:type="dxa"/>
            <w:vAlign w:val="bottom"/>
            <w:tcBorders>
              <w:bottom w:val="single" w:sz="8" w:color="004987"/>
            </w:tcBorders>
            <w:gridSpan w:val="3"/>
          </w:tcPr>
          <w:p>
            <w:pPr>
              <w:jc w:val="center"/>
              <w:ind w:right="120"/>
              <w:spacing w:after="0"/>
              <w:rPr>
                <w:sz w:val="20"/>
                <w:szCs w:val="20"/>
                <w:color w:val="auto"/>
              </w:rPr>
            </w:pPr>
            <w:r>
              <w:rPr>
                <w:rFonts w:ascii="Arial" w:cs="Arial" w:eastAsia="Arial" w:hAnsi="Arial"/>
                <w:sz w:val="14"/>
                <w:szCs w:val="14"/>
                <w:b w:val="1"/>
                <w:bCs w:val="1"/>
                <w:color w:val="004987"/>
                <w:w w:val="97"/>
              </w:rPr>
              <w:t>Period Average</w:t>
            </w:r>
          </w:p>
        </w:tc>
      </w:tr>
      <w:tr>
        <w:trPr>
          <w:trHeight w:val="179"/>
        </w:trPr>
        <w:tc>
          <w:tcPr>
            <w:tcW w:w="1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EBITDA</w:t>
            </w:r>
          </w:p>
        </w:tc>
        <w:tc>
          <w:tcPr>
            <w:tcW w:w="1600" w:type="dxa"/>
            <w:vAlign w:val="bottom"/>
            <w:tcBorders>
              <w:bottom w:val="single" w:sz="8" w:color="auto"/>
            </w:tcBorders>
            <w:gridSpan w:val="2"/>
          </w:tcPr>
          <w:p>
            <w:pPr>
              <w:jc w:val="center"/>
              <w:ind w:left="386"/>
              <w:spacing w:after="0"/>
              <w:rPr>
                <w:sz w:val="20"/>
                <w:szCs w:val="20"/>
                <w:color w:val="auto"/>
              </w:rPr>
            </w:pPr>
            <w:r>
              <w:rPr>
                <w:rFonts w:ascii="Arial" w:cs="Arial" w:eastAsia="Arial" w:hAnsi="Arial"/>
                <w:sz w:val="15"/>
                <w:szCs w:val="15"/>
                <w:color w:val="auto"/>
              </w:rPr>
              <w:t>$762,000,000</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92.85%</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$235,000,000</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0.0%</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rPr>
              <w:t>$590,000,000</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0.0%</w:t>
            </w: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58.94%</w:t>
            </w:r>
          </w:p>
        </w:tc>
      </w:tr>
      <w:tr>
        <w:trPr>
          <w:trHeight w:val="172"/>
        </w:trPr>
        <w:tc>
          <w:tcPr>
            <w:tcW w:w="174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Adjusted ROIC</w:t>
            </w:r>
          </w:p>
        </w:tc>
        <w:tc>
          <w:tcPr>
            <w:tcW w:w="1600" w:type="dxa"/>
            <w:vAlign w:val="bottom"/>
            <w:tcBorders>
              <w:bottom w:val="single" w:sz="8" w:color="004987"/>
            </w:tcBorders>
            <w:gridSpan w:val="2"/>
          </w:tcPr>
          <w:p>
            <w:pPr>
              <w:jc w:val="right"/>
              <w:ind w:right="232"/>
              <w:spacing w:after="0"/>
              <w:rPr>
                <w:sz w:val="20"/>
                <w:szCs w:val="20"/>
                <w:color w:val="auto"/>
              </w:rPr>
            </w:pPr>
            <w:r>
              <w:rPr>
                <w:rFonts w:ascii="Arial" w:cs="Arial" w:eastAsia="Arial" w:hAnsi="Arial"/>
                <w:sz w:val="15"/>
                <w:szCs w:val="15"/>
                <w:color w:val="auto"/>
              </w:rPr>
              <w:t>10.6%</w:t>
            </w:r>
          </w:p>
        </w:tc>
        <w:tc>
          <w:tcPr>
            <w:tcW w:w="1180" w:type="dxa"/>
            <w:vAlign w:val="bottom"/>
            <w:tcBorders>
              <w:bottom w:val="single" w:sz="8" w:color="004987"/>
            </w:tcBorders>
            <w:gridSpan w:val="2"/>
          </w:tcPr>
          <w:p>
            <w:pPr>
              <w:jc w:val="right"/>
              <w:ind w:right="80"/>
              <w:spacing w:after="0"/>
              <w:rPr>
                <w:sz w:val="20"/>
                <w:szCs w:val="20"/>
                <w:color w:val="auto"/>
              </w:rPr>
            </w:pPr>
            <w:r>
              <w:rPr>
                <w:rFonts w:ascii="Arial" w:cs="Arial" w:eastAsia="Arial" w:hAnsi="Arial"/>
                <w:sz w:val="15"/>
                <w:szCs w:val="15"/>
                <w:color w:val="auto"/>
              </w:rPr>
              <w:t>106.25%</w:t>
            </w:r>
          </w:p>
        </w:tc>
        <w:tc>
          <w:tcPr>
            <w:tcW w:w="1140" w:type="dxa"/>
            <w:vAlign w:val="bottom"/>
            <w:tcBorders>
              <w:bottom w:val="single" w:sz="8" w:color="004987"/>
            </w:tcBorders>
            <w:gridSpan w:val="2"/>
          </w:tcPr>
          <w:p>
            <w:pPr>
              <w:jc w:val="right"/>
              <w:ind w:right="272"/>
              <w:spacing w:after="0"/>
              <w:rPr>
                <w:sz w:val="20"/>
                <w:szCs w:val="20"/>
                <w:color w:val="auto"/>
              </w:rPr>
            </w:pPr>
            <w:r>
              <w:rPr>
                <w:rFonts w:ascii="Arial" w:cs="Arial" w:eastAsia="Arial" w:hAnsi="Arial"/>
                <w:sz w:val="15"/>
                <w:szCs w:val="15"/>
                <w:color w:val="auto"/>
              </w:rPr>
              <w:t>2.0%</w:t>
            </w:r>
          </w:p>
        </w:tc>
        <w:tc>
          <w:tcPr>
            <w:tcW w:w="1200" w:type="dxa"/>
            <w:vAlign w:val="bottom"/>
            <w:tcBorders>
              <w:bottom w:val="single" w:sz="8" w:color="004987"/>
            </w:tcBorders>
            <w:gridSpan w:val="2"/>
          </w:tcPr>
          <w:p>
            <w:pPr>
              <w:jc w:val="right"/>
              <w:ind w:right="100"/>
              <w:spacing w:after="0"/>
              <w:rPr>
                <w:sz w:val="20"/>
                <w:szCs w:val="20"/>
                <w:color w:val="auto"/>
              </w:rPr>
            </w:pPr>
            <w:r>
              <w:rPr>
                <w:rFonts w:ascii="Arial" w:cs="Arial" w:eastAsia="Arial" w:hAnsi="Arial"/>
                <w:sz w:val="15"/>
                <w:szCs w:val="15"/>
                <w:color w:val="auto"/>
              </w:rPr>
              <w:t>0.0%</w:t>
            </w:r>
          </w:p>
        </w:tc>
        <w:tc>
          <w:tcPr>
            <w:tcW w:w="1120" w:type="dxa"/>
            <w:vAlign w:val="bottom"/>
            <w:tcBorders>
              <w:bottom w:val="single" w:sz="8" w:color="004987"/>
            </w:tcBorders>
            <w:gridSpan w:val="2"/>
          </w:tcPr>
          <w:p>
            <w:pPr>
              <w:jc w:val="right"/>
              <w:ind w:right="272"/>
              <w:spacing w:after="0"/>
              <w:rPr>
                <w:sz w:val="20"/>
                <w:szCs w:val="20"/>
                <w:color w:val="auto"/>
              </w:rPr>
            </w:pPr>
            <w:r>
              <w:rPr>
                <w:rFonts w:ascii="Arial" w:cs="Arial" w:eastAsia="Arial" w:hAnsi="Arial"/>
                <w:sz w:val="15"/>
                <w:szCs w:val="15"/>
                <w:color w:val="auto"/>
              </w:rPr>
              <w:t>7.4%</w:t>
            </w:r>
          </w:p>
        </w:tc>
        <w:tc>
          <w:tcPr>
            <w:tcW w:w="1200" w:type="dxa"/>
            <w:vAlign w:val="bottom"/>
            <w:tcBorders>
              <w:bottom w:val="single" w:sz="8" w:color="004987"/>
            </w:tcBorders>
            <w:gridSpan w:val="2"/>
          </w:tcPr>
          <w:p>
            <w:pPr>
              <w:jc w:val="right"/>
              <w:ind w:right="100"/>
              <w:spacing w:after="0"/>
              <w:rPr>
                <w:sz w:val="20"/>
                <w:szCs w:val="20"/>
                <w:color w:val="auto"/>
              </w:rPr>
            </w:pPr>
            <w:r>
              <w:rPr>
                <w:rFonts w:ascii="Arial" w:cs="Arial" w:eastAsia="Arial" w:hAnsi="Arial"/>
                <w:sz w:val="15"/>
                <w:szCs w:val="15"/>
                <w:color w:val="auto"/>
              </w:rPr>
              <w:t>0.0%</w:t>
            </w:r>
          </w:p>
        </w:tc>
        <w:tc>
          <w:tcPr>
            <w:tcW w:w="1280" w:type="dxa"/>
            <w:vAlign w:val="bottom"/>
            <w:tcBorders>
              <w:bottom w:val="single" w:sz="8" w:color="004987"/>
            </w:tcBorders>
            <w:gridSpan w:val="3"/>
          </w:tcPr>
          <w:p>
            <w:pPr>
              <w:jc w:val="right"/>
              <w:ind w:right="60"/>
              <w:spacing w:after="0"/>
              <w:rPr>
                <w:sz w:val="20"/>
                <w:szCs w:val="20"/>
                <w:color w:val="auto"/>
              </w:rPr>
            </w:pPr>
            <w:r>
              <w:rPr>
                <w:rFonts w:ascii="Arial" w:cs="Arial" w:eastAsia="Arial" w:hAnsi="Arial"/>
                <w:sz w:val="15"/>
                <w:szCs w:val="15"/>
                <w:color w:val="auto"/>
              </w:rPr>
              <w:t>52.56%</w:t>
            </w: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actual award achievement, based on the straight average of the three one-year performance periods, is as follows:</w:t>
      </w:r>
    </w:p>
    <w:p>
      <w:pPr>
        <w:spacing w:after="0" w:line="1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340" w:type="dxa"/>
            <w:vAlign w:val="bottom"/>
          </w:tcPr>
          <w:p>
            <w:pPr>
              <w:jc w:val="right"/>
              <w:ind w:right="528"/>
              <w:spacing w:after="0"/>
              <w:rPr>
                <w:sz w:val="20"/>
                <w:szCs w:val="20"/>
                <w:color w:val="auto"/>
              </w:rPr>
            </w:pPr>
            <w:r>
              <w:rPr>
                <w:rFonts w:ascii="Arial" w:cs="Arial" w:eastAsia="Arial" w:hAnsi="Arial"/>
                <w:sz w:val="14"/>
                <w:szCs w:val="14"/>
                <w:b w:val="1"/>
                <w:bCs w:val="1"/>
                <w:color w:val="004987"/>
              </w:rPr>
              <w:t>Unadjusted Total RSUs earned</w:t>
            </w:r>
          </w:p>
        </w:tc>
        <w:tc>
          <w:tcPr>
            <w:tcW w:w="2500" w:type="dxa"/>
            <w:vAlign w:val="bottom"/>
          </w:tcPr>
          <w:p>
            <w:pPr>
              <w:jc w:val="right"/>
              <w:ind w:right="128"/>
              <w:spacing w:after="0"/>
              <w:rPr>
                <w:sz w:val="20"/>
                <w:szCs w:val="20"/>
                <w:color w:val="auto"/>
              </w:rPr>
            </w:pPr>
            <w:r>
              <w:rPr>
                <w:rFonts w:ascii="Arial" w:cs="Arial" w:eastAsia="Arial" w:hAnsi="Arial"/>
                <w:sz w:val="14"/>
                <w:szCs w:val="14"/>
                <w:b w:val="1"/>
                <w:bCs w:val="1"/>
                <w:color w:val="004987"/>
              </w:rPr>
              <w:t>Adjusted Total RSUs earned</w:t>
            </w:r>
          </w:p>
        </w:tc>
      </w:tr>
      <w:tr>
        <w:trPr>
          <w:trHeight w:val="172"/>
        </w:trPr>
        <w:tc>
          <w:tcPr>
            <w:tcW w:w="362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Criteria</w:t>
            </w:r>
          </w:p>
        </w:tc>
        <w:tc>
          <w:tcPr>
            <w:tcW w:w="4340" w:type="dxa"/>
            <w:vAlign w:val="bottom"/>
            <w:tcBorders>
              <w:bottom w:val="single" w:sz="8" w:color="004987"/>
            </w:tcBorders>
          </w:tcPr>
          <w:p>
            <w:pPr>
              <w:jc w:val="right"/>
              <w:ind w:right="748"/>
              <w:spacing w:after="0" w:line="166" w:lineRule="exact"/>
              <w:rPr>
                <w:sz w:val="20"/>
                <w:szCs w:val="20"/>
                <w:color w:val="auto"/>
              </w:rPr>
            </w:pPr>
            <w:r>
              <w:rPr>
                <w:rFonts w:ascii="Arial" w:cs="Arial" w:eastAsia="Arial" w:hAnsi="Arial"/>
                <w:sz w:val="12"/>
                <w:szCs w:val="12"/>
                <w:b w:val="1"/>
                <w:bCs w:val="1"/>
                <w:color w:val="004987"/>
              </w:rPr>
              <w:t>(as a percent of Target)</w:t>
            </w:r>
            <w:r>
              <w:rPr>
                <w:rFonts w:ascii="Arial" w:cs="Arial" w:eastAsia="Arial" w:hAnsi="Arial"/>
                <w:sz w:val="19"/>
                <w:szCs w:val="19"/>
                <w:color w:val="004987"/>
                <w:vertAlign w:val="superscript"/>
              </w:rPr>
              <w:t>1</w:t>
            </w:r>
          </w:p>
        </w:tc>
        <w:tc>
          <w:tcPr>
            <w:tcW w:w="2500" w:type="dxa"/>
            <w:vAlign w:val="bottom"/>
            <w:tcBorders>
              <w:bottom w:val="single" w:sz="8" w:color="004987"/>
            </w:tcBorders>
          </w:tcPr>
          <w:p>
            <w:pPr>
              <w:jc w:val="right"/>
              <w:ind w:right="268"/>
              <w:spacing w:after="0" w:line="166" w:lineRule="exact"/>
              <w:rPr>
                <w:sz w:val="20"/>
                <w:szCs w:val="20"/>
                <w:color w:val="auto"/>
              </w:rPr>
            </w:pPr>
            <w:r>
              <w:rPr>
                <w:rFonts w:ascii="Arial" w:cs="Arial" w:eastAsia="Arial" w:hAnsi="Arial"/>
                <w:sz w:val="12"/>
                <w:szCs w:val="12"/>
                <w:b w:val="1"/>
                <w:bCs w:val="1"/>
                <w:color w:val="004987"/>
              </w:rPr>
              <w:t>(as a percent of Target)</w:t>
            </w:r>
            <w:r>
              <w:rPr>
                <w:rFonts w:ascii="Arial" w:cs="Arial" w:eastAsia="Arial" w:hAnsi="Arial"/>
                <w:sz w:val="19"/>
                <w:szCs w:val="19"/>
                <w:color w:val="004987"/>
                <w:vertAlign w:val="superscript"/>
              </w:rPr>
              <w:t>1</w:t>
            </w:r>
          </w:p>
        </w:tc>
      </w:tr>
      <w:tr>
        <w:trPr>
          <w:trHeight w:val="179"/>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EBITDA</w:t>
            </w:r>
          </w:p>
        </w:tc>
        <w:tc>
          <w:tcPr>
            <w:tcW w:w="434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color w:val="auto"/>
              </w:rPr>
              <w:t>0.00%</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30.95%</w:t>
            </w:r>
          </w:p>
        </w:tc>
      </w:tr>
      <w:tr>
        <w:trPr>
          <w:trHeight w:val="172"/>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ROIC</w:t>
            </w:r>
          </w:p>
        </w:tc>
        <w:tc>
          <w:tcPr>
            <w:tcW w:w="4340" w:type="dxa"/>
            <w:vAlign w:val="bottom"/>
            <w:tcBorders>
              <w:bottom w:val="single" w:sz="8" w:color="auto"/>
            </w:tcBorders>
          </w:tcPr>
          <w:p>
            <w:pPr>
              <w:jc w:val="right"/>
              <w:ind w:right="408"/>
              <w:spacing w:after="0"/>
              <w:rPr>
                <w:sz w:val="20"/>
                <w:szCs w:val="20"/>
                <w:color w:val="auto"/>
              </w:rPr>
            </w:pPr>
            <w:r>
              <w:rPr>
                <w:rFonts w:ascii="Arial" w:cs="Arial" w:eastAsia="Arial" w:hAnsi="Arial"/>
                <w:sz w:val="15"/>
                <w:szCs w:val="15"/>
                <w:color w:val="auto"/>
              </w:rPr>
              <w:t>0.00%</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35.42%</w:t>
            </w:r>
          </w:p>
        </w:tc>
      </w:tr>
      <w:tr>
        <w:trPr>
          <w:trHeight w:val="172"/>
        </w:trPr>
        <w:tc>
          <w:tcPr>
            <w:tcW w:w="3620" w:type="dxa"/>
            <w:vAlign w:val="bottom"/>
            <w:tcBorders>
              <w:bottom w:val="single" w:sz="8" w:color="004987"/>
            </w:tcBorders>
          </w:tcPr>
          <w:p>
            <w:pPr>
              <w:spacing w:after="0"/>
              <w:rPr>
                <w:sz w:val="20"/>
                <w:szCs w:val="20"/>
                <w:color w:val="auto"/>
              </w:rPr>
            </w:pPr>
            <w:r>
              <w:rPr>
                <w:rFonts w:ascii="Arial" w:cs="Arial" w:eastAsia="Arial" w:hAnsi="Arial"/>
                <w:sz w:val="15"/>
                <w:szCs w:val="15"/>
                <w:b w:val="1"/>
                <w:bCs w:val="1"/>
                <w:color w:val="auto"/>
              </w:rPr>
              <w:t>Total Award Achievement</w:t>
            </w:r>
          </w:p>
        </w:tc>
        <w:tc>
          <w:tcPr>
            <w:tcW w:w="4340" w:type="dxa"/>
            <w:vAlign w:val="bottom"/>
            <w:tcBorders>
              <w:bottom w:val="single" w:sz="8" w:color="004987"/>
            </w:tcBorders>
          </w:tcPr>
          <w:p>
            <w:pPr>
              <w:jc w:val="right"/>
              <w:ind w:right="408"/>
              <w:spacing w:after="0"/>
              <w:rPr>
                <w:sz w:val="20"/>
                <w:szCs w:val="20"/>
                <w:color w:val="auto"/>
              </w:rPr>
            </w:pPr>
            <w:r>
              <w:rPr>
                <w:rFonts w:ascii="Arial" w:cs="Arial" w:eastAsia="Arial" w:hAnsi="Arial"/>
                <w:sz w:val="15"/>
                <w:szCs w:val="15"/>
                <w:b w:val="1"/>
                <w:bCs w:val="1"/>
                <w:color w:val="auto"/>
              </w:rPr>
              <w:t>0.00%</w:t>
            </w:r>
          </w:p>
        </w:tc>
        <w:tc>
          <w:tcPr>
            <w:tcW w:w="25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33.18%</w:t>
            </w:r>
          </w:p>
        </w:tc>
      </w:tr>
    </w:tbl>
    <w:p>
      <w:pPr>
        <w:spacing w:after="0" w:line="69" w:lineRule="exact"/>
        <w:rPr>
          <w:sz w:val="20"/>
          <w:szCs w:val="20"/>
          <w:color w:val="auto"/>
        </w:rPr>
      </w:pPr>
    </w:p>
    <w:p>
      <w:pPr>
        <w:ind w:left="700" w:right="120" w:hanging="306"/>
        <w:spacing w:after="0" w:line="188" w:lineRule="auto"/>
        <w:tabs>
          <w:tab w:leader="none" w:pos="70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The total number of RSUs earned is equal to: (Target Number of RSUs) multiplied by 50% multiplied by (percent of Target earned with respect to the Adjusted EBITDA criteria) plus (Target Number of RSUs) multiplied by 50% multiplied by (percent of Target earned with respect to the Adjusted ROIC objective).</w:t>
      </w:r>
    </w:p>
    <w:p>
      <w:pPr>
        <w:spacing w:after="0" w:line="72" w:lineRule="exact"/>
        <w:rPr>
          <w:sz w:val="20"/>
          <w:szCs w:val="20"/>
          <w:color w:val="auto"/>
        </w:rPr>
      </w:pPr>
    </w:p>
    <w:p>
      <w:pPr>
        <w:ind w:left="400" w:right="40"/>
        <w:spacing w:after="0" w:line="269" w:lineRule="auto"/>
        <w:rPr>
          <w:sz w:val="20"/>
          <w:szCs w:val="20"/>
          <w:color w:val="auto"/>
        </w:rPr>
      </w:pPr>
      <w:r>
        <w:rPr>
          <w:rFonts w:ascii="Arial" w:cs="Arial" w:eastAsia="Arial" w:hAnsi="Arial"/>
          <w:sz w:val="15"/>
          <w:szCs w:val="15"/>
          <w:color w:val="auto"/>
        </w:rPr>
        <w:t>As a result of such performance, the named executive officers received the following numbers of shares: Mr. Weisz, 6,578 shares; Mr. Geller, 2,349 shares; Mr. Cunningham, 1,409 shares; Mr. Miller, 1,096 shares; and Ms. Marbert, 1,323 shares. Mr. Terry was not an executive officer of the Company at the time of the 2019 grant.</w:t>
      </w:r>
    </w:p>
    <w:p>
      <w:pPr>
        <w:spacing w:after="0" w:line="61" w:lineRule="exact"/>
        <w:rPr>
          <w:sz w:val="20"/>
          <w:szCs w:val="20"/>
          <w:color w:val="auto"/>
        </w:rPr>
      </w:pPr>
    </w:p>
    <w:p>
      <w:pPr>
        <w:ind w:left="400" w:right="20"/>
        <w:spacing w:after="0" w:line="254" w:lineRule="auto"/>
        <w:rPr>
          <w:sz w:val="20"/>
          <w:szCs w:val="20"/>
          <w:color w:val="auto"/>
        </w:rPr>
      </w:pPr>
      <w:r>
        <w:rPr>
          <w:rFonts w:ascii="Arial" w:cs="Arial" w:eastAsia="Arial" w:hAnsi="Arial"/>
          <w:sz w:val="15"/>
          <w:szCs w:val="15"/>
          <w:color w:val="auto"/>
        </w:rPr>
        <w:t>Following the September 2018 acquisition of ILG, in February 2019 the Compensation Policy Committee approved the grant of performance units to executive officers with a three-year vesting period ending on December 31, 2021. Executive officers were eligible to earn between 0% and 250% of the target based on the achievement of specified transformation synergy savings for the department headed by the respective executive officers. Transformation synergy savings were reviewed by a Board sub-committee comprised of the Board Chair and both the current and immediate past Chairs of the Audit Committee. Target transformation synergy savings for the Company, on an Adjusted EBITDA basis, was $105 million, with the maximum award payable if the Company achieved $140 million of savings. Ongoing run rate savings, on an Adjusted EBITDA basis, as a result of the acquisition was $158 million, or 112.86% of target achievement, with each department achieving the stated maximum achievement, resulting in payout of 250% of the targeted amount for each executive officer. COVID related impact adjustments are not included or considered in the run-rate savings. The value of the vested awards is included in the Options Exercised and Stock Vested During Fiscal Year 2021 table.</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2022 Compensation Actions in Response to COVID-19 Pandemic</w:t>
      </w:r>
    </w:p>
    <w:p>
      <w:pPr>
        <w:spacing w:after="0" w:line="96" w:lineRule="exact"/>
        <w:rPr>
          <w:sz w:val="20"/>
          <w:szCs w:val="20"/>
          <w:color w:val="auto"/>
        </w:rPr>
      </w:pPr>
    </w:p>
    <w:p>
      <w:pPr>
        <w:ind w:left="400" w:right="20"/>
        <w:spacing w:after="0" w:line="256" w:lineRule="auto"/>
        <w:rPr>
          <w:sz w:val="20"/>
          <w:szCs w:val="20"/>
          <w:color w:val="auto"/>
        </w:rPr>
      </w:pPr>
      <w:r>
        <w:rPr>
          <w:rFonts w:ascii="Arial" w:cs="Arial" w:eastAsia="Arial" w:hAnsi="Arial"/>
          <w:sz w:val="15"/>
          <w:szCs w:val="15"/>
          <w:color w:val="auto"/>
        </w:rPr>
        <w:t>The COVID-19 pandemic is continuing to adversely affect our financial performance in 2022. In response to these ongoing economic challenges, we have enacted several measures to continue to mitigate the impact of the pandemic on the Company’s financial performance. We expect these actions to better position the Company for longer-term recovery and growth while continuing to preserve our cash and liquidity. Annual equity awards for Named Executive Officers and other executive officers returned to the pre-COVID distribution between restricted stock units, stock appreciation rights and performance units. Short-term incentives (annual management bonus plan) for Named Executive Officers and other executive officers partially returned to pre-pandemic design, substantially financially focused on Company Adjusted EBITDA and Total Revenue, with a small portion of the incentive based upon associate engagement.</w:t>
      </w: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Other Compensation</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Perquisites</w:t>
      </w:r>
    </w:p>
    <w:p>
      <w:pPr>
        <w:spacing w:after="0" w:line="96" w:lineRule="exact"/>
        <w:rPr>
          <w:sz w:val="20"/>
          <w:szCs w:val="20"/>
          <w:color w:val="auto"/>
        </w:rPr>
      </w:pPr>
    </w:p>
    <w:p>
      <w:pPr>
        <w:ind w:left="400" w:right="40"/>
        <w:spacing w:after="0" w:line="259" w:lineRule="auto"/>
        <w:rPr>
          <w:sz w:val="20"/>
          <w:szCs w:val="20"/>
          <w:color w:val="auto"/>
        </w:rPr>
      </w:pPr>
      <w:r>
        <w:rPr>
          <w:rFonts w:ascii="Arial" w:cs="Arial" w:eastAsia="Arial" w:hAnsi="Arial"/>
          <w:sz w:val="15"/>
          <w:szCs w:val="15"/>
          <w:color w:val="auto"/>
        </w:rPr>
        <w:t>In 2021, we offered minimal perquisites consisting of only a limited number of compensatory room nights, a minimal executive physical benefit and a status upgrade in the Marriott Bonvoy program. The value of these benefits was included in the executives’ wages for tax purposes, and we did not provide tax gross-ups to the executives with respect to these benefits. The Company owns a fractional interest in a corporate jet to support the conduct of its business. Executives are only permitted to utilize the jet for personal purposes if approved by the Company’s CEO and the executive pays the hourly costs of such flight.</w:t>
      </w:r>
    </w:p>
    <w:p>
      <w:pPr>
        <w:spacing w:after="0" w:line="200" w:lineRule="exact"/>
        <w:rPr>
          <w:sz w:val="20"/>
          <w:szCs w:val="20"/>
          <w:color w:val="auto"/>
        </w:rPr>
      </w:pPr>
    </w:p>
    <w:p>
      <w:pPr>
        <w:spacing w:after="0" w:line="253"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2"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Other Benefits</w:t>
      </w:r>
    </w:p>
    <w:p>
      <w:pPr>
        <w:spacing w:after="0" w:line="96" w:lineRule="exact"/>
        <w:rPr>
          <w:sz w:val="20"/>
          <w:szCs w:val="20"/>
          <w:color w:val="auto"/>
        </w:rPr>
      </w:pPr>
    </w:p>
    <w:p>
      <w:pPr>
        <w:ind w:left="400" w:right="40"/>
        <w:spacing w:after="0" w:line="257" w:lineRule="auto"/>
        <w:rPr>
          <w:sz w:val="20"/>
          <w:szCs w:val="20"/>
          <w:color w:val="auto"/>
        </w:rPr>
      </w:pPr>
      <w:r>
        <w:rPr>
          <w:rFonts w:ascii="Arial" w:cs="Arial" w:eastAsia="Arial" w:hAnsi="Arial"/>
          <w:sz w:val="15"/>
          <w:szCs w:val="15"/>
          <w:color w:val="auto"/>
        </w:rPr>
        <w:t>Named executive officers can participate in the same plans and programs offered to all our eligible employees. Some of these benefits were paid for by the executives, such as elective deferrals under the Marriott Vacations Worldwide 401(k) Retirement Savings Plan (the “401(k) Plan”) or the Marriott Vacations Worldwide Corporation Deferred Compensation Plan (the “MVW Deferred Compensation Plan”), vision coverage, long-term disability, group life and accidental death and dismemberment insurance, and health care and dependent care spending accounts. Other benefits were paid for or subsidized by us, such as any company match under the 401(k) Plan, any employer credits under the MVW Deferred Compensation Plan, certain group medical and dental benefits, short-term disability, business travel accident insurance and tuition reimbursement.</w:t>
      </w:r>
    </w:p>
    <w:p>
      <w:pPr>
        <w:spacing w:after="0" w:line="269"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Long-Term Disability Plan</w:t>
      </w:r>
    </w:p>
    <w:p>
      <w:pPr>
        <w:spacing w:after="0" w:line="96" w:lineRule="exact"/>
        <w:rPr>
          <w:sz w:val="20"/>
          <w:szCs w:val="20"/>
          <w:color w:val="auto"/>
        </w:rPr>
      </w:pPr>
    </w:p>
    <w:p>
      <w:pPr>
        <w:ind w:left="400" w:right="40"/>
        <w:spacing w:after="0" w:line="263" w:lineRule="auto"/>
        <w:rPr>
          <w:sz w:val="20"/>
          <w:szCs w:val="20"/>
          <w:color w:val="auto"/>
        </w:rPr>
      </w:pPr>
      <w:r>
        <w:rPr>
          <w:rFonts w:ascii="Arial" w:cs="Arial" w:eastAsia="Arial" w:hAnsi="Arial"/>
          <w:sz w:val="15"/>
          <w:szCs w:val="15"/>
          <w:color w:val="auto"/>
        </w:rPr>
        <w:t>Our named executive officers and approximately 500 other associates are eligible to participate in the Marriott Vacations Worldwide Corporation Executive Long-Term Disability Plan (the “LTD Plan”). The purpose of the LTD Plan is to improve the ability of the Company to attract and retain executive and senior level associates by providing such associates with enhanced long-term disability insurance. The LTD Plan is subject to certain provisions of the Employee Retirement Income Security Act of 1974, as amended.</w:t>
      </w:r>
    </w:p>
    <w:p>
      <w:pPr>
        <w:spacing w:after="0" w:line="64" w:lineRule="exact"/>
        <w:rPr>
          <w:sz w:val="20"/>
          <w:szCs w:val="20"/>
          <w:color w:val="auto"/>
        </w:rPr>
      </w:pPr>
    </w:p>
    <w:p>
      <w:pPr>
        <w:ind w:left="400" w:right="20"/>
        <w:spacing w:after="0" w:line="255" w:lineRule="auto"/>
        <w:rPr>
          <w:sz w:val="20"/>
          <w:szCs w:val="20"/>
          <w:color w:val="auto"/>
        </w:rPr>
      </w:pPr>
      <w:r>
        <w:rPr>
          <w:rFonts w:ascii="Arial" w:cs="Arial" w:eastAsia="Arial" w:hAnsi="Arial"/>
          <w:sz w:val="15"/>
          <w:szCs w:val="15"/>
          <w:color w:val="auto"/>
        </w:rPr>
        <w:t>The LTD Plan consists of two parts: (1) a group long-term disability policy (the “Group Policy”) that pays, after a 180-day elimination period, 60 percent of eligible compensation, which initially consists of base pay, bonus and incentive compensation (“Eligible Compensation”), capped at $10,000 per month, to a specific age, which initially is age 65 (the “Limiting Age”), the entire cost of which is paid by the Company; and (2) an individual disability insurance policy (the “Individual Policy”) that pays 75 percent of Eligible Compensation up to $10,000 per month, to the Limiting Age. We pay 100% of the premium cost required for the Individual Policy for our named executive officers and pay for the first $1,000 of coverage under the Individual Policy for other participants. The right to receive any payment under the Group Policy will cease upon termination of employment. The Individual Policy is portable; the participant may continue coverage by paying the full premiums after termination of employment. The total maximum benefit amount for the combination of the two parts of the LTD Plan is $20,000 per month or $240,000 per year.</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Life Insurance</w:t>
      </w:r>
    </w:p>
    <w:p>
      <w:pPr>
        <w:spacing w:after="0" w:line="96" w:lineRule="exact"/>
        <w:rPr>
          <w:sz w:val="20"/>
          <w:szCs w:val="20"/>
          <w:color w:val="auto"/>
        </w:rPr>
      </w:pPr>
    </w:p>
    <w:p>
      <w:pPr>
        <w:ind w:left="400" w:right="20"/>
        <w:spacing w:after="0" w:line="289" w:lineRule="auto"/>
        <w:rPr>
          <w:sz w:val="20"/>
          <w:szCs w:val="20"/>
          <w:color w:val="auto"/>
        </w:rPr>
      </w:pPr>
      <w:r>
        <w:rPr>
          <w:rFonts w:ascii="Arial" w:cs="Arial" w:eastAsia="Arial" w:hAnsi="Arial"/>
          <w:sz w:val="15"/>
          <w:szCs w:val="15"/>
          <w:color w:val="auto"/>
        </w:rPr>
        <w:t>We pay for life insurance with a payout to designated beneficiaries on death for Mr. Weisz in the amount of two times his base salary (up to a maximum of $1.5 million), and for each other named executive officer in the amount of such officer’s base salary (up to a maximum of $750,000).</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401(k) Plan</w:t>
      </w:r>
    </w:p>
    <w:p>
      <w:pPr>
        <w:spacing w:after="0" w:line="96" w:lineRule="exact"/>
        <w:rPr>
          <w:sz w:val="20"/>
          <w:szCs w:val="20"/>
          <w:color w:val="auto"/>
        </w:rPr>
      </w:pPr>
    </w:p>
    <w:p>
      <w:pPr>
        <w:ind w:left="400" w:right="40"/>
        <w:spacing w:after="0" w:line="256" w:lineRule="auto"/>
        <w:rPr>
          <w:sz w:val="20"/>
          <w:szCs w:val="20"/>
          <w:color w:val="auto"/>
        </w:rPr>
      </w:pPr>
      <w:r>
        <w:rPr>
          <w:rFonts w:ascii="Arial" w:cs="Arial" w:eastAsia="Arial" w:hAnsi="Arial"/>
          <w:sz w:val="15"/>
          <w:szCs w:val="15"/>
          <w:color w:val="auto"/>
        </w:rPr>
        <w:t>Our named executive officers are eligible to participate in our 401(k) Plan on substantially the same basis as our other associates. Participants in the 401(k) Plan may contribute a portion of their compensation to the plan each year. Our highly compensated employees, including the named executive officers, may be subject to limits on the amounts of their contributions to the plan that are not applicable to non-highly compensated employees to the extent required by applicable tax law. We determine on an annual basis whether to make matching employer contributions, which will not exceed six percent of the participant’s eligible compensation, or such other limits that are imposed by applicable tax law. Any employer contributions that we made to the 401(k) Plan accounts of the named executive officers for 2021 are shown in the “All Other Compensation” column of the Summary Compensation Table below.</w:t>
      </w: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Deferred Compensation</w:t>
      </w:r>
    </w:p>
    <w:p>
      <w:pPr>
        <w:spacing w:after="0" w:line="96" w:lineRule="exact"/>
        <w:rPr>
          <w:sz w:val="20"/>
          <w:szCs w:val="20"/>
          <w:color w:val="auto"/>
        </w:rPr>
      </w:pPr>
    </w:p>
    <w:p>
      <w:pPr>
        <w:ind w:left="400" w:right="160"/>
        <w:spacing w:after="0" w:line="269" w:lineRule="auto"/>
        <w:rPr>
          <w:sz w:val="20"/>
          <w:szCs w:val="20"/>
          <w:color w:val="auto"/>
        </w:rPr>
      </w:pPr>
      <w:r>
        <w:rPr>
          <w:rFonts w:ascii="Arial" w:cs="Arial" w:eastAsia="Arial" w:hAnsi="Arial"/>
          <w:sz w:val="15"/>
          <w:szCs w:val="15"/>
          <w:color w:val="auto"/>
        </w:rPr>
        <w:t>Our named executive officers and approximately 1,100 other associates are eligible to participate in the MVW Deferred Compensation Plan. In addition, some of our named executive officers have balances under the Marriott International, Inc. Executive Deferred Compensation Plan (“Marriott Deferred Compensation Plan”), in which many of them were able to participate prior to the Spin-Off from Marriott International in 2011 (the “Spin-Off”).</w:t>
      </w:r>
    </w:p>
    <w:p>
      <w:pPr>
        <w:spacing w:after="0" w:line="61" w:lineRule="exact"/>
        <w:rPr>
          <w:sz w:val="20"/>
          <w:szCs w:val="20"/>
          <w:color w:val="auto"/>
        </w:rPr>
      </w:pPr>
    </w:p>
    <w:p>
      <w:pPr>
        <w:ind w:left="400" w:right="140"/>
        <w:spacing w:after="0" w:line="263" w:lineRule="auto"/>
        <w:rPr>
          <w:sz w:val="20"/>
          <w:szCs w:val="20"/>
          <w:color w:val="auto"/>
        </w:rPr>
      </w:pPr>
      <w:r>
        <w:rPr>
          <w:rFonts w:ascii="Arial" w:cs="Arial" w:eastAsia="Arial" w:hAnsi="Arial"/>
          <w:sz w:val="15"/>
          <w:szCs w:val="15"/>
          <w:color w:val="auto"/>
        </w:rPr>
        <w:t>We provide the MVW Deferred Compensation Plan because the Compensation Policy Committee wishes to permit certain of our employees to defer the obligation to pay taxes on compensation and bonuses that they are entitled to receive. The MVW Deferred Compensation Plan permits them to do this, while also receiving interest on deferred amounts. We believe that providing this benefit is important as a retention and recruitment tool as many of the companies with which we compete for executive talent provide a similar plan for their senior employees.</w:t>
      </w:r>
    </w:p>
    <w:p>
      <w:pPr>
        <w:spacing w:after="0" w:line="64" w:lineRule="exact"/>
        <w:rPr>
          <w:sz w:val="20"/>
          <w:szCs w:val="20"/>
          <w:color w:val="auto"/>
        </w:rPr>
      </w:pPr>
    </w:p>
    <w:p>
      <w:pPr>
        <w:ind w:left="400" w:right="40"/>
        <w:spacing w:after="0" w:line="254" w:lineRule="auto"/>
        <w:rPr>
          <w:sz w:val="20"/>
          <w:szCs w:val="20"/>
          <w:color w:val="auto"/>
        </w:rPr>
      </w:pPr>
      <w:r>
        <w:rPr>
          <w:rFonts w:ascii="Arial" w:cs="Arial" w:eastAsia="Arial" w:hAnsi="Arial"/>
          <w:sz w:val="15"/>
          <w:szCs w:val="15"/>
          <w:color w:val="auto"/>
        </w:rPr>
        <w:t>Under the terms of the MVW Deferred Compensation Plan, each participant may elect to defer receipt of up to 80 percent of his or her base salary, bonuses, non-equity incentive plan compensation and/or commissions until such future date as he or she elects in accordance with the terms of the MVW Deferred Compensation Plan. The Company may credit participants’ accounts with additional amounts, referred to as employer credits, in an amount equal to any matching contributions that the participant did not receive for a year under the 401(k) Plan, or any successor plan thereto, due to the participant’s election to defer amounts under the MVW Deferred Compensation Plan. In addition, the Company may, in its sole discretion, credit participants’ accounts with additional employer credits which will vest at a rate of 25 percent per year on the first four anniversaries of the date the discretionary employer credit was allocated to the participant’s account, provided that the participant remains in continued service with the Company. On a participant’s separation from service, unvested discretionary employer credits are generally forfeited. Upon a change in control of the Company, a participant’s death, or a participant’s retirement after reaching age 55 and completing ten continuous years of service, all employer credits will immediately vest in full.</w:t>
      </w:r>
    </w:p>
    <w:p>
      <w:pPr>
        <w:spacing w:after="0" w:line="254" w:lineRule="exact"/>
        <w:rPr>
          <w:sz w:val="20"/>
          <w:szCs w:val="20"/>
          <w:color w:val="auto"/>
        </w:rPr>
      </w:pPr>
    </w:p>
    <w:p>
      <w:pPr>
        <w:ind w:left="400" w:right="100"/>
        <w:spacing w:after="0" w:line="279" w:lineRule="auto"/>
        <w:rPr>
          <w:sz w:val="20"/>
          <w:szCs w:val="20"/>
          <w:color w:val="auto"/>
        </w:rPr>
      </w:pPr>
      <w:r>
        <w:rPr>
          <w:rFonts w:ascii="Arial" w:cs="Arial" w:eastAsia="Arial" w:hAnsi="Arial"/>
          <w:sz w:val="15"/>
          <w:szCs w:val="15"/>
          <w:color w:val="auto"/>
        </w:rPr>
        <w:t>A participant in the MVW Deferred Compensation Plan may elect to receive his or her deferred amounts and vested employer credits in a lump sum or in installments over five, ten, fifteen or twenty years at either a separation from service or upon any of the first five anniversaries of a separation from service.</w:t>
      </w:r>
    </w:p>
    <w:p>
      <w:pPr>
        <w:spacing w:after="0" w:line="278" w:lineRule="exact"/>
        <w:rPr>
          <w:sz w:val="20"/>
          <w:szCs w:val="20"/>
          <w:color w:val="auto"/>
        </w:rPr>
      </w:pPr>
    </w:p>
    <w:p>
      <w:pPr>
        <w:ind w:left="400"/>
        <w:spacing w:after="0"/>
        <w:tabs>
          <w:tab w:leader="none" w:pos="4760" w:val="left"/>
          <w:tab w:leader="none" w:pos="7720" w:val="left"/>
        </w:tabs>
        <w:rPr>
          <w:sz w:val="20"/>
          <w:szCs w:val="20"/>
          <w:color w:val="auto"/>
        </w:rPr>
      </w:pPr>
      <w:r>
        <w:rPr>
          <w:rFonts w:ascii="Arial" w:cs="Arial" w:eastAsia="Arial" w:hAnsi="Arial"/>
          <w:sz w:val="10"/>
          <w:szCs w:val="10"/>
          <w:b w:val="1"/>
          <w:bCs w:val="1"/>
          <w:color w:val="004987"/>
        </w:rPr>
        <w:t>32</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7" w:name="page38"/>
    <w:bookmarkEnd w:id="3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right="120"/>
        <w:spacing w:after="0" w:line="259" w:lineRule="auto"/>
        <w:rPr>
          <w:sz w:val="20"/>
          <w:szCs w:val="20"/>
          <w:color w:val="auto"/>
        </w:rPr>
      </w:pPr>
      <w:r>
        <w:rPr>
          <w:rFonts w:ascii="Arial" w:cs="Arial" w:eastAsia="Arial" w:hAnsi="Arial"/>
          <w:sz w:val="15"/>
          <w:szCs w:val="15"/>
          <w:color w:val="auto"/>
        </w:rPr>
        <w:t>Alternatively, a participant may elect to receive his or her deferred amounts and vested employer credits in a lump sum in January of a specified year, so long as employer credits are deferred for at least four years and all other amounts are deferred for at least three years. The obligations under the MVW Deferred Compensation Plan are not funded by the Company, and therefore participants have an unsecured contractual commitment from us to pay the amounts due under the MVW Deferred Compensation Plan. When payments are due under the MVW Deferred Compensation Plan, the cash will be distributed from our general assets.</w:t>
      </w:r>
    </w:p>
    <w:p>
      <w:pPr>
        <w:spacing w:after="0" w:line="69" w:lineRule="exact"/>
        <w:rPr>
          <w:sz w:val="20"/>
          <w:szCs w:val="20"/>
          <w:color w:val="auto"/>
        </w:rPr>
      </w:pPr>
    </w:p>
    <w:p>
      <w:pPr>
        <w:ind w:left="400" w:right="160"/>
        <w:spacing w:after="0" w:line="257" w:lineRule="auto"/>
        <w:rPr>
          <w:sz w:val="20"/>
          <w:szCs w:val="20"/>
          <w:color w:val="auto"/>
        </w:rPr>
      </w:pPr>
      <w:r>
        <w:rPr>
          <w:rFonts w:ascii="Arial" w:cs="Arial" w:eastAsia="Arial" w:hAnsi="Arial"/>
          <w:sz w:val="15"/>
          <w:szCs w:val="15"/>
          <w:color w:val="auto"/>
        </w:rPr>
        <w:t>For 2021, participants were able to select a fixed rate of return of 3.5 percent or a rate of return based on various market-based investment alternatives, such as mutual funds with various investment profiles, and were also able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with the Company as grantor. For 2021, participants may select a rate of return based on market-based investment alternatives for up to 100 percent of their contributions and existing balances.</w:t>
      </w:r>
    </w:p>
    <w:p>
      <w:pPr>
        <w:spacing w:after="0" w:line="71" w:lineRule="exact"/>
        <w:rPr>
          <w:sz w:val="20"/>
          <w:szCs w:val="20"/>
          <w:color w:val="auto"/>
        </w:rPr>
      </w:pPr>
    </w:p>
    <w:p>
      <w:pPr>
        <w:ind w:left="400" w:right="60"/>
        <w:spacing w:after="0" w:line="269" w:lineRule="auto"/>
        <w:rPr>
          <w:sz w:val="20"/>
          <w:szCs w:val="20"/>
          <w:color w:val="auto"/>
        </w:rPr>
      </w:pPr>
      <w:r>
        <w:rPr>
          <w:rFonts w:ascii="Arial" w:cs="Arial" w:eastAsia="Arial" w:hAnsi="Arial"/>
          <w:sz w:val="15"/>
          <w:szCs w:val="15"/>
          <w:color w:val="auto"/>
        </w:rPr>
        <w:t>Earnings under the MVW Deferred Compensation Plan or the Marriott Deferred Compensation Plan that were credited at a fixed rate of interest in excess of 120 percent of the applicable federal long-term rate are reported in the Change in Pension Value and Nonqualified Deferred Compensation Earnings column of the Summary Compensation Table.</w:t>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Employee Stock Purchase Plan</w:t>
      </w:r>
    </w:p>
    <w:p>
      <w:pPr>
        <w:spacing w:after="0" w:line="96" w:lineRule="exact"/>
        <w:rPr>
          <w:sz w:val="20"/>
          <w:szCs w:val="20"/>
          <w:color w:val="auto"/>
        </w:rPr>
      </w:pPr>
    </w:p>
    <w:p>
      <w:pPr>
        <w:ind w:left="400" w:right="40"/>
        <w:spacing w:after="0" w:line="263" w:lineRule="auto"/>
        <w:rPr>
          <w:sz w:val="20"/>
          <w:szCs w:val="20"/>
          <w:color w:val="auto"/>
        </w:rPr>
      </w:pPr>
      <w:r>
        <w:rPr>
          <w:rFonts w:ascii="Arial" w:cs="Arial" w:eastAsia="Arial" w:hAnsi="Arial"/>
          <w:sz w:val="15"/>
          <w:szCs w:val="15"/>
          <w:color w:val="auto"/>
        </w:rPr>
        <w:t>The Marriott Vacations Worldwide Corporation Employee Stock Purchase Plan (the “ESPP”) is intended to provide the Company’s eligible employees, including our named executive officers, with an opportunity to participate in the Company’s success by permitting them to acquire an ownership interest in the Company through periodic payroll deductions that will be applied towards the purchase of shares of our common stock at a five percent discount from the market price.</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9"/>
          <w:szCs w:val="19"/>
          <w:i w:val="1"/>
          <w:iCs w:val="1"/>
          <w:color w:val="auto"/>
        </w:rPr>
        <w:t>Change in Control Arrangements</w:t>
      </w:r>
    </w:p>
    <w:p>
      <w:pPr>
        <w:spacing w:after="0" w:line="96" w:lineRule="exact"/>
        <w:rPr>
          <w:sz w:val="20"/>
          <w:szCs w:val="20"/>
          <w:color w:val="auto"/>
        </w:rPr>
      </w:pPr>
    </w:p>
    <w:p>
      <w:pPr>
        <w:ind w:left="400" w:right="20"/>
        <w:spacing w:after="0" w:line="255" w:lineRule="auto"/>
        <w:rPr>
          <w:sz w:val="20"/>
          <w:szCs w:val="20"/>
          <w:color w:val="auto"/>
        </w:rPr>
      </w:pPr>
      <w:r>
        <w:rPr>
          <w:rFonts w:ascii="Arial" w:cs="Arial" w:eastAsia="Arial" w:hAnsi="Arial"/>
          <w:sz w:val="15"/>
          <w:szCs w:val="15"/>
          <w:color w:val="auto"/>
        </w:rPr>
        <w:t>Our named executive officers are participants in the Marriott Vacations Worldwide Corporation Change in Control Severance Plan (the “Change in Control Plan”). Adoption of the Change in Control Plan was intended to maximize stockholder value by retaining key executives through the closing of a Change in Control (as defined below), and to motivate executives to drive business success independent of the possible occurrence of a Change in Control. All of our executive officers are eligible to participate in the Change in Control Plan. Under the Change in Control Plan, the receipt of benefits is subject to a “double trigger,” under which benefits, including the acceleration of vesting and/or settlement of equity and cash awards, are available only if the participant’s employment is terminated in connection with the Change in Control unless the awards are not assumed in connection with the Change in Control, in which case a single trigger applies. A “change in control” occurs if there is a consummation of certain acquisition, merger, sale, liquidation or similar events or there is a change in a majority of Board members as described in the Change in Control Plan (a “Change in Control”).</w:t>
      </w:r>
    </w:p>
    <w:p>
      <w:pPr>
        <w:spacing w:after="0" w:line="175" w:lineRule="exact"/>
        <w:rPr>
          <w:sz w:val="20"/>
          <w:szCs w:val="20"/>
          <w:color w:val="auto"/>
        </w:rPr>
      </w:pPr>
    </w:p>
    <w:p>
      <w:pPr>
        <w:ind w:left="400" w:right="20"/>
        <w:spacing w:after="0" w:line="253" w:lineRule="auto"/>
        <w:rPr>
          <w:sz w:val="20"/>
          <w:szCs w:val="20"/>
          <w:color w:val="auto"/>
        </w:rPr>
      </w:pPr>
      <w:r>
        <w:rPr>
          <w:rFonts w:ascii="Arial" w:cs="Arial" w:eastAsia="Arial" w:hAnsi="Arial"/>
          <w:sz w:val="15"/>
          <w:szCs w:val="15"/>
          <w:color w:val="auto"/>
        </w:rPr>
        <w:t>Under the terms of the Change in Control Plan, and subject to the conditions thereof, an executive officer who participates in the Change in Control Plan will receive severance benefits if his or her employment is terminated involuntarily by the Company or any of its affiliates, other than due to Cause, Total Disability (as those terms are defined in the Change in Control Plan), or death, or is terminated by the executive officer for Good Reason (as defined in the Change in Control Plan), in each case, within two years following a Change in Control of the Company (a “Termination”). Provided that the executive officer executes a waiver and release of claims in favor of the Company, he or she will be entitled to the following severance benefits: (1) a cash severance payment, payable in a lump sum, equal to two times (or three times, in the case of the Chief Executive Officer of the Company) the sum of his or her Base Salary and Target Bonus (as those terms are defined in the Change in Control Plan); (2) twenty-four months (or thirty-six months, in the case of the Chief Executive Officer of the Company) of Company-subsidized medical, dental and life-insurance coverage for such executive officer and his or her spouse and dependents, at the same benefit level as provided to the executive immediately prior to the Change in Control, or the cash equivalent of the present value of such coverage; (3) any unpaid bonus as of the Termination date for any previously-completed fiscal year; and (4) a pro-rata bonus for the fiscal year in which the executive officer’s employment is terminated.</w:t>
      </w:r>
    </w:p>
    <w:p>
      <w:pPr>
        <w:spacing w:after="0" w:line="77" w:lineRule="exact"/>
        <w:rPr>
          <w:sz w:val="20"/>
          <w:szCs w:val="20"/>
          <w:color w:val="auto"/>
        </w:rPr>
      </w:pPr>
    </w:p>
    <w:p>
      <w:pPr>
        <w:ind w:left="400" w:right="20"/>
        <w:spacing w:after="0" w:line="253" w:lineRule="auto"/>
        <w:rPr>
          <w:sz w:val="20"/>
          <w:szCs w:val="20"/>
          <w:color w:val="auto"/>
        </w:rPr>
      </w:pPr>
      <w:r>
        <w:rPr>
          <w:rFonts w:ascii="Arial" w:cs="Arial" w:eastAsia="Arial" w:hAnsi="Arial"/>
          <w:sz w:val="15"/>
          <w:szCs w:val="15"/>
          <w:color w:val="auto"/>
        </w:rPr>
        <w:t>In addition to receipt of the severance benefits described above, upon Termination, an executive officer’s stock options and other equity-related compensation will be treated as follows: (1) all restricted stock, RSUs or other share-based awards in a form substantially similar to restricted stock or RSUs will become fully vested as of the Termination date; (2) all unvested or unexercisable options, SARs or other share-based awards in a form substantially similar to options or SARs will become fully vested and exercisable until the earlier of the end of (a) their original term or (b) 12 months (or in the case of certain approved retirees, five years) following the Termination date; and (3) all of the executive officer’s other cash performance units or other share-based awards subject to performance-based vesting criteria will be deemed to be fully vested as of the Termination date, and will be paid immediately thereafter based on a presumed achievement of target levels of performance. However, in the event that no substitute awards, shares or other equity interests are available as of the Change in Control, the participant will become fully vested in his or her awards as of the Change in Control date, and all awards will be immediately distributed or paid, or, in the case of options and SARs, will become fully exercisable. In the discretion of the Compensation Policy Committee, distributions may be made in the form of a cash payment equal in amount to the value of the shares distributed or, in the case of options or SARs, the intrinsic value of such awards.</w:t>
      </w:r>
    </w:p>
    <w:p>
      <w:pPr>
        <w:spacing w:after="0" w:line="77" w:lineRule="exact"/>
        <w:rPr>
          <w:sz w:val="20"/>
          <w:szCs w:val="20"/>
          <w:color w:val="auto"/>
        </w:rPr>
      </w:pPr>
    </w:p>
    <w:p>
      <w:pPr>
        <w:ind w:left="400" w:right="120"/>
        <w:spacing w:after="0" w:line="269" w:lineRule="auto"/>
        <w:rPr>
          <w:sz w:val="20"/>
          <w:szCs w:val="20"/>
          <w:color w:val="auto"/>
        </w:rPr>
      </w:pPr>
      <w:r>
        <w:rPr>
          <w:rFonts w:ascii="Arial" w:cs="Arial" w:eastAsia="Arial" w:hAnsi="Arial"/>
          <w:sz w:val="15"/>
          <w:szCs w:val="15"/>
          <w:color w:val="auto"/>
        </w:rPr>
        <w:t>Any payment otherwise due under the Change in Control Plan will be reduced if necessary so that the payment will not constitute a “parachute payment” under Section 280G of the Internal Revenue Code. The Change in Control Plan does not provide for a gross-up of excise taxes on such “parachute payments.”</w:t>
      </w:r>
    </w:p>
    <w:p>
      <w:pPr>
        <w:spacing w:after="0" w:line="99"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8" w:name="page39"/>
    <w:bookmarkEnd w:id="3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Clawbacks</w:t>
      </w:r>
    </w:p>
    <w:p>
      <w:pPr>
        <w:spacing w:after="0" w:line="98" w:lineRule="exact"/>
        <w:rPr>
          <w:sz w:val="20"/>
          <w:szCs w:val="20"/>
          <w:color w:val="auto"/>
        </w:rPr>
      </w:pPr>
    </w:p>
    <w:p>
      <w:pPr>
        <w:ind w:left="400" w:right="40"/>
        <w:spacing w:after="0" w:line="256" w:lineRule="auto"/>
        <w:rPr>
          <w:sz w:val="20"/>
          <w:szCs w:val="20"/>
          <w:color w:val="auto"/>
        </w:rPr>
      </w:pPr>
      <w:r>
        <w:rPr>
          <w:rFonts w:ascii="Arial" w:cs="Arial" w:eastAsia="Arial" w:hAnsi="Arial"/>
          <w:sz w:val="15"/>
          <w:szCs w:val="15"/>
          <w:color w:val="auto"/>
        </w:rPr>
        <w:t>Under our clawback policy, which is in addition to the clawback provision that applies to equity awards issued under the Equity Plans in the event of certain restatements of our consolidated financial statements, the Board may recoup compensation received by a named executive officer who engaged in certain misconduct that contributed to the need for the restatement. Compensation that is based on our achievement of specified financial results, including performance units, may be recouped to the extent such compensation would have been lower had it been determined or calculated based on the financial results as restated. In addition, the Board may recoup any compensation received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71" w:lineRule="exact"/>
        <w:rPr>
          <w:sz w:val="20"/>
          <w:szCs w:val="20"/>
          <w:color w:val="auto"/>
        </w:rPr>
      </w:pPr>
    </w:p>
    <w:p>
      <w:pPr>
        <w:ind w:left="400" w:right="180"/>
        <w:spacing w:after="0" w:line="269" w:lineRule="auto"/>
        <w:rPr>
          <w:sz w:val="20"/>
          <w:szCs w:val="20"/>
          <w:color w:val="auto"/>
        </w:rPr>
      </w:pPr>
      <w:r>
        <w:rPr>
          <w:rFonts w:ascii="Arial" w:cs="Arial" w:eastAsia="Arial" w:hAnsi="Arial"/>
          <w:sz w:val="15"/>
          <w:szCs w:val="15"/>
          <w:color w:val="auto"/>
        </w:rPr>
        <w:t>Under the Equity Plans we have the authority to limit or eliminate the ability of any executive to exercise options and SARs or to receive a distribution of our common stock under RSUs or other stock awards if the executive engaged in criminal or tortious conduct that was injurious to us or engaged in competition with us.</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Stock Ownership Guidelines</w:t>
      </w:r>
    </w:p>
    <w:p>
      <w:pPr>
        <w:spacing w:after="0" w:line="98" w:lineRule="exact"/>
        <w:rPr>
          <w:sz w:val="20"/>
          <w:szCs w:val="20"/>
          <w:color w:val="auto"/>
        </w:rPr>
      </w:pPr>
    </w:p>
    <w:p>
      <w:pPr>
        <w:ind w:left="400" w:right="280"/>
        <w:spacing w:after="0" w:line="289" w:lineRule="auto"/>
        <w:rPr>
          <w:sz w:val="20"/>
          <w:szCs w:val="20"/>
          <w:color w:val="auto"/>
        </w:rPr>
      </w:pPr>
      <w:r>
        <w:rPr>
          <w:rFonts w:ascii="Arial" w:cs="Arial" w:eastAsia="Arial" w:hAnsi="Arial"/>
          <w:sz w:val="15"/>
          <w:szCs w:val="15"/>
          <w:color w:val="auto"/>
        </w:rPr>
        <w:t>Under the stock ownership guidelines adopted by the Compensation Policy Committee, named executive officers are to achieve the following levels of ownership of our common stock (as a multiple of base salary rate as of the last day of the fiscal year for which compliance is being evaluated):</w:t>
      </w:r>
    </w:p>
    <w:p>
      <w:pPr>
        <w:spacing w:after="0" w:line="177" w:lineRule="exact"/>
        <w:rPr>
          <w:sz w:val="20"/>
          <w:szCs w:val="20"/>
          <w:color w:val="auto"/>
        </w:rPr>
      </w:pPr>
    </w:p>
    <w:tbl>
      <w:tblPr>
        <w:tblLayout w:type="fixed"/>
        <w:tblInd w:w="1960" w:type="dxa"/>
        <w:tblCellMar>
          <w:top w:w="0" w:type="dxa"/>
          <w:left w:w="0" w:type="dxa"/>
          <w:bottom w:w="0" w:type="dxa"/>
          <w:right w:w="0" w:type="dxa"/>
        </w:tblCellMar>
      </w:tblPr>
      <w:tr>
        <w:trPr>
          <w:trHeight w:val="169"/>
        </w:trPr>
        <w:tc>
          <w:tcPr>
            <w:tcW w:w="4200" w:type="dxa"/>
            <w:vAlign w:val="bottom"/>
            <w:tcBorders>
              <w:bottom w:val="single" w:sz="8" w:color="004987"/>
            </w:tcBorders>
          </w:tcPr>
          <w:p>
            <w:pPr>
              <w:jc w:val="center"/>
              <w:ind w:right="445"/>
              <w:spacing w:after="0"/>
              <w:rPr>
                <w:sz w:val="20"/>
                <w:szCs w:val="20"/>
                <w:color w:val="auto"/>
              </w:rPr>
            </w:pPr>
            <w:r>
              <w:rPr>
                <w:rFonts w:ascii="Arial" w:cs="Arial" w:eastAsia="Arial" w:hAnsi="Arial"/>
                <w:sz w:val="14"/>
                <w:szCs w:val="14"/>
                <w:b w:val="1"/>
                <w:bCs w:val="1"/>
                <w:color w:val="004987"/>
                <w:w w:val="97"/>
              </w:rPr>
              <w:t>Officer</w:t>
            </w:r>
          </w:p>
        </w:tc>
        <w:tc>
          <w:tcPr>
            <w:tcW w:w="3120" w:type="dxa"/>
            <w:vAlign w:val="bottom"/>
            <w:tcBorders>
              <w:bottom w:val="single" w:sz="8" w:color="004987"/>
            </w:tcBorders>
          </w:tcPr>
          <w:p>
            <w:pPr>
              <w:jc w:val="center"/>
              <w:ind w:right="225"/>
              <w:spacing w:after="0"/>
              <w:rPr>
                <w:sz w:val="20"/>
                <w:szCs w:val="20"/>
                <w:color w:val="auto"/>
              </w:rPr>
            </w:pPr>
            <w:r>
              <w:rPr>
                <w:rFonts w:ascii="Arial" w:cs="Arial" w:eastAsia="Arial" w:hAnsi="Arial"/>
                <w:sz w:val="14"/>
                <w:szCs w:val="14"/>
                <w:b w:val="1"/>
                <w:bCs w:val="1"/>
                <w:color w:val="004987"/>
                <w:w w:val="97"/>
              </w:rPr>
              <w:t>Level of Ownership</w:t>
            </w:r>
          </w:p>
        </w:tc>
      </w:tr>
      <w:tr>
        <w:trPr>
          <w:trHeight w:val="179"/>
        </w:trPr>
        <w:tc>
          <w:tcPr>
            <w:tcW w:w="4200" w:type="dxa"/>
            <w:vAlign w:val="bottom"/>
            <w:tcBorders>
              <w:bottom w:val="single" w:sz="8" w:color="auto"/>
            </w:tcBorders>
          </w:tcPr>
          <w:p>
            <w:pPr>
              <w:jc w:val="center"/>
              <w:ind w:right="445"/>
              <w:spacing w:after="0"/>
              <w:rPr>
                <w:sz w:val="20"/>
                <w:szCs w:val="20"/>
                <w:color w:val="auto"/>
              </w:rPr>
            </w:pPr>
            <w:r>
              <w:rPr>
                <w:rFonts w:ascii="Arial" w:cs="Arial" w:eastAsia="Arial" w:hAnsi="Arial"/>
                <w:sz w:val="15"/>
                <w:szCs w:val="15"/>
                <w:color w:val="auto"/>
              </w:rPr>
              <w:t>Chief Executive Officer</w:t>
            </w:r>
          </w:p>
        </w:tc>
        <w:tc>
          <w:tcPr>
            <w:tcW w:w="3120" w:type="dxa"/>
            <w:vAlign w:val="bottom"/>
            <w:tcBorders>
              <w:bottom w:val="single" w:sz="8" w:color="auto"/>
            </w:tcBorders>
          </w:tcPr>
          <w:p>
            <w:pPr>
              <w:jc w:val="center"/>
              <w:ind w:right="225"/>
              <w:spacing w:after="0"/>
              <w:rPr>
                <w:sz w:val="20"/>
                <w:szCs w:val="20"/>
                <w:color w:val="auto"/>
              </w:rPr>
            </w:pPr>
            <w:r>
              <w:rPr>
                <w:rFonts w:ascii="Arial" w:cs="Arial" w:eastAsia="Arial" w:hAnsi="Arial"/>
                <w:sz w:val="15"/>
                <w:szCs w:val="15"/>
                <w:color w:val="auto"/>
              </w:rPr>
              <w:t>Five times base salary</w:t>
            </w:r>
          </w:p>
        </w:tc>
      </w:tr>
      <w:tr>
        <w:trPr>
          <w:trHeight w:val="172"/>
        </w:trPr>
        <w:tc>
          <w:tcPr>
            <w:tcW w:w="4200" w:type="dxa"/>
            <w:vAlign w:val="bottom"/>
            <w:tcBorders>
              <w:bottom w:val="single" w:sz="8" w:color="auto"/>
            </w:tcBorders>
          </w:tcPr>
          <w:p>
            <w:pPr>
              <w:jc w:val="center"/>
              <w:ind w:right="445"/>
              <w:spacing w:after="0"/>
              <w:rPr>
                <w:sz w:val="20"/>
                <w:szCs w:val="20"/>
                <w:color w:val="auto"/>
              </w:rPr>
            </w:pPr>
            <w:r>
              <w:rPr>
                <w:rFonts w:ascii="Arial" w:cs="Arial" w:eastAsia="Arial" w:hAnsi="Arial"/>
                <w:sz w:val="15"/>
                <w:szCs w:val="15"/>
                <w:color w:val="auto"/>
              </w:rPr>
              <w:t>President</w:t>
            </w:r>
          </w:p>
        </w:tc>
        <w:tc>
          <w:tcPr>
            <w:tcW w:w="3120" w:type="dxa"/>
            <w:vAlign w:val="bottom"/>
            <w:tcBorders>
              <w:bottom w:val="single" w:sz="8" w:color="auto"/>
            </w:tcBorders>
          </w:tcPr>
          <w:p>
            <w:pPr>
              <w:jc w:val="center"/>
              <w:ind w:right="245"/>
              <w:spacing w:after="0"/>
              <w:rPr>
                <w:sz w:val="20"/>
                <w:szCs w:val="20"/>
                <w:color w:val="auto"/>
              </w:rPr>
            </w:pPr>
            <w:r>
              <w:rPr>
                <w:rFonts w:ascii="Arial" w:cs="Arial" w:eastAsia="Arial" w:hAnsi="Arial"/>
                <w:sz w:val="15"/>
                <w:szCs w:val="15"/>
                <w:color w:val="auto"/>
              </w:rPr>
              <w:t>Three times base salary</w:t>
            </w:r>
          </w:p>
        </w:tc>
      </w:tr>
      <w:tr>
        <w:trPr>
          <w:trHeight w:val="172"/>
        </w:trPr>
        <w:tc>
          <w:tcPr>
            <w:tcW w:w="4200" w:type="dxa"/>
            <w:vAlign w:val="bottom"/>
            <w:tcBorders>
              <w:bottom w:val="single" w:sz="8" w:color="auto"/>
            </w:tcBorders>
          </w:tcPr>
          <w:p>
            <w:pPr>
              <w:jc w:val="center"/>
              <w:ind w:right="445"/>
              <w:spacing w:after="0"/>
              <w:rPr>
                <w:sz w:val="20"/>
                <w:szCs w:val="20"/>
                <w:color w:val="auto"/>
              </w:rPr>
            </w:pPr>
            <w:r>
              <w:rPr>
                <w:rFonts w:ascii="Arial" w:cs="Arial" w:eastAsia="Arial" w:hAnsi="Arial"/>
                <w:sz w:val="15"/>
                <w:szCs w:val="15"/>
                <w:color w:val="auto"/>
              </w:rPr>
              <w:t>Executive Vice President and Chief Financial Officer</w:t>
            </w:r>
          </w:p>
        </w:tc>
        <w:tc>
          <w:tcPr>
            <w:tcW w:w="3120" w:type="dxa"/>
            <w:vAlign w:val="bottom"/>
            <w:tcBorders>
              <w:bottom w:val="single" w:sz="8" w:color="auto"/>
            </w:tcBorders>
          </w:tcPr>
          <w:p>
            <w:pPr>
              <w:jc w:val="center"/>
              <w:ind w:right="245"/>
              <w:spacing w:after="0"/>
              <w:rPr>
                <w:sz w:val="20"/>
                <w:szCs w:val="20"/>
                <w:color w:val="auto"/>
              </w:rPr>
            </w:pPr>
            <w:r>
              <w:rPr>
                <w:rFonts w:ascii="Arial" w:cs="Arial" w:eastAsia="Arial" w:hAnsi="Arial"/>
                <w:sz w:val="15"/>
                <w:szCs w:val="15"/>
                <w:color w:val="auto"/>
              </w:rPr>
              <w:t>Three times base salary</w:t>
            </w:r>
          </w:p>
        </w:tc>
      </w:tr>
      <w:tr>
        <w:trPr>
          <w:trHeight w:val="172"/>
        </w:trPr>
        <w:tc>
          <w:tcPr>
            <w:tcW w:w="4200" w:type="dxa"/>
            <w:vAlign w:val="bottom"/>
            <w:tcBorders>
              <w:bottom w:val="single" w:sz="8" w:color="004987"/>
            </w:tcBorders>
          </w:tcPr>
          <w:p>
            <w:pPr>
              <w:jc w:val="center"/>
              <w:ind w:right="445"/>
              <w:spacing w:after="0"/>
              <w:rPr>
                <w:sz w:val="20"/>
                <w:szCs w:val="20"/>
                <w:color w:val="auto"/>
              </w:rPr>
            </w:pPr>
            <w:r>
              <w:rPr>
                <w:rFonts w:ascii="Arial" w:cs="Arial" w:eastAsia="Arial" w:hAnsi="Arial"/>
                <w:sz w:val="15"/>
                <w:szCs w:val="15"/>
                <w:color w:val="auto"/>
              </w:rPr>
              <w:t>Other named executive officers</w:t>
            </w:r>
          </w:p>
        </w:tc>
        <w:tc>
          <w:tcPr>
            <w:tcW w:w="3120" w:type="dxa"/>
            <w:vAlign w:val="bottom"/>
            <w:tcBorders>
              <w:bottom w:val="single" w:sz="8" w:color="004987"/>
            </w:tcBorders>
          </w:tcPr>
          <w:p>
            <w:pPr>
              <w:jc w:val="center"/>
              <w:ind w:right="245"/>
              <w:spacing w:after="0"/>
              <w:rPr>
                <w:sz w:val="20"/>
                <w:szCs w:val="20"/>
                <w:color w:val="auto"/>
              </w:rPr>
            </w:pPr>
            <w:r>
              <w:rPr>
                <w:rFonts w:ascii="Arial" w:cs="Arial" w:eastAsia="Arial" w:hAnsi="Arial"/>
                <w:sz w:val="15"/>
                <w:szCs w:val="15"/>
                <w:color w:val="auto"/>
              </w:rPr>
              <w:t>Two times base salary</w:t>
            </w:r>
          </w:p>
        </w:tc>
      </w:tr>
    </w:tbl>
    <w:p>
      <w:pPr>
        <w:spacing w:after="0" w:line="90" w:lineRule="exact"/>
        <w:rPr>
          <w:sz w:val="20"/>
          <w:szCs w:val="20"/>
          <w:color w:val="auto"/>
        </w:rPr>
      </w:pPr>
    </w:p>
    <w:p>
      <w:pPr>
        <w:ind w:left="400" w:right="40"/>
        <w:spacing w:after="0" w:line="263" w:lineRule="auto"/>
        <w:rPr>
          <w:sz w:val="20"/>
          <w:szCs w:val="20"/>
          <w:color w:val="auto"/>
        </w:rPr>
      </w:pPr>
      <w:r>
        <w:rPr>
          <w:rFonts w:ascii="Arial" w:cs="Arial" w:eastAsia="Arial" w:hAnsi="Arial"/>
          <w:sz w:val="15"/>
          <w:szCs w:val="15"/>
          <w:color w:val="auto"/>
        </w:rPr>
        <w:t>For purposes of determining compliance with the guidelines, the following are considered shares owned by the named executive officer: shares owned by the named executive officer and his or her spouse; shares held by a trust any beneficiaries of which are the named executive officer or his or her family members; shares held jointly with others; restricted stock awards; restricted stock unit awards; and share equivalents deferred in accordance with our plans. Options, SARs and performance units are not considered owned by the named executive officer.</w:t>
      </w:r>
    </w:p>
    <w:p>
      <w:pPr>
        <w:spacing w:after="0" w:line="64" w:lineRule="exact"/>
        <w:rPr>
          <w:sz w:val="20"/>
          <w:szCs w:val="20"/>
          <w:color w:val="auto"/>
        </w:rPr>
      </w:pPr>
    </w:p>
    <w:p>
      <w:pPr>
        <w:ind w:left="400" w:right="120"/>
        <w:spacing w:after="0" w:line="255" w:lineRule="auto"/>
        <w:rPr>
          <w:sz w:val="20"/>
          <w:szCs w:val="20"/>
          <w:color w:val="auto"/>
        </w:rPr>
      </w:pPr>
      <w:r>
        <w:rPr>
          <w:rFonts w:ascii="Arial" w:cs="Arial" w:eastAsia="Arial" w:hAnsi="Arial"/>
          <w:sz w:val="15"/>
          <w:szCs w:val="15"/>
          <w:color w:val="auto"/>
        </w:rPr>
        <w:t>The Compensation Policy Committee receives an annual report of the ownership achieved by each named executive officer as of the end of the fiscal year, with the achievement level determined by reference to the average of the closing prices of our common stock for the 20 trading days ending on the last trading day of the fiscal year. The Compensation Policy Committee will determine the action to be taken for failure to comply, which action may include (but is not limited to), requiring all or a portion of a named executive officer’s annual bonus to be paid in shares, or requiring retention of shares received upon exercise of stock options or SARs or of shares earned upon the vesting of performance units. All but two of our executive officers were in compliance with these guidelines as of the end of 2021. The executive officers who were not in compliance with the guidelines were newly appointed to their current roles on November 30, 2020 and October 16, 2021, and each has five calendar years, or by year-end 2025 and 2026, respectively, to achieve target ownership.</w:t>
      </w: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Pledging and Derivative Transactions</w:t>
      </w:r>
    </w:p>
    <w:p>
      <w:pPr>
        <w:spacing w:after="0" w:line="98" w:lineRule="exact"/>
        <w:rPr>
          <w:sz w:val="20"/>
          <w:szCs w:val="20"/>
          <w:color w:val="auto"/>
        </w:rPr>
      </w:pPr>
    </w:p>
    <w:p>
      <w:pPr>
        <w:ind w:left="400" w:right="160"/>
        <w:spacing w:after="0" w:line="263" w:lineRule="auto"/>
        <w:rPr>
          <w:sz w:val="20"/>
          <w:szCs w:val="20"/>
          <w:color w:val="auto"/>
        </w:rPr>
      </w:pPr>
      <w:r>
        <w:rPr>
          <w:rFonts w:ascii="Arial" w:cs="Arial" w:eastAsia="Arial" w:hAnsi="Arial"/>
          <w:sz w:val="15"/>
          <w:szCs w:val="15"/>
          <w:color w:val="auto"/>
        </w:rPr>
        <w:t>Our associates and officers are prohibited from including Marriott Vacations Worldwide stock or other securities in a margin account or pledging such securities as collateral for a loan. We also have a policy that prohibits all associates and officers from shorting the sale of our stock or securities, or from buying, selling, writing or otherwise entering into any other “derivative” transaction related to our stock or securities, including options, warrants, puts, calls, and similar rights.</w:t>
      </w:r>
    </w:p>
    <w:p>
      <w:pPr>
        <w:spacing w:after="0" w:line="26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Risk Considerations</w:t>
      </w:r>
    </w:p>
    <w:p>
      <w:pPr>
        <w:spacing w:after="0" w:line="98" w:lineRule="exact"/>
        <w:rPr>
          <w:sz w:val="20"/>
          <w:szCs w:val="20"/>
          <w:color w:val="auto"/>
        </w:rPr>
      </w:pPr>
    </w:p>
    <w:p>
      <w:pPr>
        <w:ind w:left="400" w:right="60"/>
        <w:spacing w:after="0" w:line="269" w:lineRule="auto"/>
        <w:rPr>
          <w:sz w:val="20"/>
          <w:szCs w:val="20"/>
          <w:color w:val="auto"/>
        </w:rPr>
      </w:pPr>
      <w:r>
        <w:rPr>
          <w:rFonts w:ascii="Arial" w:cs="Arial" w:eastAsia="Arial" w:hAnsi="Arial"/>
          <w:sz w:val="15"/>
          <w:szCs w:val="15"/>
          <w:color w:val="auto"/>
        </w:rPr>
        <w:t>The Compensation Policy Committee reviewed a risk assessment to determine whether the amount and components of compensation for our employees and the design of compensation programs might create incentives for excessive risk-taking by our employees. The Compensation Policy Committee concluded that our compensation programs do not present risks that are reasonably likely to have a material adverse effect on the Company.</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Consideration of Prior Stockholder Advisory Vote to Approve Executive Compensation</w:t>
      </w:r>
    </w:p>
    <w:p>
      <w:pPr>
        <w:spacing w:after="0" w:line="98" w:lineRule="exact"/>
        <w:rPr>
          <w:sz w:val="20"/>
          <w:szCs w:val="20"/>
          <w:color w:val="auto"/>
        </w:rPr>
      </w:pPr>
    </w:p>
    <w:p>
      <w:pPr>
        <w:ind w:left="400" w:right="120"/>
        <w:spacing w:after="0" w:line="259" w:lineRule="auto"/>
        <w:rPr>
          <w:sz w:val="20"/>
          <w:szCs w:val="20"/>
          <w:color w:val="auto"/>
        </w:rPr>
      </w:pPr>
      <w:r>
        <w:rPr>
          <w:rFonts w:ascii="Arial" w:cs="Arial" w:eastAsia="Arial" w:hAnsi="Arial"/>
          <w:sz w:val="15"/>
          <w:szCs w:val="15"/>
          <w:color w:val="auto"/>
        </w:rPr>
        <w:t>At our 2021 Annual Meeting of Stockholders, our stockholders voted with respect to an advisory resolution on our executive compensation, and 98.97% of the shares voted at the meeting (exclusive of broker non-votes) were voted in favor of the approval of the compensation of our named executive officers as disclosed in the proxy statement for that Annual Meeting. The Compensation Policy Committee considered this support, as well as the other factors discussed in this Compensation Discussion and Analysis, in retaining the fundamental characteristics of our executive compensation program for 2021, and did not make any specific changes to the program as a result of the stockholder vote.</w:t>
      </w:r>
    </w:p>
    <w:p>
      <w:pPr>
        <w:spacing w:after="0" w:line="107" w:lineRule="exact"/>
        <w:rPr>
          <w:sz w:val="20"/>
          <w:szCs w:val="20"/>
          <w:color w:val="auto"/>
        </w:rPr>
      </w:pPr>
    </w:p>
    <w:p>
      <w:pPr>
        <w:ind w:left="400"/>
        <w:spacing w:after="0"/>
        <w:tabs>
          <w:tab w:leader="none" w:pos="4760" w:val="left"/>
          <w:tab w:leader="none" w:pos="7720" w:val="left"/>
        </w:tabs>
        <w:rPr>
          <w:sz w:val="20"/>
          <w:szCs w:val="20"/>
          <w:color w:val="auto"/>
        </w:rPr>
      </w:pPr>
      <w:r>
        <w:rPr>
          <w:rFonts w:ascii="Arial" w:cs="Arial" w:eastAsia="Arial" w:hAnsi="Arial"/>
          <w:sz w:val="10"/>
          <w:szCs w:val="10"/>
          <w:b w:val="1"/>
          <w:bCs w:val="1"/>
          <w:color w:val="004987"/>
        </w:rPr>
        <w:t>34</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39" w:name="page40"/>
    <w:bookmarkEnd w:id="3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Employment Agreements</w:t>
      </w:r>
    </w:p>
    <w:p>
      <w:pPr>
        <w:spacing w:after="0" w:line="98" w:lineRule="exact"/>
        <w:rPr>
          <w:sz w:val="20"/>
          <w:szCs w:val="20"/>
          <w:color w:val="auto"/>
        </w:rPr>
      </w:pPr>
    </w:p>
    <w:p>
      <w:pPr>
        <w:ind w:left="400" w:right="380"/>
        <w:spacing w:after="0" w:line="289" w:lineRule="auto"/>
        <w:rPr>
          <w:sz w:val="20"/>
          <w:szCs w:val="20"/>
          <w:color w:val="auto"/>
        </w:rPr>
      </w:pPr>
      <w:r>
        <w:rPr>
          <w:rFonts w:ascii="Arial" w:cs="Arial" w:eastAsia="Arial" w:hAnsi="Arial"/>
          <w:sz w:val="15"/>
          <w:szCs w:val="15"/>
          <w:color w:val="auto"/>
        </w:rPr>
        <w:t>We, as a practice, do not have employment agreements with any of our executive officers, including our named executive officers. However, with the acquisition of ILG in 2018, we assumed an employment agreement for Jeanette E. Marbert, President, Exchange and Third-Party Management.</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REPORT OF THE COMPENSATION POLICY COMMITTEE</w:t>
      </w:r>
    </w:p>
    <w:p>
      <w:pPr>
        <w:spacing w:after="0" w:line="106" w:lineRule="exact"/>
        <w:rPr>
          <w:sz w:val="20"/>
          <w:szCs w:val="20"/>
          <w:color w:val="auto"/>
        </w:rPr>
      </w:pPr>
    </w:p>
    <w:p>
      <w:pPr>
        <w:ind w:left="400" w:right="20"/>
        <w:spacing w:after="0" w:line="255" w:lineRule="auto"/>
        <w:rPr>
          <w:sz w:val="20"/>
          <w:szCs w:val="20"/>
          <w:color w:val="auto"/>
        </w:rPr>
      </w:pPr>
      <w:r>
        <w:rPr>
          <w:rFonts w:ascii="Arial" w:cs="Arial" w:eastAsia="Arial" w:hAnsi="Arial"/>
          <w:sz w:val="15"/>
          <w:szCs w:val="15"/>
          <w:color w:val="auto"/>
        </w:rPr>
        <w:t>The Compensation Policy Committee, which is composed solely of independent members of the Board, assists the Board in fulfilling its responsibilities relating to executive compensation. The Compensation Policy Committee is responsible for overseeing compensation programs that enable the Company to attract, retain and motivate executives capable of establishing and implementing business plans in the best interests of the stockholders. The Compensation Policy Committee, on behalf of and in certain instances subject to the approval of the Board, reviews and approves compensation programs for certain senior officer positions. In this context, the Compensation Policy Committee reviewed and discussed with management the Company’s Compensation Discussion and Analysis required by Item 402(b) of SEC Regulation S-K. Following the reviews and discussions referred to above, the Compensation Policy Committee recommended to the Board that the Compensation Discussion and Analysis be included in this Proxy Statement.</w:t>
      </w:r>
    </w:p>
    <w:p>
      <w:pPr>
        <w:spacing w:after="0" w:line="384"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Members of the Compensation Policy Committee:</w:t>
      </w:r>
    </w:p>
    <w:p>
      <w:pPr>
        <w:spacing w:after="0" w:line="110"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Dianna F. Morgan, Chair</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Lizanne Galbreath</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Raymond L. Gellein, Jr.</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Thomas J. Hutchison III</w:t>
      </w:r>
    </w:p>
    <w:p>
      <w:pPr>
        <w:spacing w:after="0" w:line="7"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Stephen R. Quazzo</w:t>
      </w:r>
    </w:p>
    <w:p>
      <w:pPr>
        <w:spacing w:after="0" w:line="133" w:lineRule="exact"/>
        <w:rPr>
          <w:sz w:val="20"/>
          <w:szCs w:val="20"/>
          <w:color w:val="auto"/>
        </w:rPr>
      </w:pPr>
    </w:p>
    <w:p>
      <w:pPr>
        <w:ind w:left="400"/>
        <w:spacing w:after="0"/>
        <w:tabs>
          <w:tab w:leader="none" w:pos="476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and Director Compensation</w:t>
      </w:r>
      <w:r>
        <w:rPr>
          <w:sz w:val="20"/>
          <w:szCs w:val="20"/>
          <w:color w:val="auto"/>
        </w:rPr>
        <w:tab/>
      </w:r>
      <w:r>
        <w:rPr>
          <w:rFonts w:ascii="Arial" w:cs="Arial" w:eastAsia="Arial" w:hAnsi="Arial"/>
          <w:sz w:val="10"/>
          <w:szCs w:val="10"/>
          <w:b w:val="1"/>
          <w:bCs w:val="1"/>
          <w:color w:val="00498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9" w:lineRule="exact"/>
        <w:rPr>
          <w:sz w:val="20"/>
          <w:szCs w:val="20"/>
          <w:color w:val="auto"/>
        </w:rPr>
      </w:pPr>
    </w:p>
    <w:p>
      <w:pPr>
        <w:ind w:left="860" w:right="780"/>
        <w:spacing w:after="0" w:line="274" w:lineRule="auto"/>
        <w:rPr>
          <w:sz w:val="20"/>
          <w:szCs w:val="20"/>
          <w:color w:val="auto"/>
        </w:rPr>
      </w:pPr>
      <w:r>
        <w:rPr>
          <w:rFonts w:ascii="Arial" w:cs="Arial" w:eastAsia="Arial" w:hAnsi="Arial"/>
          <w:sz w:val="51"/>
          <w:szCs w:val="51"/>
          <w:color w:val="auto"/>
        </w:rPr>
        <w:t>EXECUTIVE COMPENSATION TABLES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-816610</wp:posOffset>
            </wp:positionV>
            <wp:extent cx="81280" cy="789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280" cy="789940"/>
                    </a:xfrm>
                    <a:prstGeom prst="rect">
                      <a:avLst/>
                    </a:prstGeom>
                    <a:noFill/>
                  </pic:spPr>
                </pic:pic>
              </a:graphicData>
            </a:graphic>
          </wp:anchor>
        </w:drawing>
      </w:r>
    </w:p>
    <w:p>
      <w:pPr>
        <w:spacing w:after="0" w:line="32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SUMMARY COMPENSATION TABLE</w:t>
      </w:r>
    </w:p>
    <w:p>
      <w:pPr>
        <w:spacing w:after="0" w:line="106" w:lineRule="exact"/>
        <w:rPr>
          <w:sz w:val="20"/>
          <w:szCs w:val="20"/>
          <w:color w:val="auto"/>
        </w:rPr>
      </w:pPr>
    </w:p>
    <w:p>
      <w:pPr>
        <w:ind w:left="400" w:right="140"/>
        <w:spacing w:after="0" w:line="269" w:lineRule="auto"/>
        <w:rPr>
          <w:sz w:val="20"/>
          <w:szCs w:val="20"/>
          <w:color w:val="auto"/>
        </w:rPr>
      </w:pPr>
      <w:r>
        <w:rPr>
          <w:rFonts w:ascii="Arial" w:cs="Arial" w:eastAsia="Arial" w:hAnsi="Arial"/>
          <w:sz w:val="15"/>
          <w:szCs w:val="15"/>
          <w:color w:val="auto"/>
        </w:rPr>
        <w:t>The following Summary Compensation Table shows the compensation we paid in fiscal years 2021, 2020 and 2019 to our Named Executive Officers. Mr. Terry was promoted to Executive Vice President and Chief Financial Officer effective October 16, 2021 and was not an executive officer the first nine and one-half months of 2021.</w:t>
      </w:r>
    </w:p>
    <w:p>
      <w:pPr>
        <w:spacing w:after="0" w:line="18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ind w:right="185"/>
              <w:spacing w:after="0"/>
              <w:rPr>
                <w:sz w:val="20"/>
                <w:szCs w:val="20"/>
                <w:color w:val="auto"/>
              </w:rPr>
            </w:pPr>
            <w:r>
              <w:rPr>
                <w:rFonts w:ascii="Arial" w:cs="Arial" w:eastAsia="Arial" w:hAnsi="Arial"/>
                <w:sz w:val="14"/>
                <w:szCs w:val="14"/>
                <w:b w:val="1"/>
                <w:bCs w:val="1"/>
                <w:color w:val="004987"/>
                <w:w w:val="98"/>
              </w:rPr>
              <w:t>Change in Pension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4"/>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jc w:val="center"/>
              <w:ind w:right="5"/>
              <w:spacing w:after="0" w:line="154" w:lineRule="exact"/>
              <w:rPr>
                <w:sz w:val="20"/>
                <w:szCs w:val="20"/>
                <w:color w:val="auto"/>
              </w:rPr>
            </w:pPr>
            <w:r>
              <w:rPr>
                <w:rFonts w:ascii="Arial" w:cs="Arial" w:eastAsia="Arial" w:hAnsi="Arial"/>
                <w:sz w:val="14"/>
                <w:szCs w:val="14"/>
                <w:b w:val="1"/>
                <w:bCs w:val="1"/>
                <w:color w:val="004987"/>
                <w:w w:val="99"/>
              </w:rPr>
              <w:t>Non-Equity</w:t>
            </w:r>
          </w:p>
        </w:tc>
        <w:tc>
          <w:tcPr>
            <w:tcW w:w="180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004987"/>
                <w:w w:val="96"/>
              </w:rPr>
              <w:t>Value And Nonqualified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1"/>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ind w:right="265"/>
              <w:spacing w:after="0" w:line="151" w:lineRule="exact"/>
              <w:rPr>
                <w:sz w:val="20"/>
                <w:szCs w:val="20"/>
                <w:color w:val="auto"/>
              </w:rPr>
            </w:pPr>
            <w:r>
              <w:rPr>
                <w:rFonts w:ascii="Arial" w:cs="Arial" w:eastAsia="Arial" w:hAnsi="Arial"/>
                <w:sz w:val="14"/>
                <w:szCs w:val="14"/>
                <w:b w:val="1"/>
                <w:bCs w:val="1"/>
                <w:color w:val="004987"/>
              </w:rPr>
              <w:t>Stock</w:t>
            </w:r>
          </w:p>
        </w:tc>
        <w:tc>
          <w:tcPr>
            <w:tcW w:w="1100" w:type="dxa"/>
            <w:vAlign w:val="bottom"/>
          </w:tcPr>
          <w:p>
            <w:pPr>
              <w:jc w:val="right"/>
              <w:ind w:right="145"/>
              <w:spacing w:after="0" w:line="151" w:lineRule="exact"/>
              <w:rPr>
                <w:sz w:val="20"/>
                <w:szCs w:val="20"/>
                <w:color w:val="auto"/>
              </w:rPr>
            </w:pPr>
            <w:r>
              <w:rPr>
                <w:rFonts w:ascii="Arial" w:cs="Arial" w:eastAsia="Arial" w:hAnsi="Arial"/>
                <w:sz w:val="14"/>
                <w:szCs w:val="14"/>
                <w:b w:val="1"/>
                <w:bCs w:val="1"/>
                <w:color w:val="004987"/>
              </w:rPr>
              <w:t>Option/SAR</w:t>
            </w:r>
          </w:p>
        </w:tc>
        <w:tc>
          <w:tcPr>
            <w:tcW w:w="118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Incentive Plan</w:t>
            </w:r>
          </w:p>
        </w:tc>
        <w:tc>
          <w:tcPr>
            <w:tcW w:w="18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004987"/>
                <w:w w:val="98"/>
              </w:rPr>
              <w:t>Deferred Compensation</w:t>
            </w:r>
          </w:p>
        </w:tc>
        <w:tc>
          <w:tcPr>
            <w:tcW w:w="280" w:type="dxa"/>
            <w:vAlign w:val="bottom"/>
          </w:tcPr>
          <w:p>
            <w:pPr>
              <w:spacing w:after="0"/>
              <w:rPr>
                <w:sz w:val="13"/>
                <w:szCs w:val="13"/>
                <w:color w:val="auto"/>
              </w:rPr>
            </w:pPr>
          </w:p>
        </w:tc>
        <w:tc>
          <w:tcPr>
            <w:tcW w:w="980" w:type="dxa"/>
            <w:vAlign w:val="bottom"/>
          </w:tcPr>
          <w:p>
            <w:pPr>
              <w:jc w:val="right"/>
              <w:ind w:right="264"/>
              <w:spacing w:after="0" w:line="151" w:lineRule="exact"/>
              <w:rPr>
                <w:sz w:val="20"/>
                <w:szCs w:val="20"/>
                <w:color w:val="auto"/>
              </w:rPr>
            </w:pPr>
            <w:r>
              <w:rPr>
                <w:rFonts w:ascii="Arial" w:cs="Arial" w:eastAsia="Arial" w:hAnsi="Arial"/>
                <w:sz w:val="14"/>
                <w:szCs w:val="14"/>
                <w:b w:val="1"/>
                <w:bCs w:val="1"/>
                <w:color w:val="004987"/>
              </w:rPr>
              <w:t>All Other</w:t>
            </w:r>
          </w:p>
        </w:tc>
        <w:tc>
          <w:tcPr>
            <w:tcW w:w="1060" w:type="dxa"/>
            <w:vAlign w:val="bottom"/>
          </w:tcPr>
          <w:p>
            <w:pPr>
              <w:spacing w:after="0"/>
              <w:rPr>
                <w:sz w:val="13"/>
                <w:szCs w:val="13"/>
                <w:color w:val="auto"/>
              </w:rPr>
            </w:pPr>
          </w:p>
        </w:tc>
      </w:tr>
      <w:tr>
        <w:trPr>
          <w:trHeight w:val="172"/>
        </w:trPr>
        <w:tc>
          <w:tcPr>
            <w:tcW w:w="144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Fiscal Year</w:t>
            </w:r>
          </w:p>
        </w:tc>
        <w:tc>
          <w:tcPr>
            <w:tcW w:w="920" w:type="dxa"/>
            <w:vAlign w:val="bottom"/>
            <w:tcBorders>
              <w:bottom w:val="single" w:sz="8" w:color="004987"/>
            </w:tcBorders>
          </w:tcPr>
          <w:p>
            <w:pPr>
              <w:jc w:val="right"/>
              <w:ind w:right="204"/>
              <w:spacing w:after="0" w:line="166" w:lineRule="exact"/>
              <w:rPr>
                <w:sz w:val="20"/>
                <w:szCs w:val="20"/>
                <w:color w:val="auto"/>
              </w:rPr>
            </w:pPr>
            <w:r>
              <w:rPr>
                <w:rFonts w:ascii="Arial" w:cs="Arial" w:eastAsia="Arial" w:hAnsi="Arial"/>
                <w:sz w:val="12"/>
                <w:szCs w:val="12"/>
                <w:b w:val="1"/>
                <w:bCs w:val="1"/>
                <w:color w:val="004987"/>
              </w:rPr>
              <w:t>Salary</w:t>
            </w:r>
            <w:r>
              <w:rPr>
                <w:rFonts w:ascii="Arial" w:cs="Arial" w:eastAsia="Arial" w:hAnsi="Arial"/>
                <w:sz w:val="19"/>
                <w:szCs w:val="19"/>
                <w:color w:val="004987"/>
                <w:vertAlign w:val="superscript"/>
              </w:rPr>
              <w:t>1</w:t>
            </w:r>
          </w:p>
        </w:tc>
        <w:tc>
          <w:tcPr>
            <w:tcW w:w="660" w:type="dxa"/>
            <w:vAlign w:val="bottom"/>
            <w:tcBorders>
              <w:bottom w:val="single" w:sz="8" w:color="004987"/>
            </w:tcBorders>
          </w:tcPr>
          <w:p>
            <w:pPr>
              <w:jc w:val="right"/>
              <w:ind w:right="44"/>
              <w:spacing w:after="0"/>
              <w:rPr>
                <w:sz w:val="20"/>
                <w:szCs w:val="20"/>
                <w:color w:val="auto"/>
              </w:rPr>
            </w:pPr>
            <w:r>
              <w:rPr>
                <w:rFonts w:ascii="Arial" w:cs="Arial" w:eastAsia="Arial" w:hAnsi="Arial"/>
                <w:sz w:val="14"/>
                <w:szCs w:val="14"/>
                <w:b w:val="1"/>
                <w:bCs w:val="1"/>
                <w:color w:val="004987"/>
              </w:rPr>
              <w:t>Bonus</w:t>
            </w:r>
          </w:p>
        </w:tc>
        <w:tc>
          <w:tcPr>
            <w:tcW w:w="1040" w:type="dxa"/>
            <w:vAlign w:val="bottom"/>
            <w:tcBorders>
              <w:bottom w:val="single" w:sz="8" w:color="004987"/>
            </w:tcBorders>
          </w:tcPr>
          <w:p>
            <w:pPr>
              <w:jc w:val="right"/>
              <w:ind w:right="165"/>
              <w:spacing w:after="0" w:line="166" w:lineRule="exact"/>
              <w:rPr>
                <w:sz w:val="20"/>
                <w:szCs w:val="20"/>
                <w:color w:val="auto"/>
              </w:rPr>
            </w:pPr>
            <w:r>
              <w:rPr>
                <w:rFonts w:ascii="Arial" w:cs="Arial" w:eastAsia="Arial" w:hAnsi="Arial"/>
                <w:sz w:val="12"/>
                <w:szCs w:val="12"/>
                <w:b w:val="1"/>
                <w:bCs w:val="1"/>
                <w:color w:val="004987"/>
              </w:rPr>
              <w:t>Awards</w:t>
            </w:r>
            <w:r>
              <w:rPr>
                <w:rFonts w:ascii="Arial" w:cs="Arial" w:eastAsia="Arial" w:hAnsi="Arial"/>
                <w:sz w:val="19"/>
                <w:szCs w:val="19"/>
                <w:color w:val="004987"/>
                <w:vertAlign w:val="superscript"/>
              </w:rPr>
              <w:t>2</w:t>
            </w:r>
          </w:p>
        </w:tc>
        <w:tc>
          <w:tcPr>
            <w:tcW w:w="1100" w:type="dxa"/>
            <w:vAlign w:val="bottom"/>
            <w:tcBorders>
              <w:bottom w:val="single" w:sz="8" w:color="004987"/>
            </w:tcBorders>
          </w:tcPr>
          <w:p>
            <w:pPr>
              <w:jc w:val="right"/>
              <w:ind w:right="245"/>
              <w:spacing w:after="0" w:line="166" w:lineRule="exact"/>
              <w:rPr>
                <w:sz w:val="20"/>
                <w:szCs w:val="20"/>
                <w:color w:val="auto"/>
              </w:rPr>
            </w:pPr>
            <w:r>
              <w:rPr>
                <w:rFonts w:ascii="Arial" w:cs="Arial" w:eastAsia="Arial" w:hAnsi="Arial"/>
                <w:sz w:val="12"/>
                <w:szCs w:val="12"/>
                <w:b w:val="1"/>
                <w:bCs w:val="1"/>
                <w:color w:val="004987"/>
              </w:rPr>
              <w:t>Awards</w:t>
            </w:r>
            <w:r>
              <w:rPr>
                <w:rFonts w:ascii="Arial" w:cs="Arial" w:eastAsia="Arial" w:hAnsi="Arial"/>
                <w:sz w:val="19"/>
                <w:szCs w:val="19"/>
                <w:color w:val="004987"/>
                <w:vertAlign w:val="superscript"/>
              </w:rPr>
              <w:t>2</w:t>
            </w:r>
          </w:p>
        </w:tc>
        <w:tc>
          <w:tcPr>
            <w:tcW w:w="1180" w:type="dxa"/>
            <w:vAlign w:val="bottom"/>
            <w:tcBorders>
              <w:bottom w:val="single" w:sz="8" w:color="004987"/>
            </w:tcBorders>
          </w:tcPr>
          <w:p>
            <w:pPr>
              <w:jc w:val="center"/>
              <w:ind w:right="5"/>
              <w:spacing w:after="0" w:line="166" w:lineRule="exact"/>
              <w:rPr>
                <w:sz w:val="20"/>
                <w:szCs w:val="20"/>
                <w:color w:val="auto"/>
              </w:rPr>
            </w:pPr>
            <w:r>
              <w:rPr>
                <w:rFonts w:ascii="Arial" w:cs="Arial" w:eastAsia="Arial" w:hAnsi="Arial"/>
                <w:sz w:val="12"/>
                <w:szCs w:val="12"/>
                <w:b w:val="1"/>
                <w:bCs w:val="1"/>
                <w:color w:val="004987"/>
              </w:rPr>
              <w:t>Compensation</w:t>
            </w:r>
            <w:r>
              <w:rPr>
                <w:rFonts w:ascii="Arial" w:cs="Arial" w:eastAsia="Arial" w:hAnsi="Arial"/>
                <w:sz w:val="19"/>
                <w:szCs w:val="19"/>
                <w:color w:val="004987"/>
                <w:vertAlign w:val="superscript"/>
              </w:rPr>
              <w:t>3</w:t>
            </w:r>
          </w:p>
        </w:tc>
        <w:tc>
          <w:tcPr>
            <w:tcW w:w="260" w:type="dxa"/>
            <w:vAlign w:val="bottom"/>
            <w:tcBorders>
              <w:bottom w:val="single" w:sz="8" w:color="004987"/>
            </w:tcBorders>
          </w:tcPr>
          <w:p>
            <w:pPr>
              <w:spacing w:after="0"/>
              <w:rPr>
                <w:sz w:val="14"/>
                <w:szCs w:val="14"/>
                <w:color w:val="auto"/>
              </w:rPr>
            </w:pPr>
          </w:p>
        </w:tc>
        <w:tc>
          <w:tcPr>
            <w:tcW w:w="1540" w:type="dxa"/>
            <w:vAlign w:val="bottom"/>
            <w:tcBorders>
              <w:bottom w:val="single" w:sz="8" w:color="004987"/>
            </w:tcBorders>
          </w:tcPr>
          <w:p>
            <w:pPr>
              <w:jc w:val="center"/>
              <w:ind w:right="185"/>
              <w:spacing w:after="0" w:line="166" w:lineRule="exact"/>
              <w:rPr>
                <w:sz w:val="20"/>
                <w:szCs w:val="20"/>
                <w:color w:val="auto"/>
              </w:rPr>
            </w:pPr>
            <w:r>
              <w:rPr>
                <w:rFonts w:ascii="Arial" w:cs="Arial" w:eastAsia="Arial" w:hAnsi="Arial"/>
                <w:sz w:val="12"/>
                <w:szCs w:val="12"/>
                <w:b w:val="1"/>
                <w:bCs w:val="1"/>
                <w:color w:val="004987"/>
              </w:rPr>
              <w:t>Earnings</w:t>
            </w:r>
            <w:r>
              <w:rPr>
                <w:rFonts w:ascii="Arial" w:cs="Arial" w:eastAsia="Arial" w:hAnsi="Arial"/>
                <w:sz w:val="19"/>
                <w:szCs w:val="19"/>
                <w:color w:val="004987"/>
                <w:vertAlign w:val="superscript"/>
              </w:rPr>
              <w:t>4</w:t>
            </w:r>
          </w:p>
        </w:tc>
        <w:tc>
          <w:tcPr>
            <w:tcW w:w="1260" w:type="dxa"/>
            <w:vAlign w:val="bottom"/>
            <w:tcBorders>
              <w:bottom w:val="single" w:sz="8" w:color="004987"/>
            </w:tcBorders>
            <w:gridSpan w:val="2"/>
          </w:tcPr>
          <w:p>
            <w:pPr>
              <w:jc w:val="right"/>
              <w:ind w:right="44"/>
              <w:spacing w:after="0" w:line="166" w:lineRule="exact"/>
              <w:rPr>
                <w:sz w:val="20"/>
                <w:szCs w:val="20"/>
                <w:color w:val="auto"/>
              </w:rPr>
            </w:pPr>
            <w:r>
              <w:rPr>
                <w:rFonts w:ascii="Arial" w:cs="Arial" w:eastAsia="Arial" w:hAnsi="Arial"/>
                <w:sz w:val="12"/>
                <w:szCs w:val="12"/>
                <w:b w:val="1"/>
                <w:bCs w:val="1"/>
                <w:color w:val="004987"/>
              </w:rPr>
              <w:t>Compensation</w:t>
            </w:r>
            <w:r>
              <w:rPr>
                <w:rFonts w:ascii="Arial" w:cs="Arial" w:eastAsia="Arial" w:hAnsi="Arial"/>
                <w:sz w:val="19"/>
                <w:szCs w:val="19"/>
                <w:color w:val="004987"/>
                <w:vertAlign w:val="superscript"/>
              </w:rPr>
              <w:t>5</w:t>
            </w:r>
          </w:p>
        </w:tc>
        <w:tc>
          <w:tcPr>
            <w:tcW w:w="1060" w:type="dxa"/>
            <w:vAlign w:val="bottom"/>
            <w:tcBorders>
              <w:bottom w:val="single" w:sz="8" w:color="004987"/>
            </w:tcBorders>
          </w:tcPr>
          <w:p>
            <w:pPr>
              <w:jc w:val="right"/>
              <w:ind w:right="264"/>
              <w:spacing w:after="0"/>
              <w:rPr>
                <w:sz w:val="20"/>
                <w:szCs w:val="20"/>
                <w:color w:val="auto"/>
              </w:rPr>
            </w:pPr>
            <w:r>
              <w:rPr>
                <w:rFonts w:ascii="Arial" w:cs="Arial" w:eastAsia="Arial" w:hAnsi="Arial"/>
                <w:sz w:val="14"/>
                <w:szCs w:val="14"/>
                <w:b w:val="1"/>
                <w:bCs w:val="1"/>
                <w:color w:val="004987"/>
              </w:rPr>
              <w:t>Total</w:t>
            </w:r>
          </w:p>
        </w:tc>
      </w:tr>
      <w:tr>
        <w:trPr>
          <w:trHeight w:val="167"/>
        </w:trPr>
        <w:tc>
          <w:tcPr>
            <w:tcW w:w="1440" w:type="dxa"/>
            <w:vAlign w:val="bottom"/>
          </w:tcPr>
          <w:p>
            <w:pPr>
              <w:spacing w:after="0" w:line="167" w:lineRule="exact"/>
              <w:rPr>
                <w:sz w:val="20"/>
                <w:szCs w:val="20"/>
                <w:color w:val="auto"/>
              </w:rPr>
            </w:pPr>
            <w:r>
              <w:rPr>
                <w:rFonts w:ascii="Arial" w:cs="Arial" w:eastAsia="Arial" w:hAnsi="Arial"/>
                <w:sz w:val="15"/>
                <w:szCs w:val="15"/>
                <w:b w:val="1"/>
                <w:bCs w:val="1"/>
                <w:color w:val="004987"/>
              </w:rPr>
              <w:t>Stephen P. Weisz</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Chief Executive Officer</w:t>
            </w: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color w:val="auto"/>
              </w:rPr>
              <w:t>2021</w:t>
            </w:r>
          </w:p>
        </w:tc>
        <w:tc>
          <w:tcPr>
            <w:tcW w:w="920" w:type="dxa"/>
            <w:vAlign w:val="bottom"/>
          </w:tcPr>
          <w:p>
            <w:pPr>
              <w:jc w:val="right"/>
              <w:ind w:right="44"/>
              <w:spacing w:after="0" w:line="160" w:lineRule="exact"/>
              <w:rPr>
                <w:sz w:val="20"/>
                <w:szCs w:val="20"/>
                <w:color w:val="auto"/>
              </w:rPr>
            </w:pPr>
            <w:r>
              <w:rPr>
                <w:rFonts w:ascii="Arial" w:cs="Arial" w:eastAsia="Arial" w:hAnsi="Arial"/>
                <w:sz w:val="15"/>
                <w:szCs w:val="15"/>
                <w:color w:val="auto"/>
              </w:rPr>
              <w:t>$1,000,000</w:t>
            </w:r>
          </w:p>
        </w:tc>
        <w:tc>
          <w:tcPr>
            <w:tcW w:w="660" w:type="dxa"/>
            <w:vAlign w:val="bottom"/>
          </w:tcPr>
          <w:p>
            <w:pPr>
              <w:jc w:val="right"/>
              <w:ind w:right="44"/>
              <w:spacing w:after="0" w:line="160" w:lineRule="exact"/>
              <w:rPr>
                <w:sz w:val="20"/>
                <w:szCs w:val="20"/>
                <w:color w:val="auto"/>
              </w:rPr>
            </w:pPr>
            <w:r>
              <w:rPr>
                <w:rFonts w:ascii="Arial" w:cs="Arial" w:eastAsia="Arial" w:hAnsi="Arial"/>
                <w:sz w:val="15"/>
                <w:szCs w:val="15"/>
                <w:color w:val="auto"/>
              </w:rPr>
              <w:t>$   —</w:t>
            </w:r>
          </w:p>
        </w:tc>
        <w:tc>
          <w:tcPr>
            <w:tcW w:w="1040" w:type="dxa"/>
            <w:vAlign w:val="bottom"/>
          </w:tcPr>
          <w:p>
            <w:pPr>
              <w:jc w:val="right"/>
              <w:ind w:right="65"/>
              <w:spacing w:after="0" w:line="160" w:lineRule="exact"/>
              <w:rPr>
                <w:sz w:val="20"/>
                <w:szCs w:val="20"/>
                <w:color w:val="auto"/>
              </w:rPr>
            </w:pPr>
            <w:r>
              <w:rPr>
                <w:rFonts w:ascii="Arial" w:cs="Arial" w:eastAsia="Arial" w:hAnsi="Arial"/>
                <w:sz w:val="15"/>
                <w:szCs w:val="15"/>
                <w:color w:val="auto"/>
              </w:rPr>
              <w:t>$6,532,668</w:t>
            </w:r>
          </w:p>
        </w:tc>
        <w:tc>
          <w:tcPr>
            <w:tcW w:w="1100" w:type="dxa"/>
            <w:vAlign w:val="bottom"/>
          </w:tcPr>
          <w:p>
            <w:pPr>
              <w:jc w:val="right"/>
              <w:ind w:right="125"/>
              <w:spacing w:after="0" w:line="160" w:lineRule="exact"/>
              <w:rPr>
                <w:sz w:val="20"/>
                <w:szCs w:val="20"/>
                <w:color w:val="auto"/>
              </w:rPr>
            </w:pPr>
            <w:r>
              <w:rPr>
                <w:rFonts w:ascii="Arial" w:cs="Arial" w:eastAsia="Arial" w:hAnsi="Arial"/>
                <w:sz w:val="15"/>
                <w:szCs w:val="15"/>
                <w:color w:val="auto"/>
              </w:rPr>
              <w:t>$2,750,017</w:t>
            </w:r>
          </w:p>
        </w:tc>
        <w:tc>
          <w:tcPr>
            <w:tcW w:w="1180" w:type="dxa"/>
            <w:vAlign w:val="bottom"/>
          </w:tcPr>
          <w:p>
            <w:pPr>
              <w:jc w:val="right"/>
              <w:ind w:right="45"/>
              <w:spacing w:after="0" w:line="160" w:lineRule="exact"/>
              <w:rPr>
                <w:sz w:val="20"/>
                <w:szCs w:val="20"/>
                <w:color w:val="auto"/>
              </w:rPr>
            </w:pPr>
            <w:r>
              <w:rPr>
                <w:rFonts w:ascii="Arial" w:cs="Arial" w:eastAsia="Arial" w:hAnsi="Arial"/>
                <w:sz w:val="15"/>
                <w:szCs w:val="15"/>
                <w:color w:val="auto"/>
              </w:rPr>
              <w:t>$   2,842,631</w:t>
            </w:r>
          </w:p>
        </w:tc>
        <w:tc>
          <w:tcPr>
            <w:tcW w:w="26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1540" w:type="dxa"/>
            <w:vAlign w:val="bottom"/>
          </w:tcPr>
          <w:p>
            <w:pPr>
              <w:jc w:val="right"/>
              <w:ind w:right="45"/>
              <w:spacing w:after="0" w:line="160" w:lineRule="exact"/>
              <w:rPr>
                <w:sz w:val="20"/>
                <w:szCs w:val="20"/>
                <w:color w:val="auto"/>
              </w:rPr>
            </w:pPr>
            <w:r>
              <w:rPr>
                <w:rFonts w:ascii="Arial" w:cs="Arial" w:eastAsia="Arial" w:hAnsi="Arial"/>
                <w:sz w:val="15"/>
                <w:szCs w:val="15"/>
                <w:color w:val="auto"/>
              </w:rPr>
              <w:t>76,703</w:t>
            </w:r>
          </w:p>
        </w:tc>
        <w:tc>
          <w:tcPr>
            <w:tcW w:w="280" w:type="dxa"/>
            <w:vAlign w:val="bottom"/>
          </w:tcPr>
          <w:p>
            <w:pPr>
              <w:jc w:val="right"/>
              <w:ind w:right="12"/>
              <w:spacing w:after="0" w:line="160"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60" w:lineRule="exact"/>
              <w:rPr>
                <w:sz w:val="20"/>
                <w:szCs w:val="20"/>
                <w:color w:val="auto"/>
              </w:rPr>
            </w:pPr>
            <w:r>
              <w:rPr>
                <w:rFonts w:ascii="Arial" w:cs="Arial" w:eastAsia="Arial" w:hAnsi="Arial"/>
                <w:sz w:val="15"/>
                <w:szCs w:val="15"/>
                <w:color w:val="auto"/>
              </w:rPr>
              <w:t>21,918</w:t>
            </w:r>
          </w:p>
        </w:tc>
        <w:tc>
          <w:tcPr>
            <w:tcW w:w="106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$13,223,937</w:t>
            </w:r>
          </w:p>
        </w:tc>
      </w:tr>
      <w:tr>
        <w:trPr>
          <w:trHeight w:val="179"/>
        </w:trPr>
        <w:tc>
          <w:tcPr>
            <w:tcW w:w="1440" w:type="dxa"/>
            <w:vAlign w:val="bottom"/>
          </w:tcPr>
          <w:p>
            <w:pPr>
              <w:spacing w:after="0"/>
              <w:rPr>
                <w:sz w:val="20"/>
                <w:szCs w:val="20"/>
                <w:color w:val="auto"/>
              </w:rPr>
            </w:pPr>
            <w:r>
              <w:rPr>
                <w:rFonts w:ascii="Arial" w:cs="Arial" w:eastAsia="Arial" w:hAnsi="Arial"/>
                <w:sz w:val="15"/>
                <w:szCs w:val="15"/>
                <w:color w:val="auto"/>
              </w:rPr>
              <w:t>2020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699,712</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3,942,939</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1,379,988</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540" w:type="dxa"/>
            <w:vAlign w:val="bottom"/>
          </w:tcPr>
          <w:p>
            <w:pPr>
              <w:jc w:val="right"/>
              <w:ind w:right="45"/>
              <w:spacing w:after="0"/>
              <w:rPr>
                <w:sz w:val="20"/>
                <w:szCs w:val="20"/>
                <w:color w:val="auto"/>
              </w:rPr>
            </w:pPr>
            <w:r>
              <w:rPr>
                <w:rFonts w:ascii="Arial" w:cs="Arial" w:eastAsia="Arial" w:hAnsi="Arial"/>
                <w:sz w:val="15"/>
                <w:szCs w:val="15"/>
                <w:color w:val="auto"/>
              </w:rPr>
              <w:t>79,763</w:t>
            </w:r>
          </w:p>
        </w:tc>
        <w:tc>
          <w:tcPr>
            <w:tcW w:w="28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31,607</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6,134,009</w:t>
            </w:r>
          </w:p>
        </w:tc>
      </w:tr>
      <w:tr>
        <w:trPr>
          <w:trHeight w:val="194"/>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2019</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955,000</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5,190,073</w:t>
            </w: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1,260,008</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1,193,042</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17,843</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41,310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8,657,276</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b w:val="1"/>
                <w:bCs w:val="1"/>
                <w:color w:val="004987"/>
              </w:rPr>
              <w:t>John E. Geller, Jr.</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President</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color w:val="auto"/>
              </w:rPr>
              <w:t>2021</w:t>
            </w:r>
          </w:p>
        </w:tc>
        <w:tc>
          <w:tcPr>
            <w:tcW w:w="920" w:type="dxa"/>
            <w:vAlign w:val="bottom"/>
          </w:tcPr>
          <w:p>
            <w:pPr>
              <w:jc w:val="right"/>
              <w:ind w:right="44"/>
              <w:spacing w:after="0" w:line="160" w:lineRule="exact"/>
              <w:rPr>
                <w:sz w:val="20"/>
                <w:szCs w:val="20"/>
                <w:color w:val="auto"/>
              </w:rPr>
            </w:pPr>
            <w:r>
              <w:rPr>
                <w:rFonts w:ascii="Arial" w:cs="Arial" w:eastAsia="Arial" w:hAnsi="Arial"/>
                <w:sz w:val="15"/>
                <w:szCs w:val="15"/>
                <w:color w:val="auto"/>
              </w:rPr>
              <w:t>675,000</w:t>
            </w:r>
          </w:p>
        </w:tc>
        <w:tc>
          <w:tcPr>
            <w:tcW w:w="660" w:type="dxa"/>
            <w:vAlign w:val="bottom"/>
          </w:tcPr>
          <w:p>
            <w:pPr>
              <w:jc w:val="right"/>
              <w:ind w:right="44"/>
              <w:spacing w:after="0" w:line="16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line="160" w:lineRule="exact"/>
              <w:rPr>
                <w:sz w:val="20"/>
                <w:szCs w:val="20"/>
                <w:color w:val="auto"/>
              </w:rPr>
            </w:pPr>
            <w:r>
              <w:rPr>
                <w:rFonts w:ascii="Arial" w:cs="Arial" w:eastAsia="Arial" w:hAnsi="Arial"/>
                <w:sz w:val="15"/>
                <w:szCs w:val="15"/>
                <w:color w:val="auto"/>
              </w:rPr>
              <w:t>2,368,878</w:t>
            </w:r>
          </w:p>
        </w:tc>
        <w:tc>
          <w:tcPr>
            <w:tcW w:w="1100" w:type="dxa"/>
            <w:vAlign w:val="bottom"/>
          </w:tcPr>
          <w:p>
            <w:pPr>
              <w:jc w:val="right"/>
              <w:ind w:right="125"/>
              <w:spacing w:after="0" w:line="160" w:lineRule="exact"/>
              <w:rPr>
                <w:sz w:val="20"/>
                <w:szCs w:val="20"/>
                <w:color w:val="auto"/>
              </w:rPr>
            </w:pPr>
            <w:r>
              <w:rPr>
                <w:rFonts w:ascii="Arial" w:cs="Arial" w:eastAsia="Arial" w:hAnsi="Arial"/>
                <w:sz w:val="15"/>
                <w:szCs w:val="15"/>
                <w:color w:val="auto"/>
              </w:rPr>
              <w:t>999,980</w:t>
            </w:r>
          </w:p>
        </w:tc>
        <w:tc>
          <w:tcPr>
            <w:tcW w:w="1180" w:type="dxa"/>
            <w:vAlign w:val="bottom"/>
          </w:tcPr>
          <w:p>
            <w:pPr>
              <w:jc w:val="right"/>
              <w:ind w:right="45"/>
              <w:spacing w:after="0" w:line="160" w:lineRule="exact"/>
              <w:rPr>
                <w:sz w:val="20"/>
                <w:szCs w:val="20"/>
                <w:color w:val="auto"/>
              </w:rPr>
            </w:pPr>
            <w:r>
              <w:rPr>
                <w:rFonts w:ascii="Arial" w:cs="Arial" w:eastAsia="Arial" w:hAnsi="Arial"/>
                <w:sz w:val="15"/>
                <w:szCs w:val="15"/>
                <w:color w:val="auto"/>
              </w:rPr>
              <w:t>1,279,184</w:t>
            </w:r>
          </w:p>
        </w:tc>
        <w:tc>
          <w:tcPr>
            <w:tcW w:w="260" w:type="dxa"/>
            <w:vAlign w:val="bottom"/>
          </w:tcPr>
          <w:p>
            <w:pPr>
              <w:spacing w:after="0"/>
              <w:rPr>
                <w:sz w:val="13"/>
                <w:szCs w:val="13"/>
                <w:color w:val="auto"/>
              </w:rPr>
            </w:pPr>
          </w:p>
        </w:tc>
        <w:tc>
          <w:tcPr>
            <w:tcW w:w="1540" w:type="dxa"/>
            <w:vAlign w:val="bottom"/>
          </w:tcPr>
          <w:p>
            <w:pPr>
              <w:jc w:val="right"/>
              <w:ind w:right="45"/>
              <w:spacing w:after="0" w:line="160" w:lineRule="exact"/>
              <w:rPr>
                <w:sz w:val="20"/>
                <w:szCs w:val="20"/>
                <w:color w:val="auto"/>
              </w:rPr>
            </w:pPr>
            <w:r>
              <w:rPr>
                <w:rFonts w:ascii="Arial" w:cs="Arial" w:eastAsia="Arial" w:hAnsi="Arial"/>
                <w:sz w:val="15"/>
                <w:szCs w:val="15"/>
                <w:color w:val="auto"/>
              </w:rPr>
              <w:t>12,336</w:t>
            </w:r>
          </w:p>
        </w:tc>
        <w:tc>
          <w:tcPr>
            <w:tcW w:w="280" w:type="dxa"/>
            <w:vAlign w:val="bottom"/>
          </w:tcPr>
          <w:p>
            <w:pPr>
              <w:spacing w:after="0"/>
              <w:rPr>
                <w:sz w:val="13"/>
                <w:szCs w:val="13"/>
                <w:color w:val="auto"/>
              </w:rPr>
            </w:pPr>
          </w:p>
        </w:tc>
        <w:tc>
          <w:tcPr>
            <w:tcW w:w="980" w:type="dxa"/>
            <w:vAlign w:val="bottom"/>
          </w:tcPr>
          <w:p>
            <w:pPr>
              <w:jc w:val="right"/>
              <w:ind w:right="44"/>
              <w:spacing w:after="0" w:line="160" w:lineRule="exact"/>
              <w:rPr>
                <w:sz w:val="20"/>
                <w:szCs w:val="20"/>
                <w:color w:val="auto"/>
              </w:rPr>
            </w:pPr>
            <w:r>
              <w:rPr>
                <w:rFonts w:ascii="Arial" w:cs="Arial" w:eastAsia="Arial" w:hAnsi="Arial"/>
                <w:sz w:val="15"/>
                <w:szCs w:val="15"/>
                <w:color w:val="auto"/>
              </w:rPr>
              <w:t>25,347</w:t>
            </w:r>
          </w:p>
        </w:tc>
        <w:tc>
          <w:tcPr>
            <w:tcW w:w="106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5,360,725</w:t>
            </w:r>
          </w:p>
        </w:tc>
      </w:tr>
      <w:tr>
        <w:trPr>
          <w:trHeight w:val="179"/>
        </w:trPr>
        <w:tc>
          <w:tcPr>
            <w:tcW w:w="1440" w:type="dxa"/>
            <w:vAlign w:val="bottom"/>
          </w:tcPr>
          <w:p>
            <w:pPr>
              <w:spacing w:after="0"/>
              <w:rPr>
                <w:sz w:val="20"/>
                <w:szCs w:val="20"/>
                <w:color w:val="auto"/>
              </w:rPr>
            </w:pPr>
            <w:r>
              <w:rPr>
                <w:rFonts w:ascii="Arial" w:cs="Arial" w:eastAsia="Arial" w:hAnsi="Arial"/>
                <w:sz w:val="15"/>
                <w:szCs w:val="15"/>
                <w:color w:val="auto"/>
              </w:rPr>
              <w:t>2020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477,014</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1,321,060</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449,991</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540" w:type="dxa"/>
            <w:vAlign w:val="bottom"/>
          </w:tcPr>
          <w:p>
            <w:pPr>
              <w:jc w:val="right"/>
              <w:ind w:right="45"/>
              <w:spacing w:after="0"/>
              <w:rPr>
                <w:sz w:val="20"/>
                <w:szCs w:val="20"/>
                <w:color w:val="auto"/>
              </w:rPr>
            </w:pPr>
            <w:r>
              <w:rPr>
                <w:rFonts w:ascii="Arial" w:cs="Arial" w:eastAsia="Arial" w:hAnsi="Arial"/>
                <w:sz w:val="15"/>
                <w:szCs w:val="15"/>
                <w:color w:val="auto"/>
              </w:rPr>
              <w:t>11,560</w:t>
            </w:r>
          </w:p>
        </w:tc>
        <w:tc>
          <w:tcPr>
            <w:tcW w:w="28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20,713</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2,280,338</w:t>
            </w:r>
          </w:p>
        </w:tc>
      </w:tr>
      <w:tr>
        <w:trPr>
          <w:trHeight w:val="194"/>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2019</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612,000</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1,749,920</w:t>
            </w: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449,991</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485,163</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2,642</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25,807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3,325,523</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b w:val="1"/>
                <w:bCs w:val="1"/>
                <w:color w:val="004987"/>
              </w:rPr>
              <w:t>Anthony E. Terry</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406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Executive Vice President and Chief Financial Officer</w:t>
            </w: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4"/>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2021</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366,530</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683,569</w:t>
            </w: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93,978</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384,460</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10,931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15,491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1,554,959</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b w:val="1"/>
                <w:bCs w:val="1"/>
                <w:color w:val="004987"/>
              </w:rPr>
              <w:t>R. Lee Cunningham</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5160" w:type="dxa"/>
            <w:vAlign w:val="bottom"/>
            <w:tcBorders>
              <w:bottom w:val="single" w:sz="8" w:color="auto"/>
            </w:tcBorders>
            <w:gridSpan w:val="5"/>
          </w:tcPr>
          <w:p>
            <w:pPr>
              <w:spacing w:after="0"/>
              <w:rPr>
                <w:sz w:val="20"/>
                <w:szCs w:val="20"/>
                <w:color w:val="auto"/>
              </w:rPr>
            </w:pPr>
            <w:r>
              <w:rPr>
                <w:rFonts w:ascii="Arial" w:cs="Arial" w:eastAsia="Arial" w:hAnsi="Arial"/>
                <w:sz w:val="15"/>
                <w:szCs w:val="15"/>
                <w:color w:val="auto"/>
              </w:rPr>
              <w:t>Executive Vice President and Chief Operating Officer—Vacation Ownership</w:t>
            </w: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color w:val="auto"/>
              </w:rPr>
              <w:t>2021</w:t>
            </w:r>
          </w:p>
        </w:tc>
        <w:tc>
          <w:tcPr>
            <w:tcW w:w="920" w:type="dxa"/>
            <w:vAlign w:val="bottom"/>
          </w:tcPr>
          <w:p>
            <w:pPr>
              <w:jc w:val="right"/>
              <w:ind w:right="44"/>
              <w:spacing w:after="0" w:line="160" w:lineRule="exact"/>
              <w:rPr>
                <w:sz w:val="20"/>
                <w:szCs w:val="20"/>
                <w:color w:val="auto"/>
              </w:rPr>
            </w:pPr>
            <w:r>
              <w:rPr>
                <w:rFonts w:ascii="Arial" w:cs="Arial" w:eastAsia="Arial" w:hAnsi="Arial"/>
                <w:sz w:val="15"/>
                <w:szCs w:val="15"/>
                <w:color w:val="auto"/>
              </w:rPr>
              <w:t>510,000</w:t>
            </w:r>
          </w:p>
        </w:tc>
        <w:tc>
          <w:tcPr>
            <w:tcW w:w="660" w:type="dxa"/>
            <w:vAlign w:val="bottom"/>
          </w:tcPr>
          <w:p>
            <w:pPr>
              <w:jc w:val="right"/>
              <w:ind w:right="44"/>
              <w:spacing w:after="0" w:line="16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line="160" w:lineRule="exact"/>
              <w:rPr>
                <w:sz w:val="20"/>
                <w:szCs w:val="20"/>
                <w:color w:val="auto"/>
              </w:rPr>
            </w:pPr>
            <w:r>
              <w:rPr>
                <w:rFonts w:ascii="Arial" w:cs="Arial" w:eastAsia="Arial" w:hAnsi="Arial"/>
                <w:sz w:val="15"/>
                <w:szCs w:val="15"/>
                <w:color w:val="auto"/>
              </w:rPr>
              <w:t>1,121,180</w:t>
            </w:r>
          </w:p>
        </w:tc>
        <w:tc>
          <w:tcPr>
            <w:tcW w:w="1100" w:type="dxa"/>
            <w:vAlign w:val="bottom"/>
          </w:tcPr>
          <w:p>
            <w:pPr>
              <w:jc w:val="right"/>
              <w:ind w:right="125"/>
              <w:spacing w:after="0" w:line="160" w:lineRule="exact"/>
              <w:rPr>
                <w:sz w:val="20"/>
                <w:szCs w:val="20"/>
                <w:color w:val="auto"/>
              </w:rPr>
            </w:pPr>
            <w:r>
              <w:rPr>
                <w:rFonts w:ascii="Arial" w:cs="Arial" w:eastAsia="Arial" w:hAnsi="Arial"/>
                <w:sz w:val="15"/>
                <w:szCs w:val="15"/>
                <w:color w:val="auto"/>
              </w:rPr>
              <w:t>450,034</w:t>
            </w:r>
          </w:p>
        </w:tc>
        <w:tc>
          <w:tcPr>
            <w:tcW w:w="1180" w:type="dxa"/>
            <w:vAlign w:val="bottom"/>
          </w:tcPr>
          <w:p>
            <w:pPr>
              <w:jc w:val="right"/>
              <w:ind w:right="45"/>
              <w:spacing w:after="0" w:line="160" w:lineRule="exact"/>
              <w:rPr>
                <w:sz w:val="20"/>
                <w:szCs w:val="20"/>
                <w:color w:val="auto"/>
              </w:rPr>
            </w:pPr>
            <w:r>
              <w:rPr>
                <w:rFonts w:ascii="Arial" w:cs="Arial" w:eastAsia="Arial" w:hAnsi="Arial"/>
                <w:sz w:val="15"/>
                <w:szCs w:val="15"/>
                <w:color w:val="auto"/>
              </w:rPr>
              <w:t>869,845</w:t>
            </w:r>
          </w:p>
        </w:tc>
        <w:tc>
          <w:tcPr>
            <w:tcW w:w="260" w:type="dxa"/>
            <w:vAlign w:val="bottom"/>
          </w:tcPr>
          <w:p>
            <w:pPr>
              <w:spacing w:after="0"/>
              <w:rPr>
                <w:sz w:val="13"/>
                <w:szCs w:val="13"/>
                <w:color w:val="auto"/>
              </w:rPr>
            </w:pPr>
          </w:p>
        </w:tc>
        <w:tc>
          <w:tcPr>
            <w:tcW w:w="1540" w:type="dxa"/>
            <w:vAlign w:val="bottom"/>
          </w:tcPr>
          <w:p>
            <w:pPr>
              <w:jc w:val="right"/>
              <w:ind w:right="45"/>
              <w:spacing w:after="0" w:line="160" w:lineRule="exact"/>
              <w:rPr>
                <w:sz w:val="20"/>
                <w:szCs w:val="20"/>
                <w:color w:val="auto"/>
              </w:rPr>
            </w:pPr>
            <w:r>
              <w:rPr>
                <w:rFonts w:ascii="Arial" w:cs="Arial" w:eastAsia="Arial" w:hAnsi="Arial"/>
                <w:sz w:val="15"/>
                <w:szCs w:val="15"/>
                <w:color w:val="auto"/>
              </w:rPr>
              <w:t>22,246</w:t>
            </w:r>
          </w:p>
        </w:tc>
        <w:tc>
          <w:tcPr>
            <w:tcW w:w="280" w:type="dxa"/>
            <w:vAlign w:val="bottom"/>
          </w:tcPr>
          <w:p>
            <w:pPr>
              <w:spacing w:after="0"/>
              <w:rPr>
                <w:sz w:val="13"/>
                <w:szCs w:val="13"/>
                <w:color w:val="auto"/>
              </w:rPr>
            </w:pPr>
          </w:p>
        </w:tc>
        <w:tc>
          <w:tcPr>
            <w:tcW w:w="980" w:type="dxa"/>
            <w:vAlign w:val="bottom"/>
          </w:tcPr>
          <w:p>
            <w:pPr>
              <w:jc w:val="right"/>
              <w:ind w:right="44"/>
              <w:spacing w:after="0" w:line="160" w:lineRule="exact"/>
              <w:rPr>
                <w:sz w:val="20"/>
                <w:szCs w:val="20"/>
                <w:color w:val="auto"/>
              </w:rPr>
            </w:pPr>
            <w:r>
              <w:rPr>
                <w:rFonts w:ascii="Arial" w:cs="Arial" w:eastAsia="Arial" w:hAnsi="Arial"/>
                <w:sz w:val="15"/>
                <w:szCs w:val="15"/>
                <w:color w:val="auto"/>
              </w:rPr>
              <w:t>15,810</w:t>
            </w:r>
          </w:p>
        </w:tc>
        <w:tc>
          <w:tcPr>
            <w:tcW w:w="106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2,989,115</w:t>
            </w:r>
          </w:p>
        </w:tc>
      </w:tr>
      <w:tr>
        <w:trPr>
          <w:trHeight w:val="179"/>
        </w:trPr>
        <w:tc>
          <w:tcPr>
            <w:tcW w:w="1440" w:type="dxa"/>
            <w:vAlign w:val="bottom"/>
          </w:tcPr>
          <w:p>
            <w:pPr>
              <w:spacing w:after="0"/>
              <w:rPr>
                <w:sz w:val="20"/>
                <w:szCs w:val="20"/>
                <w:color w:val="auto"/>
              </w:rPr>
            </w:pPr>
            <w:r>
              <w:rPr>
                <w:rFonts w:ascii="Arial" w:cs="Arial" w:eastAsia="Arial" w:hAnsi="Arial"/>
                <w:sz w:val="15"/>
                <w:szCs w:val="15"/>
                <w:color w:val="auto"/>
              </w:rPr>
              <w:t>2020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374,481</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795,606</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269,989</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540" w:type="dxa"/>
            <w:vAlign w:val="bottom"/>
          </w:tcPr>
          <w:p>
            <w:pPr>
              <w:jc w:val="right"/>
              <w:ind w:right="45"/>
              <w:spacing w:after="0"/>
              <w:rPr>
                <w:sz w:val="20"/>
                <w:szCs w:val="20"/>
                <w:color w:val="auto"/>
              </w:rPr>
            </w:pPr>
            <w:r>
              <w:rPr>
                <w:rFonts w:ascii="Arial" w:cs="Arial" w:eastAsia="Arial" w:hAnsi="Arial"/>
                <w:sz w:val="15"/>
                <w:szCs w:val="15"/>
                <w:color w:val="auto"/>
              </w:rPr>
              <w:t>23,587</w:t>
            </w:r>
          </w:p>
        </w:tc>
        <w:tc>
          <w:tcPr>
            <w:tcW w:w="28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18,236</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1,481,899</w:t>
            </w:r>
          </w:p>
        </w:tc>
      </w:tr>
      <w:tr>
        <w:trPr>
          <w:trHeight w:val="194"/>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2019</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480,000</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1,230,041</w:t>
            </w: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270,006</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372,708</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5,557</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21,414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2,379,726</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b w:val="1"/>
                <w:bCs w:val="1"/>
                <w:color w:val="004987"/>
              </w:rPr>
              <w:t>Brian E. Miller</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President, Vacation Ownership</w:t>
            </w: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color w:val="auto"/>
              </w:rPr>
              <w:t>2021</w:t>
            </w:r>
          </w:p>
        </w:tc>
        <w:tc>
          <w:tcPr>
            <w:tcW w:w="920" w:type="dxa"/>
            <w:vAlign w:val="bottom"/>
          </w:tcPr>
          <w:p>
            <w:pPr>
              <w:jc w:val="right"/>
              <w:ind w:right="44"/>
              <w:spacing w:after="0" w:line="160" w:lineRule="exact"/>
              <w:rPr>
                <w:sz w:val="20"/>
                <w:szCs w:val="20"/>
                <w:color w:val="auto"/>
              </w:rPr>
            </w:pPr>
            <w:r>
              <w:rPr>
                <w:rFonts w:ascii="Arial" w:cs="Arial" w:eastAsia="Arial" w:hAnsi="Arial"/>
                <w:sz w:val="15"/>
                <w:szCs w:val="15"/>
                <w:color w:val="auto"/>
              </w:rPr>
              <w:t>770,000</w:t>
            </w:r>
          </w:p>
        </w:tc>
        <w:tc>
          <w:tcPr>
            <w:tcW w:w="660" w:type="dxa"/>
            <w:vAlign w:val="bottom"/>
          </w:tcPr>
          <w:p>
            <w:pPr>
              <w:jc w:val="right"/>
              <w:ind w:right="44"/>
              <w:spacing w:after="0" w:line="16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line="160" w:lineRule="exact"/>
              <w:rPr>
                <w:sz w:val="20"/>
                <w:szCs w:val="20"/>
                <w:color w:val="auto"/>
              </w:rPr>
            </w:pPr>
            <w:r>
              <w:rPr>
                <w:rFonts w:ascii="Arial" w:cs="Arial" w:eastAsia="Arial" w:hAnsi="Arial"/>
                <w:sz w:val="15"/>
                <w:szCs w:val="15"/>
                <w:color w:val="auto"/>
              </w:rPr>
              <w:t>1,272,027</w:t>
            </w:r>
          </w:p>
        </w:tc>
        <w:tc>
          <w:tcPr>
            <w:tcW w:w="1100" w:type="dxa"/>
            <w:vAlign w:val="bottom"/>
          </w:tcPr>
          <w:p>
            <w:pPr>
              <w:jc w:val="right"/>
              <w:ind w:right="125"/>
              <w:spacing w:after="0" w:line="160" w:lineRule="exact"/>
              <w:rPr>
                <w:sz w:val="20"/>
                <w:szCs w:val="20"/>
                <w:color w:val="auto"/>
              </w:rPr>
            </w:pPr>
            <w:r>
              <w:rPr>
                <w:rFonts w:ascii="Arial" w:cs="Arial" w:eastAsia="Arial" w:hAnsi="Arial"/>
                <w:sz w:val="15"/>
                <w:szCs w:val="15"/>
                <w:color w:val="auto"/>
              </w:rPr>
              <w:t>550,017</w:t>
            </w:r>
          </w:p>
        </w:tc>
        <w:tc>
          <w:tcPr>
            <w:tcW w:w="1180" w:type="dxa"/>
            <w:vAlign w:val="bottom"/>
          </w:tcPr>
          <w:p>
            <w:pPr>
              <w:jc w:val="right"/>
              <w:ind w:right="45"/>
              <w:spacing w:after="0" w:line="160" w:lineRule="exact"/>
              <w:rPr>
                <w:sz w:val="20"/>
                <w:szCs w:val="20"/>
                <w:color w:val="auto"/>
              </w:rPr>
            </w:pPr>
            <w:r>
              <w:rPr>
                <w:rFonts w:ascii="Arial" w:cs="Arial" w:eastAsia="Arial" w:hAnsi="Arial"/>
                <w:sz w:val="15"/>
                <w:szCs w:val="15"/>
                <w:color w:val="auto"/>
              </w:rPr>
              <w:t>1,313,296</w:t>
            </w:r>
          </w:p>
        </w:tc>
        <w:tc>
          <w:tcPr>
            <w:tcW w:w="260" w:type="dxa"/>
            <w:vAlign w:val="bottom"/>
          </w:tcPr>
          <w:p>
            <w:pPr>
              <w:spacing w:after="0"/>
              <w:rPr>
                <w:sz w:val="13"/>
                <w:szCs w:val="13"/>
                <w:color w:val="auto"/>
              </w:rPr>
            </w:pPr>
          </w:p>
        </w:tc>
        <w:tc>
          <w:tcPr>
            <w:tcW w:w="1540" w:type="dxa"/>
            <w:vAlign w:val="bottom"/>
          </w:tcPr>
          <w:p>
            <w:pPr>
              <w:jc w:val="right"/>
              <w:ind w:right="45"/>
              <w:spacing w:after="0" w:line="160" w:lineRule="exact"/>
              <w:rPr>
                <w:sz w:val="20"/>
                <w:szCs w:val="20"/>
                <w:color w:val="auto"/>
              </w:rPr>
            </w:pPr>
            <w:r>
              <w:rPr>
                <w:rFonts w:ascii="Arial" w:cs="Arial" w:eastAsia="Arial" w:hAnsi="Arial"/>
                <w:sz w:val="15"/>
                <w:szCs w:val="15"/>
                <w:color w:val="auto"/>
              </w:rPr>
              <w:t>39,471</w:t>
            </w:r>
          </w:p>
        </w:tc>
        <w:tc>
          <w:tcPr>
            <w:tcW w:w="280" w:type="dxa"/>
            <w:vAlign w:val="bottom"/>
          </w:tcPr>
          <w:p>
            <w:pPr>
              <w:spacing w:after="0"/>
              <w:rPr>
                <w:sz w:val="13"/>
                <w:szCs w:val="13"/>
                <w:color w:val="auto"/>
              </w:rPr>
            </w:pPr>
          </w:p>
        </w:tc>
        <w:tc>
          <w:tcPr>
            <w:tcW w:w="980" w:type="dxa"/>
            <w:vAlign w:val="bottom"/>
          </w:tcPr>
          <w:p>
            <w:pPr>
              <w:jc w:val="right"/>
              <w:ind w:right="44"/>
              <w:spacing w:after="0" w:line="160" w:lineRule="exact"/>
              <w:rPr>
                <w:sz w:val="20"/>
                <w:szCs w:val="20"/>
                <w:color w:val="auto"/>
              </w:rPr>
            </w:pPr>
            <w:r>
              <w:rPr>
                <w:rFonts w:ascii="Arial" w:cs="Arial" w:eastAsia="Arial" w:hAnsi="Arial"/>
                <w:sz w:val="15"/>
                <w:szCs w:val="15"/>
                <w:color w:val="auto"/>
              </w:rPr>
              <w:t>26,675</w:t>
            </w:r>
          </w:p>
        </w:tc>
        <w:tc>
          <w:tcPr>
            <w:tcW w:w="106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3,971,486</w:t>
            </w:r>
          </w:p>
        </w:tc>
      </w:tr>
      <w:tr>
        <w:trPr>
          <w:trHeight w:val="179"/>
        </w:trPr>
        <w:tc>
          <w:tcPr>
            <w:tcW w:w="1440" w:type="dxa"/>
            <w:vAlign w:val="bottom"/>
          </w:tcPr>
          <w:p>
            <w:pPr>
              <w:spacing w:after="0"/>
              <w:rPr>
                <w:sz w:val="20"/>
                <w:szCs w:val="20"/>
                <w:color w:val="auto"/>
              </w:rPr>
            </w:pPr>
            <w:r>
              <w:rPr>
                <w:rFonts w:ascii="Arial" w:cs="Arial" w:eastAsia="Arial" w:hAnsi="Arial"/>
                <w:sz w:val="15"/>
                <w:szCs w:val="15"/>
                <w:color w:val="auto"/>
              </w:rPr>
              <w:t>2020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561,943</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rPr>
                <w:sz w:val="20"/>
                <w:szCs w:val="20"/>
                <w:color w:val="auto"/>
              </w:rPr>
            </w:pPr>
            <w:r>
              <w:rPr>
                <w:rFonts w:ascii="Arial" w:cs="Arial" w:eastAsia="Arial" w:hAnsi="Arial"/>
                <w:sz w:val="15"/>
                <w:szCs w:val="15"/>
                <w:color w:val="auto"/>
              </w:rPr>
              <w:t>910,536</w:t>
            </w:r>
          </w:p>
        </w:tc>
        <w:tc>
          <w:tcPr>
            <w:tcW w:w="1100" w:type="dxa"/>
            <w:vAlign w:val="bottom"/>
          </w:tcPr>
          <w:p>
            <w:pPr>
              <w:jc w:val="right"/>
              <w:ind w:right="125"/>
              <w:spacing w:after="0"/>
              <w:rPr>
                <w:sz w:val="20"/>
                <w:szCs w:val="20"/>
                <w:color w:val="auto"/>
              </w:rPr>
            </w:pPr>
            <w:r>
              <w:rPr>
                <w:rFonts w:ascii="Arial" w:cs="Arial" w:eastAsia="Arial" w:hAnsi="Arial"/>
                <w:sz w:val="15"/>
                <w:szCs w:val="15"/>
                <w:color w:val="auto"/>
              </w:rPr>
              <w:t>269,989</w:t>
            </w:r>
          </w:p>
        </w:tc>
        <w:tc>
          <w:tcPr>
            <w:tcW w:w="11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540" w:type="dxa"/>
            <w:vAlign w:val="bottom"/>
          </w:tcPr>
          <w:p>
            <w:pPr>
              <w:jc w:val="right"/>
              <w:ind w:right="45"/>
              <w:spacing w:after="0"/>
              <w:rPr>
                <w:sz w:val="20"/>
                <w:szCs w:val="20"/>
                <w:color w:val="auto"/>
              </w:rPr>
            </w:pPr>
            <w:r>
              <w:rPr>
                <w:rFonts w:ascii="Arial" w:cs="Arial" w:eastAsia="Arial" w:hAnsi="Arial"/>
                <w:sz w:val="15"/>
                <w:szCs w:val="15"/>
                <w:color w:val="auto"/>
              </w:rPr>
              <w:t>39,515</w:t>
            </w:r>
          </w:p>
        </w:tc>
        <w:tc>
          <w:tcPr>
            <w:tcW w:w="28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Arial" w:cs="Arial" w:eastAsia="Arial" w:hAnsi="Arial"/>
                <w:sz w:val="15"/>
                <w:szCs w:val="15"/>
                <w:color w:val="auto"/>
              </w:rPr>
              <w:t>22,122</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1,804,105</w:t>
            </w:r>
          </w:p>
        </w:tc>
      </w:tr>
      <w:tr>
        <w:trPr>
          <w:trHeight w:val="194"/>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2019</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711,000</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1,090,021</w:t>
            </w: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210,001</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468,031</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8,600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26,388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2,514,041</w:t>
            </w: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b w:val="1"/>
                <w:bCs w:val="1"/>
                <w:color w:val="004987"/>
              </w:rPr>
              <w:t>Jeanette E. Marbert</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406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President, Exchange and Third-Party Management</w:t>
            </w: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0"/>
        </w:trPr>
        <w:tc>
          <w:tcPr>
            <w:tcW w:w="1440" w:type="dxa"/>
            <w:vAlign w:val="bottom"/>
          </w:tcPr>
          <w:p>
            <w:pPr>
              <w:spacing w:after="0" w:line="160" w:lineRule="exact"/>
              <w:rPr>
                <w:sz w:val="20"/>
                <w:szCs w:val="20"/>
                <w:color w:val="auto"/>
              </w:rPr>
            </w:pPr>
            <w:r>
              <w:rPr>
                <w:rFonts w:ascii="Arial" w:cs="Arial" w:eastAsia="Arial" w:hAnsi="Arial"/>
                <w:sz w:val="15"/>
                <w:szCs w:val="15"/>
                <w:color w:val="auto"/>
              </w:rPr>
              <w:t>2021</w:t>
            </w:r>
          </w:p>
        </w:tc>
        <w:tc>
          <w:tcPr>
            <w:tcW w:w="920" w:type="dxa"/>
            <w:vAlign w:val="bottom"/>
          </w:tcPr>
          <w:p>
            <w:pPr>
              <w:jc w:val="right"/>
              <w:ind w:right="44"/>
              <w:spacing w:after="0" w:line="160" w:lineRule="exact"/>
              <w:rPr>
                <w:sz w:val="20"/>
                <w:szCs w:val="20"/>
                <w:color w:val="auto"/>
              </w:rPr>
            </w:pPr>
            <w:r>
              <w:rPr>
                <w:rFonts w:ascii="Arial" w:cs="Arial" w:eastAsia="Arial" w:hAnsi="Arial"/>
                <w:sz w:val="15"/>
                <w:szCs w:val="15"/>
                <w:color w:val="auto"/>
              </w:rPr>
              <w:t>525,000</w:t>
            </w:r>
          </w:p>
        </w:tc>
        <w:tc>
          <w:tcPr>
            <w:tcW w:w="660" w:type="dxa"/>
            <w:vAlign w:val="bottom"/>
          </w:tcPr>
          <w:p>
            <w:pPr>
              <w:jc w:val="right"/>
              <w:ind w:right="44"/>
              <w:spacing w:after="0" w:line="160"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65"/>
              <w:spacing w:after="0" w:line="160" w:lineRule="exact"/>
              <w:rPr>
                <w:sz w:val="20"/>
                <w:szCs w:val="20"/>
                <w:color w:val="auto"/>
              </w:rPr>
            </w:pPr>
            <w:r>
              <w:rPr>
                <w:rFonts w:ascii="Arial" w:cs="Arial" w:eastAsia="Arial" w:hAnsi="Arial"/>
                <w:sz w:val="15"/>
                <w:szCs w:val="15"/>
                <w:color w:val="auto"/>
              </w:rPr>
              <w:t>1,207,755</w:t>
            </w:r>
          </w:p>
        </w:tc>
        <w:tc>
          <w:tcPr>
            <w:tcW w:w="1100" w:type="dxa"/>
            <w:vAlign w:val="bottom"/>
          </w:tcPr>
          <w:p>
            <w:pPr>
              <w:jc w:val="right"/>
              <w:ind w:right="125"/>
              <w:spacing w:after="0" w:line="160" w:lineRule="exact"/>
              <w:rPr>
                <w:sz w:val="20"/>
                <w:szCs w:val="20"/>
                <w:color w:val="auto"/>
              </w:rPr>
            </w:pPr>
            <w:r>
              <w:rPr>
                <w:rFonts w:ascii="Arial" w:cs="Arial" w:eastAsia="Arial" w:hAnsi="Arial"/>
                <w:sz w:val="15"/>
                <w:szCs w:val="15"/>
                <w:color w:val="auto"/>
              </w:rPr>
              <w:t>499,990</w:t>
            </w:r>
          </w:p>
        </w:tc>
        <w:tc>
          <w:tcPr>
            <w:tcW w:w="1180" w:type="dxa"/>
            <w:vAlign w:val="bottom"/>
          </w:tcPr>
          <w:p>
            <w:pPr>
              <w:jc w:val="right"/>
              <w:ind w:right="45"/>
              <w:spacing w:after="0" w:line="160" w:lineRule="exact"/>
              <w:rPr>
                <w:sz w:val="20"/>
                <w:szCs w:val="20"/>
                <w:color w:val="auto"/>
              </w:rPr>
            </w:pPr>
            <w:r>
              <w:rPr>
                <w:rFonts w:ascii="Arial" w:cs="Arial" w:eastAsia="Arial" w:hAnsi="Arial"/>
                <w:sz w:val="15"/>
                <w:szCs w:val="15"/>
                <w:color w:val="auto"/>
              </w:rPr>
              <w:t>895,429</w:t>
            </w:r>
          </w:p>
        </w:tc>
        <w:tc>
          <w:tcPr>
            <w:tcW w:w="260" w:type="dxa"/>
            <w:vAlign w:val="bottom"/>
          </w:tcPr>
          <w:p>
            <w:pPr>
              <w:spacing w:after="0"/>
              <w:rPr>
                <w:sz w:val="13"/>
                <w:szCs w:val="13"/>
                <w:color w:val="auto"/>
              </w:rPr>
            </w:pPr>
          </w:p>
        </w:tc>
        <w:tc>
          <w:tcPr>
            <w:tcW w:w="1540" w:type="dxa"/>
            <w:vAlign w:val="bottom"/>
          </w:tcPr>
          <w:p>
            <w:pPr>
              <w:jc w:val="right"/>
              <w:ind w:right="45"/>
              <w:spacing w:after="0" w:line="160" w:lineRule="exact"/>
              <w:rPr>
                <w:sz w:val="20"/>
                <w:szCs w:val="20"/>
                <w:color w:val="auto"/>
              </w:rPr>
            </w:pPr>
            <w:r>
              <w:rPr>
                <w:rFonts w:ascii="Arial" w:cs="Arial" w:eastAsia="Arial" w:hAnsi="Arial"/>
                <w:sz w:val="15"/>
                <w:szCs w:val="15"/>
                <w:color w:val="auto"/>
              </w:rPr>
              <w:t>240</w:t>
            </w:r>
          </w:p>
        </w:tc>
        <w:tc>
          <w:tcPr>
            <w:tcW w:w="280" w:type="dxa"/>
            <w:vAlign w:val="bottom"/>
          </w:tcPr>
          <w:p>
            <w:pPr>
              <w:spacing w:after="0"/>
              <w:rPr>
                <w:sz w:val="13"/>
                <w:szCs w:val="13"/>
                <w:color w:val="auto"/>
              </w:rPr>
            </w:pPr>
          </w:p>
        </w:tc>
        <w:tc>
          <w:tcPr>
            <w:tcW w:w="980" w:type="dxa"/>
            <w:vAlign w:val="bottom"/>
          </w:tcPr>
          <w:p>
            <w:pPr>
              <w:jc w:val="right"/>
              <w:ind w:right="44"/>
              <w:spacing w:after="0" w:line="160" w:lineRule="exact"/>
              <w:rPr>
                <w:sz w:val="20"/>
                <w:szCs w:val="20"/>
                <w:color w:val="auto"/>
              </w:rPr>
            </w:pPr>
            <w:r>
              <w:rPr>
                <w:rFonts w:ascii="Arial" w:cs="Arial" w:eastAsia="Arial" w:hAnsi="Arial"/>
                <w:sz w:val="15"/>
                <w:szCs w:val="15"/>
                <w:color w:val="auto"/>
              </w:rPr>
              <w:t>21,308</w:t>
            </w:r>
          </w:p>
        </w:tc>
        <w:tc>
          <w:tcPr>
            <w:tcW w:w="1060" w:type="dxa"/>
            <w:vAlign w:val="bottom"/>
          </w:tcPr>
          <w:p>
            <w:pPr>
              <w:jc w:val="right"/>
              <w:spacing w:after="0" w:line="160" w:lineRule="exact"/>
              <w:rPr>
                <w:sz w:val="20"/>
                <w:szCs w:val="20"/>
                <w:color w:val="auto"/>
              </w:rPr>
            </w:pPr>
            <w:r>
              <w:rPr>
                <w:rFonts w:ascii="Arial" w:cs="Arial" w:eastAsia="Arial" w:hAnsi="Arial"/>
                <w:sz w:val="15"/>
                <w:szCs w:val="15"/>
                <w:b w:val="1"/>
                <w:bCs w:val="1"/>
                <w:color w:val="auto"/>
              </w:rPr>
              <w:t>3,149,722</w:t>
            </w:r>
          </w:p>
        </w:tc>
      </w:tr>
      <w:tr>
        <w:trPr>
          <w:trHeight w:val="194"/>
        </w:trPr>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2020</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366,808</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629,973</w:t>
            </w: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269,989</w:t>
            </w: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17,685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1,284,455</w:t>
            </w:r>
          </w:p>
        </w:tc>
      </w:tr>
    </w:tbl>
    <w:p>
      <w:pPr>
        <w:ind w:left="700" w:hanging="306"/>
        <w:spacing w:after="0" w:line="226" w:lineRule="auto"/>
        <w:tabs>
          <w:tab w:leader="none" w:pos="70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This column reports all amounts earned as salary during the fiscal year, whether paid or deferred under employee benefit plans.</w:t>
      </w:r>
    </w:p>
    <w:p>
      <w:pPr>
        <w:spacing w:after="0" w:line="56" w:lineRule="exact"/>
        <w:rPr>
          <w:sz w:val="20"/>
          <w:szCs w:val="20"/>
          <w:color w:val="auto"/>
        </w:rPr>
      </w:pPr>
    </w:p>
    <w:p>
      <w:pPr>
        <w:ind w:left="700" w:right="60" w:hanging="306"/>
        <w:spacing w:after="0" w:line="218" w:lineRule="auto"/>
        <w:tabs>
          <w:tab w:leader="none" w:pos="700" w:val="left"/>
        </w:tabs>
        <w:numPr>
          <w:ilvl w:val="0"/>
          <w:numId w:val="50"/>
        </w:numPr>
        <w:rPr>
          <w:rFonts w:ascii="Arial" w:cs="Arial" w:eastAsia="Arial" w:hAnsi="Arial"/>
          <w:sz w:val="23"/>
          <w:szCs w:val="23"/>
          <w:color w:val="auto"/>
          <w:vertAlign w:val="superscript"/>
        </w:rPr>
      </w:pPr>
      <w:r>
        <w:rPr>
          <w:rFonts w:ascii="Arial" w:cs="Arial" w:eastAsia="Arial" w:hAnsi="Arial"/>
          <w:sz w:val="14"/>
          <w:szCs w:val="14"/>
          <w:color w:val="auto"/>
        </w:rPr>
        <w:t>The value reported for Stock Awards and Option/SAR awards is the aggregate grant date fair value of the awards granted in the fiscal year as determined in accordance with accounting guidance for share-based payments, although we recognize the expense of the awards for financial reporting purposes over the service period of the awards. The assumptions for making the valuation determinations are set forth in Footnote 18, “Share-Based Compensation,” of the Notes to our Consolidated Financial Statements included in the 2021 Form 10-K. For additional information on these awards, see the Grants of Plan-Based Awards for Fiscal Year 2021 table below. The value reported for the Performance Units in 2020 and 2019 is the grant date value assuming performance at the target level, which was the probable outcome of the performance conditions as of the grant date. The values reported for the 2020 Stock Awards have been updated to include the incremental fair value related to the modification to the 2018-2020 Performance Units in 2020 as discussed in the 2020 proxy statement. Grant date fair value of the awards to include the incremental fair value related to the modification of the 2018 Performance Units as discussed in the Company’s 2020 proxy statement. 2021 Stock Awards represent the aggregate grant date fair value of awards including the incremental fair value related to the modification of the 2019 Performance Units, as discussed under Performance Units Vested in 2021.</w:t>
      </w:r>
    </w:p>
    <w:p>
      <w:pPr>
        <w:spacing w:after="0" w:line="54" w:lineRule="exact"/>
        <w:rPr>
          <w:sz w:val="20"/>
          <w:szCs w:val="20"/>
          <w:color w:val="auto"/>
        </w:rPr>
      </w:pPr>
    </w:p>
    <w:p>
      <w:pPr>
        <w:ind w:left="700" w:right="140" w:hanging="306"/>
        <w:spacing w:after="0" w:line="199" w:lineRule="auto"/>
        <w:tabs>
          <w:tab w:leader="none" w:pos="700" w:val="left"/>
        </w:tabs>
        <w:numPr>
          <w:ilvl w:val="0"/>
          <w:numId w:val="51"/>
        </w:numPr>
        <w:rPr>
          <w:rFonts w:ascii="Arial" w:cs="Arial" w:eastAsia="Arial" w:hAnsi="Arial"/>
          <w:sz w:val="23"/>
          <w:szCs w:val="23"/>
          <w:color w:val="auto"/>
          <w:vertAlign w:val="superscript"/>
        </w:rPr>
      </w:pPr>
      <w:r>
        <w:rPr>
          <w:rFonts w:ascii="Arial" w:cs="Arial" w:eastAsia="Arial" w:hAnsi="Arial"/>
          <w:sz w:val="14"/>
          <w:szCs w:val="14"/>
          <w:color w:val="auto"/>
        </w:rPr>
        <w:t>This column reports all amounts earned under the bonus plan and sales incentive plan in effect for such fiscal year, whether paid or deferred under other employee benefit plans. Amounts earned under a bonus plan during a fiscal year were paid in the first quarter of the following fiscal year except for 2021 which was split into two six (6) month plans.</w:t>
      </w:r>
    </w:p>
    <w:p>
      <w:pPr>
        <w:spacing w:after="0" w:line="52" w:lineRule="exact"/>
        <w:rPr>
          <w:sz w:val="20"/>
          <w:szCs w:val="20"/>
          <w:color w:val="auto"/>
        </w:rPr>
      </w:pPr>
    </w:p>
    <w:p>
      <w:pPr>
        <w:ind w:left="700" w:right="60" w:hanging="306"/>
        <w:spacing w:after="0" w:line="199" w:lineRule="auto"/>
        <w:tabs>
          <w:tab w:leader="none" w:pos="700" w:val="left"/>
        </w:tabs>
        <w:numPr>
          <w:ilvl w:val="0"/>
          <w:numId w:val="52"/>
        </w:numPr>
        <w:rPr>
          <w:rFonts w:ascii="Arial" w:cs="Arial" w:eastAsia="Arial" w:hAnsi="Arial"/>
          <w:sz w:val="23"/>
          <w:szCs w:val="23"/>
          <w:color w:val="auto"/>
          <w:vertAlign w:val="superscript"/>
        </w:rPr>
      </w:pPr>
      <w:r>
        <w:rPr>
          <w:rFonts w:ascii="Arial" w:cs="Arial" w:eastAsia="Arial" w:hAnsi="Arial"/>
          <w:sz w:val="14"/>
          <w:szCs w:val="14"/>
          <w:color w:val="auto"/>
        </w:rPr>
        <w:t>The values reported equal the excess of the return on amounts credited to accounts in the MVW Deferred Compensation Plan and the Marriott Deferred Compensation Plan at a fixed rate of return over 120 percent of the applicable federal long-term rate, as discussed below under “Nonqualified Deferred Compensation for Fiscal Year 2021.”</w:t>
      </w:r>
    </w:p>
    <w:p>
      <w:pPr>
        <w:spacing w:after="0" w:line="111" w:lineRule="exact"/>
        <w:rPr>
          <w:sz w:val="20"/>
          <w:szCs w:val="20"/>
          <w:color w:val="auto"/>
        </w:rPr>
      </w:pPr>
    </w:p>
    <w:p>
      <w:pPr>
        <w:ind w:left="400"/>
        <w:spacing w:after="0"/>
        <w:tabs>
          <w:tab w:leader="none" w:pos="4520" w:val="left"/>
          <w:tab w:leader="none" w:pos="7720" w:val="left"/>
        </w:tabs>
        <w:rPr>
          <w:sz w:val="20"/>
          <w:szCs w:val="20"/>
          <w:color w:val="auto"/>
        </w:rPr>
      </w:pPr>
      <w:r>
        <w:rPr>
          <w:rFonts w:ascii="Arial" w:cs="Arial" w:eastAsia="Arial" w:hAnsi="Arial"/>
          <w:sz w:val="10"/>
          <w:szCs w:val="10"/>
          <w:b w:val="1"/>
          <w:bCs w:val="1"/>
          <w:color w:val="004987"/>
        </w:rPr>
        <w:t>36</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4" w:lineRule="exact"/>
        <w:rPr>
          <w:sz w:val="20"/>
          <w:szCs w:val="20"/>
          <w:color w:val="auto"/>
        </w:rPr>
      </w:pPr>
    </w:p>
    <w:p>
      <w:pPr>
        <w:ind w:left="700" w:right="700" w:hanging="306"/>
        <w:spacing w:after="0" w:line="205" w:lineRule="auto"/>
        <w:tabs>
          <w:tab w:leader="none" w:pos="70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All Other Compensation for 2021 consists of company contributions to the 401(k) Plan ($9,788 for each named executive officer); company contributions to the MVW Deferred Compensation Plan ($11,231 for Mr. Weisz; $15,157 for Mr. Geller; $5,645 for Mr. Terry; $5,718 for Mr. Cunningham; $16,437 for Mr. Miller; and $11,207 for Ms. Marbert); and premiums for an insurance policy on the life of each named executive officer ($900 for Mr. Weisz; $403 for Mr. Geller; $59 for Mr. Terry; $305 for Mr. Cunningham; $450 for Mr. Miller; and $314 for Ms. Marbert).</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Grants of Plan-Based Awards for Fiscal Year 2021</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shows the plan-based awards granted to the named executive officers in 2021.</w:t>
      </w: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4987"/>
                <w:w w:val="94"/>
              </w:rPr>
              <w:t>All Other</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8"/>
              </w:rPr>
              <w:t>Options/</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rPr>
              <w:t>All</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4"/>
              </w:rPr>
              <w:t>SAR</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6"/>
              </w:rPr>
              <w:t>Other</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4"/>
              </w:rPr>
              <w:t>Awards:</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4"/>
              </w:rPr>
              <w:t>Stock</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Number of</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004987"/>
                <w:w w:val="96"/>
              </w:rPr>
              <w:t>Estimated Possible Payouts Under</w:t>
            </w:r>
          </w:p>
        </w:tc>
        <w:tc>
          <w:tcPr>
            <w:tcW w:w="2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4987"/>
                <w:w w:val="97"/>
              </w:rPr>
              <w:t>Estimated Possible Payouts</w:t>
            </w: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Awards:</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5"/>
              </w:rPr>
              <w:t>Securities</w:t>
            </w:r>
          </w:p>
        </w:tc>
        <w:tc>
          <w:tcPr>
            <w:tcW w:w="740" w:type="dxa"/>
            <w:vAlign w:val="bottom"/>
          </w:tcPr>
          <w:p>
            <w:pPr>
              <w:spacing w:after="0"/>
              <w:rPr>
                <w:sz w:val="13"/>
                <w:szCs w:val="13"/>
                <w:color w:val="auto"/>
              </w:rPr>
            </w:pPr>
          </w:p>
        </w:tc>
        <w:tc>
          <w:tcPr>
            <w:tcW w:w="620" w:type="dxa"/>
            <w:vAlign w:val="bottom"/>
          </w:tcPr>
          <w:p>
            <w:pPr>
              <w:jc w:val="center"/>
              <w:ind w:left="5"/>
              <w:spacing w:after="0" w:line="154" w:lineRule="exact"/>
              <w:rPr>
                <w:sz w:val="20"/>
                <w:szCs w:val="20"/>
                <w:color w:val="auto"/>
              </w:rPr>
            </w:pPr>
            <w:r>
              <w:rPr>
                <w:rFonts w:ascii="Arial" w:cs="Arial" w:eastAsia="Arial" w:hAnsi="Arial"/>
                <w:sz w:val="14"/>
                <w:szCs w:val="14"/>
                <w:b w:val="1"/>
                <w:bCs w:val="1"/>
                <w:color w:val="004987"/>
                <w:w w:val="97"/>
              </w:rPr>
              <w:t>Grant D</w:t>
            </w:r>
          </w:p>
        </w:tc>
        <w:tc>
          <w:tcPr>
            <w:tcW w:w="0" w:type="dxa"/>
            <w:vAlign w:val="bottom"/>
          </w:tcPr>
          <w:p>
            <w:pPr>
              <w:spacing w:after="0"/>
              <w:rPr>
                <w:sz w:val="1"/>
                <w:szCs w:val="1"/>
                <w:color w:val="auto"/>
              </w:rPr>
            </w:pPr>
          </w:p>
        </w:tc>
      </w:tr>
      <w:tr>
        <w:trPr>
          <w:trHeight w:val="87"/>
        </w:trPr>
        <w:tc>
          <w:tcPr>
            <w:tcW w:w="1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780" w:type="dxa"/>
            <w:vAlign w:val="bottom"/>
            <w:vMerge w:val="restart"/>
          </w:tcPr>
          <w:p>
            <w:pPr>
              <w:jc w:val="center"/>
              <w:spacing w:after="0" w:line="154" w:lineRule="exact"/>
              <w:rPr>
                <w:sz w:val="20"/>
                <w:szCs w:val="20"/>
                <w:color w:val="auto"/>
              </w:rPr>
            </w:pPr>
            <w:r>
              <w:rPr>
                <w:rFonts w:ascii="Arial" w:cs="Arial" w:eastAsia="Arial" w:hAnsi="Arial"/>
                <w:sz w:val="14"/>
                <w:szCs w:val="14"/>
                <w:b w:val="1"/>
                <w:bCs w:val="1"/>
                <w:color w:val="004987"/>
                <w:w w:val="98"/>
              </w:rPr>
              <w:t>Number</w:t>
            </w:r>
          </w:p>
        </w:tc>
        <w:tc>
          <w:tcPr>
            <w:tcW w:w="820" w:type="dxa"/>
            <w:vAlign w:val="bottom"/>
            <w:vMerge w:val="restart"/>
          </w:tcPr>
          <w:p>
            <w:pPr>
              <w:jc w:val="center"/>
              <w:spacing w:after="0" w:line="154" w:lineRule="exact"/>
              <w:rPr>
                <w:sz w:val="20"/>
                <w:szCs w:val="20"/>
                <w:color w:val="auto"/>
              </w:rPr>
            </w:pPr>
            <w:r>
              <w:rPr>
                <w:rFonts w:ascii="Arial" w:cs="Arial" w:eastAsia="Arial" w:hAnsi="Arial"/>
                <w:sz w:val="14"/>
                <w:szCs w:val="14"/>
                <w:b w:val="1"/>
                <w:bCs w:val="1"/>
                <w:color w:val="004987"/>
                <w:w w:val="97"/>
              </w:rPr>
              <w:t>Under-</w:t>
            </w:r>
          </w:p>
        </w:tc>
        <w:tc>
          <w:tcPr>
            <w:tcW w:w="740" w:type="dxa"/>
            <w:vAlign w:val="bottom"/>
          </w:tcPr>
          <w:p>
            <w:pPr>
              <w:spacing w:after="0"/>
              <w:rPr>
                <w:sz w:val="7"/>
                <w:szCs w:val="7"/>
                <w:color w:val="auto"/>
              </w:rPr>
            </w:pPr>
          </w:p>
        </w:tc>
        <w:tc>
          <w:tcPr>
            <w:tcW w:w="620" w:type="dxa"/>
            <w:vAlign w:val="bottom"/>
            <w:vMerge w:val="restart"/>
          </w:tcPr>
          <w:p>
            <w:pPr>
              <w:jc w:val="center"/>
              <w:spacing w:after="0" w:line="154" w:lineRule="exact"/>
              <w:rPr>
                <w:sz w:val="20"/>
                <w:szCs w:val="20"/>
                <w:color w:val="auto"/>
              </w:rPr>
            </w:pPr>
            <w:r>
              <w:rPr>
                <w:rFonts w:ascii="Arial" w:cs="Arial" w:eastAsia="Arial" w:hAnsi="Arial"/>
                <w:sz w:val="14"/>
                <w:szCs w:val="14"/>
                <w:b w:val="1"/>
                <w:bCs w:val="1"/>
                <w:color w:val="004987"/>
                <w:w w:val="97"/>
              </w:rPr>
              <w:t>Fair Valu</w:t>
            </w:r>
          </w:p>
        </w:tc>
        <w:tc>
          <w:tcPr>
            <w:tcW w:w="0" w:type="dxa"/>
            <w:vAlign w:val="bottom"/>
          </w:tcPr>
          <w:p>
            <w:pPr>
              <w:spacing w:after="0"/>
              <w:rPr>
                <w:sz w:val="1"/>
                <w:szCs w:val="1"/>
                <w:color w:val="auto"/>
              </w:rPr>
            </w:pPr>
          </w:p>
        </w:tc>
      </w:tr>
      <w:tr>
        <w:trPr>
          <w:trHeight w:val="67"/>
        </w:trPr>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80" w:type="dxa"/>
            <w:vAlign w:val="bottom"/>
            <w:gridSpan w:val="3"/>
            <w:vMerge w:val="restart"/>
          </w:tcPr>
          <w:p>
            <w:pPr>
              <w:jc w:val="center"/>
              <w:spacing w:after="0" w:line="146" w:lineRule="exact"/>
              <w:rPr>
                <w:sz w:val="20"/>
                <w:szCs w:val="20"/>
                <w:color w:val="auto"/>
              </w:rPr>
            </w:pPr>
            <w:r>
              <w:rPr>
                <w:rFonts w:ascii="Arial" w:cs="Arial" w:eastAsia="Arial" w:hAnsi="Arial"/>
                <w:sz w:val="10"/>
                <w:szCs w:val="10"/>
                <w:b w:val="1"/>
                <w:bCs w:val="1"/>
                <w:color w:val="004987"/>
              </w:rPr>
              <w:t>Non-Equity Incentive Plan Awards</w:t>
            </w:r>
            <w:r>
              <w:rPr>
                <w:rFonts w:ascii="Arial" w:cs="Arial" w:eastAsia="Arial" w:hAnsi="Arial"/>
                <w:sz w:val="16"/>
                <w:szCs w:val="16"/>
                <w:color w:val="004987"/>
                <w:vertAlign w:val="superscript"/>
              </w:rPr>
              <w:t>3</w:t>
            </w:r>
          </w:p>
        </w:tc>
        <w:tc>
          <w:tcPr>
            <w:tcW w:w="260" w:type="dxa"/>
            <w:vAlign w:val="bottom"/>
          </w:tcPr>
          <w:p>
            <w:pPr>
              <w:spacing w:after="0"/>
              <w:rPr>
                <w:sz w:val="5"/>
                <w:szCs w:val="5"/>
                <w:color w:val="auto"/>
              </w:rPr>
            </w:pPr>
          </w:p>
        </w:tc>
        <w:tc>
          <w:tcPr>
            <w:tcW w:w="2380" w:type="dxa"/>
            <w:vAlign w:val="bottom"/>
            <w:gridSpan w:val="3"/>
            <w:vMerge w:val="restart"/>
          </w:tcPr>
          <w:p>
            <w:pPr>
              <w:jc w:val="center"/>
              <w:spacing w:after="0" w:line="147" w:lineRule="exact"/>
              <w:rPr>
                <w:sz w:val="20"/>
                <w:szCs w:val="20"/>
                <w:color w:val="auto"/>
              </w:rPr>
            </w:pPr>
            <w:r>
              <w:rPr>
                <w:rFonts w:ascii="Arial" w:cs="Arial" w:eastAsia="Arial" w:hAnsi="Arial"/>
                <w:sz w:val="14"/>
                <w:szCs w:val="14"/>
                <w:b w:val="1"/>
                <w:bCs w:val="1"/>
                <w:color w:val="004987"/>
                <w:w w:val="99"/>
              </w:rPr>
              <w:t>Under Equity Incentive Plan Awards</w:t>
            </w: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2280" w:type="dxa"/>
            <w:vAlign w:val="bottom"/>
            <w:tcBorders>
              <w:bottom w:val="single" w:sz="8" w:color="004987"/>
            </w:tcBorders>
            <w:gridSpan w:val="3"/>
            <w:vMerge w:val="continue"/>
          </w:tcPr>
          <w:p>
            <w:pPr>
              <w:spacing w:after="0"/>
              <w:rPr>
                <w:sz w:val="8"/>
                <w:szCs w:val="8"/>
                <w:color w:val="auto"/>
              </w:rPr>
            </w:pPr>
          </w:p>
        </w:tc>
        <w:tc>
          <w:tcPr>
            <w:tcW w:w="260" w:type="dxa"/>
            <w:vAlign w:val="bottom"/>
            <w:vMerge w:val="restart"/>
          </w:tcPr>
          <w:p>
            <w:pPr>
              <w:spacing w:after="0"/>
              <w:rPr>
                <w:sz w:val="8"/>
                <w:szCs w:val="8"/>
                <w:color w:val="auto"/>
              </w:rPr>
            </w:pPr>
          </w:p>
        </w:tc>
        <w:tc>
          <w:tcPr>
            <w:tcW w:w="2380" w:type="dxa"/>
            <w:vAlign w:val="bottom"/>
            <w:tcBorders>
              <w:bottom w:val="single" w:sz="8" w:color="004987"/>
            </w:tcBorders>
            <w:gridSpan w:val="3"/>
            <w:vMerge w:val="continue"/>
          </w:tcPr>
          <w:p>
            <w:pPr>
              <w:spacing w:after="0"/>
              <w:rPr>
                <w:sz w:val="8"/>
                <w:szCs w:val="8"/>
                <w:color w:val="auto"/>
              </w:rPr>
            </w:pPr>
          </w:p>
        </w:tc>
        <w:tc>
          <w:tcPr>
            <w:tcW w:w="78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004987"/>
                <w:w w:val="97"/>
              </w:rPr>
              <w:t>of Shares</w:t>
            </w:r>
          </w:p>
        </w:tc>
        <w:tc>
          <w:tcPr>
            <w:tcW w:w="82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004987"/>
                <w:w w:val="97"/>
              </w:rPr>
              <w:t>lying</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004987"/>
                <w:w w:val="97"/>
              </w:rPr>
              <w:t>Exercise</w:t>
            </w:r>
          </w:p>
        </w:tc>
        <w:tc>
          <w:tcPr>
            <w:tcW w:w="620" w:type="dxa"/>
            <w:vAlign w:val="bottom"/>
            <w:vMerge w:val="restart"/>
          </w:tcPr>
          <w:p>
            <w:pPr>
              <w:jc w:val="center"/>
              <w:ind w:left="45"/>
              <w:spacing w:after="0" w:line="141" w:lineRule="exact"/>
              <w:rPr>
                <w:sz w:val="20"/>
                <w:szCs w:val="20"/>
                <w:color w:val="auto"/>
              </w:rPr>
            </w:pPr>
            <w:r>
              <w:rPr>
                <w:rFonts w:ascii="Arial" w:cs="Arial" w:eastAsia="Arial" w:hAnsi="Arial"/>
                <w:sz w:val="14"/>
                <w:szCs w:val="14"/>
                <w:b w:val="1"/>
                <w:bCs w:val="1"/>
                <w:color w:val="004987"/>
              </w:rPr>
              <w:t>Stock a</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80" w:type="dxa"/>
            <w:vAlign w:val="bottom"/>
          </w:tcPr>
          <w:p>
            <w:pPr>
              <w:spacing w:after="0"/>
              <w:rPr>
                <w:sz w:val="13"/>
                <w:szCs w:val="13"/>
                <w:color w:val="auto"/>
              </w:rPr>
            </w:pPr>
          </w:p>
        </w:tc>
        <w:tc>
          <w:tcPr>
            <w:tcW w:w="920" w:type="dxa"/>
            <w:vAlign w:val="bottom"/>
          </w:tcPr>
          <w:p>
            <w:pPr>
              <w:jc w:val="right"/>
              <w:ind w:right="244"/>
              <w:spacing w:after="0" w:line="154" w:lineRule="exact"/>
              <w:rPr>
                <w:sz w:val="20"/>
                <w:szCs w:val="20"/>
                <w:color w:val="auto"/>
              </w:rPr>
            </w:pPr>
            <w:r>
              <w:rPr>
                <w:rFonts w:ascii="Arial" w:cs="Arial" w:eastAsia="Arial" w:hAnsi="Arial"/>
                <w:sz w:val="14"/>
                <w:szCs w:val="14"/>
                <w:b w:val="1"/>
                <w:bCs w:val="1"/>
                <w:color w:val="004987"/>
              </w:rPr>
              <w:t>Grant</w:t>
            </w:r>
          </w:p>
        </w:tc>
        <w:tc>
          <w:tcPr>
            <w:tcW w:w="900" w:type="dxa"/>
            <w:vAlign w:val="bottom"/>
          </w:tcPr>
          <w:p>
            <w:pPr>
              <w:jc w:val="right"/>
              <w:ind w:right="84"/>
              <w:spacing w:after="0" w:line="154" w:lineRule="exact"/>
              <w:rPr>
                <w:sz w:val="20"/>
                <w:szCs w:val="20"/>
                <w:color w:val="auto"/>
              </w:rPr>
            </w:pPr>
            <w:r>
              <w:rPr>
                <w:rFonts w:ascii="Arial" w:cs="Arial" w:eastAsia="Arial" w:hAnsi="Arial"/>
                <w:sz w:val="14"/>
                <w:szCs w:val="14"/>
                <w:b w:val="1"/>
                <w:bCs w:val="1"/>
                <w:color w:val="004987"/>
              </w:rPr>
              <w:t>Approval</w:t>
            </w:r>
          </w:p>
        </w:tc>
        <w:tc>
          <w:tcPr>
            <w:tcW w:w="6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4"/>
                <w:szCs w:val="14"/>
                <w:b w:val="1"/>
                <w:bCs w:val="1"/>
                <w:color w:val="004987"/>
                <w:w w:val="94"/>
              </w:rPr>
              <w:t>Threshold</w:t>
            </w:r>
          </w:p>
        </w:tc>
        <w:tc>
          <w:tcPr>
            <w:tcW w:w="8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3"/>
              </w:rPr>
              <w:t>Target</w:t>
            </w:r>
          </w:p>
        </w:tc>
        <w:tc>
          <w:tcPr>
            <w:tcW w:w="94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004987"/>
                <w:w w:val="99"/>
              </w:rPr>
              <w:t>Maximum</w:t>
            </w:r>
          </w:p>
        </w:tc>
        <w:tc>
          <w:tcPr>
            <w:tcW w:w="880" w:type="dxa"/>
            <w:vAlign w:val="bottom"/>
          </w:tcPr>
          <w:p>
            <w:pPr>
              <w:ind w:left="60"/>
              <w:spacing w:after="0" w:line="154" w:lineRule="exact"/>
              <w:rPr>
                <w:sz w:val="20"/>
                <w:szCs w:val="20"/>
                <w:color w:val="auto"/>
              </w:rPr>
            </w:pPr>
            <w:r>
              <w:rPr>
                <w:rFonts w:ascii="Arial" w:cs="Arial" w:eastAsia="Arial" w:hAnsi="Arial"/>
                <w:sz w:val="14"/>
                <w:szCs w:val="14"/>
                <w:b w:val="1"/>
                <w:bCs w:val="1"/>
                <w:color w:val="004987"/>
              </w:rPr>
              <w:t>Threshold</w:t>
            </w:r>
          </w:p>
        </w:tc>
        <w:tc>
          <w:tcPr>
            <w:tcW w:w="680" w:type="dxa"/>
            <w:vAlign w:val="bottom"/>
          </w:tcPr>
          <w:p>
            <w:pPr>
              <w:jc w:val="center"/>
              <w:ind w:right="24"/>
              <w:spacing w:after="0" w:line="154" w:lineRule="exact"/>
              <w:rPr>
                <w:sz w:val="20"/>
                <w:szCs w:val="20"/>
                <w:color w:val="auto"/>
              </w:rPr>
            </w:pPr>
            <w:r>
              <w:rPr>
                <w:rFonts w:ascii="Arial" w:cs="Arial" w:eastAsia="Arial" w:hAnsi="Arial"/>
                <w:sz w:val="14"/>
                <w:szCs w:val="14"/>
                <w:b w:val="1"/>
                <w:bCs w:val="1"/>
                <w:color w:val="004987"/>
                <w:w w:val="98"/>
              </w:rPr>
              <w:t>Target</w:t>
            </w:r>
          </w:p>
        </w:tc>
        <w:tc>
          <w:tcPr>
            <w:tcW w:w="820" w:type="dxa"/>
            <w:vAlign w:val="bottom"/>
          </w:tcPr>
          <w:p>
            <w:pPr>
              <w:ind w:left="100"/>
              <w:spacing w:after="0" w:line="154" w:lineRule="exact"/>
              <w:rPr>
                <w:sz w:val="20"/>
                <w:szCs w:val="20"/>
                <w:color w:val="auto"/>
              </w:rPr>
            </w:pPr>
            <w:r>
              <w:rPr>
                <w:rFonts w:ascii="Arial" w:cs="Arial" w:eastAsia="Arial" w:hAnsi="Arial"/>
                <w:sz w:val="14"/>
                <w:szCs w:val="14"/>
                <w:b w:val="1"/>
                <w:bCs w:val="1"/>
                <w:color w:val="004987"/>
              </w:rPr>
              <w:t>Maximum</w:t>
            </w:r>
          </w:p>
        </w:tc>
        <w:tc>
          <w:tcPr>
            <w:tcW w:w="7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of Stock</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8"/>
              </w:rPr>
              <w:t>Options/</w:t>
            </w:r>
          </w:p>
        </w:tc>
        <w:tc>
          <w:tcPr>
            <w:tcW w:w="7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or Base</w:t>
            </w:r>
          </w:p>
        </w:tc>
        <w:tc>
          <w:tcPr>
            <w:tcW w:w="6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89"/>
              </w:rPr>
              <w:t>Option/ S</w:t>
            </w:r>
          </w:p>
        </w:tc>
        <w:tc>
          <w:tcPr>
            <w:tcW w:w="0" w:type="dxa"/>
            <w:vAlign w:val="bottom"/>
          </w:tcPr>
          <w:p>
            <w:pPr>
              <w:spacing w:after="0"/>
              <w:rPr>
                <w:sz w:val="1"/>
                <w:szCs w:val="1"/>
                <w:color w:val="auto"/>
              </w:rPr>
            </w:pPr>
          </w:p>
        </w:tc>
      </w:tr>
      <w:tr>
        <w:trPr>
          <w:trHeight w:val="182"/>
        </w:trPr>
        <w:tc>
          <w:tcPr>
            <w:tcW w:w="1180" w:type="dxa"/>
            <w:vAlign w:val="bottom"/>
            <w:tcBorders>
              <w:bottom w:val="single" w:sz="8" w:color="004987"/>
            </w:tcBorders>
          </w:tcPr>
          <w:p>
            <w:pPr>
              <w:spacing w:after="0" w:line="176" w:lineRule="exact"/>
              <w:rPr>
                <w:sz w:val="20"/>
                <w:szCs w:val="20"/>
                <w:color w:val="auto"/>
              </w:rPr>
            </w:pPr>
            <w:r>
              <w:rPr>
                <w:rFonts w:ascii="Arial" w:cs="Arial" w:eastAsia="Arial" w:hAnsi="Arial"/>
                <w:sz w:val="12"/>
                <w:szCs w:val="12"/>
                <w:b w:val="1"/>
                <w:bCs w:val="1"/>
                <w:color w:val="004987"/>
              </w:rPr>
              <w:t>Award Type</w:t>
            </w:r>
            <w:r>
              <w:rPr>
                <w:rFonts w:ascii="Arial" w:cs="Arial" w:eastAsia="Arial" w:hAnsi="Arial"/>
                <w:sz w:val="20"/>
                <w:szCs w:val="20"/>
                <w:color w:val="004987"/>
                <w:vertAlign w:val="superscript"/>
              </w:rPr>
              <w:t>1</w:t>
            </w:r>
          </w:p>
        </w:tc>
        <w:tc>
          <w:tcPr>
            <w:tcW w:w="920" w:type="dxa"/>
            <w:vAlign w:val="bottom"/>
            <w:tcBorders>
              <w:bottom w:val="single" w:sz="8" w:color="004987"/>
            </w:tcBorders>
          </w:tcPr>
          <w:p>
            <w:pPr>
              <w:jc w:val="right"/>
              <w:ind w:right="244"/>
              <w:spacing w:after="0" w:line="176" w:lineRule="exact"/>
              <w:rPr>
                <w:sz w:val="20"/>
                <w:szCs w:val="20"/>
                <w:color w:val="auto"/>
              </w:rPr>
            </w:pPr>
            <w:r>
              <w:rPr>
                <w:rFonts w:ascii="Arial" w:cs="Arial" w:eastAsia="Arial" w:hAnsi="Arial"/>
                <w:sz w:val="12"/>
                <w:szCs w:val="12"/>
                <w:b w:val="1"/>
                <w:bCs w:val="1"/>
                <w:color w:val="004987"/>
              </w:rPr>
              <w:t>Date</w:t>
            </w:r>
            <w:r>
              <w:rPr>
                <w:rFonts w:ascii="Arial" w:cs="Arial" w:eastAsia="Arial" w:hAnsi="Arial"/>
                <w:sz w:val="20"/>
                <w:szCs w:val="20"/>
                <w:color w:val="004987"/>
                <w:vertAlign w:val="superscript"/>
              </w:rPr>
              <w:t>2</w:t>
            </w:r>
          </w:p>
        </w:tc>
        <w:tc>
          <w:tcPr>
            <w:tcW w:w="900" w:type="dxa"/>
            <w:vAlign w:val="bottom"/>
            <w:tcBorders>
              <w:bottom w:val="single" w:sz="8" w:color="004987"/>
            </w:tcBorders>
          </w:tcPr>
          <w:p>
            <w:pPr>
              <w:jc w:val="right"/>
              <w:ind w:right="204"/>
              <w:spacing w:after="0" w:line="176" w:lineRule="exact"/>
              <w:rPr>
                <w:sz w:val="20"/>
                <w:szCs w:val="20"/>
                <w:color w:val="auto"/>
              </w:rPr>
            </w:pPr>
            <w:r>
              <w:rPr>
                <w:rFonts w:ascii="Arial" w:cs="Arial" w:eastAsia="Arial" w:hAnsi="Arial"/>
                <w:sz w:val="12"/>
                <w:szCs w:val="12"/>
                <w:b w:val="1"/>
                <w:bCs w:val="1"/>
                <w:color w:val="004987"/>
              </w:rPr>
              <w:t>Date</w:t>
            </w:r>
            <w:r>
              <w:rPr>
                <w:rFonts w:ascii="Arial" w:cs="Arial" w:eastAsia="Arial" w:hAnsi="Arial"/>
                <w:sz w:val="20"/>
                <w:szCs w:val="20"/>
                <w:color w:val="004987"/>
                <w:vertAlign w:val="superscript"/>
              </w:rPr>
              <w:t>2</w:t>
            </w:r>
          </w:p>
        </w:tc>
        <w:tc>
          <w:tcPr>
            <w:tcW w:w="780" w:type="dxa"/>
            <w:vAlign w:val="bottom"/>
            <w:tcBorders>
              <w:bottom w:val="single" w:sz="8" w:color="004987"/>
            </w:tcBorders>
            <w:gridSpan w:val="2"/>
          </w:tcPr>
          <w:p>
            <w:pPr>
              <w:jc w:val="right"/>
              <w:ind w:right="285"/>
              <w:spacing w:after="0"/>
              <w:rPr>
                <w:sz w:val="20"/>
                <w:szCs w:val="20"/>
                <w:color w:val="auto"/>
              </w:rPr>
            </w:pPr>
            <w:r>
              <w:rPr>
                <w:rFonts w:ascii="Arial" w:cs="Arial" w:eastAsia="Arial" w:hAnsi="Arial"/>
                <w:sz w:val="14"/>
                <w:szCs w:val="14"/>
                <w:b w:val="1"/>
                <w:bCs w:val="1"/>
                <w:color w:val="004987"/>
              </w:rPr>
              <w:t>$</w:t>
            </w:r>
          </w:p>
        </w:tc>
        <w:tc>
          <w:tcPr>
            <w:tcW w:w="8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rPr>
              <w:t>$</w:t>
            </w:r>
          </w:p>
        </w:tc>
        <w:tc>
          <w:tcPr>
            <w:tcW w:w="680" w:type="dxa"/>
            <w:vAlign w:val="bottom"/>
            <w:tcBorders>
              <w:bottom w:val="single" w:sz="8" w:color="004987"/>
            </w:tcBorders>
          </w:tcPr>
          <w:p>
            <w:pPr>
              <w:jc w:val="right"/>
              <w:ind w:right="124"/>
              <w:spacing w:after="0"/>
              <w:rPr>
                <w:sz w:val="20"/>
                <w:szCs w:val="20"/>
                <w:color w:val="auto"/>
              </w:rPr>
            </w:pPr>
            <w:r>
              <w:rPr>
                <w:rFonts w:ascii="Arial" w:cs="Arial" w:eastAsia="Arial" w:hAnsi="Arial"/>
                <w:sz w:val="14"/>
                <w:szCs w:val="14"/>
                <w:b w:val="1"/>
                <w:bCs w:val="1"/>
                <w:color w:val="004987"/>
              </w:rPr>
              <w:t>$</w:t>
            </w:r>
          </w:p>
        </w:tc>
        <w:tc>
          <w:tcPr>
            <w:tcW w:w="260" w:type="dxa"/>
            <w:vAlign w:val="bottom"/>
            <w:tcBorders>
              <w:bottom w:val="single" w:sz="8" w:color="004987"/>
            </w:tcBorders>
          </w:tcPr>
          <w:p>
            <w:pPr>
              <w:spacing w:after="0"/>
              <w:rPr>
                <w:sz w:val="15"/>
                <w:szCs w:val="15"/>
                <w:color w:val="auto"/>
              </w:rPr>
            </w:pPr>
          </w:p>
        </w:tc>
        <w:tc>
          <w:tcPr>
            <w:tcW w:w="880" w:type="dxa"/>
            <w:vAlign w:val="bottom"/>
            <w:tcBorders>
              <w:bottom w:val="single" w:sz="8" w:color="004987"/>
            </w:tcBorders>
          </w:tcPr>
          <w:p>
            <w:pPr>
              <w:ind w:left="360"/>
              <w:spacing w:after="0"/>
              <w:rPr>
                <w:sz w:val="20"/>
                <w:szCs w:val="20"/>
                <w:color w:val="auto"/>
              </w:rPr>
            </w:pPr>
            <w:r>
              <w:rPr>
                <w:rFonts w:ascii="Arial" w:cs="Arial" w:eastAsia="Arial" w:hAnsi="Arial"/>
                <w:sz w:val="14"/>
                <w:szCs w:val="14"/>
                <w:b w:val="1"/>
                <w:bCs w:val="1"/>
                <w:color w:val="004987"/>
              </w:rPr>
              <w:t>#</w:t>
            </w:r>
          </w:p>
        </w:tc>
        <w:tc>
          <w:tcPr>
            <w:tcW w:w="680" w:type="dxa"/>
            <w:vAlign w:val="bottom"/>
            <w:tcBorders>
              <w:bottom w:val="single" w:sz="8" w:color="004987"/>
            </w:tcBorders>
          </w:tcPr>
          <w:p>
            <w:pPr>
              <w:jc w:val="center"/>
              <w:ind w:right="24"/>
              <w:spacing w:after="0"/>
              <w:rPr>
                <w:sz w:val="20"/>
                <w:szCs w:val="20"/>
                <w:color w:val="auto"/>
              </w:rPr>
            </w:pPr>
            <w:r>
              <w:rPr>
                <w:rFonts w:ascii="Arial" w:cs="Arial" w:eastAsia="Arial" w:hAnsi="Arial"/>
                <w:sz w:val="14"/>
                <w:szCs w:val="14"/>
                <w:b w:val="1"/>
                <w:bCs w:val="1"/>
                <w:color w:val="004987"/>
                <w:w w:val="76"/>
              </w:rPr>
              <w:t>#</w:t>
            </w:r>
          </w:p>
        </w:tc>
        <w:tc>
          <w:tcPr>
            <w:tcW w:w="820" w:type="dxa"/>
            <w:vAlign w:val="bottom"/>
            <w:tcBorders>
              <w:bottom w:val="single" w:sz="8" w:color="004987"/>
            </w:tcBorders>
          </w:tcPr>
          <w:p>
            <w:pPr>
              <w:ind w:left="380"/>
              <w:spacing w:after="0"/>
              <w:rPr>
                <w:sz w:val="20"/>
                <w:szCs w:val="20"/>
                <w:color w:val="auto"/>
              </w:rPr>
            </w:pPr>
            <w:r>
              <w:rPr>
                <w:rFonts w:ascii="Arial" w:cs="Arial" w:eastAsia="Arial" w:hAnsi="Arial"/>
                <w:sz w:val="14"/>
                <w:szCs w:val="14"/>
                <w:b w:val="1"/>
                <w:bCs w:val="1"/>
                <w:color w:val="004987"/>
              </w:rPr>
              <w:t>#</w:t>
            </w:r>
          </w:p>
        </w:tc>
        <w:tc>
          <w:tcPr>
            <w:tcW w:w="7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or Units</w:t>
            </w:r>
          </w:p>
        </w:tc>
        <w:tc>
          <w:tcPr>
            <w:tcW w:w="8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6"/>
              </w:rPr>
              <w:t>SARs</w:t>
            </w:r>
          </w:p>
        </w:tc>
        <w:tc>
          <w:tcPr>
            <w:tcW w:w="740" w:type="dxa"/>
            <w:vAlign w:val="bottom"/>
            <w:tcBorders>
              <w:bottom w:val="single" w:sz="8" w:color="004987"/>
            </w:tcBorders>
          </w:tcPr>
          <w:p>
            <w:pPr>
              <w:jc w:val="center"/>
              <w:spacing w:after="0" w:line="176" w:lineRule="exact"/>
              <w:rPr>
                <w:sz w:val="20"/>
                <w:szCs w:val="20"/>
                <w:color w:val="auto"/>
              </w:rPr>
            </w:pPr>
            <w:r>
              <w:rPr>
                <w:rFonts w:ascii="Arial" w:cs="Arial" w:eastAsia="Arial" w:hAnsi="Arial"/>
                <w:sz w:val="12"/>
                <w:szCs w:val="12"/>
                <w:b w:val="1"/>
                <w:bCs w:val="1"/>
                <w:color w:val="004987"/>
              </w:rPr>
              <w:t>Price</w:t>
            </w:r>
            <w:r>
              <w:rPr>
                <w:rFonts w:ascii="Arial" w:cs="Arial" w:eastAsia="Arial" w:hAnsi="Arial"/>
                <w:sz w:val="20"/>
                <w:szCs w:val="20"/>
                <w:color w:val="004987"/>
                <w:vertAlign w:val="superscript"/>
              </w:rPr>
              <w:t>4</w:t>
            </w:r>
          </w:p>
        </w:tc>
        <w:tc>
          <w:tcPr>
            <w:tcW w:w="620" w:type="dxa"/>
            <w:vAlign w:val="bottom"/>
            <w:tcBorders>
              <w:bottom w:val="single" w:sz="8" w:color="004987"/>
            </w:tcBorders>
          </w:tcPr>
          <w:p>
            <w:pPr>
              <w:jc w:val="center"/>
              <w:ind w:left="85"/>
              <w:spacing w:after="0"/>
              <w:rPr>
                <w:sz w:val="20"/>
                <w:szCs w:val="20"/>
                <w:color w:val="auto"/>
              </w:rPr>
            </w:pPr>
            <w:r>
              <w:rPr>
                <w:rFonts w:ascii="Arial" w:cs="Arial" w:eastAsia="Arial" w:hAnsi="Arial"/>
                <w:sz w:val="14"/>
                <w:szCs w:val="14"/>
                <w:b w:val="1"/>
                <w:bCs w:val="1"/>
                <w:color w:val="004987"/>
                <w:w w:val="98"/>
              </w:rPr>
              <w:t>Award</w:t>
            </w:r>
          </w:p>
        </w:tc>
        <w:tc>
          <w:tcPr>
            <w:tcW w:w="0" w:type="dxa"/>
            <w:vAlign w:val="bottom"/>
          </w:tcPr>
          <w:p>
            <w:pPr>
              <w:spacing w:after="0"/>
              <w:rPr>
                <w:sz w:val="1"/>
                <w:szCs w:val="1"/>
                <w:color w:val="auto"/>
              </w:rPr>
            </w:pPr>
          </w:p>
        </w:tc>
      </w:tr>
      <w:tr>
        <w:trPr>
          <w:trHeight w:val="167"/>
        </w:trPr>
        <w:tc>
          <w:tcPr>
            <w:tcW w:w="1180" w:type="dxa"/>
            <w:vAlign w:val="bottom"/>
          </w:tcPr>
          <w:p>
            <w:pPr>
              <w:spacing w:after="0" w:line="167" w:lineRule="exact"/>
              <w:rPr>
                <w:sz w:val="20"/>
                <w:szCs w:val="20"/>
                <w:color w:val="auto"/>
              </w:rPr>
            </w:pPr>
            <w:r>
              <w:rPr>
                <w:rFonts w:ascii="Arial" w:cs="Arial" w:eastAsia="Arial" w:hAnsi="Arial"/>
                <w:sz w:val="15"/>
                <w:szCs w:val="15"/>
                <w:b w:val="1"/>
                <w:bCs w:val="1"/>
                <w:color w:val="004987"/>
              </w:rPr>
              <w:t>S. Weisz</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Bonus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680" w:type="dxa"/>
            <w:vAlign w:val="bottom"/>
            <w:gridSpan w:val="3"/>
          </w:tcPr>
          <w:p>
            <w:pPr>
              <w:jc w:val="right"/>
              <w:spacing w:after="0"/>
              <w:rPr>
                <w:sz w:val="20"/>
                <w:szCs w:val="20"/>
                <w:color w:val="auto"/>
              </w:rPr>
            </w:pPr>
            <w:r>
              <w:rPr>
                <w:rFonts w:ascii="Arial" w:cs="Arial" w:eastAsia="Arial" w:hAnsi="Arial"/>
                <w:sz w:val="15"/>
                <w:szCs w:val="15"/>
                <w:color w:val="auto"/>
              </w:rPr>
              <w:t>— $ 375,000</w:t>
            </w:r>
          </w:p>
        </w:tc>
        <w:tc>
          <w:tcPr>
            <w:tcW w:w="880" w:type="dxa"/>
            <w:vAlign w:val="bottom"/>
          </w:tcPr>
          <w:p>
            <w:pPr>
              <w:jc w:val="right"/>
              <w:spacing w:after="0"/>
              <w:rPr>
                <w:sz w:val="20"/>
                <w:szCs w:val="20"/>
                <w:color w:val="auto"/>
              </w:rPr>
            </w:pPr>
            <w:r>
              <w:rPr>
                <w:rFonts w:ascii="Arial" w:cs="Arial" w:eastAsia="Arial" w:hAnsi="Arial"/>
                <w:sz w:val="15"/>
                <w:szCs w:val="15"/>
                <w:color w:val="auto"/>
              </w:rPr>
              <w:t>$1,500,000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$3,000,000</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180" w:type="dxa"/>
            <w:vAlign w:val="bottom"/>
            <w:gridSpan w:val="3"/>
          </w:tcPr>
          <w:p>
            <w:pPr>
              <w:jc w:val="center"/>
              <w:ind w:left="47"/>
              <w:spacing w:after="0"/>
              <w:rPr>
                <w:sz w:val="20"/>
                <w:szCs w:val="20"/>
                <w:color w:val="auto"/>
              </w:rPr>
            </w:pPr>
            <w:r>
              <w:rPr>
                <w:rFonts w:ascii="Arial" w:cs="Arial" w:eastAsia="Arial" w:hAnsi="Arial"/>
                <w:sz w:val="15"/>
                <w:szCs w:val="15"/>
                <w:color w:val="auto"/>
              </w:rPr>
              <w:t>— $— $</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Performance</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12/9/2021</w:t>
            </w:r>
          </w:p>
        </w:tc>
        <w:tc>
          <w:tcPr>
            <w:tcW w:w="900" w:type="dxa"/>
            <w:vAlign w:val="bottom"/>
          </w:tcPr>
          <w:p>
            <w:pPr>
              <w:jc w:val="right"/>
              <w:spacing w:after="0"/>
              <w:rPr>
                <w:sz w:val="20"/>
                <w:szCs w:val="20"/>
                <w:color w:val="auto"/>
              </w:rPr>
            </w:pPr>
            <w:r>
              <w:rPr>
                <w:rFonts w:ascii="Arial" w:cs="Arial" w:eastAsia="Arial" w:hAnsi="Arial"/>
                <w:sz w:val="15"/>
                <w:szCs w:val="15"/>
                <w:color w:val="auto"/>
              </w:rPr>
              <w:t>12/9/2021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6,578</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1,032,</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38,919</w:t>
            </w:r>
          </w:p>
        </w:tc>
        <w:tc>
          <w:tcPr>
            <w:tcW w:w="740" w:type="dxa"/>
            <w:vAlign w:val="bottom"/>
          </w:tcPr>
          <w:p>
            <w:pPr>
              <w:jc w:val="right"/>
              <w:spacing w:after="0"/>
              <w:rPr>
                <w:sz w:val="20"/>
                <w:szCs w:val="20"/>
                <w:color w:val="auto"/>
              </w:rPr>
            </w:pPr>
            <w:r>
              <w:rPr>
                <w:rFonts w:ascii="Arial" w:cs="Arial" w:eastAsia="Arial" w:hAnsi="Arial"/>
                <w:sz w:val="15"/>
                <w:szCs w:val="15"/>
                <w:color w:val="auto"/>
              </w:rPr>
              <w:t>173.875</w:t>
            </w:r>
          </w:p>
        </w:tc>
        <w:tc>
          <w:tcPr>
            <w:tcW w:w="620" w:type="dxa"/>
            <w:vAlign w:val="bottom"/>
          </w:tcPr>
          <w:p>
            <w:pPr>
              <w:jc w:val="right"/>
              <w:spacing w:after="0"/>
              <w:rPr>
                <w:sz w:val="20"/>
                <w:szCs w:val="20"/>
                <w:color w:val="auto"/>
              </w:rPr>
            </w:pPr>
            <w:r>
              <w:rPr>
                <w:rFonts w:ascii="Arial" w:cs="Arial" w:eastAsia="Arial" w:hAnsi="Arial"/>
                <w:sz w:val="15"/>
                <w:szCs w:val="15"/>
                <w:color w:val="auto"/>
              </w:rPr>
              <w:t>2,750,</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16,256</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2,750,</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RSUs</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12/15/2021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12/10/2021</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18,865</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2,750,</w:t>
            </w:r>
          </w:p>
        </w:tc>
        <w:tc>
          <w:tcPr>
            <w:tcW w:w="0" w:type="dxa"/>
            <w:vAlign w:val="bottom"/>
          </w:tcPr>
          <w:p>
            <w:pPr>
              <w:spacing w:after="0"/>
              <w:rPr>
                <w:sz w:val="1"/>
                <w:szCs w:val="1"/>
                <w:color w:val="auto"/>
              </w:rPr>
            </w:pPr>
          </w:p>
        </w:tc>
      </w:tr>
      <w:tr>
        <w:trPr>
          <w:trHeight w:val="160"/>
        </w:trPr>
        <w:tc>
          <w:tcPr>
            <w:tcW w:w="1180" w:type="dxa"/>
            <w:vAlign w:val="bottom"/>
          </w:tcPr>
          <w:p>
            <w:pPr>
              <w:spacing w:after="0" w:line="160" w:lineRule="exact"/>
              <w:rPr>
                <w:sz w:val="20"/>
                <w:szCs w:val="20"/>
                <w:color w:val="auto"/>
              </w:rPr>
            </w:pPr>
            <w:r>
              <w:rPr>
                <w:rFonts w:ascii="Arial" w:cs="Arial" w:eastAsia="Arial" w:hAnsi="Arial"/>
                <w:sz w:val="15"/>
                <w:szCs w:val="15"/>
                <w:b w:val="1"/>
                <w:bCs w:val="1"/>
                <w:color w:val="004987"/>
              </w:rPr>
              <w:t>J. Geller</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Bonus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168,750</w:t>
            </w:r>
          </w:p>
        </w:tc>
        <w:tc>
          <w:tcPr>
            <w:tcW w:w="880" w:type="dxa"/>
            <w:vAlign w:val="bottom"/>
          </w:tcPr>
          <w:p>
            <w:pPr>
              <w:jc w:val="right"/>
              <w:spacing w:after="0"/>
              <w:rPr>
                <w:sz w:val="20"/>
                <w:szCs w:val="20"/>
                <w:color w:val="auto"/>
              </w:rPr>
            </w:pPr>
            <w:r>
              <w:rPr>
                <w:rFonts w:ascii="Arial" w:cs="Arial" w:eastAsia="Arial" w:hAnsi="Arial"/>
                <w:sz w:val="15"/>
                <w:szCs w:val="15"/>
                <w:color w:val="auto"/>
              </w:rPr>
              <w:t>675,000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1,350,000</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Performance</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12/9/2021</w:t>
            </w:r>
          </w:p>
        </w:tc>
        <w:tc>
          <w:tcPr>
            <w:tcW w:w="900" w:type="dxa"/>
            <w:vAlign w:val="bottom"/>
          </w:tcPr>
          <w:p>
            <w:pPr>
              <w:jc w:val="right"/>
              <w:spacing w:after="0"/>
              <w:rPr>
                <w:sz w:val="20"/>
                <w:szCs w:val="20"/>
                <w:color w:val="auto"/>
              </w:rPr>
            </w:pPr>
            <w:r>
              <w:rPr>
                <w:rFonts w:ascii="Arial" w:cs="Arial" w:eastAsia="Arial" w:hAnsi="Arial"/>
                <w:sz w:val="15"/>
                <w:szCs w:val="15"/>
                <w:color w:val="auto"/>
              </w:rPr>
              <w:t>12/9/2021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2,350</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14,152</w:t>
            </w:r>
          </w:p>
        </w:tc>
        <w:tc>
          <w:tcPr>
            <w:tcW w:w="740" w:type="dxa"/>
            <w:vAlign w:val="bottom"/>
          </w:tcPr>
          <w:p>
            <w:pPr>
              <w:jc w:val="right"/>
              <w:spacing w:after="0"/>
              <w:rPr>
                <w:sz w:val="20"/>
                <w:szCs w:val="20"/>
                <w:color w:val="auto"/>
              </w:rPr>
            </w:pPr>
            <w:r>
              <w:rPr>
                <w:rFonts w:ascii="Arial" w:cs="Arial" w:eastAsia="Arial" w:hAnsi="Arial"/>
                <w:sz w:val="15"/>
                <w:szCs w:val="15"/>
                <w:color w:val="auto"/>
              </w:rPr>
              <w:t>173.875</w:t>
            </w:r>
          </w:p>
        </w:tc>
        <w:tc>
          <w:tcPr>
            <w:tcW w:w="620" w:type="dxa"/>
            <w:vAlign w:val="bottom"/>
          </w:tcPr>
          <w:p>
            <w:pPr>
              <w:jc w:val="right"/>
              <w:spacing w:after="0"/>
              <w:rPr>
                <w:sz w:val="20"/>
                <w:szCs w:val="20"/>
                <w:color w:val="auto"/>
              </w:rPr>
            </w:pPr>
            <w:r>
              <w:rPr>
                <w:rFonts w:ascii="Arial" w:cs="Arial" w:eastAsia="Arial" w:hAnsi="Arial"/>
                <w:sz w:val="15"/>
                <w:szCs w:val="15"/>
                <w:color w:val="auto"/>
              </w:rPr>
              <w:t>999,</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5,911</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999,</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RSUs</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12/15/2021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12/10/2021</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6,860</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57"/>
        </w:trPr>
        <w:tc>
          <w:tcPr>
            <w:tcW w:w="1180" w:type="dxa"/>
            <w:vAlign w:val="bottom"/>
          </w:tcPr>
          <w:p>
            <w:pPr>
              <w:spacing w:after="0" w:line="157" w:lineRule="exact"/>
              <w:rPr>
                <w:sz w:val="20"/>
                <w:szCs w:val="20"/>
                <w:color w:val="auto"/>
              </w:rPr>
            </w:pPr>
            <w:r>
              <w:rPr>
                <w:rFonts w:ascii="Arial" w:cs="Arial" w:eastAsia="Arial" w:hAnsi="Arial"/>
                <w:sz w:val="15"/>
                <w:szCs w:val="15"/>
                <w:b w:val="1"/>
                <w:bCs w:val="1"/>
                <w:color w:val="004987"/>
              </w:rPr>
              <w:t>A. Terry</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line="183" w:lineRule="exact"/>
              <w:rPr>
                <w:sz w:val="20"/>
                <w:szCs w:val="20"/>
                <w:color w:val="auto"/>
              </w:rPr>
            </w:pPr>
            <w:r>
              <w:rPr>
                <w:rFonts w:ascii="Arial" w:cs="Arial" w:eastAsia="Arial" w:hAnsi="Arial"/>
                <w:sz w:val="13"/>
                <w:szCs w:val="13"/>
                <w:color w:val="auto"/>
              </w:rPr>
              <w:t>Bonus</w:t>
            </w:r>
            <w:r>
              <w:rPr>
                <w:rFonts w:ascii="Arial" w:cs="Arial" w:eastAsia="Arial" w:hAnsi="Arial"/>
                <w:sz w:val="21"/>
                <w:szCs w:val="21"/>
                <w:color w:val="auto"/>
                <w:vertAlign w:val="superscript"/>
              </w:rPr>
              <w:t>6</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50,363</w:t>
            </w:r>
          </w:p>
        </w:tc>
        <w:tc>
          <w:tcPr>
            <w:tcW w:w="880" w:type="dxa"/>
            <w:vAlign w:val="bottom"/>
          </w:tcPr>
          <w:p>
            <w:pPr>
              <w:jc w:val="right"/>
              <w:spacing w:after="0"/>
              <w:rPr>
                <w:sz w:val="20"/>
                <w:szCs w:val="20"/>
                <w:color w:val="auto"/>
              </w:rPr>
            </w:pPr>
            <w:r>
              <w:rPr>
                <w:rFonts w:ascii="Arial" w:cs="Arial" w:eastAsia="Arial" w:hAnsi="Arial"/>
                <w:sz w:val="15"/>
                <w:szCs w:val="15"/>
                <w:color w:val="auto"/>
              </w:rPr>
              <w:t>201,427</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402,834</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Performance</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12/9/2021</w:t>
            </w:r>
          </w:p>
        </w:tc>
        <w:tc>
          <w:tcPr>
            <w:tcW w:w="900" w:type="dxa"/>
            <w:vAlign w:val="bottom"/>
          </w:tcPr>
          <w:p>
            <w:pPr>
              <w:jc w:val="right"/>
              <w:spacing w:after="0"/>
              <w:rPr>
                <w:sz w:val="20"/>
                <w:szCs w:val="20"/>
                <w:color w:val="auto"/>
              </w:rPr>
            </w:pPr>
            <w:r>
              <w:rPr>
                <w:rFonts w:ascii="Arial" w:cs="Arial" w:eastAsia="Arial" w:hAnsi="Arial"/>
                <w:sz w:val="15"/>
                <w:szCs w:val="15"/>
                <w:color w:val="auto"/>
              </w:rPr>
              <w:t>12/9/2021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272</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1,330</w:t>
            </w:r>
          </w:p>
        </w:tc>
        <w:tc>
          <w:tcPr>
            <w:tcW w:w="740" w:type="dxa"/>
            <w:vAlign w:val="bottom"/>
          </w:tcPr>
          <w:p>
            <w:pPr>
              <w:jc w:val="right"/>
              <w:spacing w:after="0"/>
              <w:rPr>
                <w:sz w:val="20"/>
                <w:szCs w:val="20"/>
                <w:color w:val="auto"/>
              </w:rPr>
            </w:pPr>
            <w:r>
              <w:rPr>
                <w:rFonts w:ascii="Arial" w:cs="Arial" w:eastAsia="Arial" w:hAnsi="Arial"/>
                <w:sz w:val="15"/>
                <w:szCs w:val="15"/>
                <w:color w:val="auto"/>
              </w:rPr>
              <w:t>173.875</w:t>
            </w:r>
          </w:p>
        </w:tc>
        <w:tc>
          <w:tcPr>
            <w:tcW w:w="62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833</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11/16/2021</w:t>
            </w:r>
          </w:p>
        </w:tc>
        <w:tc>
          <w:tcPr>
            <w:tcW w:w="900" w:type="dxa"/>
            <w:vAlign w:val="bottom"/>
          </w:tcPr>
          <w:p>
            <w:pPr>
              <w:jc w:val="right"/>
              <w:spacing w:after="0"/>
              <w:rPr>
                <w:sz w:val="20"/>
                <w:szCs w:val="20"/>
                <w:color w:val="auto"/>
              </w:rPr>
            </w:pPr>
            <w:r>
              <w:rPr>
                <w:rFonts w:ascii="Arial" w:cs="Arial" w:eastAsia="Arial" w:hAnsi="Arial"/>
                <w:sz w:val="15"/>
                <w:szCs w:val="15"/>
                <w:color w:val="auto"/>
              </w:rPr>
              <w:t>10/12/2021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1,526</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RSUs</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12/15/2021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12/10/2021</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1,715</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60"/>
        </w:trPr>
        <w:tc>
          <w:tcPr>
            <w:tcW w:w="1180" w:type="dxa"/>
            <w:vAlign w:val="bottom"/>
          </w:tcPr>
          <w:p>
            <w:pPr>
              <w:spacing w:after="0" w:line="160" w:lineRule="exact"/>
              <w:rPr>
                <w:sz w:val="20"/>
                <w:szCs w:val="20"/>
                <w:color w:val="auto"/>
              </w:rPr>
            </w:pPr>
            <w:r>
              <w:rPr>
                <w:rFonts w:ascii="Arial" w:cs="Arial" w:eastAsia="Arial" w:hAnsi="Arial"/>
                <w:sz w:val="15"/>
                <w:szCs w:val="15"/>
                <w:b w:val="1"/>
                <w:bCs w:val="1"/>
                <w:color w:val="004987"/>
              </w:rPr>
              <w:t>R. Cunningham</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Bonus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114,750</w:t>
            </w:r>
          </w:p>
        </w:tc>
        <w:tc>
          <w:tcPr>
            <w:tcW w:w="880" w:type="dxa"/>
            <w:vAlign w:val="bottom"/>
          </w:tcPr>
          <w:p>
            <w:pPr>
              <w:jc w:val="right"/>
              <w:spacing w:after="0"/>
              <w:rPr>
                <w:sz w:val="20"/>
                <w:szCs w:val="20"/>
                <w:color w:val="auto"/>
              </w:rPr>
            </w:pPr>
            <w:r>
              <w:rPr>
                <w:rFonts w:ascii="Arial" w:cs="Arial" w:eastAsia="Arial" w:hAnsi="Arial"/>
                <w:sz w:val="15"/>
                <w:szCs w:val="15"/>
                <w:color w:val="auto"/>
              </w:rPr>
              <w:t>459,000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918,000</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Performance</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12/9/2021</w:t>
            </w:r>
          </w:p>
        </w:tc>
        <w:tc>
          <w:tcPr>
            <w:tcW w:w="900" w:type="dxa"/>
            <w:vAlign w:val="bottom"/>
          </w:tcPr>
          <w:p>
            <w:pPr>
              <w:jc w:val="right"/>
              <w:spacing w:after="0"/>
              <w:rPr>
                <w:sz w:val="20"/>
                <w:szCs w:val="20"/>
                <w:color w:val="auto"/>
              </w:rPr>
            </w:pPr>
            <w:r>
              <w:rPr>
                <w:rFonts w:ascii="Arial" w:cs="Arial" w:eastAsia="Arial" w:hAnsi="Arial"/>
                <w:sz w:val="15"/>
                <w:szCs w:val="15"/>
                <w:color w:val="auto"/>
              </w:rPr>
              <w:t>12/9/2021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1,409</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6,369</w:t>
            </w:r>
          </w:p>
        </w:tc>
        <w:tc>
          <w:tcPr>
            <w:tcW w:w="740" w:type="dxa"/>
            <w:vAlign w:val="bottom"/>
          </w:tcPr>
          <w:p>
            <w:pPr>
              <w:jc w:val="right"/>
              <w:spacing w:after="0"/>
              <w:rPr>
                <w:sz w:val="20"/>
                <w:szCs w:val="20"/>
                <w:color w:val="auto"/>
              </w:rPr>
            </w:pPr>
            <w:r>
              <w:rPr>
                <w:rFonts w:ascii="Arial" w:cs="Arial" w:eastAsia="Arial" w:hAnsi="Arial"/>
                <w:sz w:val="15"/>
                <w:szCs w:val="15"/>
                <w:color w:val="auto"/>
              </w:rPr>
              <w:t>173.875</w:t>
            </w:r>
          </w:p>
        </w:tc>
        <w:tc>
          <w:tcPr>
            <w:tcW w:w="620" w:type="dxa"/>
            <w:vAlign w:val="bottom"/>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2,660</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RSUs</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12/15/2021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12/10/2021</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3,087</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60"/>
        </w:trPr>
        <w:tc>
          <w:tcPr>
            <w:tcW w:w="1180" w:type="dxa"/>
            <w:vAlign w:val="bottom"/>
          </w:tcPr>
          <w:p>
            <w:pPr>
              <w:spacing w:after="0" w:line="160" w:lineRule="exact"/>
              <w:rPr>
                <w:sz w:val="20"/>
                <w:szCs w:val="20"/>
                <w:color w:val="auto"/>
              </w:rPr>
            </w:pPr>
            <w:r>
              <w:rPr>
                <w:rFonts w:ascii="Arial" w:cs="Arial" w:eastAsia="Arial" w:hAnsi="Arial"/>
                <w:sz w:val="15"/>
                <w:szCs w:val="15"/>
                <w:b w:val="1"/>
                <w:bCs w:val="1"/>
                <w:color w:val="004987"/>
              </w:rPr>
              <w:t>B. Miller</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Bonus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173,250</w:t>
            </w:r>
          </w:p>
        </w:tc>
        <w:tc>
          <w:tcPr>
            <w:tcW w:w="880" w:type="dxa"/>
            <w:vAlign w:val="bottom"/>
          </w:tcPr>
          <w:p>
            <w:pPr>
              <w:jc w:val="right"/>
              <w:spacing w:after="0"/>
              <w:rPr>
                <w:sz w:val="20"/>
                <w:szCs w:val="20"/>
                <w:color w:val="auto"/>
              </w:rPr>
            </w:pPr>
            <w:r>
              <w:rPr>
                <w:rFonts w:ascii="Arial" w:cs="Arial" w:eastAsia="Arial" w:hAnsi="Arial"/>
                <w:sz w:val="15"/>
                <w:szCs w:val="15"/>
                <w:color w:val="auto"/>
              </w:rPr>
              <w:t>693,000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1,386,000</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Performance</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12/9/2021</w:t>
            </w:r>
          </w:p>
        </w:tc>
        <w:tc>
          <w:tcPr>
            <w:tcW w:w="900" w:type="dxa"/>
            <w:vAlign w:val="bottom"/>
          </w:tcPr>
          <w:p>
            <w:pPr>
              <w:jc w:val="right"/>
              <w:spacing w:after="0"/>
              <w:rPr>
                <w:sz w:val="20"/>
                <w:szCs w:val="20"/>
                <w:color w:val="auto"/>
              </w:rPr>
            </w:pPr>
            <w:r>
              <w:rPr>
                <w:rFonts w:ascii="Arial" w:cs="Arial" w:eastAsia="Arial" w:hAnsi="Arial"/>
                <w:sz w:val="15"/>
                <w:szCs w:val="15"/>
                <w:color w:val="auto"/>
              </w:rPr>
              <w:t>12/9/2021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1,096</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7,784</w:t>
            </w:r>
          </w:p>
        </w:tc>
        <w:tc>
          <w:tcPr>
            <w:tcW w:w="740" w:type="dxa"/>
            <w:vAlign w:val="bottom"/>
          </w:tcPr>
          <w:p>
            <w:pPr>
              <w:jc w:val="right"/>
              <w:spacing w:after="0"/>
              <w:rPr>
                <w:sz w:val="20"/>
                <w:szCs w:val="20"/>
                <w:color w:val="auto"/>
              </w:rPr>
            </w:pPr>
            <w:r>
              <w:rPr>
                <w:rFonts w:ascii="Arial" w:cs="Arial" w:eastAsia="Arial" w:hAnsi="Arial"/>
                <w:sz w:val="15"/>
                <w:szCs w:val="15"/>
                <w:color w:val="auto"/>
              </w:rPr>
              <w:t>173.875</w:t>
            </w:r>
          </w:p>
        </w:tc>
        <w:tc>
          <w:tcPr>
            <w:tcW w:w="620" w:type="dxa"/>
            <w:vAlign w:val="bottom"/>
          </w:tcPr>
          <w:p>
            <w:pPr>
              <w:jc w:val="right"/>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3,251</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549,</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RSUs</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12/15/2021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12/10/2021</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3,773</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160"/>
        </w:trPr>
        <w:tc>
          <w:tcPr>
            <w:tcW w:w="1180" w:type="dxa"/>
            <w:vAlign w:val="bottom"/>
          </w:tcPr>
          <w:p>
            <w:pPr>
              <w:spacing w:after="0" w:line="160" w:lineRule="exact"/>
              <w:rPr>
                <w:sz w:val="20"/>
                <w:szCs w:val="20"/>
                <w:color w:val="auto"/>
              </w:rPr>
            </w:pPr>
            <w:r>
              <w:rPr>
                <w:rFonts w:ascii="Arial" w:cs="Arial" w:eastAsia="Arial" w:hAnsi="Arial"/>
                <w:sz w:val="15"/>
                <w:szCs w:val="15"/>
                <w:b w:val="1"/>
                <w:bCs w:val="1"/>
                <w:color w:val="004987"/>
              </w:rPr>
              <w:t>J. Marbert</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Bonus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118,125</w:t>
            </w:r>
          </w:p>
        </w:tc>
        <w:tc>
          <w:tcPr>
            <w:tcW w:w="880" w:type="dxa"/>
            <w:vAlign w:val="bottom"/>
          </w:tcPr>
          <w:p>
            <w:pPr>
              <w:jc w:val="right"/>
              <w:spacing w:after="0"/>
              <w:rPr>
                <w:sz w:val="20"/>
                <w:szCs w:val="20"/>
                <w:color w:val="auto"/>
              </w:rPr>
            </w:pPr>
            <w:r>
              <w:rPr>
                <w:rFonts w:ascii="Arial" w:cs="Arial" w:eastAsia="Arial" w:hAnsi="Arial"/>
                <w:sz w:val="15"/>
                <w:szCs w:val="15"/>
                <w:color w:val="auto"/>
              </w:rPr>
              <w:t>472,500</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945,000</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Performance</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12/9/2021</w:t>
            </w:r>
          </w:p>
        </w:tc>
        <w:tc>
          <w:tcPr>
            <w:tcW w:w="900" w:type="dxa"/>
            <w:vAlign w:val="bottom"/>
          </w:tcPr>
          <w:p>
            <w:pPr>
              <w:jc w:val="right"/>
              <w:spacing w:after="0"/>
              <w:rPr>
                <w:sz w:val="20"/>
                <w:szCs w:val="20"/>
                <w:color w:val="auto"/>
              </w:rPr>
            </w:pPr>
            <w:r>
              <w:rPr>
                <w:rFonts w:ascii="Arial" w:cs="Arial" w:eastAsia="Arial" w:hAnsi="Arial"/>
                <w:sz w:val="15"/>
                <w:szCs w:val="15"/>
                <w:color w:val="auto"/>
              </w:rPr>
              <w:t>12/9/2021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1,323</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7,076</w:t>
            </w:r>
          </w:p>
        </w:tc>
        <w:tc>
          <w:tcPr>
            <w:tcW w:w="740" w:type="dxa"/>
            <w:vAlign w:val="bottom"/>
          </w:tcPr>
          <w:p>
            <w:pPr>
              <w:jc w:val="right"/>
              <w:spacing w:after="0"/>
              <w:rPr>
                <w:sz w:val="20"/>
                <w:szCs w:val="20"/>
                <w:color w:val="auto"/>
              </w:rPr>
            </w:pPr>
            <w:r>
              <w:rPr>
                <w:rFonts w:ascii="Arial" w:cs="Arial" w:eastAsia="Arial" w:hAnsi="Arial"/>
                <w:sz w:val="15"/>
                <w:szCs w:val="15"/>
                <w:color w:val="auto"/>
              </w:rPr>
              <w:t>173.875</w:t>
            </w:r>
          </w:p>
        </w:tc>
        <w:tc>
          <w:tcPr>
            <w:tcW w:w="620" w:type="dxa"/>
            <w:vAlign w:val="bottom"/>
          </w:tcPr>
          <w:p>
            <w:pPr>
              <w:jc w:val="right"/>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20"/>
                <w:szCs w:val="20"/>
                <w:color w:val="auto"/>
              </w:rPr>
            </w:pPr>
            <w:r>
              <w:rPr>
                <w:rFonts w:ascii="Arial" w:cs="Arial" w:eastAsia="Arial" w:hAnsi="Arial"/>
                <w:sz w:val="15"/>
                <w:szCs w:val="15"/>
                <w:color w:val="auto"/>
              </w:rPr>
              <w:t>RSUs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3/1/2021</w:t>
            </w:r>
          </w:p>
        </w:tc>
        <w:tc>
          <w:tcPr>
            <w:tcW w:w="900" w:type="dxa"/>
            <w:vAlign w:val="bottom"/>
          </w:tcPr>
          <w:p>
            <w:pPr>
              <w:jc w:val="right"/>
              <w:spacing w:after="0"/>
              <w:rPr>
                <w:sz w:val="20"/>
                <w:szCs w:val="20"/>
                <w:color w:val="auto"/>
              </w:rPr>
            </w:pPr>
            <w:r>
              <w:rPr>
                <w:rFonts w:ascii="Arial" w:cs="Arial" w:eastAsia="Arial" w:hAnsi="Arial"/>
                <w:sz w:val="15"/>
                <w:szCs w:val="15"/>
                <w:color w:val="auto"/>
              </w:rPr>
              <w:t>2/18/2021</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Pr>
          <w:p>
            <w:pPr>
              <w:ind w:left="64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2,956</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RSUs</w:t>
            </w:r>
          </w:p>
        </w:tc>
        <w:tc>
          <w:tcPr>
            <w:tcW w:w="920" w:type="dxa"/>
            <w:vAlign w:val="bottom"/>
            <w:tcBorders>
              <w:bottom w:val="single" w:sz="8" w:color="004987"/>
            </w:tcBorders>
          </w:tcPr>
          <w:p>
            <w:pPr>
              <w:jc w:val="right"/>
              <w:ind w:right="4"/>
              <w:spacing w:after="0"/>
              <w:rPr>
                <w:sz w:val="20"/>
                <w:szCs w:val="20"/>
                <w:color w:val="auto"/>
              </w:rPr>
            </w:pPr>
            <w:r>
              <w:rPr>
                <w:rFonts w:ascii="Arial" w:cs="Arial" w:eastAsia="Arial" w:hAnsi="Arial"/>
                <w:sz w:val="15"/>
                <w:szCs w:val="15"/>
                <w:color w:val="auto"/>
              </w:rPr>
              <w:t>12/15/2021</w:t>
            </w:r>
          </w:p>
        </w:tc>
        <w:tc>
          <w:tcPr>
            <w:tcW w:w="90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12/10/2021</w:t>
            </w:r>
          </w:p>
        </w:tc>
        <w:tc>
          <w:tcPr>
            <w:tcW w:w="60" w:type="dxa"/>
            <w:vAlign w:val="bottom"/>
            <w:tcBorders>
              <w:bottom w:val="single" w:sz="8" w:color="004987"/>
            </w:tcBorders>
          </w:tcPr>
          <w:p>
            <w:pPr>
              <w:spacing w:after="0"/>
              <w:rPr>
                <w:sz w:val="16"/>
                <w:szCs w:val="16"/>
                <w:color w:val="auto"/>
              </w:rPr>
            </w:pPr>
          </w:p>
        </w:tc>
        <w:tc>
          <w:tcPr>
            <w:tcW w:w="72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004987"/>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004987"/>
            </w:tcBorders>
          </w:tcPr>
          <w:p>
            <w:pPr>
              <w:ind w:left="6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004987"/>
            </w:tcBorders>
          </w:tcPr>
          <w:p>
            <w:pPr>
              <w:ind w:left="660"/>
              <w:spacing w:after="0"/>
              <w:rPr>
                <w:sz w:val="20"/>
                <w:szCs w:val="20"/>
                <w:color w:val="auto"/>
              </w:rPr>
            </w:pPr>
            <w:r>
              <w:rPr>
                <w:rFonts w:ascii="Arial" w:cs="Arial" w:eastAsia="Arial" w:hAnsi="Arial"/>
                <w:sz w:val="15"/>
                <w:szCs w:val="15"/>
                <w:color w:val="auto"/>
                <w:w w:val="93"/>
              </w:rPr>
              <w:t>—</w:t>
            </w:r>
          </w:p>
        </w:tc>
        <w:tc>
          <w:tcPr>
            <w:tcW w:w="78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3,430</w:t>
            </w:r>
          </w:p>
        </w:tc>
        <w:tc>
          <w:tcPr>
            <w:tcW w:w="820" w:type="dxa"/>
            <w:vAlign w:val="bottom"/>
            <w:tcBorders>
              <w:bottom w:val="single" w:sz="8" w:color="004987"/>
            </w:tcBorders>
          </w:tcPr>
          <w:p>
            <w:pPr>
              <w:jc w:val="right"/>
              <w:ind w:right="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00" w:right="500" w:hanging="306"/>
        <w:spacing w:after="0" w:line="205" w:lineRule="auto"/>
        <w:tabs>
          <w:tab w:leader="none" w:pos="700" w:val="left"/>
        </w:tabs>
        <w:numPr>
          <w:ilvl w:val="0"/>
          <w:numId w:val="54"/>
        </w:numPr>
        <w:rPr>
          <w:rFonts w:ascii="Arial" w:cs="Arial" w:eastAsia="Arial" w:hAnsi="Arial"/>
          <w:sz w:val="23"/>
          <w:szCs w:val="23"/>
          <w:color w:val="auto"/>
          <w:vertAlign w:val="superscript"/>
        </w:rPr>
      </w:pPr>
      <w:r>
        <w:rPr>
          <w:rFonts w:ascii="Arial" w:cs="Arial" w:eastAsia="Arial" w:hAnsi="Arial"/>
          <w:sz w:val="14"/>
          <w:szCs w:val="14"/>
          <w:color w:val="auto"/>
        </w:rPr>
        <w:t>“Bonus” refers to our Bonus Plan in which our named executive officers participated. “SARs” and “RSUs” refers to SARs and RSUs, respectively, granted under the 2020 Equity Plan with respect to equity awards granted in March 2021 and December 2021. Effective October 16, 2021, Mr. Terry was promoted to the role of Executive Vice President and Chief Financial Officer, and RSUs were granted under the 2020 Equity Plan in on November 16, 2021 in connection with his promotion. “Performance” refers to the modification of the 2019-2021 Performance Units as described in more detail in footnote 5 to this table.</w:t>
      </w:r>
    </w:p>
    <w:p>
      <w:pPr>
        <w:spacing w:after="0" w:line="112" w:lineRule="exact"/>
        <w:rPr>
          <w:sz w:val="20"/>
          <w:szCs w:val="20"/>
          <w:color w:val="auto"/>
        </w:rPr>
      </w:pPr>
    </w:p>
    <w:p>
      <w:pPr>
        <w:ind w:left="400"/>
        <w:spacing w:after="0"/>
        <w:tabs>
          <w:tab w:leader="none" w:pos="45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b w:val="1"/>
          <w:bCs w:val="1"/>
          <w:color w:val="00498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1340"/>
          </w:cols>
          <w:pgMar w:left="320" w:top="440" w:right="239" w:bottom="1440" w:gutter="0" w:footer="0" w:header="0"/>
        </w:sectPr>
      </w:pPr>
    </w:p>
    <w:bookmarkStart w:id="42" w:name="page43"/>
    <w:bookmarkEnd w:id="4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4" w:lineRule="exact"/>
        <w:rPr>
          <w:sz w:val="20"/>
          <w:szCs w:val="20"/>
          <w:color w:val="auto"/>
        </w:rPr>
      </w:pPr>
    </w:p>
    <w:p>
      <w:pPr>
        <w:ind w:left="700" w:right="300" w:hanging="306"/>
        <w:spacing w:after="0" w:line="205" w:lineRule="auto"/>
        <w:tabs>
          <w:tab w:leader="none" w:pos="700" w:val="left"/>
        </w:tabs>
        <w:numPr>
          <w:ilvl w:val="0"/>
          <w:numId w:val="55"/>
        </w:numPr>
        <w:rPr>
          <w:rFonts w:ascii="Arial" w:cs="Arial" w:eastAsia="Arial" w:hAnsi="Arial"/>
          <w:sz w:val="23"/>
          <w:szCs w:val="23"/>
          <w:color w:val="auto"/>
          <w:vertAlign w:val="superscript"/>
        </w:rPr>
      </w:pPr>
      <w:r>
        <w:rPr>
          <w:rFonts w:ascii="Arial" w:cs="Arial" w:eastAsia="Arial" w:hAnsi="Arial"/>
          <w:sz w:val="14"/>
          <w:szCs w:val="14"/>
          <w:color w:val="auto"/>
        </w:rPr>
        <w:t>“Grant Date” applies to equity awards reported in the “Estimated Possible Payouts Under Equity Incentive Plan Awards,” “All Other Stock Awards” and “All Other Options/SAR Awards” columns. The Compensation Policy Committee approved grants of SARs and annual RSUs for the named executive officers on February 18, 2021, and the grant date of these awards was March 1, 2021. The Compensation Policy Committee approved grants of RSUs for the named executive officers on December 10, 2021, and the grant date of these awards was December 15, 2021.</w:t>
      </w:r>
    </w:p>
    <w:p>
      <w:pPr>
        <w:spacing w:after="0" w:line="54" w:lineRule="exact"/>
        <w:rPr>
          <w:sz w:val="20"/>
          <w:szCs w:val="20"/>
          <w:color w:val="auto"/>
        </w:rPr>
      </w:pPr>
    </w:p>
    <w:p>
      <w:pPr>
        <w:ind w:left="700" w:right="280" w:hanging="306"/>
        <w:spacing w:after="0" w:line="188" w:lineRule="auto"/>
        <w:tabs>
          <w:tab w:leader="none" w:pos="700" w:val="left"/>
        </w:tabs>
        <w:numPr>
          <w:ilvl w:val="0"/>
          <w:numId w:val="56"/>
        </w:numPr>
        <w:rPr>
          <w:rFonts w:ascii="Arial" w:cs="Arial" w:eastAsia="Arial" w:hAnsi="Arial"/>
          <w:sz w:val="23"/>
          <w:szCs w:val="23"/>
          <w:color w:val="auto"/>
          <w:vertAlign w:val="superscript"/>
        </w:rPr>
      </w:pPr>
      <w:r>
        <w:rPr>
          <w:rFonts w:ascii="Arial" w:cs="Arial" w:eastAsia="Arial" w:hAnsi="Arial"/>
          <w:sz w:val="14"/>
          <w:szCs w:val="14"/>
          <w:color w:val="auto"/>
        </w:rPr>
        <w:t>These columns are intended to include potential payouts corresponding to the achievement of the threshold, target and maximum performance objectives under the Bonus Plan.</w:t>
      </w:r>
    </w:p>
    <w:p>
      <w:pPr>
        <w:ind w:left="700" w:hanging="306"/>
        <w:spacing w:after="0" w:line="209" w:lineRule="auto"/>
        <w:tabs>
          <w:tab w:leader="none" w:pos="700" w:val="left"/>
        </w:tabs>
        <w:numPr>
          <w:ilvl w:val="0"/>
          <w:numId w:val="57"/>
        </w:numPr>
        <w:rPr>
          <w:rFonts w:ascii="Arial" w:cs="Arial" w:eastAsia="Arial" w:hAnsi="Arial"/>
          <w:sz w:val="23"/>
          <w:szCs w:val="23"/>
          <w:color w:val="auto"/>
          <w:vertAlign w:val="superscript"/>
        </w:rPr>
      </w:pPr>
      <w:r>
        <w:rPr>
          <w:rFonts w:ascii="Arial" w:cs="Arial" w:eastAsia="Arial" w:hAnsi="Arial"/>
          <w:sz w:val="14"/>
          <w:szCs w:val="14"/>
          <w:color w:val="auto"/>
        </w:rPr>
        <w:t>The awards were granted with an exercise or base price equal to the average of the high and low stock price on the NYSE on the date of grant.</w:t>
      </w:r>
    </w:p>
    <w:p>
      <w:pPr>
        <w:spacing w:after="0" w:line="57" w:lineRule="exact"/>
        <w:rPr>
          <w:sz w:val="20"/>
          <w:szCs w:val="20"/>
          <w:color w:val="auto"/>
        </w:rPr>
      </w:pPr>
    </w:p>
    <w:p>
      <w:pPr>
        <w:ind w:left="700" w:right="20" w:hanging="306"/>
        <w:spacing w:after="0" w:line="208" w:lineRule="auto"/>
        <w:tabs>
          <w:tab w:leader="none" w:pos="700" w:val="left"/>
        </w:tabs>
        <w:numPr>
          <w:ilvl w:val="0"/>
          <w:numId w:val="58"/>
        </w:numPr>
        <w:rPr>
          <w:rFonts w:ascii="Arial" w:cs="Arial" w:eastAsia="Arial" w:hAnsi="Arial"/>
          <w:sz w:val="23"/>
          <w:szCs w:val="23"/>
          <w:color w:val="auto"/>
          <w:vertAlign w:val="superscript"/>
        </w:rPr>
      </w:pPr>
      <w:r>
        <w:rPr>
          <w:rFonts w:ascii="Arial" w:cs="Arial" w:eastAsia="Arial" w:hAnsi="Arial"/>
          <w:sz w:val="14"/>
          <w:szCs w:val="14"/>
          <w:color w:val="auto"/>
        </w:rPr>
        <w:t>The value reported for Equity Incentive Plan Awards, Stock Awards and Option/SAR Awards is the aggregate grant date fair value of the awards granted in 2021 as determined in accordance with accounting standards for share-based payments. There were no Performance Units granted in 2021; however, the Performance Units granted in 2019 were modified in 2021. The value reported for the Performance Units is the modified grant date fair value assuming performance at the probable outcome of performance conditions is achieved. The assumptions for making the valuation determinations are set forth in Footnote 19, “Share-Based Compensation,” of the Notes to our annual Consolidated Financial Statements included in the 2021 Form 10-K.</w:t>
      </w:r>
    </w:p>
    <w:p>
      <w:pPr>
        <w:spacing w:after="0" w:line="54" w:lineRule="exact"/>
        <w:rPr>
          <w:sz w:val="20"/>
          <w:szCs w:val="20"/>
          <w:color w:val="auto"/>
        </w:rPr>
      </w:pPr>
    </w:p>
    <w:p>
      <w:pPr>
        <w:ind w:left="700" w:right="220" w:hanging="306"/>
        <w:spacing w:after="0" w:line="205" w:lineRule="auto"/>
        <w:tabs>
          <w:tab w:leader="none" w:pos="700" w:val="left"/>
        </w:tabs>
        <w:numPr>
          <w:ilvl w:val="0"/>
          <w:numId w:val="59"/>
        </w:numPr>
        <w:rPr>
          <w:rFonts w:ascii="Arial" w:cs="Arial" w:eastAsia="Arial" w:hAnsi="Arial"/>
          <w:sz w:val="23"/>
          <w:szCs w:val="23"/>
          <w:color w:val="auto"/>
          <w:vertAlign w:val="superscript"/>
        </w:rPr>
      </w:pPr>
      <w:r>
        <w:rPr>
          <w:rFonts w:ascii="Arial" w:cs="Arial" w:eastAsia="Arial" w:hAnsi="Arial"/>
          <w:sz w:val="14"/>
          <w:szCs w:val="14"/>
          <w:color w:val="auto"/>
        </w:rPr>
        <w:t>Effective October 16, 2021, Mr. Terry was promoted to the role of Executive Vice President and Chief Financial Officer. Concurrent with the promotion, the Compensation Policy Committee approved an increase of his then current target bonus potential from 40% to 100%. For the period prior to October 16, 2021, the estimated bonus threshold is $27,528; target is $110,082; and maximum is $220,144. Effective October 16, 2021, the estimated bonus threshold is $22,835; target is $91,345; and maximum is $182,690.</w:t>
      </w:r>
    </w:p>
    <w:p>
      <w:pPr>
        <w:spacing w:after="0" w:line="75" w:lineRule="exact"/>
        <w:rPr>
          <w:sz w:val="20"/>
          <w:szCs w:val="20"/>
          <w:color w:val="auto"/>
        </w:rPr>
      </w:pPr>
    </w:p>
    <w:p>
      <w:pPr>
        <w:ind w:left="400" w:right="80"/>
        <w:spacing w:after="0" w:line="259" w:lineRule="auto"/>
        <w:rPr>
          <w:sz w:val="20"/>
          <w:szCs w:val="20"/>
          <w:color w:val="auto"/>
        </w:rPr>
      </w:pPr>
      <w:r>
        <w:rPr>
          <w:rFonts w:ascii="Arial" w:cs="Arial" w:eastAsia="Arial" w:hAnsi="Arial"/>
          <w:sz w:val="15"/>
          <w:szCs w:val="15"/>
          <w:color w:val="auto"/>
        </w:rPr>
        <w:t>The Grants of Plan-Based Awards table reports the potential dollar value of cash incentive awards under the Bonus Plan at their threshold, target and maximum achievement levels, and the number and grant date fair value of SARs and RSUs granted under the 2020 Equity Plan, in each case granted to each named executive officer during the 2021 fiscal year. For cash incentives, this table reports the range of potential amounts that could have been earned by the executive under the Bonus Plans for 2021, whereas the Non-Equity Incentive Plan Compensation column in the Summary Compensation Table reports the actual value earned by the executive for 2021.</w:t>
      </w:r>
    </w:p>
    <w:p>
      <w:pPr>
        <w:spacing w:after="0" w:line="69" w:lineRule="exact"/>
        <w:rPr>
          <w:sz w:val="20"/>
          <w:szCs w:val="20"/>
          <w:color w:val="auto"/>
        </w:rPr>
      </w:pPr>
    </w:p>
    <w:p>
      <w:pPr>
        <w:ind w:left="400" w:right="60"/>
        <w:spacing w:after="0" w:line="254" w:lineRule="auto"/>
        <w:rPr>
          <w:sz w:val="20"/>
          <w:szCs w:val="20"/>
          <w:color w:val="auto"/>
        </w:rPr>
      </w:pPr>
      <w:r>
        <w:rPr>
          <w:rFonts w:ascii="Arial" w:cs="Arial" w:eastAsia="Arial" w:hAnsi="Arial"/>
          <w:sz w:val="15"/>
          <w:szCs w:val="15"/>
          <w:color w:val="auto"/>
        </w:rPr>
        <w:t>Annual RSU and SAR grants under the 2020 Equity Plan typically vest in four equal annual increments beginning approximately a year after the grant date, contingent on continued employment. Even when vested, an executive could lose the right to exercise or receive a distribution of any outstanding stock awards if the executive’s employment terminated due to serious misconduct as defined in the Equity Plans, or if it is determined that the executive has engaged in competition or has engaged in criminal conduct or other behavior that was actually or potentially harmful. These awards do not accrue or pay cash dividends and do not bear voting rights until they vest (in the case of RSUs) or are exercised (in the case of SARs) and shares are issued to the grantee. The Compensation Policy Committee awarded the executive team an equity grant on December 15, 2021. The RSUs vest in full after a three-year period and are subject to forfeiture if an executive officer terminates his or her employment with the Company, with the exception of the grants to Mr. Weisz and Mr. Cunningham, which will not be forfeited in the event of termination due to retirement, but will continue to vest at the end of the three-year period.</w:t>
      </w:r>
    </w:p>
    <w:p>
      <w:pPr>
        <w:spacing w:after="0" w:line="257" w:lineRule="exact"/>
        <w:rPr>
          <w:sz w:val="20"/>
          <w:szCs w:val="20"/>
          <w:color w:val="auto"/>
        </w:rPr>
      </w:pPr>
    </w:p>
    <w:p>
      <w:pPr>
        <w:ind w:left="400" w:right="340"/>
        <w:spacing w:after="0" w:line="289" w:lineRule="auto"/>
        <w:rPr>
          <w:sz w:val="20"/>
          <w:szCs w:val="20"/>
          <w:color w:val="auto"/>
        </w:rPr>
      </w:pPr>
      <w:r>
        <w:rPr>
          <w:rFonts w:ascii="Arial" w:cs="Arial" w:eastAsia="Arial" w:hAnsi="Arial"/>
          <w:sz w:val="15"/>
          <w:szCs w:val="15"/>
          <w:color w:val="auto"/>
        </w:rPr>
        <w:t>For information regarding treatment of the equity awards upon a termination of employment, see “Potential Payments Upon Termination or Change in Control.”</w:t>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Outstanding Equity Awards at 2021 Fiscal Year-End</w:t>
      </w:r>
    </w:p>
    <w:p>
      <w:pPr>
        <w:spacing w:after="0" w:line="98" w:lineRule="exact"/>
        <w:rPr>
          <w:sz w:val="20"/>
          <w:szCs w:val="20"/>
          <w:color w:val="auto"/>
        </w:rPr>
      </w:pPr>
    </w:p>
    <w:p>
      <w:pPr>
        <w:ind w:left="400" w:right="220"/>
        <w:spacing w:after="0" w:line="269" w:lineRule="auto"/>
        <w:rPr>
          <w:sz w:val="20"/>
          <w:szCs w:val="20"/>
          <w:color w:val="auto"/>
        </w:rPr>
      </w:pPr>
      <w:r>
        <w:rPr>
          <w:rFonts w:ascii="Arial" w:cs="Arial" w:eastAsia="Arial" w:hAnsi="Arial"/>
          <w:sz w:val="15"/>
          <w:szCs w:val="15"/>
          <w:color w:val="auto"/>
        </w:rPr>
        <w:t>The following table shows information about outstanding Performance Units, SARs and RSUs with respect to our common stock as of December 31, 2021, our fiscal year-end. The market values are based on the closing price of our common stock on the NYSE on December 31, 2021, the last trading day of our fiscal year, which was $168.98.</w:t>
      </w:r>
    </w:p>
    <w:p>
      <w:pPr>
        <w:spacing w:after="0" w:line="192"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1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004987"/>
            </w:tcBorders>
          </w:tcPr>
          <w:p>
            <w:pPr>
              <w:spacing w:after="0"/>
              <w:rPr>
                <w:sz w:val="14"/>
                <w:szCs w:val="14"/>
                <w:color w:val="auto"/>
              </w:rPr>
            </w:pPr>
          </w:p>
        </w:tc>
        <w:tc>
          <w:tcPr>
            <w:tcW w:w="1500" w:type="dxa"/>
            <w:vAlign w:val="bottom"/>
            <w:tcBorders>
              <w:bottom w:val="single" w:sz="8" w:color="004987"/>
            </w:tcBorders>
            <w:gridSpan w:val="2"/>
          </w:tcPr>
          <w:p>
            <w:pPr>
              <w:jc w:val="right"/>
              <w:ind w:right="85"/>
              <w:spacing w:after="0"/>
              <w:rPr>
                <w:sz w:val="20"/>
                <w:szCs w:val="20"/>
                <w:color w:val="auto"/>
              </w:rPr>
            </w:pPr>
            <w:r>
              <w:rPr>
                <w:rFonts w:ascii="Arial" w:cs="Arial" w:eastAsia="Arial" w:hAnsi="Arial"/>
                <w:sz w:val="14"/>
                <w:szCs w:val="14"/>
                <w:b w:val="1"/>
                <w:bCs w:val="1"/>
                <w:color w:val="004987"/>
              </w:rPr>
              <w:t>Option Awards</w:t>
            </w:r>
          </w:p>
        </w:tc>
        <w:tc>
          <w:tcPr>
            <w:tcW w:w="820" w:type="dxa"/>
            <w:vAlign w:val="bottom"/>
            <w:tcBorders>
              <w:bottom w:val="single" w:sz="8" w:color="004987"/>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004987"/>
            </w:tcBorders>
          </w:tcPr>
          <w:p>
            <w:pPr>
              <w:spacing w:after="0"/>
              <w:rPr>
                <w:sz w:val="14"/>
                <w:szCs w:val="14"/>
                <w:color w:val="auto"/>
              </w:rPr>
            </w:pPr>
          </w:p>
        </w:tc>
        <w:tc>
          <w:tcPr>
            <w:tcW w:w="820" w:type="dxa"/>
            <w:vAlign w:val="bottom"/>
            <w:tcBorders>
              <w:bottom w:val="single" w:sz="8" w:color="004987"/>
            </w:tcBorders>
          </w:tcPr>
          <w:p>
            <w:pPr>
              <w:spacing w:after="0"/>
              <w:rPr>
                <w:sz w:val="14"/>
                <w:szCs w:val="14"/>
                <w:color w:val="auto"/>
              </w:rPr>
            </w:pPr>
          </w:p>
        </w:tc>
        <w:tc>
          <w:tcPr>
            <w:tcW w:w="1420" w:type="dxa"/>
            <w:vAlign w:val="bottom"/>
            <w:tcBorders>
              <w:bottom w:val="single" w:sz="8" w:color="004987"/>
            </w:tcBorders>
          </w:tcPr>
          <w:p>
            <w:pPr>
              <w:jc w:val="right"/>
              <w:ind w:right="447"/>
              <w:spacing w:after="0"/>
              <w:rPr>
                <w:sz w:val="20"/>
                <w:szCs w:val="20"/>
                <w:color w:val="auto"/>
              </w:rPr>
            </w:pPr>
            <w:r>
              <w:rPr>
                <w:rFonts w:ascii="Arial" w:cs="Arial" w:eastAsia="Arial" w:hAnsi="Arial"/>
                <w:sz w:val="14"/>
                <w:szCs w:val="14"/>
                <w:b w:val="1"/>
                <w:bCs w:val="1"/>
                <w:color w:val="004987"/>
                <w:w w:val="94"/>
              </w:rPr>
              <w:t>Stock Awards</w:t>
            </w:r>
          </w:p>
        </w:tc>
        <w:tc>
          <w:tcPr>
            <w:tcW w:w="1140" w:type="dxa"/>
            <w:vAlign w:val="bottom"/>
            <w:tcBorders>
              <w:bottom w:val="single" w:sz="8" w:color="004987"/>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40" w:type="dxa"/>
            <w:vAlign w:val="bottom"/>
          </w:tcPr>
          <w:p>
            <w:pPr>
              <w:jc w:val="right"/>
              <w:spacing w:after="0" w:line="137" w:lineRule="exact"/>
              <w:rPr>
                <w:sz w:val="20"/>
                <w:szCs w:val="20"/>
                <w:color w:val="auto"/>
              </w:rPr>
            </w:pPr>
            <w:r>
              <w:rPr>
                <w:rFonts w:ascii="Arial" w:cs="Arial" w:eastAsia="Arial" w:hAnsi="Arial"/>
                <w:sz w:val="14"/>
                <w:szCs w:val="14"/>
                <w:b w:val="1"/>
                <w:bCs w:val="1"/>
                <w:color w:val="004987"/>
              </w:rPr>
              <w:t>Equity Incentive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jc w:val="right"/>
              <w:ind w:right="87"/>
              <w:spacing w:after="0" w:line="154" w:lineRule="exact"/>
              <w:rPr>
                <w:sz w:val="20"/>
                <w:szCs w:val="20"/>
                <w:color w:val="auto"/>
              </w:rPr>
            </w:pPr>
            <w:r>
              <w:rPr>
                <w:rFonts w:ascii="Arial" w:cs="Arial" w:eastAsia="Arial" w:hAnsi="Arial"/>
                <w:sz w:val="14"/>
                <w:szCs w:val="14"/>
                <w:b w:val="1"/>
                <w:bCs w:val="1"/>
                <w:color w:val="004987"/>
              </w:rPr>
              <w:t>Equity Incentive</w:t>
            </w:r>
          </w:p>
        </w:tc>
        <w:tc>
          <w:tcPr>
            <w:tcW w:w="12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004987"/>
                <w:w w:val="99"/>
              </w:rPr>
              <w:t>Plan Awards:</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gridSpan w:val="2"/>
          </w:tcPr>
          <w:p>
            <w:pPr>
              <w:jc w:val="center"/>
              <w:ind w:right="45"/>
              <w:spacing w:after="0" w:line="154" w:lineRule="exact"/>
              <w:rPr>
                <w:sz w:val="20"/>
                <w:szCs w:val="20"/>
                <w:color w:val="auto"/>
              </w:rPr>
            </w:pPr>
            <w:r>
              <w:rPr>
                <w:rFonts w:ascii="Arial" w:cs="Arial" w:eastAsia="Arial" w:hAnsi="Arial"/>
                <w:sz w:val="14"/>
                <w:szCs w:val="14"/>
                <w:b w:val="1"/>
                <w:bCs w:val="1"/>
                <w:color w:val="004987"/>
                <w:w w:val="97"/>
              </w:rPr>
              <w:t>Number of</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gridSpan w:val="2"/>
          </w:tcPr>
          <w:p>
            <w:pPr>
              <w:jc w:val="center"/>
              <w:ind w:left="25"/>
              <w:spacing w:after="0" w:line="154" w:lineRule="exact"/>
              <w:rPr>
                <w:sz w:val="20"/>
                <w:szCs w:val="20"/>
                <w:color w:val="auto"/>
              </w:rPr>
            </w:pPr>
            <w:r>
              <w:rPr>
                <w:rFonts w:ascii="Arial" w:cs="Arial" w:eastAsia="Arial" w:hAnsi="Arial"/>
                <w:sz w:val="14"/>
                <w:szCs w:val="14"/>
                <w:b w:val="1"/>
                <w:bCs w:val="1"/>
                <w:color w:val="004987"/>
                <w:w w:val="97"/>
              </w:rPr>
              <w:t>Number of</w:t>
            </w:r>
          </w:p>
        </w:tc>
        <w:tc>
          <w:tcPr>
            <w:tcW w:w="82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7"/>
              </w:rPr>
              <w:t>Market</w:t>
            </w:r>
          </w:p>
        </w:tc>
        <w:tc>
          <w:tcPr>
            <w:tcW w:w="14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9"/>
              </w:rPr>
              <w:t>Plan Awards:</w:t>
            </w:r>
          </w:p>
        </w:tc>
        <w:tc>
          <w:tcPr>
            <w:tcW w:w="12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004987"/>
                <w:w w:val="95"/>
              </w:rPr>
              <w:t>Market or</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gridSpan w:val="2"/>
          </w:tcPr>
          <w:p>
            <w:pPr>
              <w:jc w:val="center"/>
              <w:ind w:right="65"/>
              <w:spacing w:after="0" w:line="154" w:lineRule="exact"/>
              <w:rPr>
                <w:sz w:val="20"/>
                <w:szCs w:val="20"/>
                <w:color w:val="auto"/>
              </w:rPr>
            </w:pPr>
            <w:r>
              <w:rPr>
                <w:rFonts w:ascii="Arial" w:cs="Arial" w:eastAsia="Arial" w:hAnsi="Arial"/>
                <w:sz w:val="14"/>
                <w:szCs w:val="14"/>
                <w:b w:val="1"/>
                <w:bCs w:val="1"/>
                <w:color w:val="004987"/>
                <w:w w:val="98"/>
              </w:rPr>
              <w:t>Securities</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67"/>
              <w:spacing w:after="0" w:line="154" w:lineRule="exact"/>
              <w:rPr>
                <w:sz w:val="20"/>
                <w:szCs w:val="20"/>
                <w:color w:val="auto"/>
              </w:rPr>
            </w:pPr>
            <w:r>
              <w:rPr>
                <w:rFonts w:ascii="Arial" w:cs="Arial" w:eastAsia="Arial" w:hAnsi="Arial"/>
                <w:sz w:val="14"/>
                <w:szCs w:val="14"/>
                <w:b w:val="1"/>
                <w:bCs w:val="1"/>
                <w:color w:val="004987"/>
                <w:w w:val="95"/>
              </w:rPr>
              <w:t>Shares or</w:t>
            </w:r>
          </w:p>
        </w:tc>
        <w:tc>
          <w:tcPr>
            <w:tcW w:w="82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5"/>
              </w:rPr>
              <w:t>Value of</w:t>
            </w:r>
          </w:p>
        </w:tc>
        <w:tc>
          <w:tcPr>
            <w:tcW w:w="14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Number of</w:t>
            </w:r>
          </w:p>
        </w:tc>
        <w:tc>
          <w:tcPr>
            <w:tcW w:w="12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004987"/>
                <w:w w:val="95"/>
              </w:rPr>
              <w:t>Payout Value</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gridSpan w:val="2"/>
          </w:tcPr>
          <w:p>
            <w:pPr>
              <w:jc w:val="center"/>
              <w:ind w:right="45"/>
              <w:spacing w:after="0" w:line="154" w:lineRule="exact"/>
              <w:rPr>
                <w:sz w:val="20"/>
                <w:szCs w:val="20"/>
                <w:color w:val="auto"/>
              </w:rPr>
            </w:pPr>
            <w:r>
              <w:rPr>
                <w:rFonts w:ascii="Arial" w:cs="Arial" w:eastAsia="Arial" w:hAnsi="Arial"/>
                <w:sz w:val="14"/>
                <w:szCs w:val="14"/>
                <w:b w:val="1"/>
                <w:bCs w:val="1"/>
                <w:color w:val="004987"/>
                <w:w w:val="98"/>
              </w:rPr>
              <w:t>Underlying</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67"/>
              <w:spacing w:after="0" w:line="154" w:lineRule="exact"/>
              <w:rPr>
                <w:sz w:val="20"/>
                <w:szCs w:val="20"/>
                <w:color w:val="auto"/>
              </w:rPr>
            </w:pPr>
            <w:r>
              <w:rPr>
                <w:rFonts w:ascii="Arial" w:cs="Arial" w:eastAsia="Arial" w:hAnsi="Arial"/>
                <w:sz w:val="14"/>
                <w:szCs w:val="14"/>
                <w:b w:val="1"/>
                <w:bCs w:val="1"/>
                <w:color w:val="004987"/>
                <w:w w:val="95"/>
              </w:rPr>
              <w:t>Units of</w:t>
            </w:r>
          </w:p>
        </w:tc>
        <w:tc>
          <w:tcPr>
            <w:tcW w:w="82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9"/>
              </w:rPr>
              <w:t>Shares or</w:t>
            </w:r>
          </w:p>
        </w:tc>
        <w:tc>
          <w:tcPr>
            <w:tcW w:w="14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9"/>
              </w:rPr>
              <w:t>Unearned</w:t>
            </w:r>
          </w:p>
        </w:tc>
        <w:tc>
          <w:tcPr>
            <w:tcW w:w="12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004987"/>
                <w:w w:val="97"/>
              </w:rPr>
              <w:t>of Unearned</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gridSpan w:val="2"/>
          </w:tcPr>
          <w:p>
            <w:pPr>
              <w:jc w:val="center"/>
              <w:ind w:right="65"/>
              <w:spacing w:after="0" w:line="154" w:lineRule="exact"/>
              <w:rPr>
                <w:sz w:val="20"/>
                <w:szCs w:val="20"/>
                <w:color w:val="auto"/>
              </w:rPr>
            </w:pPr>
            <w:r>
              <w:rPr>
                <w:rFonts w:ascii="Arial" w:cs="Arial" w:eastAsia="Arial" w:hAnsi="Arial"/>
                <w:sz w:val="14"/>
                <w:szCs w:val="14"/>
                <w:b w:val="1"/>
                <w:bCs w:val="1"/>
                <w:color w:val="004987"/>
                <w:w w:val="98"/>
              </w:rPr>
              <w:t>Unexercised</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Option/</w:t>
            </w:r>
          </w:p>
        </w:tc>
        <w:tc>
          <w:tcPr>
            <w:tcW w:w="820" w:type="dxa"/>
            <w:vAlign w:val="bottom"/>
          </w:tcPr>
          <w:p>
            <w:pPr>
              <w:jc w:val="center"/>
              <w:ind w:left="5"/>
              <w:spacing w:after="0" w:line="154" w:lineRule="exact"/>
              <w:rPr>
                <w:sz w:val="20"/>
                <w:szCs w:val="20"/>
                <w:color w:val="auto"/>
              </w:rPr>
            </w:pPr>
            <w:r>
              <w:rPr>
                <w:rFonts w:ascii="Arial" w:cs="Arial" w:eastAsia="Arial" w:hAnsi="Arial"/>
                <w:sz w:val="14"/>
                <w:szCs w:val="14"/>
                <w:b w:val="1"/>
                <w:bCs w:val="1"/>
                <w:color w:val="004987"/>
                <w:w w:val="93"/>
              </w:rPr>
              <w:t>Option/</w:t>
            </w:r>
          </w:p>
        </w:tc>
        <w:tc>
          <w:tcPr>
            <w:tcW w:w="220" w:type="dxa"/>
            <w:vAlign w:val="bottom"/>
          </w:tcPr>
          <w:p>
            <w:pPr>
              <w:spacing w:after="0"/>
              <w:rPr>
                <w:sz w:val="13"/>
                <w:szCs w:val="13"/>
                <w:color w:val="auto"/>
              </w:rPr>
            </w:pPr>
          </w:p>
        </w:tc>
        <w:tc>
          <w:tcPr>
            <w:tcW w:w="800" w:type="dxa"/>
            <w:vAlign w:val="bottom"/>
          </w:tcPr>
          <w:p>
            <w:pPr>
              <w:jc w:val="center"/>
              <w:ind w:right="67"/>
              <w:spacing w:after="0" w:line="154" w:lineRule="exact"/>
              <w:rPr>
                <w:sz w:val="20"/>
                <w:szCs w:val="20"/>
                <w:color w:val="auto"/>
              </w:rPr>
            </w:pPr>
            <w:r>
              <w:rPr>
                <w:rFonts w:ascii="Arial" w:cs="Arial" w:eastAsia="Arial" w:hAnsi="Arial"/>
                <w:sz w:val="14"/>
                <w:szCs w:val="14"/>
                <w:b w:val="1"/>
                <w:bCs w:val="1"/>
                <w:color w:val="004987"/>
                <w:w w:val="99"/>
              </w:rPr>
              <w:t>Stock</w:t>
            </w:r>
          </w:p>
        </w:tc>
        <w:tc>
          <w:tcPr>
            <w:tcW w:w="82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9"/>
              </w:rPr>
              <w:t>Units of</w:t>
            </w:r>
          </w:p>
        </w:tc>
        <w:tc>
          <w:tcPr>
            <w:tcW w:w="14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8"/>
              </w:rPr>
              <w:t>Shares, Units</w:t>
            </w:r>
          </w:p>
        </w:tc>
        <w:tc>
          <w:tcPr>
            <w:tcW w:w="126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004987"/>
                <w:w w:val="98"/>
              </w:rPr>
              <w:t>Shares, Units</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gridSpan w:val="2"/>
          </w:tcPr>
          <w:p>
            <w:pPr>
              <w:jc w:val="center"/>
              <w:ind w:right="45"/>
              <w:spacing w:after="0" w:line="154" w:lineRule="exact"/>
              <w:rPr>
                <w:sz w:val="20"/>
                <w:szCs w:val="20"/>
                <w:color w:val="auto"/>
              </w:rPr>
            </w:pPr>
            <w:r>
              <w:rPr>
                <w:rFonts w:ascii="Arial" w:cs="Arial" w:eastAsia="Arial" w:hAnsi="Arial"/>
                <w:sz w:val="14"/>
                <w:szCs w:val="14"/>
                <w:b w:val="1"/>
                <w:bCs w:val="1"/>
                <w:color w:val="004987"/>
                <w:w w:val="97"/>
              </w:rPr>
              <w:t>Options/SARs</w:t>
            </w:r>
          </w:p>
        </w:tc>
        <w:tc>
          <w:tcPr>
            <w:tcW w:w="8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4"/>
              </w:rPr>
              <w:t>SAR</w:t>
            </w:r>
          </w:p>
        </w:tc>
        <w:tc>
          <w:tcPr>
            <w:tcW w:w="820" w:type="dxa"/>
            <w:vAlign w:val="bottom"/>
          </w:tcPr>
          <w:p>
            <w:pPr>
              <w:jc w:val="center"/>
              <w:ind w:left="5"/>
              <w:spacing w:after="0" w:line="154" w:lineRule="exact"/>
              <w:rPr>
                <w:sz w:val="20"/>
                <w:szCs w:val="20"/>
                <w:color w:val="auto"/>
              </w:rPr>
            </w:pPr>
            <w:r>
              <w:rPr>
                <w:rFonts w:ascii="Arial" w:cs="Arial" w:eastAsia="Arial" w:hAnsi="Arial"/>
                <w:sz w:val="14"/>
                <w:szCs w:val="14"/>
                <w:b w:val="1"/>
                <w:bCs w:val="1"/>
                <w:color w:val="004987"/>
              </w:rPr>
              <w:t>SAR</w:t>
            </w:r>
          </w:p>
        </w:tc>
        <w:tc>
          <w:tcPr>
            <w:tcW w:w="220" w:type="dxa"/>
            <w:vAlign w:val="bottom"/>
          </w:tcPr>
          <w:p>
            <w:pPr>
              <w:spacing w:after="0"/>
              <w:rPr>
                <w:sz w:val="13"/>
                <w:szCs w:val="13"/>
                <w:color w:val="auto"/>
              </w:rPr>
            </w:pPr>
          </w:p>
        </w:tc>
        <w:tc>
          <w:tcPr>
            <w:tcW w:w="800" w:type="dxa"/>
            <w:vAlign w:val="bottom"/>
          </w:tcPr>
          <w:p>
            <w:pPr>
              <w:jc w:val="center"/>
              <w:ind w:right="67"/>
              <w:spacing w:after="0" w:line="154" w:lineRule="exact"/>
              <w:rPr>
                <w:sz w:val="20"/>
                <w:szCs w:val="20"/>
                <w:color w:val="auto"/>
              </w:rPr>
            </w:pPr>
            <w:r>
              <w:rPr>
                <w:rFonts w:ascii="Arial" w:cs="Arial" w:eastAsia="Arial" w:hAnsi="Arial"/>
                <w:sz w:val="14"/>
                <w:szCs w:val="14"/>
                <w:b w:val="1"/>
                <w:bCs w:val="1"/>
                <w:color w:val="004987"/>
                <w:w w:val="98"/>
              </w:rPr>
              <w:t>That Have</w:t>
            </w:r>
          </w:p>
        </w:tc>
        <w:tc>
          <w:tcPr>
            <w:tcW w:w="820" w:type="dxa"/>
            <w:vAlign w:val="bottom"/>
          </w:tcPr>
          <w:p>
            <w:pPr>
              <w:jc w:val="center"/>
              <w:ind w:left="7"/>
              <w:spacing w:after="0" w:line="154" w:lineRule="exact"/>
              <w:rPr>
                <w:sz w:val="20"/>
                <w:szCs w:val="20"/>
                <w:color w:val="auto"/>
              </w:rPr>
            </w:pPr>
            <w:r>
              <w:rPr>
                <w:rFonts w:ascii="Arial" w:cs="Arial" w:eastAsia="Arial" w:hAnsi="Arial"/>
                <w:sz w:val="14"/>
                <w:szCs w:val="14"/>
                <w:b w:val="1"/>
                <w:bCs w:val="1"/>
                <w:color w:val="004987"/>
                <w:w w:val="97"/>
              </w:rPr>
              <w:t>Stock That</w:t>
            </w:r>
          </w:p>
        </w:tc>
        <w:tc>
          <w:tcPr>
            <w:tcW w:w="1420" w:type="dxa"/>
            <w:vAlign w:val="bottom"/>
          </w:tcPr>
          <w:p>
            <w:pPr>
              <w:jc w:val="right"/>
              <w:ind w:right="107"/>
              <w:spacing w:after="0" w:line="154" w:lineRule="exact"/>
              <w:rPr>
                <w:sz w:val="20"/>
                <w:szCs w:val="20"/>
                <w:color w:val="auto"/>
              </w:rPr>
            </w:pPr>
            <w:r>
              <w:rPr>
                <w:rFonts w:ascii="Arial" w:cs="Arial" w:eastAsia="Arial" w:hAnsi="Arial"/>
                <w:sz w:val="14"/>
                <w:szCs w:val="14"/>
                <w:b w:val="1"/>
                <w:bCs w:val="1"/>
                <w:color w:val="004987"/>
              </w:rPr>
              <w:t>or Other Rights</w:t>
            </w:r>
          </w:p>
        </w:tc>
        <w:tc>
          <w:tcPr>
            <w:tcW w:w="1260" w:type="dxa"/>
            <w:vAlign w:val="bottom"/>
            <w:gridSpan w:val="2"/>
          </w:tcPr>
          <w:p>
            <w:pPr>
              <w:jc w:val="right"/>
              <w:ind w:right="160"/>
              <w:spacing w:after="0" w:line="154" w:lineRule="exact"/>
              <w:rPr>
                <w:sz w:val="20"/>
                <w:szCs w:val="20"/>
                <w:color w:val="auto"/>
              </w:rPr>
            </w:pPr>
            <w:r>
              <w:rPr>
                <w:rFonts w:ascii="Arial" w:cs="Arial" w:eastAsia="Arial" w:hAnsi="Arial"/>
                <w:sz w:val="14"/>
                <w:szCs w:val="14"/>
                <w:b w:val="1"/>
                <w:bCs w:val="1"/>
                <w:color w:val="004987"/>
              </w:rPr>
              <w:t>or Other Rights</w:t>
            </w:r>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700" w:type="dxa"/>
            <w:vAlign w:val="bottom"/>
          </w:tcPr>
          <w:p>
            <w:pPr>
              <w:jc w:val="right"/>
              <w:ind w:right="465"/>
              <w:spacing w:after="0" w:line="151" w:lineRule="exact"/>
              <w:rPr>
                <w:sz w:val="20"/>
                <w:szCs w:val="20"/>
                <w:color w:val="auto"/>
              </w:rPr>
            </w:pPr>
            <w:r>
              <w:rPr>
                <w:rFonts w:ascii="Arial" w:cs="Arial" w:eastAsia="Arial" w:hAnsi="Arial"/>
                <w:sz w:val="14"/>
                <w:szCs w:val="14"/>
                <w:b w:val="1"/>
                <w:bCs w:val="1"/>
                <w:color w:val="004987"/>
              </w:rPr>
              <w:t>Award</w:t>
            </w:r>
          </w:p>
        </w:tc>
        <w:tc>
          <w:tcPr>
            <w:tcW w:w="1280" w:type="dxa"/>
            <w:vAlign w:val="bottom"/>
            <w:gridSpan w:val="2"/>
          </w:tcPr>
          <w:p>
            <w:pPr>
              <w:jc w:val="center"/>
              <w:ind w:right="45"/>
              <w:spacing w:after="0" w:line="151" w:lineRule="exact"/>
              <w:rPr>
                <w:sz w:val="20"/>
                <w:szCs w:val="20"/>
                <w:color w:val="auto"/>
              </w:rPr>
            </w:pPr>
            <w:r>
              <w:rPr>
                <w:rFonts w:ascii="Arial" w:cs="Arial" w:eastAsia="Arial" w:hAnsi="Arial"/>
                <w:sz w:val="14"/>
                <w:szCs w:val="14"/>
                <w:b w:val="1"/>
                <w:bCs w:val="1"/>
                <w:color w:val="004987"/>
                <w:w w:val="97"/>
              </w:rPr>
              <w:t>Exercisable/</w:t>
            </w:r>
          </w:p>
        </w:tc>
        <w:tc>
          <w:tcPr>
            <w:tcW w:w="82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Exercise</w:t>
            </w:r>
          </w:p>
        </w:tc>
        <w:tc>
          <w:tcPr>
            <w:tcW w:w="820" w:type="dxa"/>
            <w:vAlign w:val="bottom"/>
          </w:tcPr>
          <w:p>
            <w:pPr>
              <w:jc w:val="center"/>
              <w:ind w:left="5"/>
              <w:spacing w:after="0" w:line="151" w:lineRule="exact"/>
              <w:rPr>
                <w:sz w:val="20"/>
                <w:szCs w:val="20"/>
                <w:color w:val="auto"/>
              </w:rPr>
            </w:pPr>
            <w:r>
              <w:rPr>
                <w:rFonts w:ascii="Arial" w:cs="Arial" w:eastAsia="Arial" w:hAnsi="Arial"/>
                <w:sz w:val="14"/>
                <w:szCs w:val="14"/>
                <w:b w:val="1"/>
                <w:bCs w:val="1"/>
                <w:color w:val="004987"/>
                <w:w w:val="96"/>
              </w:rPr>
              <w:t>Expiration</w:t>
            </w:r>
          </w:p>
        </w:tc>
        <w:tc>
          <w:tcPr>
            <w:tcW w:w="220" w:type="dxa"/>
            <w:vAlign w:val="bottom"/>
          </w:tcPr>
          <w:p>
            <w:pPr>
              <w:spacing w:after="0"/>
              <w:rPr>
                <w:sz w:val="13"/>
                <w:szCs w:val="13"/>
                <w:color w:val="auto"/>
              </w:rPr>
            </w:pPr>
          </w:p>
        </w:tc>
        <w:tc>
          <w:tcPr>
            <w:tcW w:w="800" w:type="dxa"/>
            <w:vAlign w:val="bottom"/>
          </w:tcPr>
          <w:p>
            <w:pPr>
              <w:jc w:val="center"/>
              <w:ind w:right="67"/>
              <w:spacing w:after="0" w:line="151" w:lineRule="exact"/>
              <w:rPr>
                <w:sz w:val="20"/>
                <w:szCs w:val="20"/>
                <w:color w:val="auto"/>
              </w:rPr>
            </w:pPr>
            <w:r>
              <w:rPr>
                <w:rFonts w:ascii="Arial" w:cs="Arial" w:eastAsia="Arial" w:hAnsi="Arial"/>
                <w:sz w:val="14"/>
                <w:szCs w:val="14"/>
                <w:b w:val="1"/>
                <w:bCs w:val="1"/>
                <w:color w:val="004987"/>
                <w:w w:val="94"/>
              </w:rPr>
              <w:t>Not</w:t>
            </w:r>
          </w:p>
        </w:tc>
        <w:tc>
          <w:tcPr>
            <w:tcW w:w="820" w:type="dxa"/>
            <w:vAlign w:val="bottom"/>
          </w:tcPr>
          <w:p>
            <w:pPr>
              <w:jc w:val="center"/>
              <w:ind w:left="27"/>
              <w:spacing w:after="0" w:line="151" w:lineRule="exact"/>
              <w:rPr>
                <w:sz w:val="20"/>
                <w:szCs w:val="20"/>
                <w:color w:val="auto"/>
              </w:rPr>
            </w:pPr>
            <w:r>
              <w:rPr>
                <w:rFonts w:ascii="Arial" w:cs="Arial" w:eastAsia="Arial" w:hAnsi="Arial"/>
                <w:sz w:val="14"/>
                <w:szCs w:val="14"/>
                <w:b w:val="1"/>
                <w:bCs w:val="1"/>
                <w:color w:val="004987"/>
                <w:w w:val="98"/>
              </w:rPr>
              <w:t>Have Not</w:t>
            </w:r>
          </w:p>
        </w:tc>
        <w:tc>
          <w:tcPr>
            <w:tcW w:w="142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That Have Not</w:t>
            </w:r>
          </w:p>
        </w:tc>
        <w:tc>
          <w:tcPr>
            <w:tcW w:w="126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004987"/>
                <w:w w:val="97"/>
              </w:rPr>
              <w:t>That Have Not</w:t>
            </w:r>
          </w:p>
        </w:tc>
        <w:tc>
          <w:tcPr>
            <w:tcW w:w="0" w:type="dxa"/>
            <w:vAlign w:val="bottom"/>
          </w:tcPr>
          <w:p>
            <w:pPr>
              <w:spacing w:after="0"/>
              <w:rPr>
                <w:sz w:val="1"/>
                <w:szCs w:val="1"/>
                <w:color w:val="auto"/>
              </w:rPr>
            </w:pPr>
          </w:p>
        </w:tc>
      </w:tr>
      <w:tr>
        <w:trPr>
          <w:trHeight w:val="172"/>
        </w:trPr>
        <w:tc>
          <w:tcPr>
            <w:tcW w:w="132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Grant Date</w:t>
            </w:r>
          </w:p>
        </w:tc>
        <w:tc>
          <w:tcPr>
            <w:tcW w:w="1700" w:type="dxa"/>
            <w:vAlign w:val="bottom"/>
            <w:tcBorders>
              <w:bottom w:val="single" w:sz="8" w:color="004987"/>
            </w:tcBorders>
          </w:tcPr>
          <w:p>
            <w:pPr>
              <w:jc w:val="right"/>
              <w:ind w:right="485"/>
              <w:spacing w:after="0" w:line="166" w:lineRule="exact"/>
              <w:rPr>
                <w:sz w:val="20"/>
                <w:szCs w:val="20"/>
                <w:color w:val="auto"/>
              </w:rPr>
            </w:pPr>
            <w:r>
              <w:rPr>
                <w:rFonts w:ascii="Arial" w:cs="Arial" w:eastAsia="Arial" w:hAnsi="Arial"/>
                <w:sz w:val="12"/>
                <w:szCs w:val="12"/>
                <w:b w:val="1"/>
                <w:bCs w:val="1"/>
                <w:color w:val="004987"/>
              </w:rPr>
              <w:t>Type</w:t>
            </w:r>
            <w:r>
              <w:rPr>
                <w:rFonts w:ascii="Arial" w:cs="Arial" w:eastAsia="Arial" w:hAnsi="Arial"/>
                <w:sz w:val="19"/>
                <w:szCs w:val="19"/>
                <w:color w:val="004987"/>
                <w:vertAlign w:val="superscript"/>
              </w:rPr>
              <w:t>1</w:t>
            </w:r>
          </w:p>
        </w:tc>
        <w:tc>
          <w:tcPr>
            <w:tcW w:w="1280" w:type="dxa"/>
            <w:vAlign w:val="bottom"/>
            <w:tcBorders>
              <w:bottom w:val="single" w:sz="8" w:color="004987"/>
            </w:tcBorders>
            <w:gridSpan w:val="2"/>
          </w:tcPr>
          <w:p>
            <w:pPr>
              <w:jc w:val="center"/>
              <w:ind w:right="45"/>
              <w:spacing w:after="0" w:line="166" w:lineRule="exact"/>
              <w:rPr>
                <w:sz w:val="20"/>
                <w:szCs w:val="20"/>
                <w:color w:val="auto"/>
              </w:rPr>
            </w:pPr>
            <w:r>
              <w:rPr>
                <w:rFonts w:ascii="Arial" w:cs="Arial" w:eastAsia="Arial" w:hAnsi="Arial"/>
                <w:sz w:val="12"/>
                <w:szCs w:val="12"/>
                <w:b w:val="1"/>
                <w:bCs w:val="1"/>
                <w:color w:val="004987"/>
              </w:rPr>
              <w:t>Unexercisable</w:t>
            </w:r>
            <w:r>
              <w:rPr>
                <w:rFonts w:ascii="Arial" w:cs="Arial" w:eastAsia="Arial" w:hAnsi="Arial"/>
                <w:sz w:val="19"/>
                <w:szCs w:val="19"/>
                <w:color w:val="004987"/>
                <w:vertAlign w:val="superscript"/>
              </w:rPr>
              <w:t>2</w:t>
            </w:r>
          </w:p>
        </w:tc>
        <w:tc>
          <w:tcPr>
            <w:tcW w:w="8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9"/>
              </w:rPr>
              <w:t>Price</w:t>
            </w:r>
          </w:p>
        </w:tc>
        <w:tc>
          <w:tcPr>
            <w:tcW w:w="820" w:type="dxa"/>
            <w:vAlign w:val="bottom"/>
            <w:tcBorders>
              <w:bottom w:val="single" w:sz="8" w:color="004987"/>
            </w:tcBorders>
          </w:tcPr>
          <w:p>
            <w:pPr>
              <w:jc w:val="center"/>
              <w:ind w:left="5"/>
              <w:spacing w:after="0"/>
              <w:rPr>
                <w:sz w:val="20"/>
                <w:szCs w:val="20"/>
                <w:color w:val="auto"/>
              </w:rPr>
            </w:pPr>
            <w:r>
              <w:rPr>
                <w:rFonts w:ascii="Arial" w:cs="Arial" w:eastAsia="Arial" w:hAnsi="Arial"/>
                <w:sz w:val="14"/>
                <w:szCs w:val="14"/>
                <w:b w:val="1"/>
                <w:bCs w:val="1"/>
                <w:color w:val="004987"/>
                <w:w w:val="98"/>
              </w:rPr>
              <w:t>Date</w:t>
            </w:r>
          </w:p>
        </w:tc>
        <w:tc>
          <w:tcPr>
            <w:tcW w:w="220" w:type="dxa"/>
            <w:vAlign w:val="bottom"/>
            <w:tcBorders>
              <w:bottom w:val="single" w:sz="8" w:color="004987"/>
            </w:tcBorders>
          </w:tcPr>
          <w:p>
            <w:pPr>
              <w:spacing w:after="0"/>
              <w:rPr>
                <w:sz w:val="14"/>
                <w:szCs w:val="14"/>
                <w:color w:val="auto"/>
              </w:rPr>
            </w:pPr>
          </w:p>
        </w:tc>
        <w:tc>
          <w:tcPr>
            <w:tcW w:w="800" w:type="dxa"/>
            <w:vAlign w:val="bottom"/>
            <w:tcBorders>
              <w:bottom w:val="single" w:sz="8" w:color="004987"/>
            </w:tcBorders>
          </w:tcPr>
          <w:p>
            <w:pPr>
              <w:jc w:val="center"/>
              <w:ind w:right="67"/>
              <w:spacing w:after="0" w:line="166" w:lineRule="exact"/>
              <w:rPr>
                <w:sz w:val="20"/>
                <w:szCs w:val="20"/>
                <w:color w:val="auto"/>
              </w:rPr>
            </w:pPr>
            <w:r>
              <w:rPr>
                <w:rFonts w:ascii="Arial" w:cs="Arial" w:eastAsia="Arial" w:hAnsi="Arial"/>
                <w:sz w:val="12"/>
                <w:szCs w:val="12"/>
                <w:b w:val="1"/>
                <w:bCs w:val="1"/>
                <w:color w:val="004987"/>
              </w:rPr>
              <w:t>Vested</w:t>
            </w:r>
            <w:r>
              <w:rPr>
                <w:rFonts w:ascii="Arial" w:cs="Arial" w:eastAsia="Arial" w:hAnsi="Arial"/>
                <w:sz w:val="19"/>
                <w:szCs w:val="19"/>
                <w:color w:val="004987"/>
                <w:vertAlign w:val="superscript"/>
              </w:rPr>
              <w:t>3</w:t>
            </w:r>
          </w:p>
        </w:tc>
        <w:tc>
          <w:tcPr>
            <w:tcW w:w="820" w:type="dxa"/>
            <w:vAlign w:val="bottom"/>
            <w:tcBorders>
              <w:bottom w:val="single" w:sz="8" w:color="004987"/>
            </w:tcBorders>
          </w:tcPr>
          <w:p>
            <w:pPr>
              <w:jc w:val="center"/>
              <w:ind w:left="27"/>
              <w:spacing w:after="0"/>
              <w:rPr>
                <w:sz w:val="20"/>
                <w:szCs w:val="20"/>
                <w:color w:val="auto"/>
              </w:rPr>
            </w:pPr>
            <w:r>
              <w:rPr>
                <w:rFonts w:ascii="Arial" w:cs="Arial" w:eastAsia="Arial" w:hAnsi="Arial"/>
                <w:sz w:val="14"/>
                <w:szCs w:val="14"/>
                <w:b w:val="1"/>
                <w:bCs w:val="1"/>
                <w:color w:val="004987"/>
                <w:w w:val="95"/>
              </w:rPr>
              <w:t>Vested</w:t>
            </w:r>
          </w:p>
        </w:tc>
        <w:tc>
          <w:tcPr>
            <w:tcW w:w="142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5"/>
              </w:rPr>
              <w:t>Vested (#)</w:t>
            </w:r>
          </w:p>
        </w:tc>
        <w:tc>
          <w:tcPr>
            <w:tcW w:w="1260" w:type="dxa"/>
            <w:vAlign w:val="bottom"/>
            <w:tcBorders>
              <w:bottom w:val="single" w:sz="8" w:color="004987"/>
            </w:tcBorders>
            <w:gridSpan w:val="2"/>
          </w:tcPr>
          <w:p>
            <w:pPr>
              <w:jc w:val="center"/>
              <w:ind w:right="60"/>
              <w:spacing w:after="0"/>
              <w:rPr>
                <w:sz w:val="20"/>
                <w:szCs w:val="20"/>
                <w:color w:val="auto"/>
              </w:rPr>
            </w:pPr>
            <w:r>
              <w:rPr>
                <w:rFonts w:ascii="Arial" w:cs="Arial" w:eastAsia="Arial" w:hAnsi="Arial"/>
                <w:sz w:val="14"/>
                <w:szCs w:val="14"/>
                <w:b w:val="1"/>
                <w:bCs w:val="1"/>
                <w:color w:val="004987"/>
                <w:w w:val="95"/>
              </w:rPr>
              <w:t>Vested ($)</w:t>
            </w:r>
          </w:p>
        </w:tc>
        <w:tc>
          <w:tcPr>
            <w:tcW w:w="0" w:type="dxa"/>
            <w:vAlign w:val="bottom"/>
          </w:tcPr>
          <w:p>
            <w:pPr>
              <w:spacing w:after="0"/>
              <w:rPr>
                <w:sz w:val="1"/>
                <w:szCs w:val="1"/>
                <w:color w:val="auto"/>
              </w:rPr>
            </w:pPr>
          </w:p>
        </w:tc>
      </w:tr>
      <w:tr>
        <w:trPr>
          <w:trHeight w:val="167"/>
        </w:trPr>
        <w:tc>
          <w:tcPr>
            <w:tcW w:w="1320" w:type="dxa"/>
            <w:vAlign w:val="bottom"/>
          </w:tcPr>
          <w:p>
            <w:pPr>
              <w:spacing w:after="0" w:line="167" w:lineRule="exact"/>
              <w:rPr>
                <w:sz w:val="20"/>
                <w:szCs w:val="20"/>
                <w:color w:val="auto"/>
              </w:rPr>
            </w:pPr>
            <w:r>
              <w:rPr>
                <w:rFonts w:ascii="Arial" w:cs="Arial" w:eastAsia="Arial" w:hAnsi="Arial"/>
                <w:sz w:val="15"/>
                <w:szCs w:val="15"/>
                <w:b w:val="1"/>
                <w:bCs w:val="1"/>
                <w:color w:val="004987"/>
              </w:rPr>
              <w:t>S. Weisz</w:t>
            </w:r>
          </w:p>
        </w:tc>
        <w:tc>
          <w:tcPr>
            <w:tcW w:w="1700" w:type="dxa"/>
            <w:vAlign w:val="bottom"/>
            <w:vMerge w:val="restart"/>
          </w:tcPr>
          <w:p>
            <w:pPr>
              <w:jc w:val="right"/>
              <w:ind w:right="125"/>
              <w:spacing w:after="0"/>
              <w:rPr>
                <w:sz w:val="20"/>
                <w:szCs w:val="20"/>
                <w:color w:val="auto"/>
              </w:rPr>
            </w:pPr>
            <w:r>
              <w:rPr>
                <w:rFonts w:ascii="Arial" w:cs="Arial" w:eastAsia="Arial" w:hAnsi="Arial"/>
                <w:sz w:val="15"/>
                <w:szCs w:val="15"/>
                <w:color w:val="auto"/>
              </w:rPr>
              <w:t>Performance</w:t>
            </w:r>
            <w:r>
              <w:rPr>
                <w:rFonts w:ascii="Arial" w:cs="Arial" w:eastAsia="Arial" w:hAnsi="Arial"/>
                <w:sz w:val="26"/>
                <w:szCs w:val="26"/>
                <w:color w:val="auto"/>
                <w:vertAlign w:val="superscript"/>
              </w:rPr>
              <w:t>4</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vMerge w:val="restart"/>
          </w:tcPr>
          <w:p>
            <w:pPr>
              <w:jc w:val="right"/>
              <w:ind w:right="7"/>
              <w:spacing w:after="0"/>
              <w:rPr>
                <w:sz w:val="20"/>
                <w:szCs w:val="20"/>
                <w:color w:val="auto"/>
              </w:rPr>
            </w:pPr>
            <w:r>
              <w:rPr>
                <w:rFonts w:ascii="Arial" w:cs="Arial" w:eastAsia="Arial" w:hAnsi="Arial"/>
                <w:sz w:val="15"/>
                <w:szCs w:val="15"/>
                <w:color w:val="auto"/>
              </w:rPr>
              <w:t>12,663</w:t>
            </w:r>
            <w:r>
              <w:rPr>
                <w:rFonts w:ascii="Arial" w:cs="Arial" w:eastAsia="Arial" w:hAnsi="Arial"/>
                <w:sz w:val="26"/>
                <w:szCs w:val="26"/>
                <w:color w:val="auto"/>
                <w:vertAlign w:val="superscript"/>
              </w:rPr>
              <w:t>4</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2,139,709</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3/2/2020</w:t>
            </w:r>
          </w:p>
        </w:tc>
        <w:tc>
          <w:tcPr>
            <w:tcW w:w="1700" w:type="dxa"/>
            <w:vAlign w:val="bottom"/>
            <w:vMerge w:val="continue"/>
          </w:tcPr>
          <w:p>
            <w:pPr>
              <w:spacing w:after="0"/>
              <w:rPr>
                <w:sz w:val="15"/>
                <w:szCs w:val="15"/>
                <w:color w:val="auto"/>
              </w:rPr>
            </w:pP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3/2/2015</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27,227</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77.42</w:t>
            </w:r>
          </w:p>
        </w:tc>
        <w:tc>
          <w:tcPr>
            <w:tcW w:w="820" w:type="dxa"/>
            <w:vAlign w:val="bottom"/>
          </w:tcPr>
          <w:p>
            <w:pPr>
              <w:jc w:val="right"/>
              <w:spacing w:after="0"/>
              <w:rPr>
                <w:sz w:val="20"/>
                <w:szCs w:val="20"/>
                <w:color w:val="auto"/>
              </w:rPr>
            </w:pPr>
            <w:r>
              <w:rPr>
                <w:rFonts w:ascii="Arial" w:cs="Arial" w:eastAsia="Arial" w:hAnsi="Arial"/>
                <w:sz w:val="15"/>
                <w:szCs w:val="15"/>
                <w:color w:val="auto"/>
              </w:rPr>
              <w:t>3/2/2025</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2/29/2016</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55,831</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61.71</w:t>
            </w:r>
          </w:p>
        </w:tc>
        <w:tc>
          <w:tcPr>
            <w:tcW w:w="820" w:type="dxa"/>
            <w:vAlign w:val="bottom"/>
          </w:tcPr>
          <w:p>
            <w:pPr>
              <w:jc w:val="right"/>
              <w:spacing w:after="0"/>
              <w:rPr>
                <w:sz w:val="20"/>
                <w:szCs w:val="20"/>
                <w:color w:val="auto"/>
              </w:rPr>
            </w:pPr>
            <w:r>
              <w:rPr>
                <w:rFonts w:ascii="Arial" w:cs="Arial" w:eastAsia="Arial" w:hAnsi="Arial"/>
                <w:sz w:val="15"/>
                <w:szCs w:val="15"/>
                <w:color w:val="auto"/>
              </w:rPr>
              <w:t>2/28/2026</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2/27/2017</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35,831</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97.53</w:t>
            </w:r>
          </w:p>
        </w:tc>
        <w:tc>
          <w:tcPr>
            <w:tcW w:w="820" w:type="dxa"/>
            <w:vAlign w:val="bottom"/>
          </w:tcPr>
          <w:p>
            <w:pPr>
              <w:jc w:val="right"/>
              <w:spacing w:after="0"/>
              <w:rPr>
                <w:sz w:val="20"/>
                <w:szCs w:val="20"/>
                <w:color w:val="auto"/>
              </w:rPr>
            </w:pPr>
            <w:r>
              <w:rPr>
                <w:rFonts w:ascii="Arial" w:cs="Arial" w:eastAsia="Arial" w:hAnsi="Arial"/>
                <w:sz w:val="15"/>
                <w:szCs w:val="15"/>
                <w:color w:val="auto"/>
              </w:rPr>
              <w:t>2/27/2027</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3/1/2018</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18,100</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6,034</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143.38</w:t>
            </w:r>
          </w:p>
        </w:tc>
        <w:tc>
          <w:tcPr>
            <w:tcW w:w="820" w:type="dxa"/>
            <w:vAlign w:val="bottom"/>
          </w:tcPr>
          <w:p>
            <w:pPr>
              <w:jc w:val="right"/>
              <w:spacing w:after="0"/>
              <w:rPr>
                <w:sz w:val="20"/>
                <w:szCs w:val="20"/>
                <w:color w:val="auto"/>
              </w:rPr>
            </w:pPr>
            <w:r>
              <w:rPr>
                <w:rFonts w:ascii="Arial" w:cs="Arial" w:eastAsia="Arial" w:hAnsi="Arial"/>
                <w:sz w:val="15"/>
                <w:szCs w:val="15"/>
                <w:color w:val="auto"/>
              </w:rPr>
              <w:t>3/1/2028</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3/4/2019</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21,807</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21,807</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100.52</w:t>
            </w:r>
          </w:p>
        </w:tc>
        <w:tc>
          <w:tcPr>
            <w:tcW w:w="820" w:type="dxa"/>
            <w:vAlign w:val="bottom"/>
          </w:tcPr>
          <w:p>
            <w:pPr>
              <w:jc w:val="right"/>
              <w:spacing w:after="0"/>
              <w:rPr>
                <w:sz w:val="20"/>
                <w:szCs w:val="20"/>
                <w:color w:val="auto"/>
              </w:rPr>
            </w:pPr>
            <w:r>
              <w:rPr>
                <w:rFonts w:ascii="Arial" w:cs="Arial" w:eastAsia="Arial" w:hAnsi="Arial"/>
                <w:sz w:val="15"/>
                <w:szCs w:val="15"/>
                <w:color w:val="auto"/>
              </w:rPr>
              <w:t>3/4/2029</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3/2/2020</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11,643</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34,931</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96.82</w:t>
            </w:r>
          </w:p>
        </w:tc>
        <w:tc>
          <w:tcPr>
            <w:tcW w:w="820" w:type="dxa"/>
            <w:vAlign w:val="bottom"/>
          </w:tcPr>
          <w:p>
            <w:pPr>
              <w:jc w:val="right"/>
              <w:spacing w:after="0"/>
              <w:rPr>
                <w:sz w:val="20"/>
                <w:szCs w:val="20"/>
                <w:color w:val="auto"/>
              </w:rPr>
            </w:pPr>
            <w:r>
              <w:rPr>
                <w:rFonts w:ascii="Arial" w:cs="Arial" w:eastAsia="Arial" w:hAnsi="Arial"/>
                <w:sz w:val="15"/>
                <w:szCs w:val="15"/>
                <w:color w:val="auto"/>
              </w:rPr>
              <w:t>3/2/2030</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3/1/2021</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SARs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38,919</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173.88</w:t>
            </w:r>
          </w:p>
        </w:tc>
        <w:tc>
          <w:tcPr>
            <w:tcW w:w="820" w:type="dxa"/>
            <w:vAlign w:val="bottom"/>
          </w:tcPr>
          <w:p>
            <w:pPr>
              <w:jc w:val="right"/>
              <w:spacing w:after="0"/>
              <w:rPr>
                <w:sz w:val="20"/>
                <w:szCs w:val="20"/>
                <w:color w:val="auto"/>
              </w:rPr>
            </w:pPr>
            <w:r>
              <w:rPr>
                <w:rFonts w:ascii="Arial" w:cs="Arial" w:eastAsia="Arial" w:hAnsi="Arial"/>
                <w:sz w:val="15"/>
                <w:szCs w:val="15"/>
                <w:color w:val="auto"/>
              </w:rPr>
              <w:t>3/1/2031</w:t>
            </w:r>
          </w:p>
        </w:tc>
        <w:tc>
          <w:tcPr>
            <w:tcW w:w="220" w:type="dxa"/>
            <w:vAlign w:val="bottom"/>
          </w:tcPr>
          <w:p>
            <w:pPr>
              <w:spacing w:after="0"/>
              <w:rPr>
                <w:sz w:val="15"/>
                <w:szCs w:val="15"/>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3/1/2018</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RSUs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rPr>
                <w:sz w:val="20"/>
                <w:szCs w:val="20"/>
                <w:color w:val="auto"/>
              </w:rPr>
            </w:pPr>
            <w:r>
              <w:rPr>
                <w:rFonts w:ascii="Arial" w:cs="Arial" w:eastAsia="Arial" w:hAnsi="Arial"/>
                <w:sz w:val="15"/>
                <w:szCs w:val="15"/>
                <w:color w:val="auto"/>
              </w:rPr>
              <w:t>1,614</w:t>
            </w:r>
          </w:p>
        </w:tc>
        <w:tc>
          <w:tcPr>
            <w:tcW w:w="820" w:type="dxa"/>
            <w:vAlign w:val="bottom"/>
          </w:tcPr>
          <w:p>
            <w:pPr>
              <w:jc w:val="right"/>
              <w:spacing w:after="0"/>
              <w:rPr>
                <w:sz w:val="20"/>
                <w:szCs w:val="20"/>
                <w:color w:val="auto"/>
              </w:rPr>
            </w:pPr>
            <w:r>
              <w:rPr>
                <w:rFonts w:ascii="Arial" w:cs="Arial" w:eastAsia="Arial" w:hAnsi="Arial"/>
                <w:sz w:val="15"/>
                <w:szCs w:val="15"/>
                <w:color w:val="auto"/>
              </w:rPr>
              <w:t>272,734</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3/4/2019</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RSUs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rPr>
                <w:sz w:val="20"/>
                <w:szCs w:val="20"/>
                <w:color w:val="auto"/>
              </w:rPr>
            </w:pPr>
            <w:r>
              <w:rPr>
                <w:rFonts w:ascii="Arial" w:cs="Arial" w:eastAsia="Arial" w:hAnsi="Arial"/>
                <w:sz w:val="15"/>
                <w:szCs w:val="15"/>
                <w:color w:val="auto"/>
              </w:rPr>
              <w:t>5,458</w:t>
            </w:r>
          </w:p>
        </w:tc>
        <w:tc>
          <w:tcPr>
            <w:tcW w:w="820" w:type="dxa"/>
            <w:vAlign w:val="bottom"/>
          </w:tcPr>
          <w:p>
            <w:pPr>
              <w:jc w:val="right"/>
              <w:spacing w:after="0"/>
              <w:rPr>
                <w:sz w:val="20"/>
                <w:szCs w:val="20"/>
                <w:color w:val="auto"/>
              </w:rPr>
            </w:pPr>
            <w:r>
              <w:rPr>
                <w:rFonts w:ascii="Arial" w:cs="Arial" w:eastAsia="Arial" w:hAnsi="Arial"/>
                <w:sz w:val="15"/>
                <w:szCs w:val="15"/>
                <w:color w:val="auto"/>
              </w:rPr>
              <w:t>922,293</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3/2/2020</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RSUs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rPr>
                <w:sz w:val="20"/>
                <w:szCs w:val="20"/>
                <w:color w:val="auto"/>
              </w:rPr>
            </w:pPr>
            <w:r>
              <w:rPr>
                <w:rFonts w:ascii="Arial" w:cs="Arial" w:eastAsia="Arial" w:hAnsi="Arial"/>
                <w:sz w:val="15"/>
                <w:szCs w:val="15"/>
                <w:color w:val="auto"/>
              </w:rPr>
              <w:t>7,515</w:t>
            </w:r>
          </w:p>
        </w:tc>
        <w:tc>
          <w:tcPr>
            <w:tcW w:w="820" w:type="dxa"/>
            <w:vAlign w:val="bottom"/>
          </w:tcPr>
          <w:p>
            <w:pPr>
              <w:jc w:val="right"/>
              <w:spacing w:after="0"/>
              <w:rPr>
                <w:sz w:val="20"/>
                <w:szCs w:val="20"/>
                <w:color w:val="auto"/>
              </w:rPr>
            </w:pPr>
            <w:r>
              <w:rPr>
                <w:rFonts w:ascii="Arial" w:cs="Arial" w:eastAsia="Arial" w:hAnsi="Arial"/>
                <w:sz w:val="15"/>
                <w:szCs w:val="15"/>
                <w:color w:val="auto"/>
              </w:rPr>
              <w:t>1,269,885</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20" w:type="dxa"/>
            <w:vAlign w:val="bottom"/>
          </w:tcPr>
          <w:p>
            <w:pPr>
              <w:spacing w:after="0"/>
              <w:rPr>
                <w:sz w:val="20"/>
                <w:szCs w:val="20"/>
                <w:color w:val="auto"/>
              </w:rPr>
            </w:pPr>
            <w:r>
              <w:rPr>
                <w:rFonts w:ascii="Arial" w:cs="Arial" w:eastAsia="Arial" w:hAnsi="Arial"/>
                <w:sz w:val="15"/>
                <w:szCs w:val="15"/>
                <w:color w:val="auto"/>
              </w:rPr>
              <w:t>3/1/2021</w:t>
            </w:r>
          </w:p>
        </w:tc>
        <w:tc>
          <w:tcPr>
            <w:tcW w:w="1700" w:type="dxa"/>
            <w:vAlign w:val="bottom"/>
          </w:tcPr>
          <w:p>
            <w:pPr>
              <w:jc w:val="right"/>
              <w:ind w:right="205"/>
              <w:spacing w:after="0"/>
              <w:rPr>
                <w:sz w:val="20"/>
                <w:szCs w:val="20"/>
                <w:color w:val="auto"/>
              </w:rPr>
            </w:pPr>
            <w:r>
              <w:rPr>
                <w:rFonts w:ascii="Arial" w:cs="Arial" w:eastAsia="Arial" w:hAnsi="Arial"/>
                <w:sz w:val="15"/>
                <w:szCs w:val="15"/>
                <w:color w:val="auto"/>
              </w:rPr>
              <w:t>VAC RSUs</w:t>
            </w:r>
          </w:p>
        </w:tc>
        <w:tc>
          <w:tcPr>
            <w:tcW w:w="6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rPr>
                <w:sz w:val="20"/>
                <w:szCs w:val="20"/>
                <w:color w:val="auto"/>
              </w:rPr>
            </w:pPr>
            <w:r>
              <w:rPr>
                <w:rFonts w:ascii="Arial" w:cs="Arial" w:eastAsia="Arial" w:hAnsi="Arial"/>
                <w:sz w:val="15"/>
                <w:szCs w:val="15"/>
                <w:color w:val="auto"/>
              </w:rPr>
              <w:t>16,256</w:t>
            </w:r>
          </w:p>
        </w:tc>
        <w:tc>
          <w:tcPr>
            <w:tcW w:w="820" w:type="dxa"/>
            <w:vAlign w:val="bottom"/>
          </w:tcPr>
          <w:p>
            <w:pPr>
              <w:jc w:val="right"/>
              <w:spacing w:after="0"/>
              <w:rPr>
                <w:sz w:val="20"/>
                <w:szCs w:val="20"/>
                <w:color w:val="auto"/>
              </w:rPr>
            </w:pPr>
            <w:r>
              <w:rPr>
                <w:rFonts w:ascii="Arial" w:cs="Arial" w:eastAsia="Arial" w:hAnsi="Arial"/>
                <w:sz w:val="15"/>
                <w:szCs w:val="15"/>
                <w:color w:val="auto"/>
              </w:rPr>
              <w:t>2,746,939</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12/15/2021</w:t>
            </w:r>
          </w:p>
        </w:tc>
        <w:tc>
          <w:tcPr>
            <w:tcW w:w="17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VAC RSUs</w:t>
            </w:r>
          </w:p>
        </w:tc>
        <w:tc>
          <w:tcPr>
            <w:tcW w:w="6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rPr>
              <w:t>18,865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3,187,808</w:t>
            </w:r>
          </w:p>
        </w:tc>
        <w:tc>
          <w:tcPr>
            <w:tcW w:w="14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1320" w:type="dxa"/>
            <w:vAlign w:val="bottom"/>
            <w:tcBorders>
              <w:bottom w:val="single" w:sz="8" w:color="004987"/>
            </w:tcBorders>
          </w:tcPr>
          <w:p>
            <w:pPr>
              <w:spacing w:after="0"/>
              <w:rPr>
                <w:sz w:val="20"/>
                <w:szCs w:val="20"/>
                <w:color w:val="auto"/>
              </w:rPr>
            </w:pPr>
            <w:r>
              <w:rPr>
                <w:rFonts w:ascii="Arial" w:cs="Arial" w:eastAsia="Arial" w:hAnsi="Arial"/>
                <w:sz w:val="10"/>
                <w:szCs w:val="10"/>
                <w:b w:val="1"/>
                <w:bCs w:val="1"/>
                <w:color w:val="004987"/>
              </w:rPr>
              <w:t>38</w:t>
            </w:r>
          </w:p>
        </w:tc>
        <w:tc>
          <w:tcPr>
            <w:tcW w:w="1700" w:type="dxa"/>
            <w:vAlign w:val="bottom"/>
            <w:tcBorders>
              <w:bottom w:val="single" w:sz="8" w:color="004987"/>
            </w:tcBorders>
          </w:tcPr>
          <w:p>
            <w:pPr>
              <w:spacing w:after="0"/>
              <w:rPr>
                <w:sz w:val="21"/>
                <w:szCs w:val="21"/>
                <w:color w:val="auto"/>
              </w:rPr>
            </w:pPr>
          </w:p>
        </w:tc>
        <w:tc>
          <w:tcPr>
            <w:tcW w:w="600" w:type="dxa"/>
            <w:vAlign w:val="bottom"/>
            <w:tcBorders>
              <w:bottom w:val="single" w:sz="8" w:color="004987"/>
            </w:tcBorders>
          </w:tcPr>
          <w:p>
            <w:pPr>
              <w:spacing w:after="0"/>
              <w:rPr>
                <w:sz w:val="21"/>
                <w:szCs w:val="21"/>
                <w:color w:val="auto"/>
              </w:rPr>
            </w:pPr>
          </w:p>
        </w:tc>
        <w:tc>
          <w:tcPr>
            <w:tcW w:w="3340" w:type="dxa"/>
            <w:vAlign w:val="bottom"/>
            <w:tcBorders>
              <w:bottom w:val="single" w:sz="8" w:color="004987"/>
            </w:tcBorders>
            <w:gridSpan w:val="5"/>
          </w:tcPr>
          <w:p>
            <w:pPr>
              <w:jc w:val="right"/>
              <w:ind w:right="567"/>
              <w:spacing w:after="0"/>
              <w:rPr>
                <w:sz w:val="20"/>
                <w:szCs w:val="20"/>
                <w:color w:val="auto"/>
              </w:rPr>
            </w:pPr>
            <w:r>
              <w:rPr>
                <w:rFonts w:ascii="Arial" w:cs="Arial" w:eastAsia="Arial" w:hAnsi="Arial"/>
                <w:sz w:val="10"/>
                <w:szCs w:val="10"/>
                <w:color w:val="auto"/>
              </w:rPr>
              <w:t>Executive Compensation Tables and Discussion</w:t>
            </w:r>
          </w:p>
        </w:tc>
        <w:tc>
          <w:tcPr>
            <w:tcW w:w="3500" w:type="dxa"/>
            <w:vAlign w:val="bottom"/>
            <w:tcBorders>
              <w:bottom w:val="single" w:sz="8" w:color="004987"/>
            </w:tcBorders>
            <w:gridSpan w:val="4"/>
          </w:tcPr>
          <w:p>
            <w:pPr>
              <w:jc w:val="right"/>
              <w:spacing w:after="0"/>
              <w:rPr>
                <w:sz w:val="20"/>
                <w:szCs w:val="20"/>
                <w:color w:val="auto"/>
              </w:rPr>
            </w:pP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43" w:name="page44"/>
    <w:bookmarkEnd w:id="4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2"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Borders>
              <w:bottom w:val="single" w:sz="8" w:color="004987"/>
            </w:tcBorders>
          </w:tcPr>
          <w:p>
            <w:pPr>
              <w:spacing w:after="0"/>
              <w:rPr>
                <w:sz w:val="14"/>
                <w:szCs w:val="14"/>
                <w:color w:val="auto"/>
              </w:rPr>
            </w:pPr>
          </w:p>
        </w:tc>
        <w:tc>
          <w:tcPr>
            <w:tcW w:w="1540" w:type="dxa"/>
            <w:vAlign w:val="bottom"/>
            <w:tcBorders>
              <w:bottom w:val="single" w:sz="8" w:color="004987"/>
            </w:tcBorders>
            <w:gridSpan w:val="2"/>
          </w:tcPr>
          <w:p>
            <w:pPr>
              <w:jc w:val="right"/>
              <w:ind w:right="104"/>
              <w:spacing w:after="0"/>
              <w:rPr>
                <w:sz w:val="20"/>
                <w:szCs w:val="20"/>
                <w:color w:val="auto"/>
              </w:rPr>
            </w:pPr>
            <w:r>
              <w:rPr>
                <w:rFonts w:ascii="Arial" w:cs="Arial" w:eastAsia="Arial" w:hAnsi="Arial"/>
                <w:sz w:val="14"/>
                <w:szCs w:val="14"/>
                <w:b w:val="1"/>
                <w:bCs w:val="1"/>
                <w:color w:val="004987"/>
              </w:rPr>
              <w:t>Option Awards</w:t>
            </w:r>
          </w:p>
        </w:tc>
        <w:tc>
          <w:tcPr>
            <w:tcW w:w="860" w:type="dxa"/>
            <w:vAlign w:val="bottom"/>
            <w:tcBorders>
              <w:bottom w:val="single" w:sz="8" w:color="004987"/>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004987"/>
            </w:tcBorders>
          </w:tcPr>
          <w:p>
            <w:pPr>
              <w:spacing w:after="0"/>
              <w:rPr>
                <w:sz w:val="14"/>
                <w:szCs w:val="14"/>
                <w:color w:val="auto"/>
              </w:rPr>
            </w:pPr>
          </w:p>
        </w:tc>
        <w:tc>
          <w:tcPr>
            <w:tcW w:w="860" w:type="dxa"/>
            <w:vAlign w:val="bottom"/>
            <w:tcBorders>
              <w:bottom w:val="single" w:sz="8" w:color="004987"/>
            </w:tcBorders>
          </w:tcPr>
          <w:p>
            <w:pPr>
              <w:spacing w:after="0"/>
              <w:rPr>
                <w:sz w:val="14"/>
                <w:szCs w:val="14"/>
                <w:color w:val="auto"/>
              </w:rPr>
            </w:pPr>
          </w:p>
        </w:tc>
        <w:tc>
          <w:tcPr>
            <w:tcW w:w="1440" w:type="dxa"/>
            <w:vAlign w:val="bottom"/>
            <w:tcBorders>
              <w:bottom w:val="single" w:sz="8" w:color="004987"/>
            </w:tcBorders>
          </w:tcPr>
          <w:p>
            <w:pPr>
              <w:jc w:val="right"/>
              <w:ind w:right="465"/>
              <w:spacing w:after="0"/>
              <w:rPr>
                <w:sz w:val="20"/>
                <w:szCs w:val="20"/>
                <w:color w:val="auto"/>
              </w:rPr>
            </w:pPr>
            <w:r>
              <w:rPr>
                <w:rFonts w:ascii="Arial" w:cs="Arial" w:eastAsia="Arial" w:hAnsi="Arial"/>
                <w:sz w:val="14"/>
                <w:szCs w:val="14"/>
                <w:b w:val="1"/>
                <w:bCs w:val="1"/>
                <w:color w:val="004987"/>
                <w:w w:val="94"/>
              </w:rPr>
              <w:t>Stock Awards</w:t>
            </w:r>
          </w:p>
        </w:tc>
        <w:tc>
          <w:tcPr>
            <w:tcW w:w="1160" w:type="dxa"/>
            <w:vAlign w:val="bottom"/>
            <w:tcBorders>
              <w:bottom w:val="single" w:sz="8" w:color="004987"/>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60" w:type="dxa"/>
            <w:vAlign w:val="bottom"/>
          </w:tcPr>
          <w:p>
            <w:pPr>
              <w:jc w:val="right"/>
              <w:spacing w:after="0" w:line="137" w:lineRule="exact"/>
              <w:rPr>
                <w:sz w:val="20"/>
                <w:szCs w:val="20"/>
                <w:color w:val="auto"/>
              </w:rPr>
            </w:pPr>
            <w:r>
              <w:rPr>
                <w:rFonts w:ascii="Arial" w:cs="Arial" w:eastAsia="Arial" w:hAnsi="Arial"/>
                <w:sz w:val="14"/>
                <w:szCs w:val="14"/>
                <w:b w:val="1"/>
                <w:bCs w:val="1"/>
                <w:color w:val="004987"/>
              </w:rPr>
              <w:t>Equity Incentive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jc w:val="right"/>
              <w:ind w:right="105"/>
              <w:spacing w:after="0" w:line="154" w:lineRule="exact"/>
              <w:rPr>
                <w:sz w:val="20"/>
                <w:szCs w:val="20"/>
                <w:color w:val="auto"/>
              </w:rPr>
            </w:pPr>
            <w:r>
              <w:rPr>
                <w:rFonts w:ascii="Arial" w:cs="Arial" w:eastAsia="Arial" w:hAnsi="Arial"/>
                <w:sz w:val="14"/>
                <w:szCs w:val="14"/>
                <w:b w:val="1"/>
                <w:bCs w:val="1"/>
                <w:color w:val="004987"/>
              </w:rPr>
              <w:t>Equity Incentive</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9"/>
              </w:rPr>
              <w:t>Plan Awards:</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gridSpan w:val="2"/>
          </w:tcPr>
          <w:p>
            <w:pPr>
              <w:jc w:val="center"/>
              <w:ind w:right="3"/>
              <w:spacing w:after="0" w:line="154" w:lineRule="exact"/>
              <w:rPr>
                <w:sz w:val="20"/>
                <w:szCs w:val="20"/>
                <w:color w:val="auto"/>
              </w:rPr>
            </w:pPr>
            <w:r>
              <w:rPr>
                <w:rFonts w:ascii="Arial" w:cs="Arial" w:eastAsia="Arial" w:hAnsi="Arial"/>
                <w:sz w:val="14"/>
                <w:szCs w:val="14"/>
                <w:b w:val="1"/>
                <w:bCs w:val="1"/>
                <w:color w:val="004987"/>
                <w:w w:val="97"/>
              </w:rPr>
              <w:t>Number of</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gridSpan w:val="2"/>
          </w:tcPr>
          <w:p>
            <w:pPr>
              <w:jc w:val="center"/>
              <w:ind w:left="3"/>
              <w:spacing w:after="0" w:line="154" w:lineRule="exact"/>
              <w:rPr>
                <w:sz w:val="20"/>
                <w:szCs w:val="20"/>
                <w:color w:val="auto"/>
              </w:rPr>
            </w:pPr>
            <w:r>
              <w:rPr>
                <w:rFonts w:ascii="Arial" w:cs="Arial" w:eastAsia="Arial" w:hAnsi="Arial"/>
                <w:sz w:val="14"/>
                <w:szCs w:val="14"/>
                <w:b w:val="1"/>
                <w:bCs w:val="1"/>
                <w:color w:val="004987"/>
                <w:w w:val="97"/>
              </w:rPr>
              <w:t>Number of</w:t>
            </w:r>
          </w:p>
        </w:tc>
        <w:tc>
          <w:tcPr>
            <w:tcW w:w="860" w:type="dxa"/>
            <w:vAlign w:val="bottom"/>
          </w:tcPr>
          <w:p>
            <w:pPr>
              <w:jc w:val="center"/>
              <w:ind w:left="24"/>
              <w:spacing w:after="0" w:line="154" w:lineRule="exact"/>
              <w:rPr>
                <w:sz w:val="20"/>
                <w:szCs w:val="20"/>
                <w:color w:val="auto"/>
              </w:rPr>
            </w:pPr>
            <w:r>
              <w:rPr>
                <w:rFonts w:ascii="Arial" w:cs="Arial" w:eastAsia="Arial" w:hAnsi="Arial"/>
                <w:sz w:val="14"/>
                <w:szCs w:val="14"/>
                <w:b w:val="1"/>
                <w:bCs w:val="1"/>
                <w:color w:val="004987"/>
                <w:w w:val="97"/>
              </w:rPr>
              <w:t>Market</w:t>
            </w:r>
          </w:p>
        </w:tc>
        <w:tc>
          <w:tcPr>
            <w:tcW w:w="14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9"/>
              </w:rPr>
              <w:t>Plan Awards:</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5"/>
              </w:rPr>
              <w:t>Market or</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004987"/>
                <w:w w:val="98"/>
              </w:rPr>
              <w:t>Securities</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65"/>
              <w:spacing w:after="0" w:line="154" w:lineRule="exact"/>
              <w:rPr>
                <w:sz w:val="20"/>
                <w:szCs w:val="20"/>
                <w:color w:val="auto"/>
              </w:rPr>
            </w:pPr>
            <w:r>
              <w:rPr>
                <w:rFonts w:ascii="Arial" w:cs="Arial" w:eastAsia="Arial" w:hAnsi="Arial"/>
                <w:sz w:val="14"/>
                <w:szCs w:val="14"/>
                <w:b w:val="1"/>
                <w:bCs w:val="1"/>
                <w:color w:val="004987"/>
                <w:w w:val="99"/>
              </w:rPr>
              <w:t>Shares or</w:t>
            </w:r>
          </w:p>
        </w:tc>
        <w:tc>
          <w:tcPr>
            <w:tcW w:w="860" w:type="dxa"/>
            <w:vAlign w:val="bottom"/>
          </w:tcPr>
          <w:p>
            <w:pPr>
              <w:jc w:val="center"/>
              <w:ind w:left="24"/>
              <w:spacing w:after="0" w:line="154" w:lineRule="exact"/>
              <w:rPr>
                <w:sz w:val="20"/>
                <w:szCs w:val="20"/>
                <w:color w:val="auto"/>
              </w:rPr>
            </w:pPr>
            <w:r>
              <w:rPr>
                <w:rFonts w:ascii="Arial" w:cs="Arial" w:eastAsia="Arial" w:hAnsi="Arial"/>
                <w:sz w:val="14"/>
                <w:szCs w:val="14"/>
                <w:b w:val="1"/>
                <w:bCs w:val="1"/>
                <w:color w:val="004987"/>
                <w:w w:val="95"/>
              </w:rPr>
              <w:t>Value of</w:t>
            </w:r>
          </w:p>
        </w:tc>
        <w:tc>
          <w:tcPr>
            <w:tcW w:w="14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Number of</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5"/>
              </w:rPr>
              <w:t>Payout Value</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gridSpan w:val="2"/>
          </w:tcPr>
          <w:p>
            <w:pPr>
              <w:jc w:val="center"/>
              <w:ind w:right="3"/>
              <w:spacing w:after="0" w:line="154" w:lineRule="exact"/>
              <w:rPr>
                <w:sz w:val="20"/>
                <w:szCs w:val="20"/>
                <w:color w:val="auto"/>
              </w:rPr>
            </w:pPr>
            <w:r>
              <w:rPr>
                <w:rFonts w:ascii="Arial" w:cs="Arial" w:eastAsia="Arial" w:hAnsi="Arial"/>
                <w:sz w:val="14"/>
                <w:szCs w:val="14"/>
                <w:b w:val="1"/>
                <w:bCs w:val="1"/>
                <w:color w:val="004987"/>
                <w:w w:val="98"/>
              </w:rPr>
              <w:t>Underlying</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65"/>
              <w:spacing w:after="0" w:line="154" w:lineRule="exact"/>
              <w:rPr>
                <w:sz w:val="20"/>
                <w:szCs w:val="20"/>
                <w:color w:val="auto"/>
              </w:rPr>
            </w:pPr>
            <w:r>
              <w:rPr>
                <w:rFonts w:ascii="Arial" w:cs="Arial" w:eastAsia="Arial" w:hAnsi="Arial"/>
                <w:sz w:val="14"/>
                <w:szCs w:val="14"/>
                <w:b w:val="1"/>
                <w:bCs w:val="1"/>
                <w:color w:val="004987"/>
                <w:w w:val="99"/>
              </w:rPr>
              <w:t>Units of</w:t>
            </w:r>
          </w:p>
        </w:tc>
        <w:tc>
          <w:tcPr>
            <w:tcW w:w="860" w:type="dxa"/>
            <w:vAlign w:val="bottom"/>
          </w:tcPr>
          <w:p>
            <w:pPr>
              <w:jc w:val="center"/>
              <w:ind w:left="4"/>
              <w:spacing w:after="0" w:line="154" w:lineRule="exact"/>
              <w:rPr>
                <w:sz w:val="20"/>
                <w:szCs w:val="20"/>
                <w:color w:val="auto"/>
              </w:rPr>
            </w:pPr>
            <w:r>
              <w:rPr>
                <w:rFonts w:ascii="Arial" w:cs="Arial" w:eastAsia="Arial" w:hAnsi="Arial"/>
                <w:sz w:val="14"/>
                <w:szCs w:val="14"/>
                <w:b w:val="1"/>
                <w:bCs w:val="1"/>
                <w:color w:val="004987"/>
                <w:w w:val="95"/>
              </w:rPr>
              <w:t>Shares or</w:t>
            </w:r>
          </w:p>
        </w:tc>
        <w:tc>
          <w:tcPr>
            <w:tcW w:w="14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9"/>
              </w:rPr>
              <w:t>Unearned</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7"/>
              </w:rPr>
              <w:t>of Unearned</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004987"/>
                <w:w w:val="98"/>
              </w:rPr>
              <w:t>Unexercised</w:t>
            </w:r>
          </w:p>
        </w:tc>
        <w:tc>
          <w:tcPr>
            <w:tcW w:w="920" w:type="dxa"/>
            <w:vAlign w:val="bottom"/>
          </w:tcPr>
          <w:p>
            <w:pPr>
              <w:jc w:val="center"/>
              <w:ind w:left="24"/>
              <w:spacing w:after="0" w:line="154" w:lineRule="exact"/>
              <w:rPr>
                <w:sz w:val="20"/>
                <w:szCs w:val="20"/>
                <w:color w:val="auto"/>
              </w:rPr>
            </w:pPr>
            <w:r>
              <w:rPr>
                <w:rFonts w:ascii="Arial" w:cs="Arial" w:eastAsia="Arial" w:hAnsi="Arial"/>
                <w:sz w:val="14"/>
                <w:szCs w:val="14"/>
                <w:b w:val="1"/>
                <w:bCs w:val="1"/>
                <w:color w:val="004987"/>
                <w:w w:val="93"/>
              </w:rPr>
              <w:t>Option/</w:t>
            </w:r>
          </w:p>
        </w:tc>
        <w:tc>
          <w:tcPr>
            <w:tcW w:w="860" w:type="dxa"/>
            <w:vAlign w:val="bottom"/>
          </w:tcPr>
          <w:p>
            <w:pPr>
              <w:jc w:val="center"/>
              <w:ind w:left="24"/>
              <w:spacing w:after="0" w:line="154" w:lineRule="exact"/>
              <w:rPr>
                <w:sz w:val="20"/>
                <w:szCs w:val="20"/>
                <w:color w:val="auto"/>
              </w:rPr>
            </w:pPr>
            <w:r>
              <w:rPr>
                <w:rFonts w:ascii="Arial" w:cs="Arial" w:eastAsia="Arial" w:hAnsi="Arial"/>
                <w:sz w:val="14"/>
                <w:szCs w:val="14"/>
                <w:b w:val="1"/>
                <w:bCs w:val="1"/>
                <w:color w:val="004987"/>
                <w:w w:val="97"/>
              </w:rPr>
              <w:t>Option/</w:t>
            </w:r>
          </w:p>
        </w:tc>
        <w:tc>
          <w:tcPr>
            <w:tcW w:w="220" w:type="dxa"/>
            <w:vAlign w:val="bottom"/>
          </w:tcPr>
          <w:p>
            <w:pPr>
              <w:spacing w:after="0"/>
              <w:rPr>
                <w:sz w:val="13"/>
                <w:szCs w:val="13"/>
                <w:color w:val="auto"/>
              </w:rPr>
            </w:pPr>
          </w:p>
        </w:tc>
        <w:tc>
          <w:tcPr>
            <w:tcW w:w="820" w:type="dxa"/>
            <w:vAlign w:val="bottom"/>
          </w:tcPr>
          <w:p>
            <w:pPr>
              <w:jc w:val="center"/>
              <w:ind w:right="65"/>
              <w:spacing w:after="0" w:line="154" w:lineRule="exact"/>
              <w:rPr>
                <w:sz w:val="20"/>
                <w:szCs w:val="20"/>
                <w:color w:val="auto"/>
              </w:rPr>
            </w:pPr>
            <w:r>
              <w:rPr>
                <w:rFonts w:ascii="Arial" w:cs="Arial" w:eastAsia="Arial" w:hAnsi="Arial"/>
                <w:sz w:val="14"/>
                <w:szCs w:val="14"/>
                <w:b w:val="1"/>
                <w:bCs w:val="1"/>
                <w:color w:val="004987"/>
                <w:w w:val="94"/>
              </w:rPr>
              <w:t>Stock</w:t>
            </w:r>
          </w:p>
        </w:tc>
        <w:tc>
          <w:tcPr>
            <w:tcW w:w="860" w:type="dxa"/>
            <w:vAlign w:val="bottom"/>
          </w:tcPr>
          <w:p>
            <w:pPr>
              <w:jc w:val="center"/>
              <w:ind w:left="4"/>
              <w:spacing w:after="0" w:line="154" w:lineRule="exact"/>
              <w:rPr>
                <w:sz w:val="20"/>
                <w:szCs w:val="20"/>
                <w:color w:val="auto"/>
              </w:rPr>
            </w:pPr>
            <w:r>
              <w:rPr>
                <w:rFonts w:ascii="Arial" w:cs="Arial" w:eastAsia="Arial" w:hAnsi="Arial"/>
                <w:sz w:val="14"/>
                <w:szCs w:val="14"/>
                <w:b w:val="1"/>
                <w:bCs w:val="1"/>
                <w:color w:val="004987"/>
                <w:w w:val="95"/>
              </w:rPr>
              <w:t>Units of</w:t>
            </w:r>
          </w:p>
        </w:tc>
        <w:tc>
          <w:tcPr>
            <w:tcW w:w="14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8"/>
              </w:rPr>
              <w:t>Shares, Units</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8"/>
              </w:rPr>
              <w:t>Shares, Units</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40" w:type="dxa"/>
            <w:vAlign w:val="bottom"/>
            <w:gridSpan w:val="2"/>
          </w:tcPr>
          <w:p>
            <w:pPr>
              <w:jc w:val="center"/>
              <w:ind w:right="3"/>
              <w:spacing w:after="0" w:line="154" w:lineRule="exact"/>
              <w:rPr>
                <w:sz w:val="20"/>
                <w:szCs w:val="20"/>
                <w:color w:val="auto"/>
              </w:rPr>
            </w:pPr>
            <w:r>
              <w:rPr>
                <w:rFonts w:ascii="Arial" w:cs="Arial" w:eastAsia="Arial" w:hAnsi="Arial"/>
                <w:sz w:val="14"/>
                <w:szCs w:val="14"/>
                <w:b w:val="1"/>
                <w:bCs w:val="1"/>
                <w:color w:val="004987"/>
                <w:w w:val="97"/>
              </w:rPr>
              <w:t>Options/SARs</w:t>
            </w:r>
          </w:p>
        </w:tc>
        <w:tc>
          <w:tcPr>
            <w:tcW w:w="920" w:type="dxa"/>
            <w:vAlign w:val="bottom"/>
          </w:tcPr>
          <w:p>
            <w:pPr>
              <w:jc w:val="center"/>
              <w:ind w:left="24"/>
              <w:spacing w:after="0" w:line="154" w:lineRule="exact"/>
              <w:rPr>
                <w:sz w:val="20"/>
                <w:szCs w:val="20"/>
                <w:color w:val="auto"/>
              </w:rPr>
            </w:pPr>
            <w:r>
              <w:rPr>
                <w:rFonts w:ascii="Arial" w:cs="Arial" w:eastAsia="Arial" w:hAnsi="Arial"/>
                <w:sz w:val="14"/>
                <w:szCs w:val="14"/>
                <w:b w:val="1"/>
                <w:bCs w:val="1"/>
                <w:color w:val="004987"/>
              </w:rPr>
              <w:t>SAR</w:t>
            </w:r>
          </w:p>
        </w:tc>
        <w:tc>
          <w:tcPr>
            <w:tcW w:w="860" w:type="dxa"/>
            <w:vAlign w:val="bottom"/>
          </w:tcPr>
          <w:p>
            <w:pPr>
              <w:jc w:val="center"/>
              <w:ind w:left="24"/>
              <w:spacing w:after="0" w:line="154" w:lineRule="exact"/>
              <w:rPr>
                <w:sz w:val="20"/>
                <w:szCs w:val="20"/>
                <w:color w:val="auto"/>
              </w:rPr>
            </w:pPr>
            <w:r>
              <w:rPr>
                <w:rFonts w:ascii="Arial" w:cs="Arial" w:eastAsia="Arial" w:hAnsi="Arial"/>
                <w:sz w:val="14"/>
                <w:szCs w:val="14"/>
                <w:b w:val="1"/>
                <w:bCs w:val="1"/>
                <w:color w:val="004987"/>
                <w:w w:val="94"/>
              </w:rPr>
              <w:t>SAR</w:t>
            </w:r>
          </w:p>
        </w:tc>
        <w:tc>
          <w:tcPr>
            <w:tcW w:w="220" w:type="dxa"/>
            <w:vAlign w:val="bottom"/>
          </w:tcPr>
          <w:p>
            <w:pPr>
              <w:spacing w:after="0"/>
              <w:rPr>
                <w:sz w:val="13"/>
                <w:szCs w:val="13"/>
                <w:color w:val="auto"/>
              </w:rPr>
            </w:pPr>
          </w:p>
        </w:tc>
        <w:tc>
          <w:tcPr>
            <w:tcW w:w="820" w:type="dxa"/>
            <w:vAlign w:val="bottom"/>
          </w:tcPr>
          <w:p>
            <w:pPr>
              <w:jc w:val="center"/>
              <w:ind w:right="65"/>
              <w:spacing w:after="0" w:line="154" w:lineRule="exact"/>
              <w:rPr>
                <w:sz w:val="20"/>
                <w:szCs w:val="20"/>
                <w:color w:val="auto"/>
              </w:rPr>
            </w:pPr>
            <w:r>
              <w:rPr>
                <w:rFonts w:ascii="Arial" w:cs="Arial" w:eastAsia="Arial" w:hAnsi="Arial"/>
                <w:sz w:val="14"/>
                <w:szCs w:val="14"/>
                <w:b w:val="1"/>
                <w:bCs w:val="1"/>
                <w:color w:val="004987"/>
                <w:w w:val="95"/>
              </w:rPr>
              <w:t>That Have</w:t>
            </w:r>
          </w:p>
        </w:tc>
        <w:tc>
          <w:tcPr>
            <w:tcW w:w="860" w:type="dxa"/>
            <w:vAlign w:val="bottom"/>
          </w:tcPr>
          <w:p>
            <w:pPr>
              <w:jc w:val="center"/>
              <w:ind w:left="4"/>
              <w:spacing w:after="0" w:line="154" w:lineRule="exact"/>
              <w:rPr>
                <w:sz w:val="20"/>
                <w:szCs w:val="20"/>
                <w:color w:val="auto"/>
              </w:rPr>
            </w:pPr>
            <w:r>
              <w:rPr>
                <w:rFonts w:ascii="Arial" w:cs="Arial" w:eastAsia="Arial" w:hAnsi="Arial"/>
                <w:sz w:val="14"/>
                <w:szCs w:val="14"/>
                <w:b w:val="1"/>
                <w:bCs w:val="1"/>
                <w:color w:val="004987"/>
                <w:w w:val="97"/>
              </w:rPr>
              <w:t>Stock That</w:t>
            </w:r>
          </w:p>
        </w:tc>
        <w:tc>
          <w:tcPr>
            <w:tcW w:w="1440" w:type="dxa"/>
            <w:vAlign w:val="bottom"/>
          </w:tcPr>
          <w:p>
            <w:pPr>
              <w:jc w:val="right"/>
              <w:ind w:right="125"/>
              <w:spacing w:after="0" w:line="154" w:lineRule="exact"/>
              <w:rPr>
                <w:sz w:val="20"/>
                <w:szCs w:val="20"/>
                <w:color w:val="auto"/>
              </w:rPr>
            </w:pPr>
            <w:r>
              <w:rPr>
                <w:rFonts w:ascii="Arial" w:cs="Arial" w:eastAsia="Arial" w:hAnsi="Arial"/>
                <w:sz w:val="14"/>
                <w:szCs w:val="14"/>
                <w:b w:val="1"/>
                <w:bCs w:val="1"/>
                <w:color w:val="004987"/>
              </w:rPr>
              <w:t>or Other Rights</w:t>
            </w:r>
          </w:p>
        </w:tc>
        <w:tc>
          <w:tcPr>
            <w:tcW w:w="1280" w:type="dxa"/>
            <w:vAlign w:val="bottom"/>
            <w:gridSpan w:val="2"/>
          </w:tcPr>
          <w:p>
            <w:pPr>
              <w:jc w:val="right"/>
              <w:ind w:right="160"/>
              <w:spacing w:after="0" w:line="154" w:lineRule="exact"/>
              <w:rPr>
                <w:sz w:val="20"/>
                <w:szCs w:val="20"/>
                <w:color w:val="auto"/>
              </w:rPr>
            </w:pPr>
            <w:r>
              <w:rPr>
                <w:rFonts w:ascii="Arial" w:cs="Arial" w:eastAsia="Arial" w:hAnsi="Arial"/>
                <w:sz w:val="14"/>
                <w:szCs w:val="14"/>
                <w:b w:val="1"/>
                <w:bCs w:val="1"/>
                <w:color w:val="004987"/>
              </w:rPr>
              <w:t>or Other Rights</w:t>
            </w:r>
          </w:p>
        </w:tc>
        <w:tc>
          <w:tcPr>
            <w:tcW w:w="0" w:type="dxa"/>
            <w:vAlign w:val="bottom"/>
          </w:tcPr>
          <w:p>
            <w:pPr>
              <w:spacing w:after="0"/>
              <w:rPr>
                <w:sz w:val="1"/>
                <w:szCs w:val="1"/>
                <w:color w:val="auto"/>
              </w:rPr>
            </w:pPr>
          </w:p>
        </w:tc>
      </w:tr>
      <w:tr>
        <w:trPr>
          <w:trHeight w:val="151"/>
        </w:trPr>
        <w:tc>
          <w:tcPr>
            <w:tcW w:w="1380" w:type="dxa"/>
            <w:vAlign w:val="bottom"/>
          </w:tcPr>
          <w:p>
            <w:pPr>
              <w:spacing w:after="0"/>
              <w:rPr>
                <w:sz w:val="13"/>
                <w:szCs w:val="13"/>
                <w:color w:val="auto"/>
              </w:rPr>
            </w:pPr>
          </w:p>
        </w:tc>
        <w:tc>
          <w:tcPr>
            <w:tcW w:w="1440" w:type="dxa"/>
            <w:vAlign w:val="bottom"/>
          </w:tcPr>
          <w:p>
            <w:pPr>
              <w:ind w:left="460"/>
              <w:spacing w:after="0" w:line="151" w:lineRule="exact"/>
              <w:rPr>
                <w:sz w:val="20"/>
                <w:szCs w:val="20"/>
                <w:color w:val="auto"/>
              </w:rPr>
            </w:pPr>
            <w:r>
              <w:rPr>
                <w:rFonts w:ascii="Arial" w:cs="Arial" w:eastAsia="Arial" w:hAnsi="Arial"/>
                <w:sz w:val="14"/>
                <w:szCs w:val="14"/>
                <w:b w:val="1"/>
                <w:bCs w:val="1"/>
                <w:color w:val="004987"/>
              </w:rPr>
              <w:t>Award</w:t>
            </w:r>
          </w:p>
        </w:tc>
        <w:tc>
          <w:tcPr>
            <w:tcW w:w="1240" w:type="dxa"/>
            <w:vAlign w:val="bottom"/>
            <w:gridSpan w:val="2"/>
          </w:tcPr>
          <w:p>
            <w:pPr>
              <w:jc w:val="center"/>
              <w:ind w:right="3"/>
              <w:spacing w:after="0" w:line="151" w:lineRule="exact"/>
              <w:rPr>
                <w:sz w:val="20"/>
                <w:szCs w:val="20"/>
                <w:color w:val="auto"/>
              </w:rPr>
            </w:pPr>
            <w:r>
              <w:rPr>
                <w:rFonts w:ascii="Arial" w:cs="Arial" w:eastAsia="Arial" w:hAnsi="Arial"/>
                <w:sz w:val="14"/>
                <w:szCs w:val="14"/>
                <w:b w:val="1"/>
                <w:bCs w:val="1"/>
                <w:color w:val="004987"/>
                <w:w w:val="97"/>
              </w:rPr>
              <w:t>Exercisable/</w:t>
            </w:r>
          </w:p>
        </w:tc>
        <w:tc>
          <w:tcPr>
            <w:tcW w:w="920" w:type="dxa"/>
            <w:vAlign w:val="bottom"/>
          </w:tcPr>
          <w:p>
            <w:pPr>
              <w:jc w:val="center"/>
              <w:ind w:left="24"/>
              <w:spacing w:after="0" w:line="151" w:lineRule="exact"/>
              <w:rPr>
                <w:sz w:val="20"/>
                <w:szCs w:val="20"/>
                <w:color w:val="auto"/>
              </w:rPr>
            </w:pPr>
            <w:r>
              <w:rPr>
                <w:rFonts w:ascii="Arial" w:cs="Arial" w:eastAsia="Arial" w:hAnsi="Arial"/>
                <w:sz w:val="14"/>
                <w:szCs w:val="14"/>
                <w:b w:val="1"/>
                <w:bCs w:val="1"/>
                <w:color w:val="004987"/>
              </w:rPr>
              <w:t>Exercise</w:t>
            </w:r>
          </w:p>
        </w:tc>
        <w:tc>
          <w:tcPr>
            <w:tcW w:w="860" w:type="dxa"/>
            <w:vAlign w:val="bottom"/>
          </w:tcPr>
          <w:p>
            <w:pPr>
              <w:jc w:val="center"/>
              <w:ind w:left="4"/>
              <w:spacing w:after="0" w:line="151" w:lineRule="exact"/>
              <w:rPr>
                <w:sz w:val="20"/>
                <w:szCs w:val="20"/>
                <w:color w:val="auto"/>
              </w:rPr>
            </w:pPr>
            <w:r>
              <w:rPr>
                <w:rFonts w:ascii="Arial" w:cs="Arial" w:eastAsia="Arial" w:hAnsi="Arial"/>
                <w:sz w:val="14"/>
                <w:szCs w:val="14"/>
                <w:b w:val="1"/>
                <w:bCs w:val="1"/>
                <w:color w:val="004987"/>
                <w:w w:val="96"/>
              </w:rPr>
              <w:t>Expiration</w:t>
            </w:r>
          </w:p>
        </w:tc>
        <w:tc>
          <w:tcPr>
            <w:tcW w:w="220" w:type="dxa"/>
            <w:vAlign w:val="bottom"/>
          </w:tcPr>
          <w:p>
            <w:pPr>
              <w:spacing w:after="0"/>
              <w:rPr>
                <w:sz w:val="13"/>
                <w:szCs w:val="13"/>
                <w:color w:val="auto"/>
              </w:rPr>
            </w:pPr>
          </w:p>
        </w:tc>
        <w:tc>
          <w:tcPr>
            <w:tcW w:w="820" w:type="dxa"/>
            <w:vAlign w:val="bottom"/>
          </w:tcPr>
          <w:p>
            <w:pPr>
              <w:jc w:val="center"/>
              <w:ind w:right="65"/>
              <w:spacing w:after="0" w:line="151" w:lineRule="exact"/>
              <w:rPr>
                <w:sz w:val="20"/>
                <w:szCs w:val="20"/>
                <w:color w:val="auto"/>
              </w:rPr>
            </w:pPr>
            <w:r>
              <w:rPr>
                <w:rFonts w:ascii="Arial" w:cs="Arial" w:eastAsia="Arial" w:hAnsi="Arial"/>
                <w:sz w:val="14"/>
                <w:szCs w:val="14"/>
                <w:b w:val="1"/>
                <w:bCs w:val="1"/>
                <w:color w:val="004987"/>
              </w:rPr>
              <w:t>Not</w:t>
            </w:r>
          </w:p>
        </w:tc>
        <w:tc>
          <w:tcPr>
            <w:tcW w:w="860" w:type="dxa"/>
            <w:vAlign w:val="bottom"/>
          </w:tcPr>
          <w:p>
            <w:pPr>
              <w:jc w:val="center"/>
              <w:ind w:left="4"/>
              <w:spacing w:after="0" w:line="151" w:lineRule="exact"/>
              <w:rPr>
                <w:sz w:val="20"/>
                <w:szCs w:val="20"/>
                <w:color w:val="auto"/>
              </w:rPr>
            </w:pPr>
            <w:r>
              <w:rPr>
                <w:rFonts w:ascii="Arial" w:cs="Arial" w:eastAsia="Arial" w:hAnsi="Arial"/>
                <w:sz w:val="14"/>
                <w:szCs w:val="14"/>
                <w:b w:val="1"/>
                <w:bCs w:val="1"/>
                <w:color w:val="004987"/>
                <w:w w:val="95"/>
              </w:rPr>
              <w:t>Have Not</w:t>
            </w:r>
          </w:p>
        </w:tc>
        <w:tc>
          <w:tcPr>
            <w:tcW w:w="144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That Have Not</w:t>
            </w:r>
          </w:p>
        </w:tc>
        <w:tc>
          <w:tcPr>
            <w:tcW w:w="1280" w:type="dxa"/>
            <w:vAlign w:val="bottom"/>
            <w:gridSpan w:val="2"/>
          </w:tcPr>
          <w:p>
            <w:pPr>
              <w:jc w:val="center"/>
              <w:ind w:right="40"/>
              <w:spacing w:after="0" w:line="151" w:lineRule="exact"/>
              <w:rPr>
                <w:sz w:val="20"/>
                <w:szCs w:val="20"/>
                <w:color w:val="auto"/>
              </w:rPr>
            </w:pPr>
            <w:r>
              <w:rPr>
                <w:rFonts w:ascii="Arial" w:cs="Arial" w:eastAsia="Arial" w:hAnsi="Arial"/>
                <w:sz w:val="14"/>
                <w:szCs w:val="14"/>
                <w:b w:val="1"/>
                <w:bCs w:val="1"/>
                <w:color w:val="004987"/>
                <w:w w:val="97"/>
              </w:rPr>
              <w:t>That Have Not</w:t>
            </w:r>
          </w:p>
        </w:tc>
        <w:tc>
          <w:tcPr>
            <w:tcW w:w="0" w:type="dxa"/>
            <w:vAlign w:val="bottom"/>
          </w:tcPr>
          <w:p>
            <w:pPr>
              <w:spacing w:after="0"/>
              <w:rPr>
                <w:sz w:val="1"/>
                <w:szCs w:val="1"/>
                <w:color w:val="auto"/>
              </w:rPr>
            </w:pPr>
          </w:p>
        </w:tc>
      </w:tr>
      <w:tr>
        <w:trPr>
          <w:trHeight w:val="172"/>
        </w:trPr>
        <w:tc>
          <w:tcPr>
            <w:tcW w:w="138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Grant Date</w:t>
            </w:r>
          </w:p>
        </w:tc>
        <w:tc>
          <w:tcPr>
            <w:tcW w:w="1440" w:type="dxa"/>
            <w:vAlign w:val="bottom"/>
            <w:tcBorders>
              <w:bottom w:val="single" w:sz="8" w:color="004987"/>
            </w:tcBorders>
          </w:tcPr>
          <w:p>
            <w:pPr>
              <w:ind w:left="480"/>
              <w:spacing w:after="0" w:line="166" w:lineRule="exact"/>
              <w:rPr>
                <w:sz w:val="20"/>
                <w:szCs w:val="20"/>
                <w:color w:val="auto"/>
              </w:rPr>
            </w:pPr>
            <w:r>
              <w:rPr>
                <w:rFonts w:ascii="Arial" w:cs="Arial" w:eastAsia="Arial" w:hAnsi="Arial"/>
                <w:sz w:val="12"/>
                <w:szCs w:val="12"/>
                <w:b w:val="1"/>
                <w:bCs w:val="1"/>
                <w:color w:val="004987"/>
              </w:rPr>
              <w:t>Type</w:t>
            </w:r>
            <w:r>
              <w:rPr>
                <w:rFonts w:ascii="Arial" w:cs="Arial" w:eastAsia="Arial" w:hAnsi="Arial"/>
                <w:sz w:val="19"/>
                <w:szCs w:val="19"/>
                <w:color w:val="004987"/>
                <w:vertAlign w:val="superscript"/>
              </w:rPr>
              <w:t>1</w:t>
            </w:r>
          </w:p>
        </w:tc>
        <w:tc>
          <w:tcPr>
            <w:tcW w:w="1240" w:type="dxa"/>
            <w:vAlign w:val="bottom"/>
            <w:tcBorders>
              <w:bottom w:val="single" w:sz="8" w:color="004987"/>
            </w:tcBorders>
            <w:gridSpan w:val="2"/>
          </w:tcPr>
          <w:p>
            <w:pPr>
              <w:jc w:val="center"/>
              <w:ind w:right="3"/>
              <w:spacing w:after="0" w:line="166" w:lineRule="exact"/>
              <w:rPr>
                <w:sz w:val="20"/>
                <w:szCs w:val="20"/>
                <w:color w:val="auto"/>
              </w:rPr>
            </w:pPr>
            <w:r>
              <w:rPr>
                <w:rFonts w:ascii="Arial" w:cs="Arial" w:eastAsia="Arial" w:hAnsi="Arial"/>
                <w:sz w:val="12"/>
                <w:szCs w:val="12"/>
                <w:b w:val="1"/>
                <w:bCs w:val="1"/>
                <w:color w:val="004987"/>
              </w:rPr>
              <w:t>Unexercisable</w:t>
            </w:r>
            <w:r>
              <w:rPr>
                <w:rFonts w:ascii="Arial" w:cs="Arial" w:eastAsia="Arial" w:hAnsi="Arial"/>
                <w:sz w:val="19"/>
                <w:szCs w:val="19"/>
                <w:color w:val="004987"/>
                <w:vertAlign w:val="superscript"/>
              </w:rPr>
              <w:t>2</w:t>
            </w:r>
          </w:p>
        </w:tc>
        <w:tc>
          <w:tcPr>
            <w:tcW w:w="920" w:type="dxa"/>
            <w:vAlign w:val="bottom"/>
            <w:tcBorders>
              <w:bottom w:val="single" w:sz="8" w:color="004987"/>
            </w:tcBorders>
          </w:tcPr>
          <w:p>
            <w:pPr>
              <w:jc w:val="center"/>
              <w:ind w:left="24"/>
              <w:spacing w:after="0"/>
              <w:rPr>
                <w:sz w:val="20"/>
                <w:szCs w:val="20"/>
                <w:color w:val="auto"/>
              </w:rPr>
            </w:pPr>
            <w:r>
              <w:rPr>
                <w:rFonts w:ascii="Arial" w:cs="Arial" w:eastAsia="Arial" w:hAnsi="Arial"/>
                <w:sz w:val="14"/>
                <w:szCs w:val="14"/>
                <w:b w:val="1"/>
                <w:bCs w:val="1"/>
                <w:color w:val="004987"/>
                <w:w w:val="99"/>
              </w:rPr>
              <w:t>Price</w:t>
            </w:r>
          </w:p>
        </w:tc>
        <w:tc>
          <w:tcPr>
            <w:tcW w:w="860" w:type="dxa"/>
            <w:vAlign w:val="bottom"/>
            <w:tcBorders>
              <w:bottom w:val="single" w:sz="8" w:color="004987"/>
            </w:tcBorders>
          </w:tcPr>
          <w:p>
            <w:pPr>
              <w:jc w:val="center"/>
              <w:ind w:left="4"/>
              <w:spacing w:after="0"/>
              <w:rPr>
                <w:sz w:val="20"/>
                <w:szCs w:val="20"/>
                <w:color w:val="auto"/>
              </w:rPr>
            </w:pPr>
            <w:r>
              <w:rPr>
                <w:rFonts w:ascii="Arial" w:cs="Arial" w:eastAsia="Arial" w:hAnsi="Arial"/>
                <w:sz w:val="14"/>
                <w:szCs w:val="14"/>
                <w:b w:val="1"/>
                <w:bCs w:val="1"/>
                <w:color w:val="004987"/>
                <w:w w:val="98"/>
              </w:rPr>
              <w:t>Date</w:t>
            </w:r>
          </w:p>
        </w:tc>
        <w:tc>
          <w:tcPr>
            <w:tcW w:w="220" w:type="dxa"/>
            <w:vAlign w:val="bottom"/>
            <w:tcBorders>
              <w:bottom w:val="single" w:sz="8" w:color="004987"/>
            </w:tcBorders>
          </w:tcPr>
          <w:p>
            <w:pPr>
              <w:spacing w:after="0"/>
              <w:rPr>
                <w:sz w:val="14"/>
                <w:szCs w:val="14"/>
                <w:color w:val="auto"/>
              </w:rPr>
            </w:pPr>
          </w:p>
        </w:tc>
        <w:tc>
          <w:tcPr>
            <w:tcW w:w="820" w:type="dxa"/>
            <w:vAlign w:val="bottom"/>
            <w:tcBorders>
              <w:bottom w:val="single" w:sz="8" w:color="004987"/>
            </w:tcBorders>
          </w:tcPr>
          <w:p>
            <w:pPr>
              <w:jc w:val="center"/>
              <w:ind w:right="45"/>
              <w:spacing w:after="0" w:line="166" w:lineRule="exact"/>
              <w:rPr>
                <w:sz w:val="20"/>
                <w:szCs w:val="20"/>
                <w:color w:val="auto"/>
              </w:rPr>
            </w:pPr>
            <w:r>
              <w:rPr>
                <w:rFonts w:ascii="Arial" w:cs="Arial" w:eastAsia="Arial" w:hAnsi="Arial"/>
                <w:sz w:val="12"/>
                <w:szCs w:val="12"/>
                <w:b w:val="1"/>
                <w:bCs w:val="1"/>
                <w:color w:val="004987"/>
              </w:rPr>
              <w:t>Vested</w:t>
            </w:r>
            <w:r>
              <w:rPr>
                <w:rFonts w:ascii="Arial" w:cs="Arial" w:eastAsia="Arial" w:hAnsi="Arial"/>
                <w:sz w:val="19"/>
                <w:szCs w:val="19"/>
                <w:color w:val="004987"/>
                <w:vertAlign w:val="superscript"/>
              </w:rPr>
              <w:t>3</w:t>
            </w:r>
          </w:p>
        </w:tc>
        <w:tc>
          <w:tcPr>
            <w:tcW w:w="860" w:type="dxa"/>
            <w:vAlign w:val="bottom"/>
            <w:tcBorders>
              <w:bottom w:val="single" w:sz="8" w:color="004987"/>
            </w:tcBorders>
          </w:tcPr>
          <w:p>
            <w:pPr>
              <w:jc w:val="center"/>
              <w:ind w:left="24"/>
              <w:spacing w:after="0"/>
              <w:rPr>
                <w:sz w:val="20"/>
                <w:szCs w:val="20"/>
                <w:color w:val="auto"/>
              </w:rPr>
            </w:pPr>
            <w:r>
              <w:rPr>
                <w:rFonts w:ascii="Arial" w:cs="Arial" w:eastAsia="Arial" w:hAnsi="Arial"/>
                <w:sz w:val="14"/>
                <w:szCs w:val="14"/>
                <w:b w:val="1"/>
                <w:bCs w:val="1"/>
                <w:color w:val="004987"/>
                <w:w w:val="95"/>
              </w:rPr>
              <w:t>Vested</w:t>
            </w:r>
          </w:p>
        </w:tc>
        <w:tc>
          <w:tcPr>
            <w:tcW w:w="14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5"/>
              </w:rPr>
              <w:t>Vested (#)</w:t>
            </w:r>
          </w:p>
        </w:tc>
        <w:tc>
          <w:tcPr>
            <w:tcW w:w="1280" w:type="dxa"/>
            <w:vAlign w:val="bottom"/>
            <w:tcBorders>
              <w:bottom w:val="single" w:sz="8" w:color="004987"/>
            </w:tcBorders>
            <w:gridSpan w:val="2"/>
          </w:tcPr>
          <w:p>
            <w:pPr>
              <w:jc w:val="center"/>
              <w:ind w:right="40"/>
              <w:spacing w:after="0"/>
              <w:rPr>
                <w:sz w:val="20"/>
                <w:szCs w:val="20"/>
                <w:color w:val="auto"/>
              </w:rPr>
            </w:pPr>
            <w:r>
              <w:rPr>
                <w:rFonts w:ascii="Arial" w:cs="Arial" w:eastAsia="Arial" w:hAnsi="Arial"/>
                <w:sz w:val="14"/>
                <w:szCs w:val="14"/>
                <w:b w:val="1"/>
                <w:bCs w:val="1"/>
                <w:color w:val="004987"/>
                <w:w w:val="95"/>
              </w:rPr>
              <w:t>Vested ($)</w:t>
            </w:r>
          </w:p>
        </w:tc>
        <w:tc>
          <w:tcPr>
            <w:tcW w:w="0" w:type="dxa"/>
            <w:vAlign w:val="bottom"/>
          </w:tcPr>
          <w:p>
            <w:pPr>
              <w:spacing w:after="0"/>
              <w:rPr>
                <w:sz w:val="1"/>
                <w:szCs w:val="1"/>
                <w:color w:val="auto"/>
              </w:rPr>
            </w:pPr>
          </w:p>
        </w:tc>
      </w:tr>
      <w:tr>
        <w:trPr>
          <w:trHeight w:val="167"/>
        </w:trPr>
        <w:tc>
          <w:tcPr>
            <w:tcW w:w="1380" w:type="dxa"/>
            <w:vAlign w:val="bottom"/>
          </w:tcPr>
          <w:p>
            <w:pPr>
              <w:spacing w:after="0" w:line="167" w:lineRule="exact"/>
              <w:rPr>
                <w:sz w:val="20"/>
                <w:szCs w:val="20"/>
                <w:color w:val="auto"/>
              </w:rPr>
            </w:pPr>
            <w:r>
              <w:rPr>
                <w:rFonts w:ascii="Arial" w:cs="Arial" w:eastAsia="Arial" w:hAnsi="Arial"/>
                <w:sz w:val="15"/>
                <w:szCs w:val="15"/>
                <w:b w:val="1"/>
                <w:bCs w:val="1"/>
                <w:color w:val="004987"/>
              </w:rPr>
              <w:t>J. Geller</w:t>
            </w:r>
          </w:p>
        </w:tc>
        <w:tc>
          <w:tcPr>
            <w:tcW w:w="1440" w:type="dxa"/>
            <w:vAlign w:val="bottom"/>
            <w:vMerge w:val="restart"/>
          </w:tcPr>
          <w:p>
            <w:pPr>
              <w:jc w:val="center"/>
              <w:spacing w:after="0"/>
              <w:rPr>
                <w:sz w:val="20"/>
                <w:szCs w:val="20"/>
                <w:color w:val="auto"/>
              </w:rPr>
            </w:pPr>
            <w:r>
              <w:rPr>
                <w:rFonts w:ascii="Arial" w:cs="Arial" w:eastAsia="Arial" w:hAnsi="Arial"/>
                <w:sz w:val="15"/>
                <w:szCs w:val="15"/>
                <w:color w:val="auto"/>
              </w:rPr>
              <w:t>Performance</w:t>
            </w:r>
            <w:r>
              <w:rPr>
                <w:rFonts w:ascii="Arial" w:cs="Arial" w:eastAsia="Arial" w:hAnsi="Arial"/>
                <w:sz w:val="26"/>
                <w:szCs w:val="26"/>
                <w:color w:val="auto"/>
                <w:vertAlign w:val="superscript"/>
              </w:rPr>
              <w:t>4</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vMerge w:val="restart"/>
          </w:tcPr>
          <w:p>
            <w:pPr>
              <w:jc w:val="right"/>
              <w:ind w:right="25"/>
              <w:spacing w:after="0"/>
              <w:rPr>
                <w:sz w:val="20"/>
                <w:szCs w:val="20"/>
                <w:color w:val="auto"/>
              </w:rPr>
            </w:pPr>
            <w:r>
              <w:rPr>
                <w:rFonts w:ascii="Arial" w:cs="Arial" w:eastAsia="Arial" w:hAnsi="Arial"/>
                <w:sz w:val="15"/>
                <w:szCs w:val="15"/>
                <w:color w:val="auto"/>
              </w:rPr>
              <w:t>4,129</w:t>
            </w:r>
            <w:r>
              <w:rPr>
                <w:rFonts w:ascii="Arial" w:cs="Arial" w:eastAsia="Arial" w:hAnsi="Arial"/>
                <w:sz w:val="26"/>
                <w:szCs w:val="26"/>
                <w:color w:val="auto"/>
                <w:vertAlign w:val="superscript"/>
              </w:rPr>
              <w:t>4</w:t>
            </w: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697,718</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vMerge w:val="continue"/>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3/2/2015</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9,076</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77.42</w:t>
            </w:r>
          </w:p>
        </w:tc>
        <w:tc>
          <w:tcPr>
            <w:tcW w:w="860" w:type="dxa"/>
            <w:vAlign w:val="bottom"/>
          </w:tcPr>
          <w:p>
            <w:pPr>
              <w:jc w:val="right"/>
              <w:spacing w:after="0"/>
              <w:rPr>
                <w:sz w:val="20"/>
                <w:szCs w:val="20"/>
                <w:color w:val="auto"/>
              </w:rPr>
            </w:pPr>
            <w:r>
              <w:rPr>
                <w:rFonts w:ascii="Arial" w:cs="Arial" w:eastAsia="Arial" w:hAnsi="Arial"/>
                <w:sz w:val="15"/>
                <w:szCs w:val="15"/>
                <w:color w:val="auto"/>
              </w:rPr>
              <w:t>3/2/2025</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2/29/2016</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20,471</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61.71</w:t>
            </w:r>
          </w:p>
        </w:tc>
        <w:tc>
          <w:tcPr>
            <w:tcW w:w="860" w:type="dxa"/>
            <w:vAlign w:val="bottom"/>
          </w:tcPr>
          <w:p>
            <w:pPr>
              <w:jc w:val="right"/>
              <w:spacing w:after="0"/>
              <w:rPr>
                <w:sz w:val="20"/>
                <w:szCs w:val="20"/>
                <w:color w:val="auto"/>
              </w:rPr>
            </w:pPr>
            <w:r>
              <w:rPr>
                <w:rFonts w:ascii="Arial" w:cs="Arial" w:eastAsia="Arial" w:hAnsi="Arial"/>
                <w:sz w:val="15"/>
                <w:szCs w:val="15"/>
                <w:color w:val="auto"/>
              </w:rPr>
              <w:t>2/28/2026</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2/27/2017</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11,944</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97.53</w:t>
            </w:r>
          </w:p>
        </w:tc>
        <w:tc>
          <w:tcPr>
            <w:tcW w:w="860" w:type="dxa"/>
            <w:vAlign w:val="bottom"/>
          </w:tcPr>
          <w:p>
            <w:pPr>
              <w:jc w:val="right"/>
              <w:spacing w:after="0"/>
              <w:rPr>
                <w:sz w:val="20"/>
                <w:szCs w:val="20"/>
                <w:color w:val="auto"/>
              </w:rPr>
            </w:pPr>
            <w:r>
              <w:rPr>
                <w:rFonts w:ascii="Arial" w:cs="Arial" w:eastAsia="Arial" w:hAnsi="Arial"/>
                <w:sz w:val="15"/>
                <w:szCs w:val="15"/>
                <w:color w:val="auto"/>
              </w:rPr>
              <w:t>2/27/2027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6,787</w:t>
            </w:r>
          </w:p>
        </w:tc>
        <w:tc>
          <w:tcPr>
            <w:tcW w:w="620" w:type="dxa"/>
            <w:vAlign w:val="bottom"/>
          </w:tcPr>
          <w:p>
            <w:pPr>
              <w:jc w:val="right"/>
              <w:spacing w:after="0"/>
              <w:rPr>
                <w:sz w:val="20"/>
                <w:szCs w:val="20"/>
                <w:color w:val="auto"/>
              </w:rPr>
            </w:pPr>
            <w:r>
              <w:rPr>
                <w:rFonts w:ascii="Arial" w:cs="Arial" w:eastAsia="Arial" w:hAnsi="Arial"/>
                <w:sz w:val="15"/>
                <w:szCs w:val="15"/>
                <w:color w:val="auto"/>
              </w:rPr>
              <w:t>2,263</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143.38</w:t>
            </w:r>
          </w:p>
        </w:tc>
        <w:tc>
          <w:tcPr>
            <w:tcW w:w="860" w:type="dxa"/>
            <w:vAlign w:val="bottom"/>
          </w:tcPr>
          <w:p>
            <w:pPr>
              <w:jc w:val="right"/>
              <w:spacing w:after="0"/>
              <w:rPr>
                <w:sz w:val="20"/>
                <w:szCs w:val="20"/>
                <w:color w:val="auto"/>
              </w:rPr>
            </w:pPr>
            <w:r>
              <w:rPr>
                <w:rFonts w:ascii="Arial" w:cs="Arial" w:eastAsia="Arial" w:hAnsi="Arial"/>
                <w:sz w:val="15"/>
                <w:szCs w:val="15"/>
                <w:color w:val="auto"/>
              </w:rPr>
              <w:t>3/1/2028</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7,788</w:t>
            </w:r>
          </w:p>
        </w:tc>
        <w:tc>
          <w:tcPr>
            <w:tcW w:w="620" w:type="dxa"/>
            <w:vAlign w:val="bottom"/>
          </w:tcPr>
          <w:p>
            <w:pPr>
              <w:jc w:val="right"/>
              <w:spacing w:after="0"/>
              <w:rPr>
                <w:sz w:val="20"/>
                <w:szCs w:val="20"/>
                <w:color w:val="auto"/>
              </w:rPr>
            </w:pPr>
            <w:r>
              <w:rPr>
                <w:rFonts w:ascii="Arial" w:cs="Arial" w:eastAsia="Arial" w:hAnsi="Arial"/>
                <w:sz w:val="15"/>
                <w:szCs w:val="15"/>
                <w:color w:val="auto"/>
              </w:rPr>
              <w:t>7,788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100.52</w:t>
            </w:r>
          </w:p>
        </w:tc>
        <w:tc>
          <w:tcPr>
            <w:tcW w:w="860" w:type="dxa"/>
            <w:vAlign w:val="bottom"/>
          </w:tcPr>
          <w:p>
            <w:pPr>
              <w:jc w:val="right"/>
              <w:spacing w:after="0"/>
              <w:rPr>
                <w:sz w:val="20"/>
                <w:szCs w:val="20"/>
                <w:color w:val="auto"/>
              </w:rPr>
            </w:pPr>
            <w:r>
              <w:rPr>
                <w:rFonts w:ascii="Arial" w:cs="Arial" w:eastAsia="Arial" w:hAnsi="Arial"/>
                <w:sz w:val="15"/>
                <w:szCs w:val="15"/>
                <w:color w:val="auto"/>
              </w:rPr>
              <w:t>3/4/2029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3,796</w:t>
            </w:r>
          </w:p>
        </w:tc>
        <w:tc>
          <w:tcPr>
            <w:tcW w:w="620" w:type="dxa"/>
            <w:vAlign w:val="bottom"/>
          </w:tcPr>
          <w:p>
            <w:pPr>
              <w:jc w:val="right"/>
              <w:spacing w:after="0"/>
              <w:rPr>
                <w:sz w:val="20"/>
                <w:szCs w:val="20"/>
                <w:color w:val="auto"/>
              </w:rPr>
            </w:pPr>
            <w:r>
              <w:rPr>
                <w:rFonts w:ascii="Arial" w:cs="Arial" w:eastAsia="Arial" w:hAnsi="Arial"/>
                <w:sz w:val="15"/>
                <w:szCs w:val="15"/>
                <w:color w:val="auto"/>
              </w:rPr>
              <w:t>11,391</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96.82</w:t>
            </w:r>
          </w:p>
        </w:tc>
        <w:tc>
          <w:tcPr>
            <w:tcW w:w="860" w:type="dxa"/>
            <w:vAlign w:val="bottom"/>
          </w:tcPr>
          <w:p>
            <w:pPr>
              <w:jc w:val="right"/>
              <w:spacing w:after="0"/>
              <w:rPr>
                <w:sz w:val="20"/>
                <w:szCs w:val="20"/>
                <w:color w:val="auto"/>
              </w:rPr>
            </w:pPr>
            <w:r>
              <w:rPr>
                <w:rFonts w:ascii="Arial" w:cs="Arial" w:eastAsia="Arial" w:hAnsi="Arial"/>
                <w:sz w:val="15"/>
                <w:szCs w:val="15"/>
                <w:color w:val="auto"/>
              </w:rPr>
              <w:t>3/2/2030</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14,152</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173.88</w:t>
            </w:r>
          </w:p>
        </w:tc>
        <w:tc>
          <w:tcPr>
            <w:tcW w:w="860" w:type="dxa"/>
            <w:vAlign w:val="bottom"/>
          </w:tcPr>
          <w:p>
            <w:pPr>
              <w:jc w:val="right"/>
              <w:spacing w:after="0"/>
              <w:rPr>
                <w:sz w:val="20"/>
                <w:szCs w:val="20"/>
                <w:color w:val="auto"/>
              </w:rPr>
            </w:pPr>
            <w:r>
              <w:rPr>
                <w:rFonts w:ascii="Arial" w:cs="Arial" w:eastAsia="Arial" w:hAnsi="Arial"/>
                <w:sz w:val="15"/>
                <w:szCs w:val="15"/>
                <w:color w:val="auto"/>
              </w:rPr>
              <w:t>3/1/2031</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605</w:t>
            </w:r>
          </w:p>
        </w:tc>
        <w:tc>
          <w:tcPr>
            <w:tcW w:w="860" w:type="dxa"/>
            <w:vAlign w:val="bottom"/>
          </w:tcPr>
          <w:p>
            <w:pPr>
              <w:jc w:val="right"/>
              <w:spacing w:after="0"/>
              <w:rPr>
                <w:sz w:val="20"/>
                <w:szCs w:val="20"/>
                <w:color w:val="auto"/>
              </w:rPr>
            </w:pPr>
            <w:r>
              <w:rPr>
                <w:rFonts w:ascii="Arial" w:cs="Arial" w:eastAsia="Arial" w:hAnsi="Arial"/>
                <w:sz w:val="15"/>
                <w:szCs w:val="15"/>
                <w:color w:val="auto"/>
              </w:rPr>
              <w:t>102,233</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1,949</w:t>
            </w:r>
          </w:p>
        </w:tc>
        <w:tc>
          <w:tcPr>
            <w:tcW w:w="860" w:type="dxa"/>
            <w:vAlign w:val="bottom"/>
          </w:tcPr>
          <w:p>
            <w:pPr>
              <w:jc w:val="right"/>
              <w:spacing w:after="0"/>
              <w:rPr>
                <w:sz w:val="20"/>
                <w:szCs w:val="20"/>
                <w:color w:val="auto"/>
              </w:rPr>
            </w:pPr>
            <w:r>
              <w:rPr>
                <w:rFonts w:ascii="Arial" w:cs="Arial" w:eastAsia="Arial" w:hAnsi="Arial"/>
                <w:sz w:val="15"/>
                <w:szCs w:val="15"/>
                <w:color w:val="auto"/>
              </w:rPr>
              <w:t>329,342</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2,451</w:t>
            </w:r>
          </w:p>
        </w:tc>
        <w:tc>
          <w:tcPr>
            <w:tcW w:w="860" w:type="dxa"/>
            <w:vAlign w:val="bottom"/>
          </w:tcPr>
          <w:p>
            <w:pPr>
              <w:jc w:val="right"/>
              <w:spacing w:after="0"/>
              <w:rPr>
                <w:sz w:val="20"/>
                <w:szCs w:val="20"/>
                <w:color w:val="auto"/>
              </w:rPr>
            </w:pPr>
            <w:r>
              <w:rPr>
                <w:rFonts w:ascii="Arial" w:cs="Arial" w:eastAsia="Arial" w:hAnsi="Arial"/>
                <w:sz w:val="15"/>
                <w:szCs w:val="15"/>
                <w:color w:val="auto"/>
              </w:rPr>
              <w:t>414,170</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5,911</w:t>
            </w:r>
          </w:p>
        </w:tc>
        <w:tc>
          <w:tcPr>
            <w:tcW w:w="860" w:type="dxa"/>
            <w:vAlign w:val="bottom"/>
          </w:tcPr>
          <w:p>
            <w:pPr>
              <w:jc w:val="right"/>
              <w:spacing w:after="0"/>
              <w:rPr>
                <w:sz w:val="20"/>
                <w:szCs w:val="20"/>
                <w:color w:val="auto"/>
              </w:rPr>
            </w:pPr>
            <w:r>
              <w:rPr>
                <w:rFonts w:ascii="Arial" w:cs="Arial" w:eastAsia="Arial" w:hAnsi="Arial"/>
                <w:sz w:val="15"/>
                <w:szCs w:val="15"/>
                <w:color w:val="auto"/>
              </w:rPr>
              <w:t>998,841</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12/15/2021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rPr>
              <w:t>6,860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1,159,203</w:t>
            </w:r>
          </w:p>
        </w:tc>
        <w:tc>
          <w:tcPr>
            <w:tcW w:w="14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5"/>
                <w:szCs w:val="15"/>
                <w:b w:val="1"/>
                <w:bCs w:val="1"/>
                <w:color w:val="004987"/>
              </w:rPr>
              <w:t>A. Terry</w:t>
            </w:r>
          </w:p>
        </w:tc>
        <w:tc>
          <w:tcPr>
            <w:tcW w:w="1440" w:type="dxa"/>
            <w:vAlign w:val="bottom"/>
            <w:vMerge w:val="restart"/>
          </w:tcPr>
          <w:p>
            <w:pPr>
              <w:jc w:val="center"/>
              <w:spacing w:after="0"/>
              <w:rPr>
                <w:sz w:val="20"/>
                <w:szCs w:val="20"/>
                <w:color w:val="auto"/>
              </w:rPr>
            </w:pPr>
            <w:r>
              <w:rPr>
                <w:rFonts w:ascii="Arial" w:cs="Arial" w:eastAsia="Arial" w:hAnsi="Arial"/>
                <w:sz w:val="15"/>
                <w:szCs w:val="15"/>
                <w:color w:val="auto"/>
              </w:rPr>
              <w:t>Performance</w:t>
            </w:r>
            <w:r>
              <w:rPr>
                <w:rFonts w:ascii="Arial" w:cs="Arial" w:eastAsia="Arial" w:hAnsi="Arial"/>
                <w:sz w:val="26"/>
                <w:szCs w:val="26"/>
                <w:color w:val="auto"/>
                <w:vertAlign w:val="superscript"/>
              </w:rPr>
              <w:t>4</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vMerge w:val="restart"/>
          </w:tcPr>
          <w:p>
            <w:pPr>
              <w:jc w:val="right"/>
              <w:ind w:right="25"/>
              <w:spacing w:after="0"/>
              <w:rPr>
                <w:sz w:val="20"/>
                <w:szCs w:val="20"/>
                <w:color w:val="auto"/>
              </w:rPr>
            </w:pPr>
            <w:r>
              <w:rPr>
                <w:rFonts w:ascii="Arial" w:cs="Arial" w:eastAsia="Arial" w:hAnsi="Arial"/>
                <w:sz w:val="15"/>
                <w:szCs w:val="15"/>
                <w:color w:val="auto"/>
              </w:rPr>
              <w:t>496</w:t>
            </w:r>
            <w:r>
              <w:rPr>
                <w:rFonts w:ascii="Arial" w:cs="Arial" w:eastAsia="Arial" w:hAnsi="Arial"/>
                <w:sz w:val="26"/>
                <w:szCs w:val="26"/>
                <w:color w:val="auto"/>
                <w:vertAlign w:val="superscript"/>
              </w:rPr>
              <w:t>4</w:t>
            </w: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83,730</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vMerge w:val="continue"/>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1,330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173.88</w:t>
            </w:r>
          </w:p>
        </w:tc>
        <w:tc>
          <w:tcPr>
            <w:tcW w:w="860" w:type="dxa"/>
            <w:vAlign w:val="bottom"/>
          </w:tcPr>
          <w:p>
            <w:pPr>
              <w:jc w:val="right"/>
              <w:spacing w:after="0"/>
              <w:rPr>
                <w:sz w:val="20"/>
                <w:szCs w:val="20"/>
                <w:color w:val="auto"/>
              </w:rPr>
            </w:pPr>
            <w:r>
              <w:rPr>
                <w:rFonts w:ascii="Arial" w:cs="Arial" w:eastAsia="Arial" w:hAnsi="Arial"/>
                <w:sz w:val="15"/>
                <w:szCs w:val="15"/>
                <w:color w:val="auto"/>
              </w:rPr>
              <w:t>3/1/2031</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194</w:t>
            </w:r>
          </w:p>
        </w:tc>
        <w:tc>
          <w:tcPr>
            <w:tcW w:w="860" w:type="dxa"/>
            <w:vAlign w:val="bottom"/>
          </w:tcPr>
          <w:p>
            <w:pPr>
              <w:jc w:val="right"/>
              <w:spacing w:after="0"/>
              <w:rPr>
                <w:sz w:val="20"/>
                <w:szCs w:val="20"/>
                <w:color w:val="auto"/>
              </w:rPr>
            </w:pPr>
            <w:r>
              <w:rPr>
                <w:rFonts w:ascii="Arial" w:cs="Arial" w:eastAsia="Arial" w:hAnsi="Arial"/>
                <w:sz w:val="15"/>
                <w:szCs w:val="15"/>
                <w:color w:val="auto"/>
              </w:rPr>
              <w:t>32,782</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608</w:t>
            </w:r>
          </w:p>
        </w:tc>
        <w:tc>
          <w:tcPr>
            <w:tcW w:w="860" w:type="dxa"/>
            <w:vAlign w:val="bottom"/>
          </w:tcPr>
          <w:p>
            <w:pPr>
              <w:jc w:val="right"/>
              <w:spacing w:after="0"/>
              <w:rPr>
                <w:sz w:val="20"/>
                <w:szCs w:val="20"/>
                <w:color w:val="auto"/>
              </w:rPr>
            </w:pPr>
            <w:r>
              <w:rPr>
                <w:rFonts w:ascii="Arial" w:cs="Arial" w:eastAsia="Arial" w:hAnsi="Arial"/>
                <w:sz w:val="15"/>
                <w:szCs w:val="15"/>
                <w:color w:val="auto"/>
              </w:rPr>
              <w:t>102,740</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1,103</w:t>
            </w:r>
          </w:p>
        </w:tc>
        <w:tc>
          <w:tcPr>
            <w:tcW w:w="860" w:type="dxa"/>
            <w:vAlign w:val="bottom"/>
          </w:tcPr>
          <w:p>
            <w:pPr>
              <w:jc w:val="right"/>
              <w:spacing w:after="0"/>
              <w:rPr>
                <w:sz w:val="20"/>
                <w:szCs w:val="20"/>
                <w:color w:val="auto"/>
              </w:rPr>
            </w:pPr>
            <w:r>
              <w:rPr>
                <w:rFonts w:ascii="Arial" w:cs="Arial" w:eastAsia="Arial" w:hAnsi="Arial"/>
                <w:sz w:val="15"/>
                <w:szCs w:val="15"/>
                <w:color w:val="auto"/>
              </w:rPr>
              <w:t>186,385</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12/15/2020</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692</w:t>
            </w:r>
          </w:p>
        </w:tc>
        <w:tc>
          <w:tcPr>
            <w:tcW w:w="860" w:type="dxa"/>
            <w:vAlign w:val="bottom"/>
          </w:tcPr>
          <w:p>
            <w:pPr>
              <w:jc w:val="right"/>
              <w:spacing w:after="0"/>
              <w:rPr>
                <w:sz w:val="20"/>
                <w:szCs w:val="20"/>
                <w:color w:val="auto"/>
              </w:rPr>
            </w:pPr>
            <w:r>
              <w:rPr>
                <w:rFonts w:ascii="Arial" w:cs="Arial" w:eastAsia="Arial" w:hAnsi="Arial"/>
                <w:sz w:val="15"/>
                <w:szCs w:val="15"/>
                <w:color w:val="auto"/>
              </w:rPr>
              <w:t>116,934</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833</w:t>
            </w:r>
          </w:p>
        </w:tc>
        <w:tc>
          <w:tcPr>
            <w:tcW w:w="860" w:type="dxa"/>
            <w:vAlign w:val="bottom"/>
          </w:tcPr>
          <w:p>
            <w:pPr>
              <w:jc w:val="right"/>
              <w:spacing w:after="0"/>
              <w:rPr>
                <w:sz w:val="20"/>
                <w:szCs w:val="20"/>
                <w:color w:val="auto"/>
              </w:rPr>
            </w:pPr>
            <w:r>
              <w:rPr>
                <w:rFonts w:ascii="Arial" w:cs="Arial" w:eastAsia="Arial" w:hAnsi="Arial"/>
                <w:sz w:val="15"/>
                <w:szCs w:val="15"/>
                <w:color w:val="auto"/>
              </w:rPr>
              <w:t>140,760</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11/16/2021</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1,526</w:t>
            </w:r>
          </w:p>
        </w:tc>
        <w:tc>
          <w:tcPr>
            <w:tcW w:w="860" w:type="dxa"/>
            <w:vAlign w:val="bottom"/>
          </w:tcPr>
          <w:p>
            <w:pPr>
              <w:jc w:val="right"/>
              <w:spacing w:after="0"/>
              <w:rPr>
                <w:sz w:val="20"/>
                <w:szCs w:val="20"/>
                <w:color w:val="auto"/>
              </w:rPr>
            </w:pPr>
            <w:r>
              <w:rPr>
                <w:rFonts w:ascii="Arial" w:cs="Arial" w:eastAsia="Arial" w:hAnsi="Arial"/>
                <w:sz w:val="15"/>
                <w:szCs w:val="15"/>
                <w:color w:val="auto"/>
              </w:rPr>
              <w:t>257,863</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12/15/2021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rPr>
              <w:t>1,715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289,801</w:t>
            </w:r>
          </w:p>
        </w:tc>
        <w:tc>
          <w:tcPr>
            <w:tcW w:w="14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5"/>
                <w:szCs w:val="15"/>
                <w:b w:val="1"/>
                <w:bCs w:val="1"/>
                <w:color w:val="004987"/>
              </w:rPr>
              <w:t>R. Cunningham</w:t>
            </w:r>
          </w:p>
        </w:tc>
        <w:tc>
          <w:tcPr>
            <w:tcW w:w="1440" w:type="dxa"/>
            <w:vAlign w:val="bottom"/>
            <w:vMerge w:val="restart"/>
          </w:tcPr>
          <w:p>
            <w:pPr>
              <w:jc w:val="center"/>
              <w:spacing w:after="0"/>
              <w:rPr>
                <w:sz w:val="20"/>
                <w:szCs w:val="20"/>
                <w:color w:val="auto"/>
              </w:rPr>
            </w:pPr>
            <w:r>
              <w:rPr>
                <w:rFonts w:ascii="Arial" w:cs="Arial" w:eastAsia="Arial" w:hAnsi="Arial"/>
                <w:sz w:val="15"/>
                <w:szCs w:val="15"/>
                <w:color w:val="auto"/>
              </w:rPr>
              <w:t>Performance</w:t>
            </w:r>
            <w:r>
              <w:rPr>
                <w:rFonts w:ascii="Arial" w:cs="Arial" w:eastAsia="Arial" w:hAnsi="Arial"/>
                <w:sz w:val="26"/>
                <w:szCs w:val="26"/>
                <w:color w:val="auto"/>
                <w:vertAlign w:val="superscript"/>
              </w:rPr>
              <w:t>4</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vMerge w:val="restart"/>
          </w:tcPr>
          <w:p>
            <w:pPr>
              <w:jc w:val="right"/>
              <w:ind w:right="25"/>
              <w:spacing w:after="0"/>
              <w:rPr>
                <w:sz w:val="20"/>
                <w:szCs w:val="20"/>
                <w:color w:val="auto"/>
              </w:rPr>
            </w:pPr>
            <w:r>
              <w:rPr>
                <w:rFonts w:ascii="Arial" w:cs="Arial" w:eastAsia="Arial" w:hAnsi="Arial"/>
                <w:sz w:val="15"/>
                <w:szCs w:val="15"/>
                <w:color w:val="auto"/>
              </w:rPr>
              <w:t>2,478</w:t>
            </w:r>
            <w:r>
              <w:rPr>
                <w:rFonts w:ascii="Arial" w:cs="Arial" w:eastAsia="Arial" w:hAnsi="Arial"/>
                <w:sz w:val="26"/>
                <w:szCs w:val="26"/>
                <w:color w:val="auto"/>
                <w:vertAlign w:val="superscript"/>
              </w:rPr>
              <w:t>4</w:t>
            </w: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418,648</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vMerge w:val="continue"/>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1,383</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143.38</w:t>
            </w:r>
          </w:p>
        </w:tc>
        <w:tc>
          <w:tcPr>
            <w:tcW w:w="860" w:type="dxa"/>
            <w:vAlign w:val="bottom"/>
          </w:tcPr>
          <w:p>
            <w:pPr>
              <w:jc w:val="right"/>
              <w:spacing w:after="0"/>
              <w:rPr>
                <w:sz w:val="20"/>
                <w:szCs w:val="20"/>
                <w:color w:val="auto"/>
              </w:rPr>
            </w:pPr>
            <w:r>
              <w:rPr>
                <w:rFonts w:ascii="Arial" w:cs="Arial" w:eastAsia="Arial" w:hAnsi="Arial"/>
                <w:sz w:val="15"/>
                <w:szCs w:val="15"/>
                <w:color w:val="auto"/>
              </w:rPr>
              <w:t>3/1/2028</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4,673</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100.52</w:t>
            </w:r>
          </w:p>
        </w:tc>
        <w:tc>
          <w:tcPr>
            <w:tcW w:w="860" w:type="dxa"/>
            <w:vAlign w:val="bottom"/>
          </w:tcPr>
          <w:p>
            <w:pPr>
              <w:jc w:val="right"/>
              <w:spacing w:after="0"/>
              <w:rPr>
                <w:sz w:val="20"/>
                <w:szCs w:val="20"/>
                <w:color w:val="auto"/>
              </w:rPr>
            </w:pPr>
            <w:r>
              <w:rPr>
                <w:rFonts w:ascii="Arial" w:cs="Arial" w:eastAsia="Arial" w:hAnsi="Arial"/>
                <w:sz w:val="15"/>
                <w:szCs w:val="15"/>
                <w:color w:val="auto"/>
              </w:rPr>
              <w:t>3/4/2029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6,834</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96.82</w:t>
            </w:r>
          </w:p>
        </w:tc>
        <w:tc>
          <w:tcPr>
            <w:tcW w:w="860" w:type="dxa"/>
            <w:vAlign w:val="bottom"/>
          </w:tcPr>
          <w:p>
            <w:pPr>
              <w:jc w:val="right"/>
              <w:spacing w:after="0"/>
              <w:rPr>
                <w:sz w:val="20"/>
                <w:szCs w:val="20"/>
                <w:color w:val="auto"/>
              </w:rPr>
            </w:pPr>
            <w:r>
              <w:rPr>
                <w:rFonts w:ascii="Arial" w:cs="Arial" w:eastAsia="Arial" w:hAnsi="Arial"/>
                <w:sz w:val="15"/>
                <w:szCs w:val="15"/>
                <w:color w:val="auto"/>
              </w:rPr>
              <w:t>3/2/2030</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6,369</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173.88</w:t>
            </w:r>
          </w:p>
        </w:tc>
        <w:tc>
          <w:tcPr>
            <w:tcW w:w="860" w:type="dxa"/>
            <w:vAlign w:val="bottom"/>
          </w:tcPr>
          <w:p>
            <w:pPr>
              <w:jc w:val="right"/>
              <w:spacing w:after="0"/>
              <w:rPr>
                <w:sz w:val="20"/>
                <w:szCs w:val="20"/>
                <w:color w:val="auto"/>
              </w:rPr>
            </w:pPr>
            <w:r>
              <w:rPr>
                <w:rFonts w:ascii="Arial" w:cs="Arial" w:eastAsia="Arial" w:hAnsi="Arial"/>
                <w:sz w:val="15"/>
                <w:szCs w:val="15"/>
                <w:color w:val="auto"/>
              </w:rPr>
              <w:t>3/1/2031</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370</w:t>
            </w:r>
          </w:p>
        </w:tc>
        <w:tc>
          <w:tcPr>
            <w:tcW w:w="860" w:type="dxa"/>
            <w:vAlign w:val="bottom"/>
          </w:tcPr>
          <w:p>
            <w:pPr>
              <w:jc w:val="right"/>
              <w:spacing w:after="0"/>
              <w:rPr>
                <w:sz w:val="20"/>
                <w:szCs w:val="20"/>
                <w:color w:val="auto"/>
              </w:rPr>
            </w:pPr>
            <w:r>
              <w:rPr>
                <w:rFonts w:ascii="Arial" w:cs="Arial" w:eastAsia="Arial" w:hAnsi="Arial"/>
                <w:sz w:val="15"/>
                <w:szCs w:val="15"/>
                <w:color w:val="auto"/>
              </w:rPr>
              <w:t>62,523</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1,170</w:t>
            </w:r>
          </w:p>
        </w:tc>
        <w:tc>
          <w:tcPr>
            <w:tcW w:w="860" w:type="dxa"/>
            <w:vAlign w:val="bottom"/>
          </w:tcPr>
          <w:p>
            <w:pPr>
              <w:jc w:val="right"/>
              <w:spacing w:after="0"/>
              <w:rPr>
                <w:sz w:val="20"/>
                <w:szCs w:val="20"/>
                <w:color w:val="auto"/>
              </w:rPr>
            </w:pPr>
            <w:r>
              <w:rPr>
                <w:rFonts w:ascii="Arial" w:cs="Arial" w:eastAsia="Arial" w:hAnsi="Arial"/>
                <w:sz w:val="15"/>
                <w:szCs w:val="15"/>
                <w:color w:val="auto"/>
              </w:rPr>
              <w:t>197,707</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1,470</w:t>
            </w:r>
          </w:p>
        </w:tc>
        <w:tc>
          <w:tcPr>
            <w:tcW w:w="860" w:type="dxa"/>
            <w:vAlign w:val="bottom"/>
          </w:tcPr>
          <w:p>
            <w:pPr>
              <w:jc w:val="right"/>
              <w:spacing w:after="0"/>
              <w:rPr>
                <w:sz w:val="20"/>
                <w:szCs w:val="20"/>
                <w:color w:val="auto"/>
              </w:rPr>
            </w:pPr>
            <w:r>
              <w:rPr>
                <w:rFonts w:ascii="Arial" w:cs="Arial" w:eastAsia="Arial" w:hAnsi="Arial"/>
                <w:sz w:val="15"/>
                <w:szCs w:val="15"/>
                <w:color w:val="auto"/>
              </w:rPr>
              <w:t>248,401</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2,660</w:t>
            </w:r>
          </w:p>
        </w:tc>
        <w:tc>
          <w:tcPr>
            <w:tcW w:w="860" w:type="dxa"/>
            <w:vAlign w:val="bottom"/>
          </w:tcPr>
          <w:p>
            <w:pPr>
              <w:jc w:val="right"/>
              <w:spacing w:after="0"/>
              <w:rPr>
                <w:sz w:val="20"/>
                <w:szCs w:val="20"/>
                <w:color w:val="auto"/>
              </w:rPr>
            </w:pPr>
            <w:r>
              <w:rPr>
                <w:rFonts w:ascii="Arial" w:cs="Arial" w:eastAsia="Arial" w:hAnsi="Arial"/>
                <w:sz w:val="15"/>
                <w:szCs w:val="15"/>
                <w:color w:val="auto"/>
              </w:rPr>
              <w:t>449,487</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12/15/2021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rPr>
              <w:t>3,087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521,641</w:t>
            </w:r>
          </w:p>
        </w:tc>
        <w:tc>
          <w:tcPr>
            <w:tcW w:w="14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5"/>
                <w:szCs w:val="15"/>
                <w:b w:val="1"/>
                <w:bCs w:val="1"/>
                <w:color w:val="004987"/>
              </w:rPr>
              <w:t>B. Miller</w:t>
            </w:r>
          </w:p>
        </w:tc>
        <w:tc>
          <w:tcPr>
            <w:tcW w:w="1440" w:type="dxa"/>
            <w:vAlign w:val="bottom"/>
            <w:vMerge w:val="restart"/>
          </w:tcPr>
          <w:p>
            <w:pPr>
              <w:jc w:val="center"/>
              <w:spacing w:after="0"/>
              <w:rPr>
                <w:sz w:val="20"/>
                <w:szCs w:val="20"/>
                <w:color w:val="auto"/>
              </w:rPr>
            </w:pPr>
            <w:r>
              <w:rPr>
                <w:rFonts w:ascii="Arial" w:cs="Arial" w:eastAsia="Arial" w:hAnsi="Arial"/>
                <w:sz w:val="15"/>
                <w:szCs w:val="15"/>
                <w:color w:val="auto"/>
              </w:rPr>
              <w:t>Performance</w:t>
            </w:r>
            <w:r>
              <w:rPr>
                <w:rFonts w:ascii="Arial" w:cs="Arial" w:eastAsia="Arial" w:hAnsi="Arial"/>
                <w:sz w:val="26"/>
                <w:szCs w:val="26"/>
                <w:color w:val="auto"/>
                <w:vertAlign w:val="superscript"/>
              </w:rPr>
              <w:t>4</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vMerge w:val="restart"/>
          </w:tcPr>
          <w:p>
            <w:pPr>
              <w:jc w:val="right"/>
              <w:ind w:right="25"/>
              <w:spacing w:after="0"/>
              <w:rPr>
                <w:sz w:val="20"/>
                <w:szCs w:val="20"/>
                <w:color w:val="auto"/>
              </w:rPr>
            </w:pPr>
            <w:r>
              <w:rPr>
                <w:rFonts w:ascii="Arial" w:cs="Arial" w:eastAsia="Arial" w:hAnsi="Arial"/>
                <w:sz w:val="15"/>
                <w:szCs w:val="15"/>
                <w:color w:val="auto"/>
              </w:rPr>
              <w:t>2,478</w:t>
            </w:r>
            <w:r>
              <w:rPr>
                <w:rFonts w:ascii="Arial" w:cs="Arial" w:eastAsia="Arial" w:hAnsi="Arial"/>
                <w:sz w:val="26"/>
                <w:szCs w:val="26"/>
                <w:color w:val="auto"/>
                <w:vertAlign w:val="superscript"/>
              </w:rPr>
              <w:t>4</w:t>
            </w: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418,648</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vMerge w:val="continue"/>
          </w:tcPr>
          <w:p>
            <w:pPr>
              <w:spacing w:after="0"/>
              <w:rPr>
                <w:sz w:val="15"/>
                <w:szCs w:val="15"/>
                <w:color w:val="auto"/>
              </w:rPr>
            </w:pP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3,268</w:t>
            </w:r>
          </w:p>
        </w:tc>
        <w:tc>
          <w:tcPr>
            <w:tcW w:w="620" w:type="dxa"/>
            <w:vAlign w:val="bottom"/>
          </w:tcPr>
          <w:p>
            <w:pPr>
              <w:jc w:val="right"/>
              <w:spacing w:after="0"/>
              <w:rPr>
                <w:sz w:val="20"/>
                <w:szCs w:val="20"/>
                <w:color w:val="auto"/>
              </w:rPr>
            </w:pPr>
            <w:r>
              <w:rPr>
                <w:rFonts w:ascii="Arial" w:cs="Arial" w:eastAsia="Arial" w:hAnsi="Arial"/>
                <w:sz w:val="15"/>
                <w:szCs w:val="15"/>
                <w:color w:val="auto"/>
              </w:rPr>
              <w:t>1,090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143.38</w:t>
            </w:r>
          </w:p>
        </w:tc>
        <w:tc>
          <w:tcPr>
            <w:tcW w:w="860" w:type="dxa"/>
            <w:vAlign w:val="bottom"/>
          </w:tcPr>
          <w:p>
            <w:pPr>
              <w:jc w:val="right"/>
              <w:spacing w:after="0"/>
              <w:rPr>
                <w:sz w:val="20"/>
                <w:szCs w:val="20"/>
                <w:color w:val="auto"/>
              </w:rPr>
            </w:pPr>
            <w:r>
              <w:rPr>
                <w:rFonts w:ascii="Arial" w:cs="Arial" w:eastAsia="Arial" w:hAnsi="Arial"/>
                <w:sz w:val="15"/>
                <w:szCs w:val="15"/>
                <w:color w:val="auto"/>
              </w:rPr>
              <w:t>3/1/2028</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3,635</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100.52</w:t>
            </w:r>
          </w:p>
        </w:tc>
        <w:tc>
          <w:tcPr>
            <w:tcW w:w="860" w:type="dxa"/>
            <w:vAlign w:val="bottom"/>
          </w:tcPr>
          <w:p>
            <w:pPr>
              <w:jc w:val="right"/>
              <w:spacing w:after="0"/>
              <w:rPr>
                <w:sz w:val="20"/>
                <w:szCs w:val="20"/>
                <w:color w:val="auto"/>
              </w:rPr>
            </w:pPr>
            <w:r>
              <w:rPr>
                <w:rFonts w:ascii="Arial" w:cs="Arial" w:eastAsia="Arial" w:hAnsi="Arial"/>
                <w:sz w:val="15"/>
                <w:szCs w:val="15"/>
                <w:color w:val="auto"/>
              </w:rPr>
              <w:t>3/4/2029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6,834</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96.82</w:t>
            </w:r>
          </w:p>
        </w:tc>
        <w:tc>
          <w:tcPr>
            <w:tcW w:w="860" w:type="dxa"/>
            <w:vAlign w:val="bottom"/>
          </w:tcPr>
          <w:p>
            <w:pPr>
              <w:jc w:val="right"/>
              <w:spacing w:after="0"/>
              <w:rPr>
                <w:sz w:val="20"/>
                <w:szCs w:val="20"/>
                <w:color w:val="auto"/>
              </w:rPr>
            </w:pPr>
            <w:r>
              <w:rPr>
                <w:rFonts w:ascii="Arial" w:cs="Arial" w:eastAsia="Arial" w:hAnsi="Arial"/>
                <w:sz w:val="15"/>
                <w:szCs w:val="15"/>
                <w:color w:val="auto"/>
              </w:rPr>
              <w:t>3/2/2030</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rPr>
              <w:t>VAC SARs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7,784</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173.88</w:t>
            </w:r>
          </w:p>
        </w:tc>
        <w:tc>
          <w:tcPr>
            <w:tcW w:w="860" w:type="dxa"/>
            <w:vAlign w:val="bottom"/>
          </w:tcPr>
          <w:p>
            <w:pPr>
              <w:jc w:val="right"/>
              <w:spacing w:after="0"/>
              <w:rPr>
                <w:sz w:val="20"/>
                <w:szCs w:val="20"/>
                <w:color w:val="auto"/>
              </w:rPr>
            </w:pPr>
            <w:r>
              <w:rPr>
                <w:rFonts w:ascii="Arial" w:cs="Arial" w:eastAsia="Arial" w:hAnsi="Arial"/>
                <w:sz w:val="15"/>
                <w:szCs w:val="15"/>
                <w:color w:val="auto"/>
              </w:rPr>
              <w:t>3/1/2031</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3/1/2018</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292</w:t>
            </w:r>
          </w:p>
        </w:tc>
        <w:tc>
          <w:tcPr>
            <w:tcW w:w="860" w:type="dxa"/>
            <w:vAlign w:val="bottom"/>
          </w:tcPr>
          <w:p>
            <w:pPr>
              <w:jc w:val="right"/>
              <w:spacing w:after="0"/>
              <w:rPr>
                <w:sz w:val="20"/>
                <w:szCs w:val="20"/>
                <w:color w:val="auto"/>
              </w:rPr>
            </w:pPr>
            <w:r>
              <w:rPr>
                <w:rFonts w:ascii="Arial" w:cs="Arial" w:eastAsia="Arial" w:hAnsi="Arial"/>
                <w:sz w:val="15"/>
                <w:szCs w:val="15"/>
                <w:color w:val="auto"/>
              </w:rPr>
              <w:t>49,342</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3/4/2019</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910</w:t>
            </w:r>
          </w:p>
        </w:tc>
        <w:tc>
          <w:tcPr>
            <w:tcW w:w="860" w:type="dxa"/>
            <w:vAlign w:val="bottom"/>
          </w:tcPr>
          <w:p>
            <w:pPr>
              <w:jc w:val="right"/>
              <w:spacing w:after="0"/>
              <w:rPr>
                <w:sz w:val="20"/>
                <w:szCs w:val="20"/>
                <w:color w:val="auto"/>
              </w:rPr>
            </w:pPr>
            <w:r>
              <w:rPr>
                <w:rFonts w:ascii="Arial" w:cs="Arial" w:eastAsia="Arial" w:hAnsi="Arial"/>
                <w:sz w:val="15"/>
                <w:szCs w:val="15"/>
                <w:color w:val="auto"/>
              </w:rPr>
              <w:t>153,772</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3/2/2020</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1,470</w:t>
            </w:r>
          </w:p>
        </w:tc>
        <w:tc>
          <w:tcPr>
            <w:tcW w:w="860" w:type="dxa"/>
            <w:vAlign w:val="bottom"/>
          </w:tcPr>
          <w:p>
            <w:pPr>
              <w:jc w:val="right"/>
              <w:spacing w:after="0"/>
              <w:rPr>
                <w:sz w:val="20"/>
                <w:szCs w:val="20"/>
                <w:color w:val="auto"/>
              </w:rPr>
            </w:pPr>
            <w:r>
              <w:rPr>
                <w:rFonts w:ascii="Arial" w:cs="Arial" w:eastAsia="Arial" w:hAnsi="Arial"/>
                <w:sz w:val="15"/>
                <w:szCs w:val="15"/>
                <w:color w:val="auto"/>
              </w:rPr>
              <w:t>248,401</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11/9/2020</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1,117</w:t>
            </w:r>
          </w:p>
        </w:tc>
        <w:tc>
          <w:tcPr>
            <w:tcW w:w="860" w:type="dxa"/>
            <w:vAlign w:val="bottom"/>
          </w:tcPr>
          <w:p>
            <w:pPr>
              <w:jc w:val="right"/>
              <w:spacing w:after="0"/>
              <w:rPr>
                <w:sz w:val="20"/>
                <w:szCs w:val="20"/>
                <w:color w:val="auto"/>
              </w:rPr>
            </w:pPr>
            <w:r>
              <w:rPr>
                <w:rFonts w:ascii="Arial" w:cs="Arial" w:eastAsia="Arial" w:hAnsi="Arial"/>
                <w:sz w:val="15"/>
                <w:szCs w:val="15"/>
                <w:color w:val="auto"/>
              </w:rPr>
              <w:t>188,751</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380" w:type="dxa"/>
            <w:vAlign w:val="bottom"/>
          </w:tcPr>
          <w:p>
            <w:pPr>
              <w:spacing w:after="0"/>
              <w:rPr>
                <w:sz w:val="20"/>
                <w:szCs w:val="20"/>
                <w:color w:val="auto"/>
              </w:rPr>
            </w:pPr>
            <w:r>
              <w:rPr>
                <w:rFonts w:ascii="Arial" w:cs="Arial" w:eastAsia="Arial" w:hAnsi="Arial"/>
                <w:sz w:val="15"/>
                <w:szCs w:val="15"/>
                <w:color w:val="auto"/>
              </w:rPr>
              <w:t>3/1/2021</w:t>
            </w:r>
          </w:p>
        </w:tc>
        <w:tc>
          <w:tcPr>
            <w:tcW w:w="1440" w:type="dxa"/>
            <w:vAlign w:val="bottom"/>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5"/>
              <w:spacing w:after="0"/>
              <w:rPr>
                <w:sz w:val="20"/>
                <w:szCs w:val="20"/>
                <w:color w:val="auto"/>
              </w:rPr>
            </w:pPr>
            <w:r>
              <w:rPr>
                <w:rFonts w:ascii="Arial" w:cs="Arial" w:eastAsia="Arial" w:hAnsi="Arial"/>
                <w:sz w:val="15"/>
                <w:szCs w:val="15"/>
                <w:color w:val="auto"/>
              </w:rPr>
              <w:t>3,251</w:t>
            </w:r>
          </w:p>
        </w:tc>
        <w:tc>
          <w:tcPr>
            <w:tcW w:w="860" w:type="dxa"/>
            <w:vAlign w:val="bottom"/>
          </w:tcPr>
          <w:p>
            <w:pPr>
              <w:jc w:val="right"/>
              <w:spacing w:after="0"/>
              <w:rPr>
                <w:sz w:val="20"/>
                <w:szCs w:val="20"/>
                <w:color w:val="auto"/>
              </w:rPr>
            </w:pPr>
            <w:r>
              <w:rPr>
                <w:rFonts w:ascii="Arial" w:cs="Arial" w:eastAsia="Arial" w:hAnsi="Arial"/>
                <w:sz w:val="15"/>
                <w:szCs w:val="15"/>
                <w:color w:val="auto"/>
              </w:rPr>
              <w:t>549,354</w:t>
            </w:r>
          </w:p>
        </w:tc>
        <w:tc>
          <w:tcPr>
            <w:tcW w:w="14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12/15/2021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VAC RSUs</w:t>
            </w:r>
          </w:p>
        </w:tc>
        <w:tc>
          <w:tcPr>
            <w:tcW w:w="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rPr>
              <w:t>3,773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637,562</w:t>
            </w:r>
          </w:p>
        </w:tc>
        <w:tc>
          <w:tcPr>
            <w:tcW w:w="14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3440" w:type="dxa"/>
            <w:vAlign w:val="bottom"/>
            <w:tcBorders>
              <w:bottom w:val="single" w:sz="8" w:color="004987"/>
            </w:tcBorders>
            <w:gridSpan w:val="3"/>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620" w:type="dxa"/>
            <w:vAlign w:val="bottom"/>
            <w:tcBorders>
              <w:bottom w:val="single" w:sz="8" w:color="004987"/>
            </w:tcBorders>
          </w:tcPr>
          <w:p>
            <w:pPr>
              <w:spacing w:after="0"/>
              <w:rPr>
                <w:sz w:val="21"/>
                <w:szCs w:val="21"/>
                <w:color w:val="auto"/>
              </w:rPr>
            </w:pPr>
          </w:p>
        </w:tc>
        <w:tc>
          <w:tcPr>
            <w:tcW w:w="2820" w:type="dxa"/>
            <w:vAlign w:val="bottom"/>
            <w:tcBorders>
              <w:bottom w:val="single" w:sz="8" w:color="004987"/>
            </w:tcBorders>
            <w:gridSpan w:val="4"/>
          </w:tcPr>
          <w:p>
            <w:pPr>
              <w:jc w:val="right"/>
              <w:ind w:right="485"/>
              <w:spacing w:after="0"/>
              <w:rPr>
                <w:sz w:val="20"/>
                <w:szCs w:val="20"/>
                <w:color w:val="auto"/>
              </w:rPr>
            </w:pPr>
            <w:r>
              <w:rPr>
                <w:rFonts w:ascii="Arial" w:cs="Arial" w:eastAsia="Arial" w:hAnsi="Arial"/>
                <w:sz w:val="10"/>
                <w:szCs w:val="10"/>
                <w:color w:val="auto"/>
              </w:rPr>
              <w:t>Executive Compensation Tables and Discussion</w:t>
            </w:r>
          </w:p>
        </w:tc>
        <w:tc>
          <w:tcPr>
            <w:tcW w:w="860" w:type="dxa"/>
            <w:vAlign w:val="bottom"/>
            <w:tcBorders>
              <w:bottom w:val="single" w:sz="8" w:color="004987"/>
            </w:tcBorders>
          </w:tcPr>
          <w:p>
            <w:pPr>
              <w:spacing w:after="0"/>
              <w:rPr>
                <w:sz w:val="21"/>
                <w:szCs w:val="21"/>
                <w:color w:val="auto"/>
              </w:rPr>
            </w:pPr>
          </w:p>
        </w:tc>
        <w:tc>
          <w:tcPr>
            <w:tcW w:w="1440" w:type="dxa"/>
            <w:vAlign w:val="bottom"/>
            <w:tcBorders>
              <w:bottom w:val="single" w:sz="8" w:color="004987"/>
            </w:tcBorders>
          </w:tcPr>
          <w:p>
            <w:pPr>
              <w:spacing w:after="0"/>
              <w:rPr>
                <w:sz w:val="21"/>
                <w:szCs w:val="21"/>
                <w:color w:val="auto"/>
              </w:rPr>
            </w:pPr>
          </w:p>
        </w:tc>
        <w:tc>
          <w:tcPr>
            <w:tcW w:w="1280" w:type="dxa"/>
            <w:vAlign w:val="bottom"/>
            <w:tcBorders>
              <w:bottom w:val="single" w:sz="8" w:color="004987"/>
            </w:tcBorders>
            <w:gridSpan w:val="2"/>
          </w:tcPr>
          <w:p>
            <w:pPr>
              <w:jc w:val="right"/>
              <w:spacing w:after="0"/>
              <w:rPr>
                <w:sz w:val="20"/>
                <w:szCs w:val="20"/>
                <w:color w:val="auto"/>
              </w:rPr>
            </w:pPr>
            <w:r>
              <w:rPr>
                <w:rFonts w:ascii="Arial" w:cs="Arial" w:eastAsia="Arial" w:hAnsi="Arial"/>
                <w:sz w:val="10"/>
                <w:szCs w:val="10"/>
                <w:b w:val="1"/>
                <w:bCs w:val="1"/>
                <w:color w:val="004987"/>
              </w:rPr>
              <w:t>39</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44" w:name="page45"/>
    <w:bookmarkEnd w:id="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2"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0" w:type="dxa"/>
            <w:vAlign w:val="bottom"/>
            <w:tcBorders>
              <w:bottom w:val="single" w:sz="8" w:color="004987"/>
            </w:tcBorders>
          </w:tcPr>
          <w:p>
            <w:pPr>
              <w:spacing w:after="0"/>
              <w:rPr>
                <w:sz w:val="14"/>
                <w:szCs w:val="14"/>
                <w:color w:val="auto"/>
              </w:rPr>
            </w:pPr>
          </w:p>
        </w:tc>
        <w:tc>
          <w:tcPr>
            <w:tcW w:w="1480" w:type="dxa"/>
            <w:vAlign w:val="bottom"/>
            <w:tcBorders>
              <w:bottom w:val="single" w:sz="8" w:color="004987"/>
            </w:tcBorders>
            <w:gridSpan w:val="2"/>
          </w:tcPr>
          <w:p>
            <w:pPr>
              <w:jc w:val="right"/>
              <w:ind w:right="66"/>
              <w:spacing w:after="0"/>
              <w:rPr>
                <w:sz w:val="20"/>
                <w:szCs w:val="20"/>
                <w:color w:val="auto"/>
              </w:rPr>
            </w:pPr>
            <w:r>
              <w:rPr>
                <w:rFonts w:ascii="Arial" w:cs="Arial" w:eastAsia="Arial" w:hAnsi="Arial"/>
                <w:sz w:val="14"/>
                <w:szCs w:val="14"/>
                <w:b w:val="1"/>
                <w:bCs w:val="1"/>
                <w:color w:val="004987"/>
              </w:rPr>
              <w:t>Option Awards</w:t>
            </w:r>
          </w:p>
        </w:tc>
        <w:tc>
          <w:tcPr>
            <w:tcW w:w="800" w:type="dxa"/>
            <w:vAlign w:val="bottom"/>
            <w:tcBorders>
              <w:bottom w:val="single" w:sz="8" w:color="004987"/>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004987"/>
            </w:tcBorders>
          </w:tcPr>
          <w:p>
            <w:pPr>
              <w:spacing w:after="0"/>
              <w:rPr>
                <w:sz w:val="14"/>
                <w:szCs w:val="14"/>
                <w:color w:val="auto"/>
              </w:rPr>
            </w:pPr>
          </w:p>
        </w:tc>
        <w:tc>
          <w:tcPr>
            <w:tcW w:w="840" w:type="dxa"/>
            <w:vAlign w:val="bottom"/>
            <w:tcBorders>
              <w:bottom w:val="single" w:sz="8" w:color="004987"/>
            </w:tcBorders>
          </w:tcPr>
          <w:p>
            <w:pPr>
              <w:spacing w:after="0"/>
              <w:rPr>
                <w:sz w:val="14"/>
                <w:szCs w:val="14"/>
                <w:color w:val="auto"/>
              </w:rPr>
            </w:pPr>
          </w:p>
        </w:tc>
        <w:tc>
          <w:tcPr>
            <w:tcW w:w="1460" w:type="dxa"/>
            <w:vAlign w:val="bottom"/>
            <w:tcBorders>
              <w:bottom w:val="single" w:sz="8" w:color="004987"/>
            </w:tcBorders>
          </w:tcPr>
          <w:p>
            <w:pPr>
              <w:jc w:val="right"/>
              <w:ind w:right="468"/>
              <w:spacing w:after="0"/>
              <w:rPr>
                <w:sz w:val="20"/>
                <w:szCs w:val="20"/>
                <w:color w:val="auto"/>
              </w:rPr>
            </w:pPr>
            <w:r>
              <w:rPr>
                <w:rFonts w:ascii="Arial" w:cs="Arial" w:eastAsia="Arial" w:hAnsi="Arial"/>
                <w:sz w:val="14"/>
                <w:szCs w:val="14"/>
                <w:b w:val="1"/>
                <w:bCs w:val="1"/>
                <w:color w:val="004987"/>
                <w:w w:val="97"/>
              </w:rPr>
              <w:t>Stock Awards</w:t>
            </w:r>
          </w:p>
        </w:tc>
        <w:tc>
          <w:tcPr>
            <w:tcW w:w="1160" w:type="dxa"/>
            <w:vAlign w:val="bottom"/>
            <w:tcBorders>
              <w:bottom w:val="single" w:sz="8" w:color="004987"/>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60" w:type="dxa"/>
            <w:vAlign w:val="bottom"/>
          </w:tcPr>
          <w:p>
            <w:pPr>
              <w:jc w:val="center"/>
              <w:ind w:left="8"/>
              <w:spacing w:after="0" w:line="137" w:lineRule="exact"/>
              <w:rPr>
                <w:sz w:val="20"/>
                <w:szCs w:val="20"/>
                <w:color w:val="auto"/>
              </w:rPr>
            </w:pPr>
            <w:r>
              <w:rPr>
                <w:rFonts w:ascii="Arial" w:cs="Arial" w:eastAsia="Arial" w:hAnsi="Arial"/>
                <w:sz w:val="14"/>
                <w:szCs w:val="14"/>
                <w:b w:val="1"/>
                <w:bCs w:val="1"/>
                <w:color w:val="004987"/>
                <w:w w:val="96"/>
              </w:rPr>
              <w:t>Equity Incentive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tcPr>
          <w:p>
            <w:pPr>
              <w:jc w:val="right"/>
              <w:ind w:right="108"/>
              <w:spacing w:after="0" w:line="154" w:lineRule="exact"/>
              <w:rPr>
                <w:sz w:val="20"/>
                <w:szCs w:val="20"/>
                <w:color w:val="auto"/>
              </w:rPr>
            </w:pPr>
            <w:r>
              <w:rPr>
                <w:rFonts w:ascii="Arial" w:cs="Arial" w:eastAsia="Arial" w:hAnsi="Arial"/>
                <w:sz w:val="14"/>
                <w:szCs w:val="14"/>
                <w:b w:val="1"/>
                <w:bCs w:val="1"/>
                <w:color w:val="004987"/>
              </w:rPr>
              <w:t>Equity Incentive</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9"/>
              </w:rPr>
              <w:t>Plan Awards:</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gridSpan w:val="2"/>
          </w:tcPr>
          <w:p>
            <w:pPr>
              <w:jc w:val="center"/>
              <w:ind w:right="104"/>
              <w:spacing w:after="0" w:line="154" w:lineRule="exact"/>
              <w:rPr>
                <w:sz w:val="20"/>
                <w:szCs w:val="20"/>
                <w:color w:val="auto"/>
              </w:rPr>
            </w:pPr>
            <w:r>
              <w:rPr>
                <w:rFonts w:ascii="Arial" w:cs="Arial" w:eastAsia="Arial" w:hAnsi="Arial"/>
                <w:sz w:val="14"/>
                <w:szCs w:val="14"/>
                <w:b w:val="1"/>
                <w:bCs w:val="1"/>
                <w:color w:val="004987"/>
                <w:w w:val="97"/>
              </w:rPr>
              <w:t>Number of</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gridSpan w:val="2"/>
          </w:tcPr>
          <w:p>
            <w:pPr>
              <w:jc w:val="center"/>
              <w:ind w:left="25"/>
              <w:spacing w:after="0" w:line="154" w:lineRule="exact"/>
              <w:rPr>
                <w:sz w:val="20"/>
                <w:szCs w:val="20"/>
                <w:color w:val="auto"/>
              </w:rPr>
            </w:pPr>
            <w:r>
              <w:rPr>
                <w:rFonts w:ascii="Arial" w:cs="Arial" w:eastAsia="Arial" w:hAnsi="Arial"/>
                <w:sz w:val="14"/>
                <w:szCs w:val="14"/>
                <w:b w:val="1"/>
                <w:bCs w:val="1"/>
                <w:color w:val="004987"/>
                <w:w w:val="97"/>
              </w:rPr>
              <w:t>Number of</w:t>
            </w:r>
          </w:p>
        </w:tc>
        <w:tc>
          <w:tcPr>
            <w:tcW w:w="840" w:type="dxa"/>
            <w:vAlign w:val="bottom"/>
          </w:tcPr>
          <w:p>
            <w:pPr>
              <w:jc w:val="center"/>
              <w:ind w:left="7"/>
              <w:spacing w:after="0" w:line="154" w:lineRule="exact"/>
              <w:rPr>
                <w:sz w:val="20"/>
                <w:szCs w:val="20"/>
                <w:color w:val="auto"/>
              </w:rPr>
            </w:pPr>
            <w:r>
              <w:rPr>
                <w:rFonts w:ascii="Arial" w:cs="Arial" w:eastAsia="Arial" w:hAnsi="Arial"/>
                <w:sz w:val="14"/>
                <w:szCs w:val="14"/>
                <w:b w:val="1"/>
                <w:bCs w:val="1"/>
                <w:color w:val="004987"/>
                <w:w w:val="97"/>
              </w:rPr>
              <w:t>Market</w:t>
            </w:r>
          </w:p>
        </w:tc>
        <w:tc>
          <w:tcPr>
            <w:tcW w:w="146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6"/>
              </w:rPr>
              <w:t>Plan Awards:</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5"/>
              </w:rPr>
              <w:t>Market or</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gridSpan w:val="2"/>
          </w:tcPr>
          <w:p>
            <w:pPr>
              <w:jc w:val="center"/>
              <w:ind w:right="84"/>
              <w:spacing w:after="0" w:line="154" w:lineRule="exact"/>
              <w:rPr>
                <w:sz w:val="20"/>
                <w:szCs w:val="20"/>
                <w:color w:val="auto"/>
              </w:rPr>
            </w:pPr>
            <w:r>
              <w:rPr>
                <w:rFonts w:ascii="Arial" w:cs="Arial" w:eastAsia="Arial" w:hAnsi="Arial"/>
                <w:sz w:val="14"/>
                <w:szCs w:val="14"/>
                <w:b w:val="1"/>
                <w:bCs w:val="1"/>
                <w:color w:val="004987"/>
                <w:w w:val="98"/>
              </w:rPr>
              <w:t>Securities</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69"/>
              <w:spacing w:after="0" w:line="154" w:lineRule="exact"/>
              <w:rPr>
                <w:sz w:val="20"/>
                <w:szCs w:val="20"/>
                <w:color w:val="auto"/>
              </w:rPr>
            </w:pPr>
            <w:r>
              <w:rPr>
                <w:rFonts w:ascii="Arial" w:cs="Arial" w:eastAsia="Arial" w:hAnsi="Arial"/>
                <w:sz w:val="14"/>
                <w:szCs w:val="14"/>
                <w:b w:val="1"/>
                <w:bCs w:val="1"/>
                <w:color w:val="004987"/>
                <w:w w:val="99"/>
              </w:rPr>
              <w:t>Shares or</w:t>
            </w:r>
          </w:p>
        </w:tc>
        <w:tc>
          <w:tcPr>
            <w:tcW w:w="840" w:type="dxa"/>
            <w:vAlign w:val="bottom"/>
          </w:tcPr>
          <w:p>
            <w:pPr>
              <w:jc w:val="center"/>
              <w:ind w:left="7"/>
              <w:spacing w:after="0" w:line="154" w:lineRule="exact"/>
              <w:rPr>
                <w:sz w:val="20"/>
                <w:szCs w:val="20"/>
                <w:color w:val="auto"/>
              </w:rPr>
            </w:pPr>
            <w:r>
              <w:rPr>
                <w:rFonts w:ascii="Arial" w:cs="Arial" w:eastAsia="Arial" w:hAnsi="Arial"/>
                <w:sz w:val="14"/>
                <w:szCs w:val="14"/>
                <w:b w:val="1"/>
                <w:bCs w:val="1"/>
                <w:color w:val="004987"/>
                <w:w w:val="95"/>
              </w:rPr>
              <w:t>Value of</w:t>
            </w:r>
          </w:p>
        </w:tc>
        <w:tc>
          <w:tcPr>
            <w:tcW w:w="146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Number of</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5"/>
              </w:rPr>
              <w:t>Payout Value</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gridSpan w:val="2"/>
          </w:tcPr>
          <w:p>
            <w:pPr>
              <w:jc w:val="center"/>
              <w:ind w:right="104"/>
              <w:spacing w:after="0" w:line="154" w:lineRule="exact"/>
              <w:rPr>
                <w:sz w:val="20"/>
                <w:szCs w:val="20"/>
                <w:color w:val="auto"/>
              </w:rPr>
            </w:pPr>
            <w:r>
              <w:rPr>
                <w:rFonts w:ascii="Arial" w:cs="Arial" w:eastAsia="Arial" w:hAnsi="Arial"/>
                <w:sz w:val="14"/>
                <w:szCs w:val="14"/>
                <w:b w:val="1"/>
                <w:bCs w:val="1"/>
                <w:color w:val="004987"/>
                <w:w w:val="98"/>
              </w:rPr>
              <w:t>Underlying</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69"/>
              <w:spacing w:after="0" w:line="154" w:lineRule="exact"/>
              <w:rPr>
                <w:sz w:val="20"/>
                <w:szCs w:val="20"/>
                <w:color w:val="auto"/>
              </w:rPr>
            </w:pPr>
            <w:r>
              <w:rPr>
                <w:rFonts w:ascii="Arial" w:cs="Arial" w:eastAsia="Arial" w:hAnsi="Arial"/>
                <w:sz w:val="14"/>
                <w:szCs w:val="14"/>
                <w:b w:val="1"/>
                <w:bCs w:val="1"/>
                <w:color w:val="004987"/>
                <w:w w:val="99"/>
              </w:rPr>
              <w:t>Units of</w:t>
            </w:r>
          </w:p>
        </w:tc>
        <w:tc>
          <w:tcPr>
            <w:tcW w:w="84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5"/>
              </w:rPr>
              <w:t>Shares or</w:t>
            </w:r>
          </w:p>
        </w:tc>
        <w:tc>
          <w:tcPr>
            <w:tcW w:w="146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5"/>
              </w:rPr>
              <w:t>Unearned</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7"/>
              </w:rPr>
              <w:t>of Unearned</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gridSpan w:val="2"/>
          </w:tcPr>
          <w:p>
            <w:pPr>
              <w:jc w:val="center"/>
              <w:ind w:right="84"/>
              <w:spacing w:after="0" w:line="154" w:lineRule="exact"/>
              <w:rPr>
                <w:sz w:val="20"/>
                <w:szCs w:val="20"/>
                <w:color w:val="auto"/>
              </w:rPr>
            </w:pPr>
            <w:r>
              <w:rPr>
                <w:rFonts w:ascii="Arial" w:cs="Arial" w:eastAsia="Arial" w:hAnsi="Arial"/>
                <w:sz w:val="14"/>
                <w:szCs w:val="14"/>
                <w:b w:val="1"/>
                <w:bCs w:val="1"/>
                <w:color w:val="004987"/>
                <w:w w:val="98"/>
              </w:rPr>
              <w:t>Unexercised</w:t>
            </w:r>
          </w:p>
        </w:tc>
        <w:tc>
          <w:tcPr>
            <w:tcW w:w="8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7"/>
              </w:rPr>
              <w:t>Option/</w:t>
            </w:r>
          </w:p>
        </w:tc>
        <w:tc>
          <w:tcPr>
            <w:tcW w:w="800" w:type="dxa"/>
            <w:vAlign w:val="bottom"/>
          </w:tcPr>
          <w:p>
            <w:pPr>
              <w:jc w:val="center"/>
              <w:ind w:left="46"/>
              <w:spacing w:after="0" w:line="154" w:lineRule="exact"/>
              <w:rPr>
                <w:sz w:val="20"/>
                <w:szCs w:val="20"/>
                <w:color w:val="auto"/>
              </w:rPr>
            </w:pPr>
            <w:r>
              <w:rPr>
                <w:rFonts w:ascii="Arial" w:cs="Arial" w:eastAsia="Arial" w:hAnsi="Arial"/>
                <w:sz w:val="14"/>
                <w:szCs w:val="14"/>
                <w:b w:val="1"/>
                <w:bCs w:val="1"/>
                <w:color w:val="004987"/>
                <w:w w:val="97"/>
              </w:rPr>
              <w:t>Option/</w:t>
            </w:r>
          </w:p>
        </w:tc>
        <w:tc>
          <w:tcPr>
            <w:tcW w:w="240" w:type="dxa"/>
            <w:vAlign w:val="bottom"/>
          </w:tcPr>
          <w:p>
            <w:pPr>
              <w:spacing w:after="0"/>
              <w:rPr>
                <w:sz w:val="13"/>
                <w:szCs w:val="13"/>
                <w:color w:val="auto"/>
              </w:rPr>
            </w:pPr>
          </w:p>
        </w:tc>
        <w:tc>
          <w:tcPr>
            <w:tcW w:w="820" w:type="dxa"/>
            <w:vAlign w:val="bottom"/>
          </w:tcPr>
          <w:p>
            <w:pPr>
              <w:jc w:val="center"/>
              <w:ind w:right="69"/>
              <w:spacing w:after="0" w:line="154" w:lineRule="exact"/>
              <w:rPr>
                <w:sz w:val="20"/>
                <w:szCs w:val="20"/>
                <w:color w:val="auto"/>
              </w:rPr>
            </w:pPr>
            <w:r>
              <w:rPr>
                <w:rFonts w:ascii="Arial" w:cs="Arial" w:eastAsia="Arial" w:hAnsi="Arial"/>
                <w:sz w:val="14"/>
                <w:szCs w:val="14"/>
                <w:b w:val="1"/>
                <w:bCs w:val="1"/>
                <w:color w:val="004987"/>
                <w:w w:val="94"/>
              </w:rPr>
              <w:t>Stock</w:t>
            </w:r>
          </w:p>
        </w:tc>
        <w:tc>
          <w:tcPr>
            <w:tcW w:w="84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5"/>
              </w:rPr>
              <w:t>Units of</w:t>
            </w:r>
          </w:p>
        </w:tc>
        <w:tc>
          <w:tcPr>
            <w:tcW w:w="146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6"/>
              </w:rPr>
              <w:t>Shares, Units</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8"/>
              </w:rPr>
              <w:t>Shares, Units</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80" w:type="dxa"/>
            <w:vAlign w:val="bottom"/>
            <w:gridSpan w:val="2"/>
          </w:tcPr>
          <w:p>
            <w:pPr>
              <w:jc w:val="center"/>
              <w:ind w:right="104"/>
              <w:spacing w:after="0" w:line="154" w:lineRule="exact"/>
              <w:rPr>
                <w:sz w:val="20"/>
                <w:szCs w:val="20"/>
                <w:color w:val="auto"/>
              </w:rPr>
            </w:pPr>
            <w:r>
              <w:rPr>
                <w:rFonts w:ascii="Arial" w:cs="Arial" w:eastAsia="Arial" w:hAnsi="Arial"/>
                <w:sz w:val="14"/>
                <w:szCs w:val="14"/>
                <w:b w:val="1"/>
                <w:bCs w:val="1"/>
                <w:color w:val="004987"/>
                <w:w w:val="97"/>
              </w:rPr>
              <w:t>Options/SARs</w:t>
            </w:r>
          </w:p>
        </w:tc>
        <w:tc>
          <w:tcPr>
            <w:tcW w:w="84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rPr>
              <w:t>SAR</w:t>
            </w:r>
          </w:p>
        </w:tc>
        <w:tc>
          <w:tcPr>
            <w:tcW w:w="800" w:type="dxa"/>
            <w:vAlign w:val="bottom"/>
          </w:tcPr>
          <w:p>
            <w:pPr>
              <w:jc w:val="center"/>
              <w:ind w:left="26"/>
              <w:spacing w:after="0" w:line="154" w:lineRule="exact"/>
              <w:rPr>
                <w:sz w:val="20"/>
                <w:szCs w:val="20"/>
                <w:color w:val="auto"/>
              </w:rPr>
            </w:pPr>
            <w:r>
              <w:rPr>
                <w:rFonts w:ascii="Arial" w:cs="Arial" w:eastAsia="Arial" w:hAnsi="Arial"/>
                <w:sz w:val="14"/>
                <w:szCs w:val="14"/>
                <w:b w:val="1"/>
                <w:bCs w:val="1"/>
                <w:color w:val="004987"/>
              </w:rPr>
              <w:t>SAR</w:t>
            </w:r>
          </w:p>
        </w:tc>
        <w:tc>
          <w:tcPr>
            <w:tcW w:w="240" w:type="dxa"/>
            <w:vAlign w:val="bottom"/>
          </w:tcPr>
          <w:p>
            <w:pPr>
              <w:spacing w:after="0"/>
              <w:rPr>
                <w:sz w:val="13"/>
                <w:szCs w:val="13"/>
                <w:color w:val="auto"/>
              </w:rPr>
            </w:pPr>
          </w:p>
        </w:tc>
        <w:tc>
          <w:tcPr>
            <w:tcW w:w="820" w:type="dxa"/>
            <w:vAlign w:val="bottom"/>
          </w:tcPr>
          <w:p>
            <w:pPr>
              <w:jc w:val="center"/>
              <w:ind w:right="69"/>
              <w:spacing w:after="0" w:line="154" w:lineRule="exact"/>
              <w:rPr>
                <w:sz w:val="20"/>
                <w:szCs w:val="20"/>
                <w:color w:val="auto"/>
              </w:rPr>
            </w:pPr>
            <w:r>
              <w:rPr>
                <w:rFonts w:ascii="Arial" w:cs="Arial" w:eastAsia="Arial" w:hAnsi="Arial"/>
                <w:sz w:val="14"/>
                <w:szCs w:val="14"/>
                <w:b w:val="1"/>
                <w:bCs w:val="1"/>
                <w:color w:val="004987"/>
                <w:w w:val="95"/>
              </w:rPr>
              <w:t>That Have</w:t>
            </w:r>
          </w:p>
        </w:tc>
        <w:tc>
          <w:tcPr>
            <w:tcW w:w="840" w:type="dxa"/>
            <w:vAlign w:val="bottom"/>
          </w:tcPr>
          <w:p>
            <w:pPr>
              <w:jc w:val="center"/>
              <w:ind w:left="27"/>
              <w:spacing w:after="0" w:line="154" w:lineRule="exact"/>
              <w:rPr>
                <w:sz w:val="20"/>
                <w:szCs w:val="20"/>
                <w:color w:val="auto"/>
              </w:rPr>
            </w:pPr>
            <w:r>
              <w:rPr>
                <w:rFonts w:ascii="Arial" w:cs="Arial" w:eastAsia="Arial" w:hAnsi="Arial"/>
                <w:sz w:val="14"/>
                <w:szCs w:val="14"/>
                <w:b w:val="1"/>
                <w:bCs w:val="1"/>
                <w:color w:val="004987"/>
                <w:w w:val="97"/>
              </w:rPr>
              <w:t>Stock That</w:t>
            </w:r>
          </w:p>
        </w:tc>
        <w:tc>
          <w:tcPr>
            <w:tcW w:w="1460" w:type="dxa"/>
            <w:vAlign w:val="bottom"/>
          </w:tcPr>
          <w:p>
            <w:pPr>
              <w:jc w:val="right"/>
              <w:ind w:right="148"/>
              <w:spacing w:after="0" w:line="154" w:lineRule="exact"/>
              <w:rPr>
                <w:sz w:val="20"/>
                <w:szCs w:val="20"/>
                <w:color w:val="auto"/>
              </w:rPr>
            </w:pPr>
            <w:r>
              <w:rPr>
                <w:rFonts w:ascii="Arial" w:cs="Arial" w:eastAsia="Arial" w:hAnsi="Arial"/>
                <w:sz w:val="14"/>
                <w:szCs w:val="14"/>
                <w:b w:val="1"/>
                <w:bCs w:val="1"/>
                <w:color w:val="004987"/>
              </w:rPr>
              <w:t>or Other Rights</w:t>
            </w:r>
          </w:p>
        </w:tc>
        <w:tc>
          <w:tcPr>
            <w:tcW w:w="128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004987"/>
                <w:w w:val="97"/>
              </w:rPr>
              <w:t>or Other Rights</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720" w:type="dxa"/>
            <w:vAlign w:val="bottom"/>
          </w:tcPr>
          <w:p>
            <w:pPr>
              <w:jc w:val="right"/>
              <w:ind w:right="506"/>
              <w:spacing w:after="0" w:line="151" w:lineRule="exact"/>
              <w:rPr>
                <w:sz w:val="20"/>
                <w:szCs w:val="20"/>
                <w:color w:val="auto"/>
              </w:rPr>
            </w:pPr>
            <w:r>
              <w:rPr>
                <w:rFonts w:ascii="Arial" w:cs="Arial" w:eastAsia="Arial" w:hAnsi="Arial"/>
                <w:sz w:val="14"/>
                <w:szCs w:val="14"/>
                <w:b w:val="1"/>
                <w:bCs w:val="1"/>
                <w:color w:val="004987"/>
              </w:rPr>
              <w:t>Award</w:t>
            </w:r>
          </w:p>
        </w:tc>
        <w:tc>
          <w:tcPr>
            <w:tcW w:w="1180" w:type="dxa"/>
            <w:vAlign w:val="bottom"/>
            <w:gridSpan w:val="2"/>
          </w:tcPr>
          <w:p>
            <w:pPr>
              <w:jc w:val="center"/>
              <w:ind w:right="104"/>
              <w:spacing w:after="0" w:line="151" w:lineRule="exact"/>
              <w:rPr>
                <w:sz w:val="20"/>
                <w:szCs w:val="20"/>
                <w:color w:val="auto"/>
              </w:rPr>
            </w:pPr>
            <w:r>
              <w:rPr>
                <w:rFonts w:ascii="Arial" w:cs="Arial" w:eastAsia="Arial" w:hAnsi="Arial"/>
                <w:sz w:val="14"/>
                <w:szCs w:val="14"/>
                <w:b w:val="1"/>
                <w:bCs w:val="1"/>
                <w:color w:val="004987"/>
                <w:w w:val="97"/>
              </w:rPr>
              <w:t>Exercisable/</w:t>
            </w:r>
          </w:p>
        </w:tc>
        <w:tc>
          <w:tcPr>
            <w:tcW w:w="84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Exercise</w:t>
            </w:r>
          </w:p>
        </w:tc>
        <w:tc>
          <w:tcPr>
            <w:tcW w:w="800" w:type="dxa"/>
            <w:vAlign w:val="bottom"/>
          </w:tcPr>
          <w:p>
            <w:pPr>
              <w:jc w:val="center"/>
              <w:ind w:left="26"/>
              <w:spacing w:after="0" w:line="151" w:lineRule="exact"/>
              <w:rPr>
                <w:sz w:val="20"/>
                <w:szCs w:val="20"/>
                <w:color w:val="auto"/>
              </w:rPr>
            </w:pPr>
            <w:r>
              <w:rPr>
                <w:rFonts w:ascii="Arial" w:cs="Arial" w:eastAsia="Arial" w:hAnsi="Arial"/>
                <w:sz w:val="14"/>
                <w:szCs w:val="14"/>
                <w:b w:val="1"/>
                <w:bCs w:val="1"/>
                <w:color w:val="004987"/>
                <w:w w:val="96"/>
              </w:rPr>
              <w:t>Expiration</w:t>
            </w:r>
          </w:p>
        </w:tc>
        <w:tc>
          <w:tcPr>
            <w:tcW w:w="240" w:type="dxa"/>
            <w:vAlign w:val="bottom"/>
          </w:tcPr>
          <w:p>
            <w:pPr>
              <w:spacing w:after="0"/>
              <w:rPr>
                <w:sz w:val="13"/>
                <w:szCs w:val="13"/>
                <w:color w:val="auto"/>
              </w:rPr>
            </w:pPr>
          </w:p>
        </w:tc>
        <w:tc>
          <w:tcPr>
            <w:tcW w:w="820" w:type="dxa"/>
            <w:vAlign w:val="bottom"/>
          </w:tcPr>
          <w:p>
            <w:pPr>
              <w:jc w:val="center"/>
              <w:ind w:right="69"/>
              <w:spacing w:after="0" w:line="151" w:lineRule="exact"/>
              <w:rPr>
                <w:sz w:val="20"/>
                <w:szCs w:val="20"/>
                <w:color w:val="auto"/>
              </w:rPr>
            </w:pPr>
            <w:r>
              <w:rPr>
                <w:rFonts w:ascii="Arial" w:cs="Arial" w:eastAsia="Arial" w:hAnsi="Arial"/>
                <w:sz w:val="14"/>
                <w:szCs w:val="14"/>
                <w:b w:val="1"/>
                <w:bCs w:val="1"/>
                <w:color w:val="004987"/>
              </w:rPr>
              <w:t>Not</w:t>
            </w:r>
          </w:p>
        </w:tc>
        <w:tc>
          <w:tcPr>
            <w:tcW w:w="840" w:type="dxa"/>
            <w:vAlign w:val="bottom"/>
          </w:tcPr>
          <w:p>
            <w:pPr>
              <w:jc w:val="center"/>
              <w:ind w:left="7"/>
              <w:spacing w:after="0" w:line="151" w:lineRule="exact"/>
              <w:rPr>
                <w:sz w:val="20"/>
                <w:szCs w:val="20"/>
                <w:color w:val="auto"/>
              </w:rPr>
            </w:pPr>
            <w:r>
              <w:rPr>
                <w:rFonts w:ascii="Arial" w:cs="Arial" w:eastAsia="Arial" w:hAnsi="Arial"/>
                <w:sz w:val="14"/>
                <w:szCs w:val="14"/>
                <w:b w:val="1"/>
                <w:bCs w:val="1"/>
                <w:color w:val="004987"/>
                <w:w w:val="98"/>
              </w:rPr>
              <w:t>Have Not</w:t>
            </w:r>
          </w:p>
        </w:tc>
        <w:tc>
          <w:tcPr>
            <w:tcW w:w="146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That Have Not</w:t>
            </w:r>
          </w:p>
        </w:tc>
        <w:tc>
          <w:tcPr>
            <w:tcW w:w="1280" w:type="dxa"/>
            <w:vAlign w:val="bottom"/>
            <w:gridSpan w:val="2"/>
          </w:tcPr>
          <w:p>
            <w:pPr>
              <w:jc w:val="center"/>
              <w:ind w:right="40"/>
              <w:spacing w:after="0" w:line="151" w:lineRule="exact"/>
              <w:rPr>
                <w:sz w:val="20"/>
                <w:szCs w:val="20"/>
                <w:color w:val="auto"/>
              </w:rPr>
            </w:pPr>
            <w:r>
              <w:rPr>
                <w:rFonts w:ascii="Arial" w:cs="Arial" w:eastAsia="Arial" w:hAnsi="Arial"/>
                <w:sz w:val="14"/>
                <w:szCs w:val="14"/>
                <w:b w:val="1"/>
                <w:bCs w:val="1"/>
                <w:color w:val="004987"/>
                <w:w w:val="97"/>
              </w:rPr>
              <w:t>That Have Not</w:t>
            </w:r>
          </w:p>
        </w:tc>
        <w:tc>
          <w:tcPr>
            <w:tcW w:w="0" w:type="dxa"/>
            <w:vAlign w:val="bottom"/>
          </w:tcPr>
          <w:p>
            <w:pPr>
              <w:spacing w:after="0"/>
              <w:rPr>
                <w:sz w:val="1"/>
                <w:szCs w:val="1"/>
                <w:color w:val="auto"/>
              </w:rPr>
            </w:pPr>
          </w:p>
        </w:tc>
      </w:tr>
      <w:tr>
        <w:trPr>
          <w:trHeight w:val="172"/>
        </w:trPr>
        <w:tc>
          <w:tcPr>
            <w:tcW w:w="128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Grant Date</w:t>
            </w:r>
          </w:p>
        </w:tc>
        <w:tc>
          <w:tcPr>
            <w:tcW w:w="1720" w:type="dxa"/>
            <w:vAlign w:val="bottom"/>
            <w:tcBorders>
              <w:bottom w:val="single" w:sz="8" w:color="004987"/>
            </w:tcBorders>
          </w:tcPr>
          <w:p>
            <w:pPr>
              <w:jc w:val="right"/>
              <w:ind w:right="526"/>
              <w:spacing w:after="0" w:line="166" w:lineRule="exact"/>
              <w:rPr>
                <w:sz w:val="20"/>
                <w:szCs w:val="20"/>
                <w:color w:val="auto"/>
              </w:rPr>
            </w:pPr>
            <w:r>
              <w:rPr>
                <w:rFonts w:ascii="Arial" w:cs="Arial" w:eastAsia="Arial" w:hAnsi="Arial"/>
                <w:sz w:val="12"/>
                <w:szCs w:val="12"/>
                <w:b w:val="1"/>
                <w:bCs w:val="1"/>
                <w:color w:val="004987"/>
              </w:rPr>
              <w:t>Type</w:t>
            </w:r>
            <w:r>
              <w:rPr>
                <w:rFonts w:ascii="Arial" w:cs="Arial" w:eastAsia="Arial" w:hAnsi="Arial"/>
                <w:sz w:val="19"/>
                <w:szCs w:val="19"/>
                <w:color w:val="004987"/>
                <w:vertAlign w:val="superscript"/>
              </w:rPr>
              <w:t>1</w:t>
            </w:r>
          </w:p>
        </w:tc>
        <w:tc>
          <w:tcPr>
            <w:tcW w:w="1180" w:type="dxa"/>
            <w:vAlign w:val="bottom"/>
            <w:tcBorders>
              <w:bottom w:val="single" w:sz="8" w:color="004987"/>
            </w:tcBorders>
            <w:gridSpan w:val="2"/>
          </w:tcPr>
          <w:p>
            <w:pPr>
              <w:jc w:val="center"/>
              <w:ind w:right="84"/>
              <w:spacing w:after="0" w:line="166" w:lineRule="exact"/>
              <w:rPr>
                <w:sz w:val="20"/>
                <w:szCs w:val="20"/>
                <w:color w:val="auto"/>
              </w:rPr>
            </w:pPr>
            <w:r>
              <w:rPr>
                <w:rFonts w:ascii="Arial" w:cs="Arial" w:eastAsia="Arial" w:hAnsi="Arial"/>
                <w:sz w:val="12"/>
                <w:szCs w:val="12"/>
                <w:b w:val="1"/>
                <w:bCs w:val="1"/>
                <w:color w:val="004987"/>
              </w:rPr>
              <w:t>Unexercisable</w:t>
            </w:r>
            <w:r>
              <w:rPr>
                <w:rFonts w:ascii="Arial" w:cs="Arial" w:eastAsia="Arial" w:hAnsi="Arial"/>
                <w:sz w:val="19"/>
                <w:szCs w:val="19"/>
                <w:color w:val="004987"/>
                <w:vertAlign w:val="superscript"/>
              </w:rPr>
              <w:t>2</w:t>
            </w:r>
          </w:p>
        </w:tc>
        <w:tc>
          <w:tcPr>
            <w:tcW w:w="8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9"/>
              </w:rPr>
              <w:t>Price</w:t>
            </w:r>
          </w:p>
        </w:tc>
        <w:tc>
          <w:tcPr>
            <w:tcW w:w="800" w:type="dxa"/>
            <w:vAlign w:val="bottom"/>
            <w:tcBorders>
              <w:bottom w:val="single" w:sz="8" w:color="004987"/>
            </w:tcBorders>
          </w:tcPr>
          <w:p>
            <w:pPr>
              <w:jc w:val="center"/>
              <w:ind w:left="26"/>
              <w:spacing w:after="0"/>
              <w:rPr>
                <w:sz w:val="20"/>
                <w:szCs w:val="20"/>
                <w:color w:val="auto"/>
              </w:rPr>
            </w:pPr>
            <w:r>
              <w:rPr>
                <w:rFonts w:ascii="Arial" w:cs="Arial" w:eastAsia="Arial" w:hAnsi="Arial"/>
                <w:sz w:val="14"/>
                <w:szCs w:val="14"/>
                <w:b w:val="1"/>
                <w:bCs w:val="1"/>
                <w:color w:val="004987"/>
                <w:w w:val="98"/>
              </w:rPr>
              <w:t>Date</w:t>
            </w:r>
          </w:p>
        </w:tc>
        <w:tc>
          <w:tcPr>
            <w:tcW w:w="240" w:type="dxa"/>
            <w:vAlign w:val="bottom"/>
            <w:tcBorders>
              <w:bottom w:val="single" w:sz="8" w:color="004987"/>
            </w:tcBorders>
          </w:tcPr>
          <w:p>
            <w:pPr>
              <w:spacing w:after="0"/>
              <w:rPr>
                <w:sz w:val="14"/>
                <w:szCs w:val="14"/>
                <w:color w:val="auto"/>
              </w:rPr>
            </w:pPr>
          </w:p>
        </w:tc>
        <w:tc>
          <w:tcPr>
            <w:tcW w:w="820" w:type="dxa"/>
            <w:vAlign w:val="bottom"/>
            <w:tcBorders>
              <w:bottom w:val="single" w:sz="8" w:color="004987"/>
            </w:tcBorders>
          </w:tcPr>
          <w:p>
            <w:pPr>
              <w:jc w:val="center"/>
              <w:ind w:right="49"/>
              <w:spacing w:after="0" w:line="166" w:lineRule="exact"/>
              <w:rPr>
                <w:sz w:val="20"/>
                <w:szCs w:val="20"/>
                <w:color w:val="auto"/>
              </w:rPr>
            </w:pPr>
            <w:r>
              <w:rPr>
                <w:rFonts w:ascii="Arial" w:cs="Arial" w:eastAsia="Arial" w:hAnsi="Arial"/>
                <w:sz w:val="12"/>
                <w:szCs w:val="12"/>
                <w:b w:val="1"/>
                <w:bCs w:val="1"/>
                <w:color w:val="004987"/>
              </w:rPr>
              <w:t>Vested</w:t>
            </w:r>
            <w:r>
              <w:rPr>
                <w:rFonts w:ascii="Arial" w:cs="Arial" w:eastAsia="Arial" w:hAnsi="Arial"/>
                <w:sz w:val="19"/>
                <w:szCs w:val="19"/>
                <w:color w:val="004987"/>
                <w:vertAlign w:val="superscript"/>
              </w:rPr>
              <w:t>3</w:t>
            </w:r>
          </w:p>
        </w:tc>
        <w:tc>
          <w:tcPr>
            <w:tcW w:w="840" w:type="dxa"/>
            <w:vAlign w:val="bottom"/>
            <w:tcBorders>
              <w:bottom w:val="single" w:sz="8" w:color="004987"/>
            </w:tcBorders>
          </w:tcPr>
          <w:p>
            <w:pPr>
              <w:jc w:val="center"/>
              <w:ind w:left="7"/>
              <w:spacing w:after="0"/>
              <w:rPr>
                <w:sz w:val="20"/>
                <w:szCs w:val="20"/>
                <w:color w:val="auto"/>
              </w:rPr>
            </w:pPr>
            <w:r>
              <w:rPr>
                <w:rFonts w:ascii="Arial" w:cs="Arial" w:eastAsia="Arial" w:hAnsi="Arial"/>
                <w:sz w:val="14"/>
                <w:szCs w:val="14"/>
                <w:b w:val="1"/>
                <w:bCs w:val="1"/>
                <w:color w:val="004987"/>
                <w:w w:val="95"/>
              </w:rPr>
              <w:t>Vested</w:t>
            </w:r>
          </w:p>
        </w:tc>
        <w:tc>
          <w:tcPr>
            <w:tcW w:w="146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Vested (#)</w:t>
            </w:r>
          </w:p>
        </w:tc>
        <w:tc>
          <w:tcPr>
            <w:tcW w:w="1280" w:type="dxa"/>
            <w:vAlign w:val="bottom"/>
            <w:tcBorders>
              <w:bottom w:val="single" w:sz="8" w:color="004987"/>
            </w:tcBorders>
            <w:gridSpan w:val="2"/>
          </w:tcPr>
          <w:p>
            <w:pPr>
              <w:jc w:val="center"/>
              <w:ind w:right="40"/>
              <w:spacing w:after="0"/>
              <w:rPr>
                <w:sz w:val="20"/>
                <w:szCs w:val="20"/>
                <w:color w:val="auto"/>
              </w:rPr>
            </w:pPr>
            <w:r>
              <w:rPr>
                <w:rFonts w:ascii="Arial" w:cs="Arial" w:eastAsia="Arial" w:hAnsi="Arial"/>
                <w:sz w:val="14"/>
                <w:szCs w:val="14"/>
                <w:b w:val="1"/>
                <w:bCs w:val="1"/>
                <w:color w:val="004987"/>
                <w:w w:val="95"/>
              </w:rPr>
              <w:t>Vested ($)</w:t>
            </w:r>
          </w:p>
        </w:tc>
        <w:tc>
          <w:tcPr>
            <w:tcW w:w="0" w:type="dxa"/>
            <w:vAlign w:val="bottom"/>
          </w:tcPr>
          <w:p>
            <w:pPr>
              <w:spacing w:after="0"/>
              <w:rPr>
                <w:sz w:val="1"/>
                <w:szCs w:val="1"/>
                <w:color w:val="auto"/>
              </w:rPr>
            </w:pPr>
          </w:p>
        </w:tc>
      </w:tr>
      <w:tr>
        <w:trPr>
          <w:trHeight w:val="167"/>
        </w:trPr>
        <w:tc>
          <w:tcPr>
            <w:tcW w:w="1280" w:type="dxa"/>
            <w:vAlign w:val="bottom"/>
          </w:tcPr>
          <w:p>
            <w:pPr>
              <w:spacing w:after="0" w:line="167" w:lineRule="exact"/>
              <w:rPr>
                <w:sz w:val="20"/>
                <w:szCs w:val="20"/>
                <w:color w:val="auto"/>
              </w:rPr>
            </w:pPr>
            <w:r>
              <w:rPr>
                <w:rFonts w:ascii="Arial" w:cs="Arial" w:eastAsia="Arial" w:hAnsi="Arial"/>
                <w:sz w:val="15"/>
                <w:szCs w:val="15"/>
                <w:b w:val="1"/>
                <w:bCs w:val="1"/>
                <w:color w:val="004987"/>
              </w:rPr>
              <w:t>J. Marbert</w:t>
            </w:r>
          </w:p>
        </w:tc>
        <w:tc>
          <w:tcPr>
            <w:tcW w:w="1720" w:type="dxa"/>
            <w:vAlign w:val="bottom"/>
            <w:vMerge w:val="restart"/>
          </w:tcPr>
          <w:p>
            <w:pPr>
              <w:jc w:val="right"/>
              <w:ind w:right="186"/>
              <w:spacing w:after="0"/>
              <w:rPr>
                <w:sz w:val="20"/>
                <w:szCs w:val="20"/>
                <w:color w:val="auto"/>
              </w:rPr>
            </w:pPr>
            <w:r>
              <w:rPr>
                <w:rFonts w:ascii="Arial" w:cs="Arial" w:eastAsia="Arial" w:hAnsi="Arial"/>
                <w:sz w:val="15"/>
                <w:szCs w:val="15"/>
                <w:color w:val="auto"/>
              </w:rPr>
              <w:t>Performance</w:t>
            </w:r>
            <w:r>
              <w:rPr>
                <w:rFonts w:ascii="Arial" w:cs="Arial" w:eastAsia="Arial" w:hAnsi="Arial"/>
                <w:sz w:val="26"/>
                <w:szCs w:val="26"/>
                <w:color w:val="auto"/>
                <w:vertAlign w:val="superscript"/>
              </w:rPr>
              <w:t>4</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5"/>
                <w:szCs w:val="15"/>
                <w:color w:val="auto"/>
              </w:rPr>
              <w:t>2,478</w:t>
            </w:r>
            <w:r>
              <w:rPr>
                <w:rFonts w:ascii="Arial" w:cs="Arial" w:eastAsia="Arial" w:hAnsi="Arial"/>
                <w:sz w:val="26"/>
                <w:szCs w:val="26"/>
                <w:color w:val="auto"/>
                <w:vertAlign w:val="superscript"/>
              </w:rPr>
              <w:t>4</w:t>
            </w:r>
          </w:p>
        </w:tc>
        <w:tc>
          <w:tcPr>
            <w:tcW w:w="1280" w:type="dxa"/>
            <w:vAlign w:val="bottom"/>
            <w:gridSpan w:val="2"/>
            <w:vMerge w:val="restart"/>
          </w:tcPr>
          <w:p>
            <w:pPr>
              <w:ind w:left="600"/>
              <w:spacing w:after="0"/>
              <w:rPr>
                <w:sz w:val="20"/>
                <w:szCs w:val="20"/>
                <w:color w:val="auto"/>
              </w:rPr>
            </w:pPr>
            <w:r>
              <w:rPr>
                <w:rFonts w:ascii="Arial" w:cs="Arial" w:eastAsia="Arial" w:hAnsi="Arial"/>
                <w:sz w:val="15"/>
                <w:szCs w:val="15"/>
                <w:color w:val="auto"/>
              </w:rPr>
              <w:t>418,648</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3/2/2020</w:t>
            </w:r>
          </w:p>
        </w:tc>
        <w:tc>
          <w:tcPr>
            <w:tcW w:w="172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3/4/2019</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VAC SARs</w:t>
            </w: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4,413</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4,414</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100.52</w:t>
            </w:r>
          </w:p>
        </w:tc>
        <w:tc>
          <w:tcPr>
            <w:tcW w:w="800" w:type="dxa"/>
            <w:vAlign w:val="bottom"/>
          </w:tcPr>
          <w:p>
            <w:pPr>
              <w:jc w:val="right"/>
              <w:spacing w:after="0"/>
              <w:rPr>
                <w:sz w:val="20"/>
                <w:szCs w:val="20"/>
                <w:color w:val="auto"/>
              </w:rPr>
            </w:pPr>
            <w:r>
              <w:rPr>
                <w:rFonts w:ascii="Arial" w:cs="Arial" w:eastAsia="Arial" w:hAnsi="Arial"/>
                <w:sz w:val="15"/>
                <w:szCs w:val="15"/>
                <w:color w:val="auto"/>
              </w:rPr>
              <w:t>3/4/2029</w:t>
            </w:r>
          </w:p>
        </w:tc>
        <w:tc>
          <w:tcPr>
            <w:tcW w:w="24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3/2/2020</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VAC SARs</w:t>
            </w: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2,278</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6,834</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96.82</w:t>
            </w:r>
          </w:p>
        </w:tc>
        <w:tc>
          <w:tcPr>
            <w:tcW w:w="800" w:type="dxa"/>
            <w:vAlign w:val="bottom"/>
          </w:tcPr>
          <w:p>
            <w:pPr>
              <w:jc w:val="right"/>
              <w:spacing w:after="0"/>
              <w:rPr>
                <w:sz w:val="20"/>
                <w:szCs w:val="20"/>
                <w:color w:val="auto"/>
              </w:rPr>
            </w:pPr>
            <w:r>
              <w:rPr>
                <w:rFonts w:ascii="Arial" w:cs="Arial" w:eastAsia="Arial" w:hAnsi="Arial"/>
                <w:sz w:val="15"/>
                <w:szCs w:val="15"/>
                <w:color w:val="auto"/>
              </w:rPr>
              <w:t>3/2/2030</w:t>
            </w:r>
          </w:p>
        </w:tc>
        <w:tc>
          <w:tcPr>
            <w:tcW w:w="24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3/1/2021</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VAC SARs</w:t>
            </w: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7,076</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173.88</w:t>
            </w:r>
          </w:p>
        </w:tc>
        <w:tc>
          <w:tcPr>
            <w:tcW w:w="800" w:type="dxa"/>
            <w:vAlign w:val="bottom"/>
          </w:tcPr>
          <w:p>
            <w:pPr>
              <w:jc w:val="right"/>
              <w:spacing w:after="0"/>
              <w:rPr>
                <w:sz w:val="20"/>
                <w:szCs w:val="20"/>
                <w:color w:val="auto"/>
              </w:rPr>
            </w:pPr>
            <w:r>
              <w:rPr>
                <w:rFonts w:ascii="Arial" w:cs="Arial" w:eastAsia="Arial" w:hAnsi="Arial"/>
                <w:sz w:val="15"/>
                <w:szCs w:val="15"/>
                <w:color w:val="auto"/>
              </w:rPr>
              <w:t>3/1/2031</w:t>
            </w:r>
          </w:p>
        </w:tc>
        <w:tc>
          <w:tcPr>
            <w:tcW w:w="24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3/4/2019</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VAC RSUs</w:t>
            </w: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69"/>
              <w:spacing w:after="0"/>
              <w:rPr>
                <w:sz w:val="20"/>
                <w:szCs w:val="20"/>
                <w:color w:val="auto"/>
              </w:rPr>
            </w:pPr>
            <w:r>
              <w:rPr>
                <w:rFonts w:ascii="Arial" w:cs="Arial" w:eastAsia="Arial" w:hAnsi="Arial"/>
                <w:sz w:val="15"/>
                <w:szCs w:val="15"/>
                <w:color w:val="auto"/>
              </w:rPr>
              <w:t>1,097</w:t>
            </w:r>
          </w:p>
        </w:tc>
        <w:tc>
          <w:tcPr>
            <w:tcW w:w="840" w:type="dxa"/>
            <w:vAlign w:val="bottom"/>
          </w:tcPr>
          <w:p>
            <w:pPr>
              <w:jc w:val="right"/>
              <w:spacing w:after="0"/>
              <w:rPr>
                <w:sz w:val="20"/>
                <w:szCs w:val="20"/>
                <w:color w:val="auto"/>
              </w:rPr>
            </w:pPr>
            <w:r>
              <w:rPr>
                <w:rFonts w:ascii="Arial" w:cs="Arial" w:eastAsia="Arial" w:hAnsi="Arial"/>
                <w:sz w:val="15"/>
                <w:szCs w:val="15"/>
                <w:color w:val="auto"/>
              </w:rPr>
              <w:t>185,371</w:t>
            </w:r>
          </w:p>
        </w:tc>
        <w:tc>
          <w:tcPr>
            <w:tcW w:w="14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3/2/2020</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VAC RSUs</w:t>
            </w: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69"/>
              <w:spacing w:after="0"/>
              <w:rPr>
                <w:sz w:val="20"/>
                <w:szCs w:val="20"/>
                <w:color w:val="auto"/>
              </w:rPr>
            </w:pPr>
            <w:r>
              <w:rPr>
                <w:rFonts w:ascii="Arial" w:cs="Arial" w:eastAsia="Arial" w:hAnsi="Arial"/>
                <w:sz w:val="15"/>
                <w:szCs w:val="15"/>
                <w:color w:val="auto"/>
              </w:rPr>
              <w:t>1,470</w:t>
            </w:r>
          </w:p>
        </w:tc>
        <w:tc>
          <w:tcPr>
            <w:tcW w:w="840" w:type="dxa"/>
            <w:vAlign w:val="bottom"/>
          </w:tcPr>
          <w:p>
            <w:pPr>
              <w:jc w:val="right"/>
              <w:spacing w:after="0"/>
              <w:rPr>
                <w:sz w:val="20"/>
                <w:szCs w:val="20"/>
                <w:color w:val="auto"/>
              </w:rPr>
            </w:pPr>
            <w:r>
              <w:rPr>
                <w:rFonts w:ascii="Arial" w:cs="Arial" w:eastAsia="Arial" w:hAnsi="Arial"/>
                <w:sz w:val="15"/>
                <w:szCs w:val="15"/>
                <w:color w:val="auto"/>
              </w:rPr>
              <w:t>248,401</w:t>
            </w:r>
          </w:p>
        </w:tc>
        <w:tc>
          <w:tcPr>
            <w:tcW w:w="14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3/1/2021</w:t>
            </w:r>
          </w:p>
        </w:tc>
        <w:tc>
          <w:tcPr>
            <w:tcW w:w="1720" w:type="dxa"/>
            <w:vAlign w:val="bottom"/>
          </w:tcPr>
          <w:p>
            <w:pPr>
              <w:jc w:val="right"/>
              <w:ind w:right="246"/>
              <w:spacing w:after="0"/>
              <w:rPr>
                <w:sz w:val="20"/>
                <w:szCs w:val="20"/>
                <w:color w:val="auto"/>
              </w:rPr>
            </w:pPr>
            <w:r>
              <w:rPr>
                <w:rFonts w:ascii="Arial" w:cs="Arial" w:eastAsia="Arial" w:hAnsi="Arial"/>
                <w:sz w:val="15"/>
                <w:szCs w:val="15"/>
                <w:color w:val="auto"/>
              </w:rPr>
              <w:t>VAC RSUs</w:t>
            </w:r>
          </w:p>
        </w:tc>
        <w:tc>
          <w:tcPr>
            <w:tcW w:w="54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69"/>
              <w:spacing w:after="0"/>
              <w:rPr>
                <w:sz w:val="20"/>
                <w:szCs w:val="20"/>
                <w:color w:val="auto"/>
              </w:rPr>
            </w:pPr>
            <w:r>
              <w:rPr>
                <w:rFonts w:ascii="Arial" w:cs="Arial" w:eastAsia="Arial" w:hAnsi="Arial"/>
                <w:sz w:val="15"/>
                <w:szCs w:val="15"/>
                <w:color w:val="auto"/>
              </w:rPr>
              <w:t>2,956</w:t>
            </w:r>
          </w:p>
        </w:tc>
        <w:tc>
          <w:tcPr>
            <w:tcW w:w="840" w:type="dxa"/>
            <w:vAlign w:val="bottom"/>
          </w:tcPr>
          <w:p>
            <w:pPr>
              <w:jc w:val="right"/>
              <w:spacing w:after="0"/>
              <w:rPr>
                <w:sz w:val="20"/>
                <w:szCs w:val="20"/>
                <w:color w:val="auto"/>
              </w:rPr>
            </w:pPr>
            <w:r>
              <w:rPr>
                <w:rFonts w:ascii="Arial" w:cs="Arial" w:eastAsia="Arial" w:hAnsi="Arial"/>
                <w:sz w:val="15"/>
                <w:szCs w:val="15"/>
                <w:color w:val="auto"/>
              </w:rPr>
              <w:t>499,505</w:t>
            </w:r>
          </w:p>
        </w:tc>
        <w:tc>
          <w:tcPr>
            <w:tcW w:w="146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12/15/2021</w:t>
            </w:r>
          </w:p>
        </w:tc>
        <w:tc>
          <w:tcPr>
            <w:tcW w:w="1720" w:type="dxa"/>
            <w:vAlign w:val="bottom"/>
            <w:tcBorders>
              <w:bottom w:val="single" w:sz="8" w:color="004987"/>
            </w:tcBorders>
          </w:tcPr>
          <w:p>
            <w:pPr>
              <w:jc w:val="right"/>
              <w:ind w:right="246"/>
              <w:spacing w:after="0"/>
              <w:rPr>
                <w:sz w:val="20"/>
                <w:szCs w:val="20"/>
                <w:color w:val="auto"/>
              </w:rPr>
            </w:pPr>
            <w:r>
              <w:rPr>
                <w:rFonts w:ascii="Arial" w:cs="Arial" w:eastAsia="Arial" w:hAnsi="Arial"/>
                <w:sz w:val="15"/>
                <w:szCs w:val="15"/>
                <w:color w:val="auto"/>
              </w:rPr>
              <w:t>VAC RSUs</w:t>
            </w:r>
          </w:p>
        </w:tc>
        <w:tc>
          <w:tcPr>
            <w:tcW w:w="540" w:type="dxa"/>
            <w:vAlign w:val="bottom"/>
            <w:tcBorders>
              <w:bottom w:val="single" w:sz="8" w:color="004987"/>
            </w:tcBorders>
          </w:tcPr>
          <w:p>
            <w:pPr>
              <w:jc w:val="right"/>
              <w:ind w:right="28"/>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004987"/>
            </w:tcBorders>
          </w:tcPr>
          <w:p>
            <w:pPr>
              <w:jc w:val="right"/>
              <w:ind w:right="84"/>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004987"/>
            </w:tcBorders>
          </w:tcPr>
          <w:p>
            <w:pPr>
              <w:jc w:val="right"/>
              <w:ind w:right="4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4987"/>
            </w:tcBorders>
            <w:gridSpan w:val="2"/>
          </w:tcPr>
          <w:p>
            <w:pPr>
              <w:jc w:val="right"/>
              <w:ind w:right="69"/>
              <w:spacing w:after="0"/>
              <w:rPr>
                <w:sz w:val="20"/>
                <w:szCs w:val="20"/>
                <w:color w:val="auto"/>
              </w:rPr>
            </w:pPr>
            <w:r>
              <w:rPr>
                <w:rFonts w:ascii="Arial" w:cs="Arial" w:eastAsia="Arial" w:hAnsi="Arial"/>
                <w:sz w:val="15"/>
                <w:szCs w:val="15"/>
                <w:color w:val="auto"/>
              </w:rPr>
              <w:t>3,430</w:t>
            </w:r>
          </w:p>
        </w:tc>
        <w:tc>
          <w:tcPr>
            <w:tcW w:w="84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579,601</w:t>
            </w:r>
          </w:p>
        </w:tc>
        <w:tc>
          <w:tcPr>
            <w:tcW w:w="1460" w:type="dxa"/>
            <w:vAlign w:val="bottom"/>
            <w:tcBorders>
              <w:bottom w:val="single" w:sz="8" w:color="004987"/>
            </w:tcBorders>
          </w:tcPr>
          <w:p>
            <w:pPr>
              <w:jc w:val="right"/>
              <w:ind w:right="108"/>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004987"/>
            </w:tcBorders>
            <w:gridSpan w:val="2"/>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00" w:right="480" w:hanging="306"/>
        <w:spacing w:after="0" w:line="188" w:lineRule="auto"/>
        <w:tabs>
          <w:tab w:leader="none" w:pos="700" w:val="left"/>
        </w:tabs>
        <w:numPr>
          <w:ilvl w:val="0"/>
          <w:numId w:val="60"/>
        </w:numPr>
        <w:rPr>
          <w:rFonts w:ascii="Arial" w:cs="Arial" w:eastAsia="Arial" w:hAnsi="Arial"/>
          <w:sz w:val="23"/>
          <w:szCs w:val="23"/>
          <w:color w:val="auto"/>
          <w:vertAlign w:val="superscript"/>
        </w:rPr>
      </w:pPr>
      <w:r>
        <w:rPr>
          <w:rFonts w:ascii="Arial" w:cs="Arial" w:eastAsia="Arial" w:hAnsi="Arial"/>
          <w:sz w:val="14"/>
          <w:szCs w:val="14"/>
          <w:color w:val="auto"/>
        </w:rPr>
        <w:t>“Performance,” “SARs” and “RSUs” refer to Performance Units, SARs and RSUs, respectively, granted under the 2020 Equity Plan with respect to equity awards granted after March 2020.</w:t>
      </w:r>
    </w:p>
    <w:p>
      <w:pPr>
        <w:ind w:left="700" w:hanging="306"/>
        <w:spacing w:after="0" w:line="209" w:lineRule="auto"/>
        <w:tabs>
          <w:tab w:leader="none" w:pos="700" w:val="left"/>
        </w:tabs>
        <w:numPr>
          <w:ilvl w:val="0"/>
          <w:numId w:val="61"/>
        </w:numPr>
        <w:rPr>
          <w:rFonts w:ascii="Arial" w:cs="Arial" w:eastAsia="Arial" w:hAnsi="Arial"/>
          <w:sz w:val="23"/>
          <w:szCs w:val="23"/>
          <w:color w:val="auto"/>
          <w:vertAlign w:val="superscript"/>
        </w:rPr>
      </w:pPr>
      <w:r>
        <w:rPr>
          <w:rFonts w:ascii="Arial" w:cs="Arial" w:eastAsia="Arial" w:hAnsi="Arial"/>
          <w:sz w:val="14"/>
          <w:szCs w:val="14"/>
          <w:color w:val="auto"/>
        </w:rPr>
        <w:t>SARs vest and become exercisable in equal annual increments beginning on the February 15th following the grant date.</w:t>
      </w:r>
    </w:p>
    <w:p>
      <w:pPr>
        <w:spacing w:after="0" w:line="57" w:lineRule="exact"/>
        <w:rPr>
          <w:sz w:val="20"/>
          <w:szCs w:val="20"/>
          <w:color w:val="auto"/>
        </w:rPr>
      </w:pPr>
    </w:p>
    <w:p>
      <w:pPr>
        <w:ind w:left="700" w:right="80" w:hanging="306"/>
        <w:spacing w:after="0" w:line="197" w:lineRule="auto"/>
        <w:tabs>
          <w:tab w:leader="none" w:pos="700"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RSUs vest in equal annual increments beginning on the February 15th following the grant date, however, RSUs granted on November 9, 2020 and December 15, 2021 are subject to a three-year cliff vesting, and the RSUs granted to Mr. Terry on November 16, 2021 vest over four years in equal annual increments beginning on the November 15th following the grant date.</w:t>
      </w:r>
    </w:p>
    <w:p>
      <w:pPr>
        <w:spacing w:after="0" w:line="52" w:lineRule="exact"/>
        <w:rPr>
          <w:sz w:val="20"/>
          <w:szCs w:val="20"/>
          <w:color w:val="auto"/>
        </w:rPr>
      </w:pPr>
    </w:p>
    <w:p>
      <w:pPr>
        <w:ind w:left="700" w:right="100" w:hanging="306"/>
        <w:spacing w:after="0" w:line="230" w:lineRule="auto"/>
        <w:tabs>
          <w:tab w:leader="none" w:pos="700" w:val="left"/>
        </w:tabs>
        <w:numPr>
          <w:ilvl w:val="0"/>
          <w:numId w:val="63"/>
        </w:numPr>
        <w:rPr>
          <w:rFonts w:ascii="Arial" w:cs="Arial" w:eastAsia="Arial" w:hAnsi="Arial"/>
          <w:sz w:val="22"/>
          <w:szCs w:val="22"/>
          <w:color w:val="auto"/>
          <w:vertAlign w:val="superscript"/>
        </w:rPr>
      </w:pPr>
      <w:r>
        <w:rPr>
          <w:rFonts w:ascii="Arial" w:cs="Arial" w:eastAsia="Arial" w:hAnsi="Arial"/>
          <w:sz w:val="13"/>
          <w:szCs w:val="13"/>
          <w:color w:val="auto"/>
        </w:rPr>
        <w:t>With respect to Performance Units granted on March 2, 2020, the number of shares that the named executive officer will receive will be determined after the end of the performance period on December 31, 2022 and will be based upon the achievement of specified levels of performance during that performance period, as modified. Number of shares shown represents the number of shares of our common stock that can be issued after the end of the performance period on December 31, 2022, based on threshold level of achievement with respect to certain performance targets discussed above. The number of shares of our common stock that can be issued ranges from 0 shares to 50,650 shares for Mr. Weisz (25,325 shares for performance at target level), 16,516 shares for Mr. Geller (8,258 shares for performance at target level), 1,982 shares for Mr. Terry (991 shares for performance at target level), 9,910 shares for Mr. Cunningham (4,955 shares for performance at target level), 9,910 shares for Mr. Miller (4,955 shares for performance at target level), and 9,910 shares for Ms. Marbert (4,955 shares for performance at target level).</w:t>
      </w:r>
    </w:p>
    <w:p>
      <w:pPr>
        <w:spacing w:after="0" w:line="52" w:lineRule="exact"/>
        <w:rPr>
          <w:sz w:val="20"/>
          <w:szCs w:val="20"/>
          <w:color w:val="auto"/>
        </w:rPr>
      </w:pPr>
    </w:p>
    <w:p>
      <w:pPr>
        <w:ind w:left="700" w:right="300" w:hanging="306"/>
        <w:spacing w:after="0" w:line="212" w:lineRule="auto"/>
        <w:tabs>
          <w:tab w:leader="none" w:pos="700" w:val="left"/>
        </w:tabs>
        <w:numPr>
          <w:ilvl w:val="0"/>
          <w:numId w:val="64"/>
        </w:numPr>
        <w:rPr>
          <w:rFonts w:ascii="Arial" w:cs="Arial" w:eastAsia="Arial" w:hAnsi="Arial"/>
          <w:sz w:val="23"/>
          <w:szCs w:val="23"/>
          <w:color w:val="auto"/>
          <w:vertAlign w:val="superscript"/>
        </w:rPr>
      </w:pPr>
      <w:r>
        <w:rPr>
          <w:rFonts w:ascii="Arial" w:cs="Arial" w:eastAsia="Arial" w:hAnsi="Arial"/>
          <w:sz w:val="14"/>
          <w:szCs w:val="14"/>
          <w:color w:val="auto"/>
        </w:rPr>
        <w:t>Calculated by multiplying $168.98, the closing market price of our common stock on December 31, 2021, by the number of Performance Units granted, assuming achievement at the threshold level of performance. The market value of the shares of our common stock that can be issued on the vesting date, based on the Company’s achievement of certain performance targets discussed above, ranges from $0 (if the minimum number of shares, 0 shares, were to be received) to $8,558,837 for Mr. Weisz ($4,279,419 for performance at target level), $2,790,874 for Mr. Geller ($1,395,437 for performance at target level), $334,918 for Mr. Terry ($167,459 for performance at target level), $1,674,592 for Mr. Cunningham ($837,296 for performance at target level), $1,674,592 for Mr. Miller ($837,296 for performance at target level), and $1,674,592 for Ms. Marbert ($837,296 for performance at target level).</w:t>
      </w:r>
    </w:p>
    <w:p>
      <w:pPr>
        <w:spacing w:after="0" w:line="272"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Option Exercises and Stock Vested During Fiscal Year 2021</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shows information about option and SAR exercises and vesting of RSUs during fiscal year 2021.</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tcBorders>
              <w:bottom w:val="single" w:sz="8" w:color="004987"/>
            </w:tcBorders>
            <w:gridSpan w:val="2"/>
          </w:tcPr>
          <w:p>
            <w:pPr>
              <w:jc w:val="right"/>
              <w:ind w:right="826"/>
              <w:spacing w:after="0"/>
              <w:rPr>
                <w:sz w:val="20"/>
                <w:szCs w:val="20"/>
                <w:color w:val="auto"/>
              </w:rPr>
            </w:pPr>
            <w:r>
              <w:rPr>
                <w:rFonts w:ascii="Arial" w:cs="Arial" w:eastAsia="Arial" w:hAnsi="Arial"/>
                <w:sz w:val="14"/>
                <w:szCs w:val="14"/>
                <w:b w:val="1"/>
                <w:bCs w:val="1"/>
                <w:color w:val="004987"/>
              </w:rPr>
              <w:t>Option/SAR Awards</w:t>
            </w:r>
          </w:p>
        </w:tc>
        <w:tc>
          <w:tcPr>
            <w:tcW w:w="520" w:type="dxa"/>
            <w:vAlign w:val="bottom"/>
          </w:tcPr>
          <w:p>
            <w:pPr>
              <w:spacing w:after="0"/>
              <w:rPr>
                <w:sz w:val="14"/>
                <w:szCs w:val="14"/>
                <w:color w:val="auto"/>
              </w:rPr>
            </w:pPr>
          </w:p>
        </w:tc>
        <w:tc>
          <w:tcPr>
            <w:tcW w:w="3120" w:type="dxa"/>
            <w:vAlign w:val="bottom"/>
            <w:tcBorders>
              <w:bottom w:val="single" w:sz="8" w:color="004987"/>
            </w:tcBorders>
            <w:gridSpan w:val="2"/>
          </w:tcPr>
          <w:p>
            <w:pPr>
              <w:jc w:val="right"/>
              <w:ind w:right="1046"/>
              <w:spacing w:after="0"/>
              <w:rPr>
                <w:sz w:val="20"/>
                <w:szCs w:val="20"/>
                <w:color w:val="auto"/>
              </w:rPr>
            </w:pPr>
            <w:r>
              <w:rPr>
                <w:rFonts w:ascii="Arial" w:cs="Arial" w:eastAsia="Arial" w:hAnsi="Arial"/>
                <w:sz w:val="14"/>
                <w:szCs w:val="14"/>
                <w:b w:val="1"/>
                <w:bCs w:val="1"/>
                <w:color w:val="004987"/>
              </w:rPr>
              <w:t>Stock Awards</w:t>
            </w:r>
          </w:p>
        </w:tc>
      </w:tr>
      <w:tr>
        <w:trPr>
          <w:trHeight w:val="134"/>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40" w:type="dxa"/>
            <w:vAlign w:val="bottom"/>
          </w:tcPr>
          <w:p>
            <w:pPr>
              <w:jc w:val="right"/>
              <w:ind w:right="287"/>
              <w:spacing w:after="0" w:line="134" w:lineRule="exact"/>
              <w:rPr>
                <w:sz w:val="20"/>
                <w:szCs w:val="20"/>
                <w:color w:val="auto"/>
              </w:rPr>
            </w:pPr>
            <w:r>
              <w:rPr>
                <w:rFonts w:ascii="Arial" w:cs="Arial" w:eastAsia="Arial" w:hAnsi="Arial"/>
                <w:sz w:val="14"/>
                <w:szCs w:val="14"/>
                <w:b w:val="1"/>
                <w:bCs w:val="1"/>
                <w:color w:val="004987"/>
              </w:rPr>
              <w:t>Number of Shares</w:t>
            </w:r>
          </w:p>
        </w:tc>
        <w:tc>
          <w:tcPr>
            <w:tcW w:w="1460" w:type="dxa"/>
            <w:vAlign w:val="bottom"/>
          </w:tcPr>
          <w:p>
            <w:pPr>
              <w:jc w:val="right"/>
              <w:ind w:right="186"/>
              <w:spacing w:after="0" w:line="134" w:lineRule="exact"/>
              <w:rPr>
                <w:sz w:val="20"/>
                <w:szCs w:val="20"/>
                <w:color w:val="auto"/>
              </w:rPr>
            </w:pPr>
            <w:r>
              <w:rPr>
                <w:rFonts w:ascii="Arial" w:cs="Arial" w:eastAsia="Arial" w:hAnsi="Arial"/>
                <w:sz w:val="14"/>
                <w:szCs w:val="14"/>
                <w:b w:val="1"/>
                <w:bCs w:val="1"/>
                <w:color w:val="004987"/>
              </w:rPr>
              <w:t>Value Realized</w:t>
            </w:r>
          </w:p>
        </w:tc>
        <w:tc>
          <w:tcPr>
            <w:tcW w:w="520" w:type="dxa"/>
            <w:vAlign w:val="bottom"/>
          </w:tcPr>
          <w:p>
            <w:pPr>
              <w:spacing w:after="0"/>
              <w:rPr>
                <w:sz w:val="11"/>
                <w:szCs w:val="11"/>
                <w:color w:val="auto"/>
              </w:rPr>
            </w:pPr>
          </w:p>
        </w:tc>
        <w:tc>
          <w:tcPr>
            <w:tcW w:w="1600" w:type="dxa"/>
            <w:vAlign w:val="bottom"/>
          </w:tcPr>
          <w:p>
            <w:pPr>
              <w:jc w:val="right"/>
              <w:ind w:right="292"/>
              <w:spacing w:after="0" w:line="134" w:lineRule="exact"/>
              <w:rPr>
                <w:sz w:val="20"/>
                <w:szCs w:val="20"/>
                <w:color w:val="auto"/>
              </w:rPr>
            </w:pPr>
            <w:r>
              <w:rPr>
                <w:rFonts w:ascii="Arial" w:cs="Arial" w:eastAsia="Arial" w:hAnsi="Arial"/>
                <w:sz w:val="14"/>
                <w:szCs w:val="14"/>
                <w:b w:val="1"/>
                <w:bCs w:val="1"/>
                <w:color w:val="004987"/>
              </w:rPr>
              <w:t>Number of Shares</w:t>
            </w:r>
          </w:p>
        </w:tc>
        <w:tc>
          <w:tcPr>
            <w:tcW w:w="1520" w:type="dxa"/>
            <w:vAlign w:val="bottom"/>
          </w:tcPr>
          <w:p>
            <w:pPr>
              <w:jc w:val="right"/>
              <w:ind w:right="226"/>
              <w:spacing w:after="0" w:line="134" w:lineRule="exact"/>
              <w:rPr>
                <w:sz w:val="20"/>
                <w:szCs w:val="20"/>
                <w:color w:val="auto"/>
              </w:rPr>
            </w:pPr>
            <w:r>
              <w:rPr>
                <w:rFonts w:ascii="Arial" w:cs="Arial" w:eastAsia="Arial" w:hAnsi="Arial"/>
                <w:sz w:val="14"/>
                <w:szCs w:val="14"/>
                <w:b w:val="1"/>
                <w:bCs w:val="1"/>
                <w:color w:val="004987"/>
              </w:rPr>
              <w:t>Value Realized</w:t>
            </w:r>
          </w:p>
        </w:tc>
      </w:tr>
      <w:tr>
        <w:trPr>
          <w:trHeight w:val="185"/>
        </w:trPr>
        <w:tc>
          <w:tcPr>
            <w:tcW w:w="20" w:type="dxa"/>
            <w:vAlign w:val="bottom"/>
          </w:tcPr>
          <w:p>
            <w:pPr>
              <w:spacing w:after="0"/>
              <w:rPr>
                <w:sz w:val="16"/>
                <w:szCs w:val="16"/>
                <w:color w:val="auto"/>
              </w:rPr>
            </w:pPr>
          </w:p>
        </w:tc>
        <w:tc>
          <w:tcPr>
            <w:tcW w:w="2400" w:type="dxa"/>
            <w:vAlign w:val="bottom"/>
            <w:tcBorders>
              <w:bottom w:val="single" w:sz="8" w:color="004987"/>
            </w:tcBorders>
          </w:tcPr>
          <w:p>
            <w:pPr>
              <w:spacing w:after="0"/>
              <w:rPr>
                <w:sz w:val="16"/>
                <w:szCs w:val="16"/>
                <w:color w:val="auto"/>
              </w:rPr>
            </w:pPr>
          </w:p>
        </w:tc>
        <w:tc>
          <w:tcPr>
            <w:tcW w:w="2940" w:type="dxa"/>
            <w:vAlign w:val="bottom"/>
            <w:tcBorders>
              <w:bottom w:val="single" w:sz="8" w:color="004987"/>
            </w:tcBorders>
            <w:gridSpan w:val="2"/>
          </w:tcPr>
          <w:p>
            <w:pPr>
              <w:jc w:val="right"/>
              <w:ind w:right="187"/>
              <w:spacing w:after="0"/>
              <w:rPr>
                <w:sz w:val="20"/>
                <w:szCs w:val="20"/>
                <w:color w:val="auto"/>
              </w:rPr>
            </w:pPr>
            <w:r>
              <w:rPr>
                <w:rFonts w:ascii="Arial" w:cs="Arial" w:eastAsia="Arial" w:hAnsi="Arial"/>
                <w:sz w:val="14"/>
                <w:szCs w:val="14"/>
                <w:b w:val="1"/>
                <w:bCs w:val="1"/>
                <w:color w:val="004987"/>
              </w:rPr>
              <w:t>Acquired on Exercise</w:t>
            </w:r>
          </w:p>
        </w:tc>
        <w:tc>
          <w:tcPr>
            <w:tcW w:w="1460" w:type="dxa"/>
            <w:vAlign w:val="bottom"/>
            <w:tcBorders>
              <w:bottom w:val="single" w:sz="8" w:color="004987"/>
            </w:tcBorders>
          </w:tcPr>
          <w:p>
            <w:pPr>
              <w:jc w:val="right"/>
              <w:ind w:right="246"/>
              <w:spacing w:after="0" w:line="180" w:lineRule="exact"/>
              <w:rPr>
                <w:sz w:val="20"/>
                <w:szCs w:val="20"/>
                <w:color w:val="auto"/>
              </w:rPr>
            </w:pPr>
            <w:r>
              <w:rPr>
                <w:rFonts w:ascii="Arial" w:cs="Arial" w:eastAsia="Arial" w:hAnsi="Arial"/>
                <w:sz w:val="12"/>
                <w:szCs w:val="12"/>
                <w:b w:val="1"/>
                <w:bCs w:val="1"/>
                <w:color w:val="004987"/>
              </w:rPr>
              <w:t>on Exercise</w:t>
            </w:r>
            <w:r>
              <w:rPr>
                <w:rFonts w:ascii="Arial" w:cs="Arial" w:eastAsia="Arial" w:hAnsi="Arial"/>
                <w:sz w:val="20"/>
                <w:szCs w:val="20"/>
                <w:color w:val="004987"/>
                <w:vertAlign w:val="superscript"/>
              </w:rPr>
              <w:t>1</w:t>
            </w:r>
          </w:p>
        </w:tc>
        <w:tc>
          <w:tcPr>
            <w:tcW w:w="2120" w:type="dxa"/>
            <w:vAlign w:val="bottom"/>
            <w:tcBorders>
              <w:bottom w:val="single" w:sz="8" w:color="004987"/>
            </w:tcBorders>
            <w:gridSpan w:val="2"/>
          </w:tcPr>
          <w:p>
            <w:pPr>
              <w:jc w:val="right"/>
              <w:ind w:right="212"/>
              <w:spacing w:after="0"/>
              <w:rPr>
                <w:sz w:val="20"/>
                <w:szCs w:val="20"/>
                <w:color w:val="auto"/>
              </w:rPr>
            </w:pPr>
            <w:r>
              <w:rPr>
                <w:rFonts w:ascii="Arial" w:cs="Arial" w:eastAsia="Arial" w:hAnsi="Arial"/>
                <w:sz w:val="14"/>
                <w:szCs w:val="14"/>
                <w:b w:val="1"/>
                <w:bCs w:val="1"/>
                <w:color w:val="004987"/>
              </w:rPr>
              <w:t>Acquired on Vesting</w:t>
            </w:r>
          </w:p>
        </w:tc>
        <w:tc>
          <w:tcPr>
            <w:tcW w:w="1520" w:type="dxa"/>
            <w:vAlign w:val="bottom"/>
            <w:tcBorders>
              <w:bottom w:val="single" w:sz="8" w:color="004987"/>
            </w:tcBorders>
          </w:tcPr>
          <w:p>
            <w:pPr>
              <w:jc w:val="right"/>
              <w:ind w:right="326"/>
              <w:spacing w:after="0" w:line="180" w:lineRule="exact"/>
              <w:rPr>
                <w:sz w:val="20"/>
                <w:szCs w:val="20"/>
                <w:color w:val="auto"/>
              </w:rPr>
            </w:pPr>
            <w:r>
              <w:rPr>
                <w:rFonts w:ascii="Arial" w:cs="Arial" w:eastAsia="Arial" w:hAnsi="Arial"/>
                <w:sz w:val="12"/>
                <w:szCs w:val="12"/>
                <w:b w:val="1"/>
                <w:bCs w:val="1"/>
                <w:color w:val="004987"/>
              </w:rPr>
              <w:t>on Vesting</w:t>
            </w:r>
            <w:r>
              <w:rPr>
                <w:rFonts w:ascii="Arial" w:cs="Arial" w:eastAsia="Arial" w:hAnsi="Arial"/>
                <w:sz w:val="20"/>
                <w:szCs w:val="20"/>
                <w:color w:val="004987"/>
                <w:vertAlign w:val="superscript"/>
              </w:rPr>
              <w:t>2</w:t>
            </w:r>
          </w:p>
        </w:tc>
      </w:tr>
      <w:tr>
        <w:trPr>
          <w:trHeight w:val="179"/>
        </w:trPr>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line="180" w:lineRule="exact"/>
              <w:rPr>
                <w:sz w:val="20"/>
                <w:szCs w:val="20"/>
                <w:color w:val="auto"/>
              </w:rPr>
            </w:pPr>
            <w:r>
              <w:rPr>
                <w:rFonts w:ascii="Arial" w:cs="Arial" w:eastAsia="Arial" w:hAnsi="Arial"/>
                <w:sz w:val="13"/>
                <w:szCs w:val="13"/>
                <w:color w:val="auto"/>
              </w:rPr>
              <w:t>S. Weisz</w:t>
            </w:r>
            <w:r>
              <w:rPr>
                <w:rFonts w:ascii="Arial" w:cs="Arial" w:eastAsia="Arial" w:hAnsi="Arial"/>
                <w:sz w:val="20"/>
                <w:szCs w:val="20"/>
                <w:color w:val="auto"/>
                <w:vertAlign w:val="superscript"/>
              </w:rPr>
              <w:t>3</w:t>
            </w:r>
          </w:p>
        </w:tc>
        <w:tc>
          <w:tcPr>
            <w:tcW w:w="294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5"/>
                <w:szCs w:val="15"/>
                <w:color w:val="auto"/>
              </w:rPr>
              <w:t>16,309</w:t>
            </w:r>
          </w:p>
        </w:tc>
        <w:tc>
          <w:tcPr>
            <w:tcW w:w="14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$3,080,937</w:t>
            </w:r>
          </w:p>
        </w:tc>
        <w:tc>
          <w:tcPr>
            <w:tcW w:w="21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5"/>
                <w:szCs w:val="15"/>
                <w:color w:val="auto"/>
              </w:rPr>
              <w:t>85,651</w:t>
            </w:r>
          </w:p>
        </w:tc>
        <w:tc>
          <w:tcPr>
            <w:tcW w:w="1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$14,072,395</w:t>
            </w:r>
          </w:p>
        </w:tc>
      </w:tr>
      <w:tr>
        <w:trPr>
          <w:trHeight w:val="172"/>
        </w:trPr>
        <w:tc>
          <w:tcPr>
            <w:tcW w:w="242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2"/>
                <w:szCs w:val="12"/>
                <w:color w:val="auto"/>
              </w:rPr>
              <w:t>J. Geller</w:t>
            </w:r>
            <w:r>
              <w:rPr>
                <w:rFonts w:ascii="Arial" w:cs="Arial" w:eastAsia="Arial" w:hAnsi="Arial"/>
                <w:sz w:val="19"/>
                <w:szCs w:val="19"/>
                <w:color w:val="auto"/>
                <w:vertAlign w:val="superscript"/>
              </w:rPr>
              <w:t>4</w:t>
            </w:r>
          </w:p>
        </w:tc>
        <w:tc>
          <w:tcPr>
            <w:tcW w:w="294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5"/>
                <w:szCs w:val="15"/>
                <w:color w:val="auto"/>
              </w:rPr>
              <w:t>14,103</w:t>
            </w:r>
          </w:p>
        </w:tc>
        <w:tc>
          <w:tcPr>
            <w:tcW w:w="14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2,396,744</w:t>
            </w:r>
          </w:p>
        </w:tc>
        <w:tc>
          <w:tcPr>
            <w:tcW w:w="21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5"/>
                <w:szCs w:val="15"/>
                <w:color w:val="auto"/>
              </w:rPr>
              <w:t>28,243</w:t>
            </w:r>
          </w:p>
        </w:tc>
        <w:tc>
          <w:tcPr>
            <w:tcW w:w="1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4,623,769</w:t>
            </w:r>
          </w:p>
        </w:tc>
      </w:tr>
      <w:tr>
        <w:trPr>
          <w:trHeight w:val="172"/>
        </w:trPr>
        <w:tc>
          <w:tcPr>
            <w:tcW w:w="242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2"/>
                <w:szCs w:val="12"/>
                <w:color w:val="auto"/>
              </w:rPr>
              <w:t>A. Terry</w:t>
            </w:r>
            <w:r>
              <w:rPr>
                <w:rFonts w:ascii="Arial" w:cs="Arial" w:eastAsia="Arial" w:hAnsi="Arial"/>
                <w:sz w:val="19"/>
                <w:szCs w:val="19"/>
                <w:color w:val="auto"/>
                <w:vertAlign w:val="superscript"/>
              </w:rPr>
              <w:t>5</w:t>
            </w:r>
          </w:p>
        </w:tc>
        <w:tc>
          <w:tcPr>
            <w:tcW w:w="1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w:t>
            </w:r>
          </w:p>
        </w:tc>
        <w:tc>
          <w:tcPr>
            <w:tcW w:w="21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5"/>
                <w:szCs w:val="15"/>
                <w:color w:val="auto"/>
              </w:rPr>
              <w:t>2,806</w:t>
            </w:r>
          </w:p>
        </w:tc>
        <w:tc>
          <w:tcPr>
            <w:tcW w:w="1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427,938</w:t>
            </w:r>
          </w:p>
        </w:tc>
      </w:tr>
      <w:tr>
        <w:trPr>
          <w:trHeight w:val="172"/>
        </w:trPr>
        <w:tc>
          <w:tcPr>
            <w:tcW w:w="242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2"/>
                <w:szCs w:val="12"/>
                <w:color w:val="auto"/>
              </w:rPr>
              <w:t>R. Cunningham</w:t>
            </w:r>
            <w:r>
              <w:rPr>
                <w:rFonts w:ascii="Arial" w:cs="Arial" w:eastAsia="Arial" w:hAnsi="Arial"/>
                <w:sz w:val="19"/>
                <w:szCs w:val="19"/>
                <w:color w:val="auto"/>
                <w:vertAlign w:val="superscript"/>
              </w:rPr>
              <w:t>6</w:t>
            </w:r>
          </w:p>
        </w:tc>
        <w:tc>
          <w:tcPr>
            <w:tcW w:w="294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5"/>
                <w:szCs w:val="15"/>
                <w:color w:val="auto"/>
              </w:rPr>
              <w:t>10,994</w:t>
            </w:r>
          </w:p>
        </w:tc>
        <w:tc>
          <w:tcPr>
            <w:tcW w:w="14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1,976,625</w:t>
            </w:r>
          </w:p>
        </w:tc>
        <w:tc>
          <w:tcPr>
            <w:tcW w:w="21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5"/>
                <w:szCs w:val="15"/>
                <w:color w:val="auto"/>
              </w:rPr>
              <w:t>22,013</w:t>
            </w:r>
          </w:p>
        </w:tc>
        <w:tc>
          <w:tcPr>
            <w:tcW w:w="1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3,624,341</w:t>
            </w:r>
          </w:p>
        </w:tc>
      </w:tr>
      <w:tr>
        <w:trPr>
          <w:trHeight w:val="172"/>
        </w:trPr>
        <w:tc>
          <w:tcPr>
            <w:tcW w:w="242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2"/>
                <w:szCs w:val="12"/>
                <w:color w:val="auto"/>
              </w:rPr>
              <w:t>B. Miller</w:t>
            </w:r>
            <w:r>
              <w:rPr>
                <w:rFonts w:ascii="Arial" w:cs="Arial" w:eastAsia="Arial" w:hAnsi="Arial"/>
                <w:sz w:val="19"/>
                <w:szCs w:val="19"/>
                <w:color w:val="auto"/>
                <w:vertAlign w:val="superscript"/>
              </w:rPr>
              <w:t>7</w:t>
            </w:r>
          </w:p>
        </w:tc>
        <w:tc>
          <w:tcPr>
            <w:tcW w:w="294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5"/>
                <w:szCs w:val="15"/>
                <w:color w:val="auto"/>
              </w:rPr>
              <w:t>10,102</w:t>
            </w:r>
          </w:p>
        </w:tc>
        <w:tc>
          <w:tcPr>
            <w:tcW w:w="146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1,883,906</w:t>
            </w:r>
          </w:p>
        </w:tc>
        <w:tc>
          <w:tcPr>
            <w:tcW w:w="21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5"/>
                <w:szCs w:val="15"/>
                <w:color w:val="auto"/>
              </w:rPr>
              <w:t>21,408</w:t>
            </w:r>
          </w:p>
        </w:tc>
        <w:tc>
          <w:tcPr>
            <w:tcW w:w="15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3,529,054</w:t>
            </w:r>
          </w:p>
        </w:tc>
      </w:tr>
      <w:tr>
        <w:trPr>
          <w:trHeight w:val="172"/>
        </w:trPr>
        <w:tc>
          <w:tcPr>
            <w:tcW w:w="2420" w:type="dxa"/>
            <w:vAlign w:val="bottom"/>
            <w:tcBorders>
              <w:bottom w:val="single" w:sz="8" w:color="004987"/>
            </w:tcBorders>
            <w:gridSpan w:val="2"/>
          </w:tcPr>
          <w:p>
            <w:pPr>
              <w:spacing w:after="0" w:line="173" w:lineRule="exact"/>
              <w:rPr>
                <w:sz w:val="20"/>
                <w:szCs w:val="20"/>
                <w:color w:val="auto"/>
              </w:rPr>
            </w:pPr>
            <w:r>
              <w:rPr>
                <w:rFonts w:ascii="Arial" w:cs="Arial" w:eastAsia="Arial" w:hAnsi="Arial"/>
                <w:sz w:val="12"/>
                <w:szCs w:val="12"/>
                <w:color w:val="auto"/>
              </w:rPr>
              <w:t>J. Marbert</w:t>
            </w:r>
            <w:r>
              <w:rPr>
                <w:rFonts w:ascii="Arial" w:cs="Arial" w:eastAsia="Arial" w:hAnsi="Arial"/>
                <w:sz w:val="19"/>
                <w:szCs w:val="19"/>
                <w:color w:val="auto"/>
                <w:vertAlign w:val="superscript"/>
              </w:rPr>
              <w:t>8</w:t>
            </w:r>
          </w:p>
        </w:tc>
        <w:tc>
          <w:tcPr>
            <w:tcW w:w="1300" w:type="dxa"/>
            <w:vAlign w:val="bottom"/>
            <w:tcBorders>
              <w:bottom w:val="single" w:sz="8" w:color="004987"/>
            </w:tcBorders>
          </w:tcPr>
          <w:p>
            <w:pPr>
              <w:spacing w:after="0"/>
              <w:rPr>
                <w:sz w:val="14"/>
                <w:szCs w:val="14"/>
                <w:color w:val="auto"/>
              </w:rPr>
            </w:pPr>
          </w:p>
        </w:tc>
        <w:tc>
          <w:tcPr>
            <w:tcW w:w="1640" w:type="dxa"/>
            <w:vAlign w:val="bottom"/>
            <w:tcBorders>
              <w:bottom w:val="single" w:sz="8" w:color="004987"/>
            </w:tcBorders>
          </w:tcPr>
          <w:p>
            <w:pPr>
              <w:jc w:val="right"/>
              <w:ind w:right="507"/>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004987"/>
            </w:tcBorders>
          </w:tcPr>
          <w:p>
            <w:pPr>
              <w:jc w:val="right"/>
              <w:ind w:right="266"/>
              <w:spacing w:after="0"/>
              <w:rPr>
                <w:sz w:val="20"/>
                <w:szCs w:val="20"/>
                <w:color w:val="auto"/>
              </w:rPr>
            </w:pPr>
            <w:r>
              <w:rPr>
                <w:rFonts w:ascii="Arial" w:cs="Arial" w:eastAsia="Arial" w:hAnsi="Arial"/>
                <w:sz w:val="15"/>
                <w:szCs w:val="15"/>
                <w:color w:val="auto"/>
              </w:rPr>
              <w:t>—</w:t>
            </w:r>
          </w:p>
        </w:tc>
        <w:tc>
          <w:tcPr>
            <w:tcW w:w="2120" w:type="dxa"/>
            <w:vAlign w:val="bottom"/>
            <w:tcBorders>
              <w:bottom w:val="single" w:sz="8" w:color="004987"/>
            </w:tcBorders>
            <w:gridSpan w:val="2"/>
          </w:tcPr>
          <w:p>
            <w:pPr>
              <w:jc w:val="right"/>
              <w:ind w:right="512"/>
              <w:spacing w:after="0"/>
              <w:rPr>
                <w:sz w:val="20"/>
                <w:szCs w:val="20"/>
                <w:color w:val="auto"/>
              </w:rPr>
            </w:pPr>
            <w:r>
              <w:rPr>
                <w:rFonts w:ascii="Arial" w:cs="Arial" w:eastAsia="Arial" w:hAnsi="Arial"/>
                <w:sz w:val="15"/>
                <w:szCs w:val="15"/>
                <w:color w:val="auto"/>
              </w:rPr>
              <w:t>7,112</w:t>
            </w:r>
          </w:p>
        </w:tc>
        <w:tc>
          <w:tcPr>
            <w:tcW w:w="1520" w:type="dxa"/>
            <w:vAlign w:val="bottom"/>
            <w:tcBorders>
              <w:bottom w:val="single" w:sz="8" w:color="004987"/>
            </w:tcBorders>
          </w:tcPr>
          <w:p>
            <w:pPr>
              <w:jc w:val="right"/>
              <w:ind w:right="266"/>
              <w:spacing w:after="0"/>
              <w:rPr>
                <w:sz w:val="20"/>
                <w:szCs w:val="20"/>
                <w:color w:val="auto"/>
              </w:rPr>
            </w:pPr>
            <w:r>
              <w:rPr>
                <w:rFonts w:ascii="Arial" w:cs="Arial" w:eastAsia="Arial" w:hAnsi="Arial"/>
                <w:sz w:val="15"/>
                <w:szCs w:val="15"/>
                <w:color w:val="auto"/>
              </w:rPr>
              <w:t>1,168,841</w:t>
            </w:r>
          </w:p>
        </w:tc>
      </w:tr>
    </w:tbl>
    <w:p>
      <w:pPr>
        <w:ind w:left="700" w:hanging="306"/>
        <w:spacing w:after="0" w:line="226" w:lineRule="auto"/>
        <w:tabs>
          <w:tab w:leader="none" w:pos="700" w:val="left"/>
        </w:tabs>
        <w:numPr>
          <w:ilvl w:val="0"/>
          <w:numId w:val="65"/>
        </w:numPr>
        <w:rPr>
          <w:rFonts w:ascii="Arial" w:cs="Arial" w:eastAsia="Arial" w:hAnsi="Arial"/>
          <w:sz w:val="23"/>
          <w:szCs w:val="23"/>
          <w:color w:val="auto"/>
          <w:vertAlign w:val="superscript"/>
        </w:rPr>
      </w:pPr>
      <w:r>
        <w:rPr>
          <w:rFonts w:ascii="Arial" w:cs="Arial" w:eastAsia="Arial" w:hAnsi="Arial"/>
          <w:sz w:val="14"/>
          <w:szCs w:val="14"/>
          <w:color w:val="auto"/>
        </w:rPr>
        <w:t>The value realized upon exercise is based on the current trading price at the time of exercise.</w:t>
      </w:r>
    </w:p>
    <w:p>
      <w:pPr>
        <w:spacing w:after="0" w:line="56" w:lineRule="exact"/>
        <w:rPr>
          <w:sz w:val="20"/>
          <w:szCs w:val="20"/>
          <w:color w:val="auto"/>
        </w:rPr>
      </w:pPr>
    </w:p>
    <w:p>
      <w:pPr>
        <w:ind w:left="700" w:right="180" w:hanging="306"/>
        <w:spacing w:after="0" w:line="185" w:lineRule="auto"/>
        <w:tabs>
          <w:tab w:leader="none" w:pos="700" w:val="left"/>
        </w:tabs>
        <w:numPr>
          <w:ilvl w:val="0"/>
          <w:numId w:val="66"/>
        </w:numPr>
        <w:rPr>
          <w:rFonts w:ascii="Arial" w:cs="Arial" w:eastAsia="Arial" w:hAnsi="Arial"/>
          <w:sz w:val="23"/>
          <w:szCs w:val="23"/>
          <w:color w:val="auto"/>
          <w:vertAlign w:val="superscript"/>
        </w:rPr>
      </w:pPr>
      <w:r>
        <w:rPr>
          <w:rFonts w:ascii="Arial" w:cs="Arial" w:eastAsia="Arial" w:hAnsi="Arial"/>
          <w:sz w:val="14"/>
          <w:szCs w:val="14"/>
          <w:color w:val="auto"/>
        </w:rPr>
        <w:t>For the Performance Units, the value realized upon vesting is based on the closing price of our common stock on the vesting date. For RSUs, the value realized upon vesting is based on the average of the high and low stock price on the vesting date.</w:t>
      </w:r>
    </w:p>
    <w:p>
      <w:pPr>
        <w:spacing w:after="0" w:line="52" w:lineRule="exact"/>
        <w:rPr>
          <w:sz w:val="20"/>
          <w:szCs w:val="20"/>
          <w:color w:val="auto"/>
        </w:rPr>
      </w:pPr>
    </w:p>
    <w:p>
      <w:pPr>
        <w:ind w:left="700" w:right="160" w:hanging="306"/>
        <w:spacing w:after="0" w:line="199" w:lineRule="auto"/>
        <w:tabs>
          <w:tab w:leader="none" w:pos="700" w:val="left"/>
        </w:tabs>
        <w:numPr>
          <w:ilvl w:val="0"/>
          <w:numId w:val="67"/>
        </w:numPr>
        <w:rPr>
          <w:rFonts w:ascii="Arial" w:cs="Arial" w:eastAsia="Arial" w:hAnsi="Arial"/>
          <w:sz w:val="23"/>
          <w:szCs w:val="23"/>
          <w:color w:val="auto"/>
          <w:vertAlign w:val="superscript"/>
        </w:rPr>
      </w:pPr>
      <w:r>
        <w:rPr>
          <w:rFonts w:ascii="Arial" w:cs="Arial" w:eastAsia="Arial" w:hAnsi="Arial"/>
          <w:sz w:val="14"/>
          <w:szCs w:val="14"/>
          <w:color w:val="auto"/>
        </w:rPr>
        <w:t>Mr. Weisz acquired 16,309 shares of the Company’s common stock upon the exercise of 22,519 SARs. Mr. Weisz acquired 20,070 shares of the Company’s common stock upon vesting of RSUs. Mr. Weisz acquired 59,003 shares upon the vesting of the Acquisition Award Performance Units granted on March 4, 2019 and 6,578 shares upon the vesting of the modified 2019-2021 Performance Units modified on December 9, 2021.</w:t>
      </w:r>
    </w:p>
    <w:p>
      <w:pPr>
        <w:spacing w:after="0" w:line="52" w:lineRule="exact"/>
        <w:rPr>
          <w:sz w:val="20"/>
          <w:szCs w:val="20"/>
          <w:color w:val="auto"/>
        </w:rPr>
      </w:pPr>
    </w:p>
    <w:p>
      <w:pPr>
        <w:ind w:left="700" w:right="160" w:hanging="306"/>
        <w:spacing w:after="0" w:line="199" w:lineRule="auto"/>
        <w:tabs>
          <w:tab w:leader="none" w:pos="70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Mr. Geller acquired 14,103 shares of the Company’s common stock upon the exercise of 19,337 SARs. Mr. Geller acquired 7,539 shares of the Company’s common stock upon the vesting of RSUs. Mr. Geller acquired 18,355 shares upon the vesting of the Acquisition Award Performance Units granted on March 4, 2019 and 2,349 shares upon the vesting of the modified 2019-2021 Performance Units modified on December 9, 2021.</w:t>
      </w:r>
    </w:p>
    <w:p>
      <w:pPr>
        <w:spacing w:after="0" w:line="111" w:lineRule="exact"/>
        <w:rPr>
          <w:sz w:val="20"/>
          <w:szCs w:val="20"/>
          <w:color w:val="auto"/>
        </w:rPr>
      </w:pPr>
    </w:p>
    <w:p>
      <w:pPr>
        <w:ind w:left="400"/>
        <w:spacing w:after="0"/>
        <w:tabs>
          <w:tab w:leader="none" w:pos="4520" w:val="left"/>
          <w:tab w:leader="none" w:pos="7720" w:val="left"/>
        </w:tabs>
        <w:rPr>
          <w:sz w:val="20"/>
          <w:szCs w:val="20"/>
          <w:color w:val="auto"/>
        </w:rPr>
      </w:pPr>
      <w:r>
        <w:rPr>
          <w:rFonts w:ascii="Arial" w:cs="Arial" w:eastAsia="Arial" w:hAnsi="Arial"/>
          <w:sz w:val="10"/>
          <w:szCs w:val="10"/>
          <w:b w:val="1"/>
          <w:bCs w:val="1"/>
          <w:color w:val="004987"/>
        </w:rPr>
        <w:t>40</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4" w:lineRule="exact"/>
        <w:rPr>
          <w:sz w:val="20"/>
          <w:szCs w:val="20"/>
          <w:color w:val="auto"/>
        </w:rPr>
      </w:pPr>
    </w:p>
    <w:p>
      <w:pPr>
        <w:ind w:left="700" w:right="320" w:hanging="306"/>
        <w:spacing w:after="0" w:line="188" w:lineRule="auto"/>
        <w:tabs>
          <w:tab w:leader="none" w:pos="70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Mr. Terry acquired 2,535 shares of the Company’s common stock upon vesting of RSUs. Mr. Terry acquired 271 shares upon the vesting of the modified 2019-2021 Performance Units modified on December 9, 2021.</w:t>
      </w:r>
    </w:p>
    <w:p>
      <w:pPr>
        <w:spacing w:after="0" w:line="51" w:lineRule="exact"/>
        <w:rPr>
          <w:sz w:val="20"/>
          <w:szCs w:val="20"/>
          <w:color w:val="auto"/>
        </w:rPr>
      </w:pPr>
    </w:p>
    <w:p>
      <w:pPr>
        <w:ind w:left="700" w:right="260" w:hanging="306"/>
        <w:spacing w:after="0" w:line="199" w:lineRule="auto"/>
        <w:tabs>
          <w:tab w:leader="none" w:pos="700"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Mr. Cunningham acquired 10,994 shares of the Company’s common stock upon the exercise of 25,021 SARs. Mr. Cunningham acquired 4,869 shares of the Company’s common stock upon vesting of RSUs. Mr. Cunningham acquired 15,735 shares upon the vesting of the Acquisition Award Performance Units granted on March 4, 2019 and 1,409 shares upon the vesting of the modified 2019-2021 Performance Units modified on December 9, 2021.</w:t>
      </w:r>
    </w:p>
    <w:p>
      <w:pPr>
        <w:spacing w:after="0" w:line="52" w:lineRule="exact"/>
        <w:rPr>
          <w:sz w:val="20"/>
          <w:szCs w:val="20"/>
          <w:color w:val="auto"/>
        </w:rPr>
      </w:pPr>
    </w:p>
    <w:p>
      <w:pPr>
        <w:jc w:val="both"/>
        <w:ind w:left="700" w:right="180" w:hanging="306"/>
        <w:spacing w:after="0" w:line="199" w:lineRule="auto"/>
        <w:tabs>
          <w:tab w:leader="none" w:pos="700" w:val="left"/>
        </w:tabs>
        <w:numPr>
          <w:ilvl w:val="0"/>
          <w:numId w:val="71"/>
        </w:numPr>
        <w:rPr>
          <w:rFonts w:ascii="Arial" w:cs="Arial" w:eastAsia="Arial" w:hAnsi="Arial"/>
          <w:sz w:val="23"/>
          <w:szCs w:val="23"/>
          <w:color w:val="auto"/>
          <w:vertAlign w:val="superscript"/>
        </w:rPr>
      </w:pPr>
      <w:r>
        <w:rPr>
          <w:rFonts w:ascii="Arial" w:cs="Arial" w:eastAsia="Arial" w:hAnsi="Arial"/>
          <w:sz w:val="14"/>
          <w:szCs w:val="14"/>
          <w:color w:val="auto"/>
        </w:rPr>
        <w:t>Mr. Miller acquired 10,102 shares of the Company’s common stock upon the exercise of 19,253 SARs. Mr. Miller acquired 4,577 of shares of the Company’s common stock upon the vesting of RSUs. Mr. Miller acquired 15,735 shares upon the vesting of the Acquisition Award Performance Units granted on March 4, 2019 and 1,096 shares upon the vesting of the modified 2019-2021 Performance Units modified on December 9, 2021.</w:t>
      </w:r>
    </w:p>
    <w:p>
      <w:pPr>
        <w:spacing w:after="0" w:line="52" w:lineRule="exact"/>
        <w:rPr>
          <w:sz w:val="20"/>
          <w:szCs w:val="20"/>
          <w:color w:val="auto"/>
        </w:rPr>
      </w:pPr>
    </w:p>
    <w:p>
      <w:pPr>
        <w:ind w:left="700" w:right="120" w:hanging="306"/>
        <w:spacing w:after="0" w:line="198" w:lineRule="auto"/>
        <w:tabs>
          <w:tab w:leader="none" w:pos="700" w:val="left"/>
        </w:tabs>
        <w:numPr>
          <w:ilvl w:val="0"/>
          <w:numId w:val="72"/>
        </w:numPr>
        <w:rPr>
          <w:rFonts w:ascii="Arial" w:cs="Arial" w:eastAsia="Arial" w:hAnsi="Arial"/>
          <w:sz w:val="22"/>
          <w:szCs w:val="22"/>
          <w:color w:val="auto"/>
          <w:vertAlign w:val="superscript"/>
        </w:rPr>
      </w:pPr>
      <w:r>
        <w:rPr>
          <w:rFonts w:ascii="Arial" w:cs="Arial" w:eastAsia="Arial" w:hAnsi="Arial"/>
          <w:sz w:val="13"/>
          <w:szCs w:val="13"/>
          <w:color w:val="auto"/>
        </w:rPr>
        <w:t>Ms. Marbert acquired 1,856 shares of the Company’s common stock upon vesting of RSUs. Ms. Marbert acquired 3,933 shares upon the vesting of the Acquisition Award Performance Units granted on March 4, 2019 and 1,323 shares upon the vesting of the modified 2019-2021 Performance Units modified on December 9, 2021.</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Nonqualified Deferred Compensation for Fiscal Year 2021</w:t>
      </w:r>
    </w:p>
    <w:p>
      <w:pPr>
        <w:spacing w:after="0" w:line="98" w:lineRule="exact"/>
        <w:rPr>
          <w:sz w:val="20"/>
          <w:szCs w:val="20"/>
          <w:color w:val="auto"/>
        </w:rPr>
      </w:pPr>
    </w:p>
    <w:p>
      <w:pPr>
        <w:ind w:left="400" w:right="60"/>
        <w:spacing w:after="0" w:line="259" w:lineRule="auto"/>
        <w:rPr>
          <w:sz w:val="20"/>
          <w:szCs w:val="20"/>
          <w:color w:val="auto"/>
        </w:rPr>
      </w:pPr>
      <w:r>
        <w:rPr>
          <w:rFonts w:ascii="Arial" w:cs="Arial" w:eastAsia="Arial" w:hAnsi="Arial"/>
          <w:sz w:val="15"/>
          <w:szCs w:val="15"/>
          <w:color w:val="auto"/>
        </w:rPr>
        <w:t>The following table discloses contributions, earnings, distributions and balances under the MVW Deferred Compensation Plan and the Marriott Deferred Compensation Plan for the 2021 fiscal year. Our executives ceased to be eligible to make further contributions under the Marriott Deferred Compensation Plan as of the Spin-Off. We have agreed to reimburse Marriott International for any payments made to our employees under the Marriott Deferred Compensation Plan. Unless otherwise indicated, amounts relate to contributions, earnings, distributions and balances under the MVW Deferred Compensation Plan.</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jc w:val="center"/>
              <w:ind w:right="5"/>
              <w:spacing w:after="0"/>
              <w:rPr>
                <w:sz w:val="20"/>
                <w:szCs w:val="20"/>
                <w:color w:val="auto"/>
              </w:rPr>
            </w:pPr>
            <w:r>
              <w:rPr>
                <w:rFonts w:ascii="Arial" w:cs="Arial" w:eastAsia="Arial" w:hAnsi="Arial"/>
                <w:sz w:val="14"/>
                <w:szCs w:val="14"/>
                <w:b w:val="1"/>
                <w:bCs w:val="1"/>
                <w:color w:val="004987"/>
                <w:w w:val="97"/>
              </w:rPr>
              <w:t>Executive</w:t>
            </w:r>
          </w:p>
        </w:tc>
        <w:tc>
          <w:tcPr>
            <w:tcW w:w="1320" w:type="dxa"/>
            <w:vAlign w:val="bottom"/>
          </w:tcPr>
          <w:p>
            <w:pPr>
              <w:jc w:val="center"/>
              <w:ind w:left="25"/>
              <w:spacing w:after="0"/>
              <w:rPr>
                <w:sz w:val="20"/>
                <w:szCs w:val="20"/>
                <w:color w:val="auto"/>
              </w:rPr>
            </w:pPr>
            <w:r>
              <w:rPr>
                <w:rFonts w:ascii="Arial" w:cs="Arial" w:eastAsia="Arial" w:hAnsi="Arial"/>
                <w:sz w:val="14"/>
                <w:szCs w:val="14"/>
                <w:b w:val="1"/>
                <w:bCs w:val="1"/>
                <w:color w:val="004987"/>
                <w:w w:val="97"/>
              </w:rPr>
              <w:t>Company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4987"/>
                <w:w w:val="95"/>
              </w:rPr>
              <w:t>Aggregate</w:t>
            </w:r>
          </w:p>
        </w:tc>
        <w:tc>
          <w:tcPr>
            <w:tcW w:w="1220" w:type="dxa"/>
            <w:vAlign w:val="bottom"/>
          </w:tcPr>
          <w:p>
            <w:pPr>
              <w:jc w:val="right"/>
              <w:ind w:right="209"/>
              <w:spacing w:after="0"/>
              <w:rPr>
                <w:sz w:val="20"/>
                <w:szCs w:val="20"/>
                <w:color w:val="auto"/>
              </w:rPr>
            </w:pPr>
            <w:r>
              <w:rPr>
                <w:rFonts w:ascii="Arial" w:cs="Arial" w:eastAsia="Arial" w:hAnsi="Arial"/>
                <w:sz w:val="14"/>
                <w:szCs w:val="14"/>
                <w:b w:val="1"/>
                <w:bCs w:val="1"/>
                <w:color w:val="004987"/>
              </w:rPr>
              <w:t>Aggregate</w:t>
            </w:r>
          </w:p>
        </w:tc>
        <w:tc>
          <w:tcPr>
            <w:tcW w:w="1100" w:type="dxa"/>
            <w:vAlign w:val="bottom"/>
          </w:tcPr>
          <w:p>
            <w:pPr>
              <w:ind w:left="280"/>
              <w:spacing w:after="0"/>
              <w:rPr>
                <w:sz w:val="20"/>
                <w:szCs w:val="20"/>
                <w:color w:val="auto"/>
              </w:rPr>
            </w:pPr>
            <w:r>
              <w:rPr>
                <w:rFonts w:ascii="Arial" w:cs="Arial" w:eastAsia="Arial" w:hAnsi="Arial"/>
                <w:sz w:val="14"/>
                <w:szCs w:val="14"/>
                <w:b w:val="1"/>
                <w:bCs w:val="1"/>
                <w:color w:val="004987"/>
              </w:rPr>
              <w:t>Aggregate</w:t>
            </w:r>
          </w:p>
        </w:tc>
      </w:tr>
      <w:tr>
        <w:trPr>
          <w:trHeight w:val="154"/>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20" w:type="dxa"/>
            <w:vAlign w:val="bottom"/>
          </w:tcPr>
          <w:p>
            <w:pPr>
              <w:jc w:val="center"/>
              <w:ind w:right="5"/>
              <w:spacing w:after="0" w:line="154" w:lineRule="exact"/>
              <w:rPr>
                <w:sz w:val="20"/>
                <w:szCs w:val="20"/>
                <w:color w:val="auto"/>
              </w:rPr>
            </w:pPr>
            <w:r>
              <w:rPr>
                <w:rFonts w:ascii="Arial" w:cs="Arial" w:eastAsia="Arial" w:hAnsi="Arial"/>
                <w:sz w:val="14"/>
                <w:szCs w:val="14"/>
                <w:b w:val="1"/>
                <w:bCs w:val="1"/>
                <w:color w:val="004987"/>
                <w:w w:val="95"/>
              </w:rPr>
              <w:t>Contributions</w:t>
            </w:r>
          </w:p>
        </w:tc>
        <w:tc>
          <w:tcPr>
            <w:tcW w:w="1320" w:type="dxa"/>
            <w:vAlign w:val="bottom"/>
          </w:tcPr>
          <w:p>
            <w:pPr>
              <w:jc w:val="center"/>
              <w:ind w:left="5"/>
              <w:spacing w:after="0" w:line="154" w:lineRule="exact"/>
              <w:rPr>
                <w:sz w:val="20"/>
                <w:szCs w:val="20"/>
                <w:color w:val="auto"/>
              </w:rPr>
            </w:pPr>
            <w:r>
              <w:rPr>
                <w:rFonts w:ascii="Arial" w:cs="Arial" w:eastAsia="Arial" w:hAnsi="Arial"/>
                <w:sz w:val="14"/>
                <w:szCs w:val="14"/>
                <w:b w:val="1"/>
                <w:bCs w:val="1"/>
                <w:color w:val="004987"/>
                <w:w w:val="95"/>
              </w:rPr>
              <w:t>Contributions</w:t>
            </w:r>
          </w:p>
        </w:tc>
        <w:tc>
          <w:tcPr>
            <w:tcW w:w="108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6"/>
              </w:rPr>
              <w:t>Earnings</w:t>
            </w:r>
          </w:p>
        </w:tc>
        <w:tc>
          <w:tcPr>
            <w:tcW w:w="1220" w:type="dxa"/>
            <w:vAlign w:val="bottom"/>
          </w:tcPr>
          <w:p>
            <w:pPr>
              <w:jc w:val="right"/>
              <w:ind w:right="109"/>
              <w:spacing w:after="0" w:line="154" w:lineRule="exact"/>
              <w:rPr>
                <w:sz w:val="20"/>
                <w:szCs w:val="20"/>
                <w:color w:val="auto"/>
              </w:rPr>
            </w:pPr>
            <w:r>
              <w:rPr>
                <w:rFonts w:ascii="Arial" w:cs="Arial" w:eastAsia="Arial" w:hAnsi="Arial"/>
                <w:sz w:val="14"/>
                <w:szCs w:val="14"/>
                <w:b w:val="1"/>
                <w:bCs w:val="1"/>
                <w:color w:val="004987"/>
              </w:rPr>
              <w:t>Withdrawals/</w:t>
            </w:r>
          </w:p>
        </w:tc>
        <w:tc>
          <w:tcPr>
            <w:tcW w:w="1100" w:type="dxa"/>
            <w:vAlign w:val="bottom"/>
          </w:tcPr>
          <w:p>
            <w:pPr>
              <w:ind w:left="280"/>
              <w:spacing w:after="0" w:line="154" w:lineRule="exact"/>
              <w:rPr>
                <w:sz w:val="20"/>
                <w:szCs w:val="20"/>
                <w:color w:val="auto"/>
              </w:rPr>
            </w:pPr>
            <w:r>
              <w:rPr>
                <w:rFonts w:ascii="Arial" w:cs="Arial" w:eastAsia="Arial" w:hAnsi="Arial"/>
                <w:sz w:val="14"/>
                <w:szCs w:val="14"/>
                <w:b w:val="1"/>
                <w:bCs w:val="1"/>
                <w:color w:val="004987"/>
              </w:rPr>
              <w:t>Balance at</w:t>
            </w:r>
          </w:p>
        </w:tc>
      </w:tr>
      <w:tr>
        <w:trPr>
          <w:trHeight w:val="182"/>
        </w:trPr>
        <w:tc>
          <w:tcPr>
            <w:tcW w:w="2420" w:type="dxa"/>
            <w:vAlign w:val="bottom"/>
            <w:tcBorders>
              <w:bottom w:val="single" w:sz="8" w:color="004987"/>
            </w:tcBorders>
            <w:gridSpan w:val="2"/>
          </w:tcPr>
          <w:p>
            <w:pPr>
              <w:spacing w:after="0"/>
              <w:rPr>
                <w:sz w:val="20"/>
                <w:szCs w:val="20"/>
                <w:color w:val="auto"/>
              </w:rPr>
            </w:pPr>
            <w:r>
              <w:rPr>
                <w:rFonts w:ascii="Arial" w:cs="Arial" w:eastAsia="Arial" w:hAnsi="Arial"/>
                <w:sz w:val="14"/>
                <w:szCs w:val="14"/>
                <w:b w:val="1"/>
                <w:bCs w:val="1"/>
                <w:color w:val="004987"/>
              </w:rPr>
              <w:t>Name</w:t>
            </w:r>
          </w:p>
        </w:tc>
        <w:tc>
          <w:tcPr>
            <w:tcW w:w="2000" w:type="dxa"/>
            <w:vAlign w:val="bottom"/>
            <w:tcBorders>
              <w:bottom w:val="single" w:sz="8" w:color="004987"/>
            </w:tcBorders>
          </w:tcPr>
          <w:p>
            <w:pPr>
              <w:jc w:val="center"/>
              <w:ind w:left="1084"/>
              <w:spacing w:after="0" w:line="176" w:lineRule="exact"/>
              <w:rPr>
                <w:sz w:val="20"/>
                <w:szCs w:val="20"/>
                <w:color w:val="auto"/>
              </w:rPr>
            </w:pPr>
            <w:r>
              <w:rPr>
                <w:rFonts w:ascii="Arial" w:cs="Arial" w:eastAsia="Arial" w:hAnsi="Arial"/>
                <w:sz w:val="12"/>
                <w:szCs w:val="12"/>
                <w:b w:val="1"/>
                <w:bCs w:val="1"/>
                <w:color w:val="004987"/>
              </w:rPr>
              <w:t>Plan</w:t>
            </w:r>
            <w:r>
              <w:rPr>
                <w:rFonts w:ascii="Arial" w:cs="Arial" w:eastAsia="Arial" w:hAnsi="Arial"/>
                <w:sz w:val="20"/>
                <w:szCs w:val="20"/>
                <w:color w:val="004987"/>
                <w:vertAlign w:val="superscript"/>
              </w:rPr>
              <w:t>1</w:t>
            </w:r>
          </w:p>
        </w:tc>
        <w:tc>
          <w:tcPr>
            <w:tcW w:w="1320" w:type="dxa"/>
            <w:vAlign w:val="bottom"/>
            <w:tcBorders>
              <w:bottom w:val="single" w:sz="8" w:color="004987"/>
            </w:tcBorders>
          </w:tcPr>
          <w:p>
            <w:pPr>
              <w:jc w:val="center"/>
              <w:ind w:right="5"/>
              <w:spacing w:after="0" w:line="176" w:lineRule="exact"/>
              <w:rPr>
                <w:sz w:val="20"/>
                <w:szCs w:val="20"/>
                <w:color w:val="auto"/>
              </w:rPr>
            </w:pPr>
            <w:r>
              <w:rPr>
                <w:rFonts w:ascii="Arial" w:cs="Arial" w:eastAsia="Arial" w:hAnsi="Arial"/>
                <w:sz w:val="12"/>
                <w:szCs w:val="12"/>
                <w:b w:val="1"/>
                <w:bCs w:val="1"/>
                <w:color w:val="004987"/>
              </w:rPr>
              <w:t>in Last FY</w:t>
            </w:r>
            <w:r>
              <w:rPr>
                <w:rFonts w:ascii="Arial" w:cs="Arial" w:eastAsia="Arial" w:hAnsi="Arial"/>
                <w:sz w:val="20"/>
                <w:szCs w:val="20"/>
                <w:color w:val="004987"/>
                <w:vertAlign w:val="superscript"/>
              </w:rPr>
              <w:t>2</w:t>
            </w:r>
          </w:p>
        </w:tc>
        <w:tc>
          <w:tcPr>
            <w:tcW w:w="1320" w:type="dxa"/>
            <w:vAlign w:val="bottom"/>
            <w:tcBorders>
              <w:bottom w:val="single" w:sz="8" w:color="004987"/>
            </w:tcBorders>
          </w:tcPr>
          <w:p>
            <w:pPr>
              <w:jc w:val="center"/>
              <w:ind w:left="5"/>
              <w:spacing w:after="0" w:line="176" w:lineRule="exact"/>
              <w:rPr>
                <w:sz w:val="20"/>
                <w:szCs w:val="20"/>
                <w:color w:val="auto"/>
              </w:rPr>
            </w:pPr>
            <w:r>
              <w:rPr>
                <w:rFonts w:ascii="Arial" w:cs="Arial" w:eastAsia="Arial" w:hAnsi="Arial"/>
                <w:sz w:val="12"/>
                <w:szCs w:val="12"/>
                <w:b w:val="1"/>
                <w:bCs w:val="1"/>
                <w:color w:val="004987"/>
              </w:rPr>
              <w:t>in Last FY</w:t>
            </w:r>
            <w:r>
              <w:rPr>
                <w:rFonts w:ascii="Arial" w:cs="Arial" w:eastAsia="Arial" w:hAnsi="Arial"/>
                <w:sz w:val="20"/>
                <w:szCs w:val="20"/>
                <w:color w:val="004987"/>
                <w:vertAlign w:val="superscript"/>
              </w:rPr>
              <w:t>3</w:t>
            </w:r>
          </w:p>
        </w:tc>
        <w:tc>
          <w:tcPr>
            <w:tcW w:w="10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8"/>
              </w:rPr>
              <w:t>in Last FY</w:t>
            </w:r>
          </w:p>
        </w:tc>
        <w:tc>
          <w:tcPr>
            <w:tcW w:w="1220" w:type="dxa"/>
            <w:vAlign w:val="bottom"/>
            <w:tcBorders>
              <w:bottom w:val="single" w:sz="8" w:color="004987"/>
            </w:tcBorders>
          </w:tcPr>
          <w:p>
            <w:pPr>
              <w:jc w:val="right"/>
              <w:ind w:right="109"/>
              <w:spacing w:after="0"/>
              <w:rPr>
                <w:sz w:val="20"/>
                <w:szCs w:val="20"/>
                <w:color w:val="auto"/>
              </w:rPr>
            </w:pPr>
            <w:r>
              <w:rPr>
                <w:rFonts w:ascii="Arial" w:cs="Arial" w:eastAsia="Arial" w:hAnsi="Arial"/>
                <w:sz w:val="14"/>
                <w:szCs w:val="14"/>
                <w:b w:val="1"/>
                <w:bCs w:val="1"/>
                <w:color w:val="004987"/>
              </w:rPr>
              <w:t>Distributions</w:t>
            </w:r>
          </w:p>
        </w:tc>
        <w:tc>
          <w:tcPr>
            <w:tcW w:w="1100" w:type="dxa"/>
            <w:vAlign w:val="bottom"/>
            <w:tcBorders>
              <w:bottom w:val="single" w:sz="8" w:color="004987"/>
            </w:tcBorders>
          </w:tcPr>
          <w:p>
            <w:pPr>
              <w:ind w:left="280"/>
              <w:spacing w:after="0" w:line="176" w:lineRule="exact"/>
              <w:rPr>
                <w:sz w:val="20"/>
                <w:szCs w:val="20"/>
                <w:color w:val="auto"/>
              </w:rPr>
            </w:pPr>
            <w:r>
              <w:rPr>
                <w:rFonts w:ascii="Arial" w:cs="Arial" w:eastAsia="Arial" w:hAnsi="Arial"/>
                <w:sz w:val="12"/>
                <w:szCs w:val="12"/>
                <w:b w:val="1"/>
                <w:bCs w:val="1"/>
                <w:color w:val="004987"/>
              </w:rPr>
              <w:t>Last FYE</w:t>
            </w:r>
            <w:r>
              <w:rPr>
                <w:rFonts w:ascii="Arial" w:cs="Arial" w:eastAsia="Arial" w:hAnsi="Arial"/>
                <w:sz w:val="20"/>
                <w:szCs w:val="20"/>
                <w:color w:val="004987"/>
                <w:vertAlign w:val="superscript"/>
              </w:rPr>
              <w:t>4</w:t>
            </w:r>
          </w:p>
        </w:tc>
      </w:tr>
      <w:tr>
        <w:trPr>
          <w:trHeight w:val="165"/>
        </w:trPr>
        <w:tc>
          <w:tcPr>
            <w:tcW w:w="2420" w:type="dxa"/>
            <w:vAlign w:val="bottom"/>
            <w:gridSpan w:val="2"/>
          </w:tcPr>
          <w:p>
            <w:pPr>
              <w:spacing w:after="0" w:line="164" w:lineRule="exact"/>
              <w:rPr>
                <w:sz w:val="20"/>
                <w:szCs w:val="20"/>
                <w:color w:val="auto"/>
              </w:rPr>
            </w:pPr>
            <w:r>
              <w:rPr>
                <w:rFonts w:ascii="Arial" w:cs="Arial" w:eastAsia="Arial" w:hAnsi="Arial"/>
                <w:sz w:val="15"/>
                <w:szCs w:val="15"/>
                <w:color w:val="auto"/>
              </w:rPr>
              <w:t>S. Weisz</w:t>
            </w:r>
          </w:p>
        </w:tc>
        <w:tc>
          <w:tcPr>
            <w:tcW w:w="2000" w:type="dxa"/>
            <w:vAlign w:val="bottom"/>
          </w:tcPr>
          <w:p>
            <w:pPr>
              <w:jc w:val="center"/>
              <w:ind w:left="1084"/>
              <w:spacing w:after="0" w:line="164" w:lineRule="exact"/>
              <w:rPr>
                <w:sz w:val="20"/>
                <w:szCs w:val="20"/>
                <w:color w:val="auto"/>
              </w:rPr>
            </w:pPr>
            <w:r>
              <w:rPr>
                <w:rFonts w:ascii="Arial" w:cs="Arial" w:eastAsia="Arial" w:hAnsi="Arial"/>
                <w:sz w:val="15"/>
                <w:szCs w:val="15"/>
                <w:color w:val="auto"/>
              </w:rPr>
              <w:t>DCP</w:t>
            </w:r>
          </w:p>
        </w:tc>
        <w:tc>
          <w:tcPr>
            <w:tcW w:w="1320" w:type="dxa"/>
            <w:vAlign w:val="bottom"/>
          </w:tcPr>
          <w:p>
            <w:pPr>
              <w:jc w:val="right"/>
              <w:ind w:right="305"/>
              <w:spacing w:after="0" w:line="164" w:lineRule="exact"/>
              <w:rPr>
                <w:sz w:val="20"/>
                <w:szCs w:val="20"/>
                <w:color w:val="auto"/>
              </w:rPr>
            </w:pPr>
            <w:r>
              <w:rPr>
                <w:rFonts w:ascii="Arial" w:cs="Arial" w:eastAsia="Arial" w:hAnsi="Arial"/>
                <w:sz w:val="15"/>
                <w:szCs w:val="15"/>
                <w:color w:val="auto"/>
              </w:rPr>
              <w:t>$ 14,974</w:t>
            </w:r>
          </w:p>
        </w:tc>
        <w:tc>
          <w:tcPr>
            <w:tcW w:w="1320" w:type="dxa"/>
            <w:vAlign w:val="bottom"/>
          </w:tcPr>
          <w:p>
            <w:pPr>
              <w:jc w:val="right"/>
              <w:ind w:right="265"/>
              <w:spacing w:after="0" w:line="164" w:lineRule="exact"/>
              <w:rPr>
                <w:sz w:val="20"/>
                <w:szCs w:val="20"/>
                <w:color w:val="auto"/>
              </w:rPr>
            </w:pPr>
            <w:r>
              <w:rPr>
                <w:rFonts w:ascii="Arial" w:cs="Arial" w:eastAsia="Arial" w:hAnsi="Arial"/>
                <w:sz w:val="15"/>
                <w:szCs w:val="15"/>
                <w:color w:val="auto"/>
              </w:rPr>
              <w:t>$ 11,231</w:t>
            </w:r>
          </w:p>
        </w:tc>
        <w:tc>
          <w:tcPr>
            <w:tcW w:w="1080" w:type="dxa"/>
            <w:vAlign w:val="bottom"/>
          </w:tcPr>
          <w:p>
            <w:pPr>
              <w:jc w:val="right"/>
              <w:ind w:right="116"/>
              <w:spacing w:after="0" w:line="164" w:lineRule="exact"/>
              <w:rPr>
                <w:sz w:val="20"/>
                <w:szCs w:val="20"/>
                <w:color w:val="auto"/>
              </w:rPr>
            </w:pPr>
            <w:r>
              <w:rPr>
                <w:rFonts w:ascii="Arial" w:cs="Arial" w:eastAsia="Arial" w:hAnsi="Arial"/>
                <w:sz w:val="12"/>
                <w:szCs w:val="12"/>
                <w:color w:val="auto"/>
              </w:rPr>
              <w:t>$ 36,905</w:t>
            </w:r>
            <w:r>
              <w:rPr>
                <w:rFonts w:ascii="Arial" w:cs="Arial" w:eastAsia="Arial" w:hAnsi="Arial"/>
                <w:sz w:val="19"/>
                <w:szCs w:val="19"/>
                <w:color w:val="auto"/>
                <w:vertAlign w:val="superscript"/>
              </w:rPr>
              <w:t>5</w:t>
            </w:r>
          </w:p>
        </w:tc>
        <w:tc>
          <w:tcPr>
            <w:tcW w:w="1220" w:type="dxa"/>
            <w:vAlign w:val="bottom"/>
          </w:tcPr>
          <w:p>
            <w:pPr>
              <w:jc w:val="right"/>
              <w:ind w:right="249"/>
              <w:spacing w:after="0" w:line="164"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4" w:lineRule="exact"/>
              <w:rPr>
                <w:sz w:val="20"/>
                <w:szCs w:val="20"/>
                <w:color w:val="auto"/>
              </w:rPr>
            </w:pPr>
            <w:r>
              <w:rPr>
                <w:rFonts w:ascii="Arial" w:cs="Arial" w:eastAsia="Arial" w:hAnsi="Arial"/>
                <w:sz w:val="12"/>
                <w:szCs w:val="12"/>
                <w:color w:val="auto"/>
              </w:rPr>
              <w:t>$1,106,946</w:t>
            </w:r>
            <w:r>
              <w:rPr>
                <w:rFonts w:ascii="Arial" w:cs="Arial" w:eastAsia="Arial" w:hAnsi="Arial"/>
                <w:sz w:val="19"/>
                <w:szCs w:val="19"/>
                <w:color w:val="auto"/>
                <w:vertAlign w:val="superscript"/>
              </w:rPr>
              <w:t>6</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1104"/>
              <w:spacing w:after="0"/>
              <w:rPr>
                <w:sz w:val="20"/>
                <w:szCs w:val="20"/>
                <w:color w:val="auto"/>
              </w:rPr>
            </w:pPr>
            <w:r>
              <w:rPr>
                <w:rFonts w:ascii="Arial" w:cs="Arial" w:eastAsia="Arial" w:hAnsi="Arial"/>
                <w:sz w:val="15"/>
                <w:szCs w:val="15"/>
                <w:color w:val="auto"/>
              </w:rPr>
              <w:t>MDCP</w:t>
            </w:r>
          </w:p>
        </w:tc>
        <w:tc>
          <w:tcPr>
            <w:tcW w:w="132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16"/>
              <w:spacing w:after="0" w:line="194" w:lineRule="exact"/>
              <w:rPr>
                <w:sz w:val="20"/>
                <w:szCs w:val="20"/>
                <w:color w:val="auto"/>
              </w:rPr>
            </w:pPr>
            <w:r>
              <w:rPr>
                <w:rFonts w:ascii="Arial" w:cs="Arial" w:eastAsia="Arial" w:hAnsi="Arial"/>
                <w:sz w:val="14"/>
                <w:szCs w:val="14"/>
                <w:color w:val="auto"/>
              </w:rPr>
              <w:t>76,162</w:t>
            </w:r>
            <w:r>
              <w:rPr>
                <w:rFonts w:ascii="Arial" w:cs="Arial" w:eastAsia="Arial" w:hAnsi="Arial"/>
                <w:sz w:val="22"/>
                <w:szCs w:val="22"/>
                <w:color w:val="auto"/>
                <w:vertAlign w:val="superscript"/>
              </w:rPr>
              <w:t>5</w:t>
            </w: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4"/>
                <w:szCs w:val="14"/>
                <w:color w:val="auto"/>
              </w:rPr>
              <w:t>2,384,002</w:t>
            </w:r>
            <w:r>
              <w:rPr>
                <w:rFonts w:ascii="Arial" w:cs="Arial" w:eastAsia="Arial" w:hAnsi="Arial"/>
                <w:sz w:val="22"/>
                <w:szCs w:val="22"/>
                <w:color w:val="auto"/>
                <w:vertAlign w:val="superscript"/>
              </w:rPr>
              <w:t>7</w:t>
            </w:r>
          </w:p>
        </w:tc>
      </w:tr>
      <w:tr>
        <w:trPr>
          <w:trHeight w:val="157"/>
        </w:trPr>
        <w:tc>
          <w:tcPr>
            <w:tcW w:w="20" w:type="dxa"/>
            <w:vAlign w:val="bottom"/>
          </w:tcPr>
          <w:p>
            <w:pPr>
              <w:spacing w:after="0"/>
              <w:rPr>
                <w:sz w:val="13"/>
                <w:szCs w:val="13"/>
                <w:color w:val="auto"/>
              </w:rPr>
            </w:pPr>
          </w:p>
        </w:tc>
        <w:tc>
          <w:tcPr>
            <w:tcW w:w="2400" w:type="dxa"/>
            <w:vAlign w:val="bottom"/>
          </w:tcPr>
          <w:p>
            <w:pPr>
              <w:spacing w:after="0" w:line="157" w:lineRule="exact"/>
              <w:rPr>
                <w:sz w:val="20"/>
                <w:szCs w:val="20"/>
                <w:color w:val="auto"/>
              </w:rPr>
            </w:pPr>
            <w:r>
              <w:rPr>
                <w:rFonts w:ascii="Arial" w:cs="Arial" w:eastAsia="Arial" w:hAnsi="Arial"/>
                <w:sz w:val="15"/>
                <w:szCs w:val="15"/>
                <w:color w:val="auto"/>
              </w:rPr>
              <w:t>J. Geller</w:t>
            </w:r>
          </w:p>
        </w:tc>
        <w:tc>
          <w:tcPr>
            <w:tcW w:w="2000" w:type="dxa"/>
            <w:vAlign w:val="bottom"/>
          </w:tcPr>
          <w:p>
            <w:pPr>
              <w:jc w:val="center"/>
              <w:ind w:left="1084"/>
              <w:spacing w:after="0" w:line="157" w:lineRule="exact"/>
              <w:rPr>
                <w:sz w:val="20"/>
                <w:szCs w:val="20"/>
                <w:color w:val="auto"/>
              </w:rPr>
            </w:pPr>
            <w:r>
              <w:rPr>
                <w:rFonts w:ascii="Arial" w:cs="Arial" w:eastAsia="Arial" w:hAnsi="Arial"/>
                <w:sz w:val="15"/>
                <w:szCs w:val="15"/>
                <w:color w:val="auto"/>
              </w:rPr>
              <w:t>DCP</w:t>
            </w:r>
          </w:p>
        </w:tc>
        <w:tc>
          <w:tcPr>
            <w:tcW w:w="1320" w:type="dxa"/>
            <w:vAlign w:val="bottom"/>
          </w:tcPr>
          <w:p>
            <w:pPr>
              <w:jc w:val="right"/>
              <w:ind w:right="305"/>
              <w:spacing w:after="0" w:line="157" w:lineRule="exact"/>
              <w:rPr>
                <w:sz w:val="20"/>
                <w:szCs w:val="20"/>
                <w:color w:val="auto"/>
              </w:rPr>
            </w:pPr>
            <w:r>
              <w:rPr>
                <w:rFonts w:ascii="Arial" w:cs="Arial" w:eastAsia="Arial" w:hAnsi="Arial"/>
                <w:sz w:val="15"/>
                <w:szCs w:val="15"/>
                <w:color w:val="auto"/>
              </w:rPr>
              <w:t>67,414</w:t>
            </w:r>
          </w:p>
        </w:tc>
        <w:tc>
          <w:tcPr>
            <w:tcW w:w="1320" w:type="dxa"/>
            <w:vAlign w:val="bottom"/>
          </w:tcPr>
          <w:p>
            <w:pPr>
              <w:jc w:val="right"/>
              <w:ind w:right="265"/>
              <w:spacing w:after="0" w:line="157" w:lineRule="exact"/>
              <w:rPr>
                <w:sz w:val="20"/>
                <w:szCs w:val="20"/>
                <w:color w:val="auto"/>
              </w:rPr>
            </w:pPr>
            <w:r>
              <w:rPr>
                <w:rFonts w:ascii="Arial" w:cs="Arial" w:eastAsia="Arial" w:hAnsi="Arial"/>
                <w:sz w:val="15"/>
                <w:szCs w:val="15"/>
                <w:color w:val="auto"/>
              </w:rPr>
              <w:t>15,157</w:t>
            </w:r>
          </w:p>
        </w:tc>
        <w:tc>
          <w:tcPr>
            <w:tcW w:w="1080" w:type="dxa"/>
            <w:vAlign w:val="bottom"/>
          </w:tcPr>
          <w:p>
            <w:pPr>
              <w:jc w:val="right"/>
              <w:ind w:right="116"/>
              <w:spacing w:after="0" w:line="157" w:lineRule="exact"/>
              <w:rPr>
                <w:sz w:val="20"/>
                <w:szCs w:val="20"/>
                <w:color w:val="auto"/>
              </w:rPr>
            </w:pPr>
            <w:r>
              <w:rPr>
                <w:rFonts w:ascii="Arial" w:cs="Arial" w:eastAsia="Arial" w:hAnsi="Arial"/>
                <w:sz w:val="12"/>
                <w:szCs w:val="12"/>
                <w:color w:val="auto"/>
              </w:rPr>
              <w:t>35,913</w:t>
            </w:r>
            <w:r>
              <w:rPr>
                <w:rFonts w:ascii="Arial" w:cs="Arial" w:eastAsia="Arial" w:hAnsi="Arial"/>
                <w:sz w:val="18"/>
                <w:szCs w:val="18"/>
                <w:color w:val="auto"/>
                <w:vertAlign w:val="superscript"/>
              </w:rPr>
              <w:t>5</w:t>
            </w:r>
          </w:p>
        </w:tc>
        <w:tc>
          <w:tcPr>
            <w:tcW w:w="1220" w:type="dxa"/>
            <w:vAlign w:val="bottom"/>
          </w:tcPr>
          <w:p>
            <w:pPr>
              <w:jc w:val="right"/>
              <w:ind w:right="249"/>
              <w:spacing w:after="0" w:line="157" w:lineRule="exact"/>
              <w:rPr>
                <w:sz w:val="20"/>
                <w:szCs w:val="20"/>
                <w:color w:val="auto"/>
              </w:rPr>
            </w:pPr>
            <w:r>
              <w:rPr>
                <w:rFonts w:ascii="Arial" w:cs="Arial" w:eastAsia="Arial" w:hAnsi="Arial"/>
                <w:sz w:val="15"/>
                <w:szCs w:val="15"/>
                <w:color w:val="auto"/>
              </w:rPr>
              <w:t>96,517</w:t>
            </w:r>
          </w:p>
        </w:tc>
        <w:tc>
          <w:tcPr>
            <w:tcW w:w="1100" w:type="dxa"/>
            <w:vAlign w:val="bottom"/>
          </w:tcPr>
          <w:p>
            <w:pPr>
              <w:jc w:val="right"/>
              <w:spacing w:after="0" w:line="157" w:lineRule="exact"/>
              <w:rPr>
                <w:sz w:val="20"/>
                <w:szCs w:val="20"/>
                <w:color w:val="auto"/>
              </w:rPr>
            </w:pPr>
            <w:r>
              <w:rPr>
                <w:rFonts w:ascii="Arial" w:cs="Arial" w:eastAsia="Arial" w:hAnsi="Arial"/>
                <w:sz w:val="12"/>
                <w:szCs w:val="12"/>
                <w:color w:val="auto"/>
              </w:rPr>
              <w:t>589,847</w:t>
            </w:r>
            <w:r>
              <w:rPr>
                <w:rFonts w:ascii="Arial" w:cs="Arial" w:eastAsia="Arial" w:hAnsi="Arial"/>
                <w:sz w:val="18"/>
                <w:szCs w:val="18"/>
                <w:color w:val="auto"/>
                <w:vertAlign w:val="superscript"/>
              </w:rPr>
              <w:t>6</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1104"/>
              <w:spacing w:after="0"/>
              <w:rPr>
                <w:sz w:val="20"/>
                <w:szCs w:val="20"/>
                <w:color w:val="auto"/>
              </w:rPr>
            </w:pPr>
            <w:r>
              <w:rPr>
                <w:rFonts w:ascii="Arial" w:cs="Arial" w:eastAsia="Arial" w:hAnsi="Arial"/>
                <w:sz w:val="15"/>
                <w:szCs w:val="15"/>
                <w:color w:val="auto"/>
              </w:rPr>
              <w:t>MDCP</w:t>
            </w:r>
          </w:p>
        </w:tc>
        <w:tc>
          <w:tcPr>
            <w:tcW w:w="132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16"/>
              <w:spacing w:after="0" w:line="194" w:lineRule="exact"/>
              <w:rPr>
                <w:sz w:val="20"/>
                <w:szCs w:val="20"/>
                <w:color w:val="auto"/>
              </w:rPr>
            </w:pPr>
            <w:r>
              <w:rPr>
                <w:rFonts w:ascii="Arial" w:cs="Arial" w:eastAsia="Arial" w:hAnsi="Arial"/>
                <w:sz w:val="14"/>
                <w:szCs w:val="14"/>
                <w:color w:val="auto"/>
              </w:rPr>
              <w:t>9,054</w:t>
            </w:r>
            <w:r>
              <w:rPr>
                <w:rFonts w:ascii="Arial" w:cs="Arial" w:eastAsia="Arial" w:hAnsi="Arial"/>
                <w:sz w:val="22"/>
                <w:szCs w:val="22"/>
                <w:color w:val="auto"/>
                <w:vertAlign w:val="superscript"/>
              </w:rPr>
              <w:t>5</w:t>
            </w: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4"/>
                <w:szCs w:val="14"/>
                <w:color w:val="auto"/>
              </w:rPr>
              <w:t>283,316</w:t>
            </w:r>
            <w:r>
              <w:rPr>
                <w:rFonts w:ascii="Arial" w:cs="Arial" w:eastAsia="Arial" w:hAnsi="Arial"/>
                <w:sz w:val="22"/>
                <w:szCs w:val="22"/>
                <w:color w:val="auto"/>
                <w:vertAlign w:val="superscript"/>
              </w:rPr>
              <w:t>7</w:t>
            </w:r>
          </w:p>
        </w:tc>
      </w:tr>
      <w:tr>
        <w:trPr>
          <w:trHeight w:val="157"/>
        </w:trPr>
        <w:tc>
          <w:tcPr>
            <w:tcW w:w="20" w:type="dxa"/>
            <w:vAlign w:val="bottom"/>
          </w:tcPr>
          <w:p>
            <w:pPr>
              <w:spacing w:after="0"/>
              <w:rPr>
                <w:sz w:val="13"/>
                <w:szCs w:val="13"/>
                <w:color w:val="auto"/>
              </w:rPr>
            </w:pPr>
          </w:p>
        </w:tc>
        <w:tc>
          <w:tcPr>
            <w:tcW w:w="2400" w:type="dxa"/>
            <w:vAlign w:val="bottom"/>
          </w:tcPr>
          <w:p>
            <w:pPr>
              <w:spacing w:after="0" w:line="157" w:lineRule="exact"/>
              <w:rPr>
                <w:sz w:val="20"/>
                <w:szCs w:val="20"/>
                <w:color w:val="auto"/>
              </w:rPr>
            </w:pPr>
            <w:r>
              <w:rPr>
                <w:rFonts w:ascii="Arial" w:cs="Arial" w:eastAsia="Arial" w:hAnsi="Arial"/>
                <w:sz w:val="15"/>
                <w:szCs w:val="15"/>
                <w:color w:val="auto"/>
              </w:rPr>
              <w:t>A. Terry</w:t>
            </w:r>
          </w:p>
        </w:tc>
        <w:tc>
          <w:tcPr>
            <w:tcW w:w="2000" w:type="dxa"/>
            <w:vAlign w:val="bottom"/>
          </w:tcPr>
          <w:p>
            <w:pPr>
              <w:jc w:val="center"/>
              <w:ind w:left="1084"/>
              <w:spacing w:after="0" w:line="157" w:lineRule="exact"/>
              <w:rPr>
                <w:sz w:val="20"/>
                <w:szCs w:val="20"/>
                <w:color w:val="auto"/>
              </w:rPr>
            </w:pPr>
            <w:r>
              <w:rPr>
                <w:rFonts w:ascii="Arial" w:cs="Arial" w:eastAsia="Arial" w:hAnsi="Arial"/>
                <w:sz w:val="15"/>
                <w:szCs w:val="15"/>
                <w:color w:val="auto"/>
              </w:rPr>
              <w:t>DCP</w:t>
            </w:r>
          </w:p>
        </w:tc>
        <w:tc>
          <w:tcPr>
            <w:tcW w:w="1320" w:type="dxa"/>
            <w:vAlign w:val="bottom"/>
          </w:tcPr>
          <w:p>
            <w:pPr>
              <w:jc w:val="right"/>
              <w:ind w:right="305"/>
              <w:spacing w:after="0" w:line="157" w:lineRule="exact"/>
              <w:rPr>
                <w:sz w:val="20"/>
                <w:szCs w:val="20"/>
                <w:color w:val="auto"/>
              </w:rPr>
            </w:pPr>
            <w:r>
              <w:rPr>
                <w:rFonts w:ascii="Arial" w:cs="Arial" w:eastAsia="Arial" w:hAnsi="Arial"/>
                <w:sz w:val="15"/>
                <w:szCs w:val="15"/>
                <w:color w:val="auto"/>
              </w:rPr>
              <w:t>100,349</w:t>
            </w:r>
          </w:p>
        </w:tc>
        <w:tc>
          <w:tcPr>
            <w:tcW w:w="1320" w:type="dxa"/>
            <w:vAlign w:val="bottom"/>
          </w:tcPr>
          <w:p>
            <w:pPr>
              <w:jc w:val="right"/>
              <w:ind w:right="265"/>
              <w:spacing w:after="0" w:line="157" w:lineRule="exact"/>
              <w:rPr>
                <w:sz w:val="20"/>
                <w:szCs w:val="20"/>
                <w:color w:val="auto"/>
              </w:rPr>
            </w:pPr>
            <w:r>
              <w:rPr>
                <w:rFonts w:ascii="Arial" w:cs="Arial" w:eastAsia="Arial" w:hAnsi="Arial"/>
                <w:sz w:val="15"/>
                <w:szCs w:val="15"/>
                <w:color w:val="auto"/>
              </w:rPr>
              <w:t>5,645</w:t>
            </w:r>
          </w:p>
        </w:tc>
        <w:tc>
          <w:tcPr>
            <w:tcW w:w="1080" w:type="dxa"/>
            <w:vAlign w:val="bottom"/>
          </w:tcPr>
          <w:p>
            <w:pPr>
              <w:jc w:val="right"/>
              <w:ind w:right="116"/>
              <w:spacing w:after="0" w:line="157" w:lineRule="exact"/>
              <w:rPr>
                <w:sz w:val="20"/>
                <w:szCs w:val="20"/>
                <w:color w:val="auto"/>
              </w:rPr>
            </w:pPr>
            <w:r>
              <w:rPr>
                <w:rFonts w:ascii="Arial" w:cs="Arial" w:eastAsia="Arial" w:hAnsi="Arial"/>
                <w:sz w:val="12"/>
                <w:szCs w:val="12"/>
                <w:color w:val="auto"/>
              </w:rPr>
              <w:t>112,590</w:t>
            </w:r>
            <w:r>
              <w:rPr>
                <w:rFonts w:ascii="Arial" w:cs="Arial" w:eastAsia="Arial" w:hAnsi="Arial"/>
                <w:sz w:val="18"/>
                <w:szCs w:val="18"/>
                <w:color w:val="auto"/>
                <w:vertAlign w:val="superscript"/>
              </w:rPr>
              <w:t>5</w:t>
            </w:r>
          </w:p>
        </w:tc>
        <w:tc>
          <w:tcPr>
            <w:tcW w:w="1220" w:type="dxa"/>
            <w:vAlign w:val="bottom"/>
          </w:tcPr>
          <w:p>
            <w:pPr>
              <w:jc w:val="right"/>
              <w:ind w:right="249"/>
              <w:spacing w:after="0" w:line="157"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57" w:lineRule="exact"/>
              <w:rPr>
                <w:sz w:val="20"/>
                <w:szCs w:val="20"/>
                <w:color w:val="auto"/>
              </w:rPr>
            </w:pPr>
            <w:r>
              <w:rPr>
                <w:rFonts w:ascii="Arial" w:cs="Arial" w:eastAsia="Arial" w:hAnsi="Arial"/>
                <w:sz w:val="12"/>
                <w:szCs w:val="12"/>
                <w:color w:val="auto"/>
              </w:rPr>
              <w:t>1,032,882</w:t>
            </w:r>
            <w:r>
              <w:rPr>
                <w:rFonts w:ascii="Arial" w:cs="Arial" w:eastAsia="Arial" w:hAnsi="Arial"/>
                <w:sz w:val="18"/>
                <w:szCs w:val="18"/>
                <w:color w:val="auto"/>
                <w:vertAlign w:val="superscript"/>
              </w:rPr>
              <w:t>6</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1104"/>
              <w:spacing w:after="0"/>
              <w:rPr>
                <w:sz w:val="20"/>
                <w:szCs w:val="20"/>
                <w:color w:val="auto"/>
              </w:rPr>
            </w:pPr>
            <w:r>
              <w:rPr>
                <w:rFonts w:ascii="Arial" w:cs="Arial" w:eastAsia="Arial" w:hAnsi="Arial"/>
                <w:sz w:val="15"/>
                <w:szCs w:val="15"/>
                <w:color w:val="auto"/>
              </w:rPr>
              <w:t>MDCP</w:t>
            </w:r>
          </w:p>
        </w:tc>
        <w:tc>
          <w:tcPr>
            <w:tcW w:w="132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16"/>
              <w:spacing w:after="0" w:line="194" w:lineRule="exact"/>
              <w:rPr>
                <w:sz w:val="20"/>
                <w:szCs w:val="20"/>
                <w:color w:val="auto"/>
              </w:rPr>
            </w:pPr>
            <w:r>
              <w:rPr>
                <w:rFonts w:ascii="Arial" w:cs="Arial" w:eastAsia="Arial" w:hAnsi="Arial"/>
                <w:sz w:val="14"/>
                <w:szCs w:val="14"/>
                <w:color w:val="auto"/>
              </w:rPr>
              <w:t>8,479</w:t>
            </w:r>
            <w:r>
              <w:rPr>
                <w:rFonts w:ascii="Arial" w:cs="Arial" w:eastAsia="Arial" w:hAnsi="Arial"/>
                <w:sz w:val="22"/>
                <w:szCs w:val="22"/>
                <w:color w:val="auto"/>
                <w:vertAlign w:val="superscript"/>
              </w:rPr>
              <w:t>5</w:t>
            </w: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4"/>
                <w:szCs w:val="14"/>
                <w:color w:val="auto"/>
              </w:rPr>
              <w:t>265,418</w:t>
            </w:r>
            <w:r>
              <w:rPr>
                <w:rFonts w:ascii="Arial" w:cs="Arial" w:eastAsia="Arial" w:hAnsi="Arial"/>
                <w:sz w:val="22"/>
                <w:szCs w:val="22"/>
                <w:color w:val="auto"/>
                <w:vertAlign w:val="superscript"/>
              </w:rPr>
              <w:t>7</w:t>
            </w:r>
          </w:p>
        </w:tc>
      </w:tr>
      <w:tr>
        <w:trPr>
          <w:trHeight w:val="157"/>
        </w:trPr>
        <w:tc>
          <w:tcPr>
            <w:tcW w:w="20" w:type="dxa"/>
            <w:vAlign w:val="bottom"/>
          </w:tcPr>
          <w:p>
            <w:pPr>
              <w:spacing w:after="0"/>
              <w:rPr>
                <w:sz w:val="13"/>
                <w:szCs w:val="13"/>
                <w:color w:val="auto"/>
              </w:rPr>
            </w:pPr>
          </w:p>
        </w:tc>
        <w:tc>
          <w:tcPr>
            <w:tcW w:w="2400" w:type="dxa"/>
            <w:vAlign w:val="bottom"/>
          </w:tcPr>
          <w:p>
            <w:pPr>
              <w:spacing w:after="0" w:line="157" w:lineRule="exact"/>
              <w:rPr>
                <w:sz w:val="20"/>
                <w:szCs w:val="20"/>
                <w:color w:val="auto"/>
              </w:rPr>
            </w:pPr>
            <w:r>
              <w:rPr>
                <w:rFonts w:ascii="Arial" w:cs="Arial" w:eastAsia="Arial" w:hAnsi="Arial"/>
                <w:sz w:val="15"/>
                <w:szCs w:val="15"/>
                <w:color w:val="auto"/>
              </w:rPr>
              <w:t>R. Cunningham</w:t>
            </w:r>
          </w:p>
        </w:tc>
        <w:tc>
          <w:tcPr>
            <w:tcW w:w="2000" w:type="dxa"/>
            <w:vAlign w:val="bottom"/>
          </w:tcPr>
          <w:p>
            <w:pPr>
              <w:jc w:val="center"/>
              <w:ind w:left="1084"/>
              <w:spacing w:after="0" w:line="157" w:lineRule="exact"/>
              <w:rPr>
                <w:sz w:val="20"/>
                <w:szCs w:val="20"/>
                <w:color w:val="auto"/>
              </w:rPr>
            </w:pPr>
            <w:r>
              <w:rPr>
                <w:rFonts w:ascii="Arial" w:cs="Arial" w:eastAsia="Arial" w:hAnsi="Arial"/>
                <w:sz w:val="15"/>
                <w:szCs w:val="15"/>
                <w:color w:val="auto"/>
              </w:rPr>
              <w:t>DCP</w:t>
            </w:r>
          </w:p>
        </w:tc>
        <w:tc>
          <w:tcPr>
            <w:tcW w:w="1320" w:type="dxa"/>
            <w:vAlign w:val="bottom"/>
          </w:tcPr>
          <w:p>
            <w:pPr>
              <w:jc w:val="right"/>
              <w:ind w:right="305"/>
              <w:spacing w:after="0" w:line="157" w:lineRule="exact"/>
              <w:rPr>
                <w:sz w:val="20"/>
                <w:szCs w:val="20"/>
                <w:color w:val="auto"/>
              </w:rPr>
            </w:pPr>
            <w:r>
              <w:rPr>
                <w:rFonts w:ascii="Arial" w:cs="Arial" w:eastAsia="Arial" w:hAnsi="Arial"/>
                <w:sz w:val="15"/>
                <w:szCs w:val="15"/>
                <w:color w:val="auto"/>
              </w:rPr>
              <w:t>7,624</w:t>
            </w:r>
          </w:p>
        </w:tc>
        <w:tc>
          <w:tcPr>
            <w:tcW w:w="1320" w:type="dxa"/>
            <w:vAlign w:val="bottom"/>
          </w:tcPr>
          <w:p>
            <w:pPr>
              <w:jc w:val="right"/>
              <w:ind w:right="265"/>
              <w:spacing w:after="0" w:line="157" w:lineRule="exact"/>
              <w:rPr>
                <w:sz w:val="20"/>
                <w:szCs w:val="20"/>
                <w:color w:val="auto"/>
              </w:rPr>
            </w:pPr>
            <w:r>
              <w:rPr>
                <w:rFonts w:ascii="Arial" w:cs="Arial" w:eastAsia="Arial" w:hAnsi="Arial"/>
                <w:sz w:val="15"/>
                <w:szCs w:val="15"/>
                <w:color w:val="auto"/>
              </w:rPr>
              <w:t>5,718</w:t>
            </w:r>
          </w:p>
        </w:tc>
        <w:tc>
          <w:tcPr>
            <w:tcW w:w="1080" w:type="dxa"/>
            <w:vAlign w:val="bottom"/>
          </w:tcPr>
          <w:p>
            <w:pPr>
              <w:jc w:val="right"/>
              <w:ind w:right="116"/>
              <w:spacing w:after="0" w:line="157" w:lineRule="exact"/>
              <w:rPr>
                <w:sz w:val="20"/>
                <w:szCs w:val="20"/>
                <w:color w:val="auto"/>
              </w:rPr>
            </w:pPr>
            <w:r>
              <w:rPr>
                <w:rFonts w:ascii="Arial" w:cs="Arial" w:eastAsia="Arial" w:hAnsi="Arial"/>
                <w:sz w:val="12"/>
                <w:szCs w:val="12"/>
                <w:color w:val="auto"/>
              </w:rPr>
              <w:t>48,873</w:t>
            </w:r>
            <w:r>
              <w:rPr>
                <w:rFonts w:ascii="Arial" w:cs="Arial" w:eastAsia="Arial" w:hAnsi="Arial"/>
                <w:sz w:val="18"/>
                <w:szCs w:val="18"/>
                <w:color w:val="auto"/>
                <w:vertAlign w:val="superscript"/>
              </w:rPr>
              <w:t>5</w:t>
            </w:r>
          </w:p>
        </w:tc>
        <w:tc>
          <w:tcPr>
            <w:tcW w:w="1220" w:type="dxa"/>
            <w:vAlign w:val="bottom"/>
          </w:tcPr>
          <w:p>
            <w:pPr>
              <w:jc w:val="right"/>
              <w:ind w:right="249"/>
              <w:spacing w:after="0" w:line="157"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57" w:lineRule="exact"/>
              <w:rPr>
                <w:sz w:val="20"/>
                <w:szCs w:val="20"/>
                <w:color w:val="auto"/>
              </w:rPr>
            </w:pPr>
            <w:r>
              <w:rPr>
                <w:rFonts w:ascii="Arial" w:cs="Arial" w:eastAsia="Arial" w:hAnsi="Arial"/>
                <w:sz w:val="12"/>
                <w:szCs w:val="12"/>
                <w:color w:val="auto"/>
              </w:rPr>
              <w:t>619,191</w:t>
            </w:r>
            <w:r>
              <w:rPr>
                <w:rFonts w:ascii="Arial" w:cs="Arial" w:eastAsia="Arial" w:hAnsi="Arial"/>
                <w:sz w:val="18"/>
                <w:szCs w:val="18"/>
                <w:color w:val="auto"/>
                <w:vertAlign w:val="superscript"/>
              </w:rPr>
              <w:t>6</w:t>
            </w:r>
          </w:p>
        </w:tc>
      </w:tr>
      <w:tr>
        <w:trPr>
          <w:trHeight w:val="179"/>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0" w:type="dxa"/>
            <w:vAlign w:val="bottom"/>
          </w:tcPr>
          <w:p>
            <w:pPr>
              <w:jc w:val="center"/>
              <w:ind w:left="1104"/>
              <w:spacing w:after="0"/>
              <w:rPr>
                <w:sz w:val="20"/>
                <w:szCs w:val="20"/>
                <w:color w:val="auto"/>
              </w:rPr>
            </w:pPr>
            <w:r>
              <w:rPr>
                <w:rFonts w:ascii="Arial" w:cs="Arial" w:eastAsia="Arial" w:hAnsi="Arial"/>
                <w:sz w:val="15"/>
                <w:szCs w:val="15"/>
                <w:color w:val="auto"/>
              </w:rPr>
              <w:t>MDCP</w:t>
            </w:r>
          </w:p>
        </w:tc>
        <w:tc>
          <w:tcPr>
            <w:tcW w:w="1320" w:type="dxa"/>
            <w:vAlign w:val="bottom"/>
          </w:tcPr>
          <w:p>
            <w:pPr>
              <w:jc w:val="right"/>
              <w:ind w:right="305"/>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16"/>
              <w:spacing w:after="0" w:line="180" w:lineRule="exact"/>
              <w:rPr>
                <w:sz w:val="20"/>
                <w:szCs w:val="20"/>
                <w:color w:val="auto"/>
              </w:rPr>
            </w:pPr>
            <w:r>
              <w:rPr>
                <w:rFonts w:ascii="Arial" w:cs="Arial" w:eastAsia="Arial" w:hAnsi="Arial"/>
                <w:sz w:val="13"/>
                <w:szCs w:val="13"/>
                <w:color w:val="auto"/>
              </w:rPr>
              <w:t>27,823</w:t>
            </w:r>
            <w:r>
              <w:rPr>
                <w:rFonts w:ascii="Arial" w:cs="Arial" w:eastAsia="Arial" w:hAnsi="Arial"/>
                <w:sz w:val="20"/>
                <w:szCs w:val="20"/>
                <w:color w:val="auto"/>
                <w:vertAlign w:val="superscript"/>
              </w:rPr>
              <w:t>5</w:t>
            </w:r>
          </w:p>
        </w:tc>
        <w:tc>
          <w:tcPr>
            <w:tcW w:w="1220" w:type="dxa"/>
            <w:vAlign w:val="bottom"/>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80" w:lineRule="exact"/>
              <w:rPr>
                <w:sz w:val="20"/>
                <w:szCs w:val="20"/>
                <w:color w:val="auto"/>
              </w:rPr>
            </w:pPr>
            <w:r>
              <w:rPr>
                <w:rFonts w:ascii="Arial" w:cs="Arial" w:eastAsia="Arial" w:hAnsi="Arial"/>
                <w:sz w:val="13"/>
                <w:szCs w:val="13"/>
                <w:color w:val="auto"/>
              </w:rPr>
              <w:t>870,837</w:t>
            </w:r>
            <w:r>
              <w:rPr>
                <w:rFonts w:ascii="Arial" w:cs="Arial" w:eastAsia="Arial" w:hAnsi="Arial"/>
                <w:sz w:val="20"/>
                <w:szCs w:val="20"/>
                <w:color w:val="auto"/>
                <w:vertAlign w:val="superscript"/>
              </w:rPr>
              <w:t>7</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16"/>
              <w:spacing w:after="0" w:line="194" w:lineRule="exact"/>
              <w:rPr>
                <w:sz w:val="20"/>
                <w:szCs w:val="20"/>
                <w:color w:val="auto"/>
              </w:rPr>
            </w:pPr>
            <w:r>
              <w:rPr>
                <w:rFonts w:ascii="Arial" w:cs="Arial" w:eastAsia="Arial" w:hAnsi="Arial"/>
                <w:sz w:val="14"/>
                <w:szCs w:val="14"/>
                <w:color w:val="auto"/>
              </w:rPr>
              <w:t>17,664</w:t>
            </w:r>
            <w:r>
              <w:rPr>
                <w:rFonts w:ascii="Arial" w:cs="Arial" w:eastAsia="Arial" w:hAnsi="Arial"/>
                <w:sz w:val="22"/>
                <w:szCs w:val="22"/>
                <w:color w:val="auto"/>
                <w:vertAlign w:val="superscript"/>
              </w:rPr>
              <w:t>8</w:t>
            </w: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4"/>
                <w:szCs w:val="14"/>
                <w:color w:val="auto"/>
              </w:rPr>
              <w:t>88,155</w:t>
            </w:r>
            <w:r>
              <w:rPr>
                <w:rFonts w:ascii="Arial" w:cs="Arial" w:eastAsia="Arial" w:hAnsi="Arial"/>
                <w:sz w:val="22"/>
                <w:szCs w:val="22"/>
                <w:color w:val="auto"/>
                <w:vertAlign w:val="superscript"/>
              </w:rPr>
              <w:t>9</w:t>
            </w:r>
          </w:p>
        </w:tc>
      </w:tr>
      <w:tr>
        <w:trPr>
          <w:trHeight w:val="157"/>
        </w:trPr>
        <w:tc>
          <w:tcPr>
            <w:tcW w:w="20" w:type="dxa"/>
            <w:vAlign w:val="bottom"/>
          </w:tcPr>
          <w:p>
            <w:pPr>
              <w:spacing w:after="0"/>
              <w:rPr>
                <w:sz w:val="13"/>
                <w:szCs w:val="13"/>
                <w:color w:val="auto"/>
              </w:rPr>
            </w:pPr>
          </w:p>
        </w:tc>
        <w:tc>
          <w:tcPr>
            <w:tcW w:w="2400" w:type="dxa"/>
            <w:vAlign w:val="bottom"/>
          </w:tcPr>
          <w:p>
            <w:pPr>
              <w:spacing w:after="0" w:line="157" w:lineRule="exact"/>
              <w:rPr>
                <w:sz w:val="20"/>
                <w:szCs w:val="20"/>
                <w:color w:val="auto"/>
              </w:rPr>
            </w:pPr>
            <w:r>
              <w:rPr>
                <w:rFonts w:ascii="Arial" w:cs="Arial" w:eastAsia="Arial" w:hAnsi="Arial"/>
                <w:sz w:val="15"/>
                <w:szCs w:val="15"/>
                <w:color w:val="auto"/>
              </w:rPr>
              <w:t>B. Miller</w:t>
            </w:r>
          </w:p>
        </w:tc>
        <w:tc>
          <w:tcPr>
            <w:tcW w:w="2000" w:type="dxa"/>
            <w:vAlign w:val="bottom"/>
          </w:tcPr>
          <w:p>
            <w:pPr>
              <w:jc w:val="center"/>
              <w:ind w:left="1084"/>
              <w:spacing w:after="0" w:line="157" w:lineRule="exact"/>
              <w:rPr>
                <w:sz w:val="20"/>
                <w:szCs w:val="20"/>
                <w:color w:val="auto"/>
              </w:rPr>
            </w:pPr>
            <w:r>
              <w:rPr>
                <w:rFonts w:ascii="Arial" w:cs="Arial" w:eastAsia="Arial" w:hAnsi="Arial"/>
                <w:sz w:val="15"/>
                <w:szCs w:val="15"/>
                <w:color w:val="auto"/>
              </w:rPr>
              <w:t>DCP</w:t>
            </w:r>
          </w:p>
        </w:tc>
        <w:tc>
          <w:tcPr>
            <w:tcW w:w="1320" w:type="dxa"/>
            <w:vAlign w:val="bottom"/>
          </w:tcPr>
          <w:p>
            <w:pPr>
              <w:jc w:val="right"/>
              <w:ind w:right="305"/>
              <w:spacing w:after="0" w:line="157" w:lineRule="exact"/>
              <w:rPr>
                <w:sz w:val="20"/>
                <w:szCs w:val="20"/>
                <w:color w:val="auto"/>
              </w:rPr>
            </w:pPr>
            <w:r>
              <w:rPr>
                <w:rFonts w:ascii="Arial" w:cs="Arial" w:eastAsia="Arial" w:hAnsi="Arial"/>
                <w:sz w:val="15"/>
                <w:szCs w:val="15"/>
                <w:color w:val="auto"/>
              </w:rPr>
              <w:t>107,610</w:t>
            </w:r>
          </w:p>
        </w:tc>
        <w:tc>
          <w:tcPr>
            <w:tcW w:w="1320" w:type="dxa"/>
            <w:vAlign w:val="bottom"/>
          </w:tcPr>
          <w:p>
            <w:pPr>
              <w:jc w:val="right"/>
              <w:ind w:right="265"/>
              <w:spacing w:after="0" w:line="157" w:lineRule="exact"/>
              <w:rPr>
                <w:sz w:val="20"/>
                <w:szCs w:val="20"/>
                <w:color w:val="auto"/>
              </w:rPr>
            </w:pPr>
            <w:r>
              <w:rPr>
                <w:rFonts w:ascii="Arial" w:cs="Arial" w:eastAsia="Arial" w:hAnsi="Arial"/>
                <w:sz w:val="15"/>
                <w:szCs w:val="15"/>
                <w:color w:val="auto"/>
              </w:rPr>
              <w:t>16,437</w:t>
            </w:r>
          </w:p>
        </w:tc>
        <w:tc>
          <w:tcPr>
            <w:tcW w:w="1080" w:type="dxa"/>
            <w:vAlign w:val="bottom"/>
          </w:tcPr>
          <w:p>
            <w:pPr>
              <w:jc w:val="right"/>
              <w:ind w:right="116"/>
              <w:spacing w:after="0" w:line="157" w:lineRule="exact"/>
              <w:rPr>
                <w:sz w:val="20"/>
                <w:szCs w:val="20"/>
                <w:color w:val="auto"/>
              </w:rPr>
            </w:pPr>
            <w:r>
              <w:rPr>
                <w:rFonts w:ascii="Arial" w:cs="Arial" w:eastAsia="Arial" w:hAnsi="Arial"/>
                <w:sz w:val="12"/>
                <w:szCs w:val="12"/>
                <w:color w:val="auto"/>
              </w:rPr>
              <w:t>29,073</w:t>
            </w:r>
            <w:r>
              <w:rPr>
                <w:rFonts w:ascii="Arial" w:cs="Arial" w:eastAsia="Arial" w:hAnsi="Arial"/>
                <w:sz w:val="18"/>
                <w:szCs w:val="18"/>
                <w:color w:val="auto"/>
                <w:vertAlign w:val="superscript"/>
              </w:rPr>
              <w:t>5</w:t>
            </w:r>
          </w:p>
        </w:tc>
        <w:tc>
          <w:tcPr>
            <w:tcW w:w="1220" w:type="dxa"/>
            <w:vAlign w:val="bottom"/>
          </w:tcPr>
          <w:p>
            <w:pPr>
              <w:jc w:val="right"/>
              <w:ind w:right="249"/>
              <w:spacing w:after="0" w:line="157"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57" w:lineRule="exact"/>
              <w:rPr>
                <w:sz w:val="20"/>
                <w:szCs w:val="20"/>
                <w:color w:val="auto"/>
              </w:rPr>
            </w:pPr>
            <w:r>
              <w:rPr>
                <w:rFonts w:ascii="Arial" w:cs="Arial" w:eastAsia="Arial" w:hAnsi="Arial"/>
                <w:sz w:val="12"/>
                <w:szCs w:val="12"/>
                <w:color w:val="auto"/>
              </w:rPr>
              <w:t>928,992</w:t>
            </w:r>
            <w:r>
              <w:rPr>
                <w:rFonts w:ascii="Arial" w:cs="Arial" w:eastAsia="Arial" w:hAnsi="Arial"/>
                <w:sz w:val="18"/>
                <w:szCs w:val="18"/>
                <w:color w:val="auto"/>
                <w:vertAlign w:val="superscript"/>
              </w:rPr>
              <w:t>6</w:t>
            </w:r>
          </w:p>
        </w:tc>
      </w:tr>
      <w:tr>
        <w:trPr>
          <w:trHeight w:val="194"/>
        </w:trPr>
        <w:tc>
          <w:tcPr>
            <w:tcW w:w="2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left="1104"/>
              <w:spacing w:after="0"/>
              <w:rPr>
                <w:sz w:val="20"/>
                <w:szCs w:val="20"/>
                <w:color w:val="auto"/>
              </w:rPr>
            </w:pPr>
            <w:r>
              <w:rPr>
                <w:rFonts w:ascii="Arial" w:cs="Arial" w:eastAsia="Arial" w:hAnsi="Arial"/>
                <w:sz w:val="15"/>
                <w:szCs w:val="15"/>
                <w:color w:val="auto"/>
              </w:rPr>
              <w:t>MDCP</w:t>
            </w:r>
          </w:p>
        </w:tc>
        <w:tc>
          <w:tcPr>
            <w:tcW w:w="132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16"/>
              <w:spacing w:after="0" w:line="194" w:lineRule="exact"/>
              <w:rPr>
                <w:sz w:val="20"/>
                <w:szCs w:val="20"/>
                <w:color w:val="auto"/>
              </w:rPr>
            </w:pPr>
            <w:r>
              <w:rPr>
                <w:rFonts w:ascii="Arial" w:cs="Arial" w:eastAsia="Arial" w:hAnsi="Arial"/>
                <w:sz w:val="14"/>
                <w:szCs w:val="14"/>
                <w:color w:val="auto"/>
              </w:rPr>
              <w:t>28,921</w:t>
            </w:r>
            <w:r>
              <w:rPr>
                <w:rFonts w:ascii="Arial" w:cs="Arial" w:eastAsia="Arial" w:hAnsi="Arial"/>
                <w:sz w:val="22"/>
                <w:szCs w:val="22"/>
                <w:color w:val="auto"/>
                <w:vertAlign w:val="superscript"/>
              </w:rPr>
              <w:t>5</w:t>
            </w: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4"/>
                <w:szCs w:val="14"/>
                <w:color w:val="auto"/>
              </w:rPr>
              <w:t>905,275</w:t>
            </w:r>
            <w:r>
              <w:rPr>
                <w:rFonts w:ascii="Arial" w:cs="Arial" w:eastAsia="Arial" w:hAnsi="Arial"/>
                <w:sz w:val="22"/>
                <w:szCs w:val="22"/>
                <w:color w:val="auto"/>
                <w:vertAlign w:val="superscript"/>
              </w:rPr>
              <w:t>7</w:t>
            </w:r>
          </w:p>
        </w:tc>
      </w:tr>
      <w:tr>
        <w:trPr>
          <w:trHeight w:val="172"/>
        </w:trPr>
        <w:tc>
          <w:tcPr>
            <w:tcW w:w="20" w:type="dxa"/>
            <w:vAlign w:val="bottom"/>
            <w:tcBorders>
              <w:bottom w:val="single" w:sz="8" w:color="004987"/>
            </w:tcBorders>
          </w:tcPr>
          <w:p>
            <w:pPr>
              <w:spacing w:after="0"/>
              <w:rPr>
                <w:sz w:val="14"/>
                <w:szCs w:val="14"/>
                <w:color w:val="auto"/>
              </w:rPr>
            </w:pPr>
          </w:p>
        </w:tc>
        <w:tc>
          <w:tcPr>
            <w:tcW w:w="24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J. Marbert</w:t>
            </w:r>
          </w:p>
        </w:tc>
        <w:tc>
          <w:tcPr>
            <w:tcW w:w="2000" w:type="dxa"/>
            <w:vAlign w:val="bottom"/>
            <w:tcBorders>
              <w:bottom w:val="single" w:sz="8" w:color="004987"/>
            </w:tcBorders>
          </w:tcPr>
          <w:p>
            <w:pPr>
              <w:jc w:val="center"/>
              <w:ind w:left="1084"/>
              <w:spacing w:after="0"/>
              <w:rPr>
                <w:sz w:val="20"/>
                <w:szCs w:val="20"/>
                <w:color w:val="auto"/>
              </w:rPr>
            </w:pPr>
            <w:r>
              <w:rPr>
                <w:rFonts w:ascii="Arial" w:cs="Arial" w:eastAsia="Arial" w:hAnsi="Arial"/>
                <w:sz w:val="15"/>
                <w:szCs w:val="15"/>
                <w:color w:val="auto"/>
              </w:rPr>
              <w:t>DCP</w:t>
            </w:r>
          </w:p>
        </w:tc>
        <w:tc>
          <w:tcPr>
            <w:tcW w:w="1320" w:type="dxa"/>
            <w:vAlign w:val="bottom"/>
            <w:tcBorders>
              <w:bottom w:val="single" w:sz="8" w:color="004987"/>
            </w:tcBorders>
          </w:tcPr>
          <w:p>
            <w:pPr>
              <w:jc w:val="right"/>
              <w:ind w:right="305"/>
              <w:spacing w:after="0"/>
              <w:rPr>
                <w:sz w:val="20"/>
                <w:szCs w:val="20"/>
                <w:color w:val="auto"/>
              </w:rPr>
            </w:pPr>
            <w:r>
              <w:rPr>
                <w:rFonts w:ascii="Arial" w:cs="Arial" w:eastAsia="Arial" w:hAnsi="Arial"/>
                <w:sz w:val="15"/>
                <w:szCs w:val="15"/>
                <w:color w:val="auto"/>
              </w:rPr>
              <w:t>52,500</w:t>
            </w:r>
          </w:p>
        </w:tc>
        <w:tc>
          <w:tcPr>
            <w:tcW w:w="1320" w:type="dxa"/>
            <w:vAlign w:val="bottom"/>
            <w:tcBorders>
              <w:bottom w:val="single" w:sz="8" w:color="004987"/>
            </w:tcBorders>
          </w:tcPr>
          <w:p>
            <w:pPr>
              <w:jc w:val="right"/>
              <w:ind w:right="265"/>
              <w:spacing w:after="0"/>
              <w:rPr>
                <w:sz w:val="20"/>
                <w:szCs w:val="20"/>
                <w:color w:val="auto"/>
              </w:rPr>
            </w:pPr>
            <w:r>
              <w:rPr>
                <w:rFonts w:ascii="Arial" w:cs="Arial" w:eastAsia="Arial" w:hAnsi="Arial"/>
                <w:sz w:val="15"/>
                <w:szCs w:val="15"/>
                <w:color w:val="auto"/>
              </w:rPr>
              <w:t>11,207</w:t>
            </w:r>
          </w:p>
        </w:tc>
        <w:tc>
          <w:tcPr>
            <w:tcW w:w="1080" w:type="dxa"/>
            <w:vAlign w:val="bottom"/>
            <w:tcBorders>
              <w:bottom w:val="single" w:sz="8" w:color="004987"/>
            </w:tcBorders>
          </w:tcPr>
          <w:p>
            <w:pPr>
              <w:jc w:val="right"/>
              <w:ind w:right="116"/>
              <w:spacing w:after="0" w:line="173" w:lineRule="exact"/>
              <w:rPr>
                <w:sz w:val="20"/>
                <w:szCs w:val="20"/>
                <w:color w:val="auto"/>
              </w:rPr>
            </w:pPr>
            <w:r>
              <w:rPr>
                <w:rFonts w:ascii="Arial" w:cs="Arial" w:eastAsia="Arial" w:hAnsi="Arial"/>
                <w:sz w:val="12"/>
                <w:szCs w:val="12"/>
                <w:color w:val="auto"/>
              </w:rPr>
              <w:t>5,690</w:t>
            </w:r>
            <w:r>
              <w:rPr>
                <w:rFonts w:ascii="Arial" w:cs="Arial" w:eastAsia="Arial" w:hAnsi="Arial"/>
                <w:sz w:val="19"/>
                <w:szCs w:val="19"/>
                <w:color w:val="auto"/>
                <w:vertAlign w:val="superscript"/>
              </w:rPr>
              <w:t>5</w:t>
            </w:r>
          </w:p>
        </w:tc>
        <w:tc>
          <w:tcPr>
            <w:tcW w:w="1220" w:type="dxa"/>
            <w:vAlign w:val="bottom"/>
            <w:tcBorders>
              <w:bottom w:val="single" w:sz="8" w:color="004987"/>
            </w:tcBorders>
          </w:tcPr>
          <w:p>
            <w:pPr>
              <w:jc w:val="right"/>
              <w:ind w:right="249"/>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4987"/>
            </w:tcBorders>
          </w:tcPr>
          <w:p>
            <w:pPr>
              <w:jc w:val="right"/>
              <w:spacing w:after="0" w:line="173" w:lineRule="exact"/>
              <w:rPr>
                <w:sz w:val="20"/>
                <w:szCs w:val="20"/>
                <w:color w:val="auto"/>
              </w:rPr>
            </w:pPr>
            <w:r>
              <w:rPr>
                <w:rFonts w:ascii="Arial" w:cs="Arial" w:eastAsia="Arial" w:hAnsi="Arial"/>
                <w:sz w:val="12"/>
                <w:szCs w:val="12"/>
                <w:color w:val="auto"/>
              </w:rPr>
              <w:t>86,797</w:t>
            </w:r>
            <w:r>
              <w:rPr>
                <w:rFonts w:ascii="Arial" w:cs="Arial" w:eastAsia="Arial" w:hAnsi="Arial"/>
                <w:sz w:val="19"/>
                <w:szCs w:val="19"/>
                <w:color w:val="auto"/>
                <w:vertAlign w:val="superscript"/>
              </w:rPr>
              <w:t>6</w:t>
            </w:r>
          </w:p>
        </w:tc>
      </w:tr>
    </w:tbl>
    <w:p>
      <w:pPr>
        <w:ind w:left="700" w:hanging="306"/>
        <w:spacing w:after="0" w:line="226" w:lineRule="auto"/>
        <w:tabs>
          <w:tab w:leader="none" w:pos="700" w:val="left"/>
        </w:tabs>
        <w:numPr>
          <w:ilvl w:val="0"/>
          <w:numId w:val="73"/>
        </w:numPr>
        <w:rPr>
          <w:rFonts w:ascii="Arial" w:cs="Arial" w:eastAsia="Arial" w:hAnsi="Arial"/>
          <w:sz w:val="23"/>
          <w:szCs w:val="23"/>
          <w:color w:val="auto"/>
          <w:vertAlign w:val="superscript"/>
        </w:rPr>
      </w:pPr>
      <w:r>
        <w:rPr>
          <w:rFonts w:ascii="Arial" w:cs="Arial" w:eastAsia="Arial" w:hAnsi="Arial"/>
          <w:sz w:val="14"/>
          <w:szCs w:val="14"/>
          <w:color w:val="auto"/>
        </w:rPr>
        <w:t>“DCP” and “MDCP” refer to the MVW Deferred Compensation Plan and the Marriott Deferred Compensation Plan, respectively.</w:t>
      </w:r>
    </w:p>
    <w:p>
      <w:pPr>
        <w:spacing w:after="0" w:line="56" w:lineRule="exact"/>
        <w:rPr>
          <w:sz w:val="20"/>
          <w:szCs w:val="20"/>
          <w:color w:val="auto"/>
        </w:rPr>
      </w:pPr>
    </w:p>
    <w:p>
      <w:pPr>
        <w:ind w:left="700" w:hanging="306"/>
        <w:spacing w:after="0" w:line="204" w:lineRule="auto"/>
        <w:tabs>
          <w:tab w:leader="none" w:pos="70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The amounts in this column consist of elective deferrals by the named executive officers of salary for the 2021 fiscal year and non-equity incentive plan compensation for the 2020 fiscal year paid in 2021 under the MVW Deferred Compensation Plan. All of these amounts that are attributable to 2021 salary are reported in the Summary Compensation Table, and all of the amounts that are attributable to 2020 non-equity incentive plan compensation were included in the 2020 Summary Compensation Table.</w:t>
      </w:r>
    </w:p>
    <w:p>
      <w:pPr>
        <w:spacing w:after="0" w:line="52" w:lineRule="exact"/>
        <w:rPr>
          <w:sz w:val="20"/>
          <w:szCs w:val="20"/>
          <w:color w:val="auto"/>
        </w:rPr>
      </w:pPr>
    </w:p>
    <w:p>
      <w:pPr>
        <w:ind w:left="700" w:right="20" w:hanging="306"/>
        <w:spacing w:after="0" w:line="188" w:lineRule="auto"/>
        <w:tabs>
          <w:tab w:leader="none" w:pos="700" w:val="left"/>
        </w:tabs>
        <w:numPr>
          <w:ilvl w:val="0"/>
          <w:numId w:val="75"/>
        </w:numPr>
        <w:rPr>
          <w:rFonts w:ascii="Arial" w:cs="Arial" w:eastAsia="Arial" w:hAnsi="Arial"/>
          <w:sz w:val="23"/>
          <w:szCs w:val="23"/>
          <w:color w:val="auto"/>
          <w:vertAlign w:val="superscript"/>
        </w:rPr>
      </w:pPr>
      <w:r>
        <w:rPr>
          <w:rFonts w:ascii="Arial" w:cs="Arial" w:eastAsia="Arial" w:hAnsi="Arial"/>
          <w:sz w:val="14"/>
          <w:szCs w:val="14"/>
          <w:color w:val="auto"/>
        </w:rPr>
        <w:t>The amounts in this column consist of company contributions that were accrued during 2021 and credited to the participants’ accounts in 2022 under the MVW Deferred Compensation Plan. All of these amounts are included in the Summary Compensation Table in the “All Other Compensation” column for 2021.</w:t>
      </w:r>
    </w:p>
    <w:p>
      <w:pPr>
        <w:spacing w:after="0" w:line="51" w:lineRule="exact"/>
        <w:rPr>
          <w:sz w:val="20"/>
          <w:szCs w:val="20"/>
          <w:color w:val="auto"/>
        </w:rPr>
      </w:pPr>
    </w:p>
    <w:p>
      <w:pPr>
        <w:ind w:left="700" w:right="20" w:hanging="306"/>
        <w:spacing w:after="0" w:line="199" w:lineRule="auto"/>
        <w:tabs>
          <w:tab w:leader="none" w:pos="700" w:val="left"/>
        </w:tabs>
        <w:numPr>
          <w:ilvl w:val="0"/>
          <w:numId w:val="76"/>
        </w:numPr>
        <w:rPr>
          <w:rFonts w:ascii="Arial" w:cs="Arial" w:eastAsia="Arial" w:hAnsi="Arial"/>
          <w:sz w:val="23"/>
          <w:szCs w:val="23"/>
          <w:color w:val="auto"/>
          <w:vertAlign w:val="superscript"/>
        </w:rPr>
      </w:pPr>
      <w:r>
        <w:rPr>
          <w:rFonts w:ascii="Arial" w:cs="Arial" w:eastAsia="Arial" w:hAnsi="Arial"/>
          <w:sz w:val="14"/>
          <w:szCs w:val="14"/>
          <w:color w:val="auto"/>
        </w:rPr>
        <w:t>This column includes amounts in each named executive officer’s total MVW Deferred Compensation Plan account balance as of the last day of the 2021 fiscal year, and does not take into account the amounts in the “Company Contributions in Last Fiscal Year” column in the table above that were accrued during fiscal 2021 but credited to the participants’ accounts in 2022.</w:t>
      </w:r>
    </w:p>
    <w:p>
      <w:pPr>
        <w:spacing w:after="0" w:line="52" w:lineRule="exact"/>
        <w:rPr>
          <w:sz w:val="20"/>
          <w:szCs w:val="20"/>
          <w:color w:val="auto"/>
        </w:rPr>
      </w:pPr>
    </w:p>
    <w:p>
      <w:pPr>
        <w:ind w:left="700" w:right="160" w:hanging="306"/>
        <w:spacing w:after="0" w:line="205" w:lineRule="auto"/>
        <w:tabs>
          <w:tab w:leader="none" w:pos="70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These amounts consist of the aggregate notional earnings during 2021 of each named executive officer’s account in the MVW Deferred Compensation Plan or the Marriott Deferred Compensation Plan. Such earnings are reported in the Summary Compensation Table only to the extent that they were credited at a fixed rate of interest in excess of 120 percent of the applicable federal long-term rate. The following table indicates the portion of each executive’s aggregate earnings during 2021 that is reported in the Summary Compensation Table.</w:t>
      </w:r>
    </w:p>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5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004987"/>
              </w:rPr>
              <w:t>Amounts Included in the Summary</w:t>
            </w:r>
          </w:p>
        </w:tc>
      </w:tr>
      <w:tr>
        <w:trPr>
          <w:trHeight w:val="163"/>
        </w:trPr>
        <w:tc>
          <w:tcPr>
            <w:tcW w:w="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540" w:type="dxa"/>
            <w:vAlign w:val="bottom"/>
            <w:tcBorders>
              <w:bottom w:val="single" w:sz="8" w:color="004987"/>
            </w:tcBorders>
            <w:gridSpan w:val="2"/>
          </w:tcPr>
          <w:p>
            <w:pPr>
              <w:jc w:val="right"/>
              <w:ind w:right="748"/>
              <w:spacing w:after="0"/>
              <w:rPr>
                <w:sz w:val="20"/>
                <w:szCs w:val="20"/>
                <w:color w:val="auto"/>
              </w:rPr>
            </w:pPr>
            <w:r>
              <w:rPr>
                <w:rFonts w:ascii="Arial" w:cs="Arial" w:eastAsia="Arial" w:hAnsi="Arial"/>
                <w:sz w:val="14"/>
                <w:szCs w:val="14"/>
                <w:b w:val="1"/>
                <w:bCs w:val="1"/>
                <w:color w:val="004987"/>
              </w:rPr>
              <w:t>Compensation Table for 2021</w:t>
            </w:r>
          </w:p>
        </w:tc>
      </w:tr>
      <w:tr>
        <w:trPr>
          <w:trHeight w:val="137"/>
        </w:trPr>
        <w:tc>
          <w:tcPr>
            <w:tcW w:w="3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760" w:type="dxa"/>
            <w:vAlign w:val="bottom"/>
          </w:tcPr>
          <w:p>
            <w:pPr>
              <w:jc w:val="right"/>
              <w:ind w:right="492"/>
              <w:spacing w:after="0" w:line="137" w:lineRule="exact"/>
              <w:rPr>
                <w:sz w:val="20"/>
                <w:szCs w:val="20"/>
                <w:color w:val="auto"/>
              </w:rPr>
            </w:pPr>
            <w:r>
              <w:rPr>
                <w:rFonts w:ascii="Arial" w:cs="Arial" w:eastAsia="Arial" w:hAnsi="Arial"/>
                <w:sz w:val="14"/>
                <w:szCs w:val="14"/>
                <w:b w:val="1"/>
                <w:bCs w:val="1"/>
                <w:color w:val="004987"/>
              </w:rPr>
              <w:t>MVW Deferred</w:t>
            </w:r>
          </w:p>
        </w:tc>
        <w:tc>
          <w:tcPr>
            <w:tcW w:w="1780" w:type="dxa"/>
            <w:vAlign w:val="bottom"/>
          </w:tcPr>
          <w:p>
            <w:pPr>
              <w:jc w:val="right"/>
              <w:ind w:right="128"/>
              <w:spacing w:after="0" w:line="137" w:lineRule="exact"/>
              <w:rPr>
                <w:sz w:val="20"/>
                <w:szCs w:val="20"/>
                <w:color w:val="auto"/>
              </w:rPr>
            </w:pPr>
            <w:r>
              <w:rPr>
                <w:rFonts w:ascii="Arial" w:cs="Arial" w:eastAsia="Arial" w:hAnsi="Arial"/>
                <w:sz w:val="14"/>
                <w:szCs w:val="14"/>
                <w:b w:val="1"/>
                <w:bCs w:val="1"/>
                <w:color w:val="004987"/>
              </w:rPr>
              <w:t>Marriott Deferred</w:t>
            </w:r>
          </w:p>
        </w:tc>
      </w:tr>
      <w:tr>
        <w:trPr>
          <w:trHeight w:val="182"/>
        </w:trPr>
        <w:tc>
          <w:tcPr>
            <w:tcW w:w="320" w:type="dxa"/>
            <w:vAlign w:val="bottom"/>
          </w:tcPr>
          <w:p>
            <w:pPr>
              <w:spacing w:after="0"/>
              <w:rPr>
                <w:sz w:val="15"/>
                <w:szCs w:val="15"/>
                <w:color w:val="auto"/>
              </w:rPr>
            </w:pPr>
          </w:p>
        </w:tc>
        <w:tc>
          <w:tcPr>
            <w:tcW w:w="330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3300" w:type="dxa"/>
            <w:vAlign w:val="bottom"/>
            <w:tcBorders>
              <w:bottom w:val="single" w:sz="8" w:color="004987"/>
            </w:tcBorders>
          </w:tcPr>
          <w:p>
            <w:pPr>
              <w:spacing w:after="0"/>
              <w:rPr>
                <w:sz w:val="15"/>
                <w:szCs w:val="15"/>
                <w:color w:val="auto"/>
              </w:rPr>
            </w:pPr>
          </w:p>
        </w:tc>
        <w:tc>
          <w:tcPr>
            <w:tcW w:w="1760" w:type="dxa"/>
            <w:vAlign w:val="bottom"/>
            <w:tcBorders>
              <w:bottom w:val="single" w:sz="8" w:color="004987"/>
            </w:tcBorders>
          </w:tcPr>
          <w:p>
            <w:pPr>
              <w:jc w:val="right"/>
              <w:ind w:right="312"/>
              <w:spacing w:after="0"/>
              <w:rPr>
                <w:sz w:val="20"/>
                <w:szCs w:val="20"/>
                <w:color w:val="auto"/>
              </w:rPr>
            </w:pPr>
            <w:r>
              <w:rPr>
                <w:rFonts w:ascii="Arial" w:cs="Arial" w:eastAsia="Arial" w:hAnsi="Arial"/>
                <w:sz w:val="14"/>
                <w:szCs w:val="14"/>
                <w:b w:val="1"/>
                <w:bCs w:val="1"/>
                <w:color w:val="004987"/>
              </w:rPr>
              <w:t>Compensation Plan</w:t>
            </w:r>
          </w:p>
        </w:tc>
        <w:tc>
          <w:tcPr>
            <w:tcW w:w="1780" w:type="dxa"/>
            <w:vAlign w:val="bottom"/>
            <w:tcBorders>
              <w:bottom w:val="single" w:sz="8" w:color="004987"/>
            </w:tcBorders>
          </w:tcPr>
          <w:p>
            <w:pPr>
              <w:jc w:val="right"/>
              <w:ind w:right="48"/>
              <w:spacing w:after="0"/>
              <w:rPr>
                <w:sz w:val="20"/>
                <w:szCs w:val="20"/>
                <w:color w:val="auto"/>
              </w:rPr>
            </w:pPr>
            <w:r>
              <w:rPr>
                <w:rFonts w:ascii="Arial" w:cs="Arial" w:eastAsia="Arial" w:hAnsi="Arial"/>
                <w:sz w:val="14"/>
                <w:szCs w:val="14"/>
                <w:b w:val="1"/>
                <w:bCs w:val="1"/>
                <w:color w:val="004987"/>
              </w:rPr>
              <w:t>Compensation Plan</w:t>
            </w:r>
          </w:p>
        </w:tc>
      </w:tr>
      <w:tr>
        <w:trPr>
          <w:trHeight w:val="179"/>
        </w:trPr>
        <w:tc>
          <w:tcPr>
            <w:tcW w:w="320" w:type="dxa"/>
            <w:vAlign w:val="bottom"/>
          </w:tcPr>
          <w:p>
            <w:pPr>
              <w:spacing w:after="0"/>
              <w:rPr>
                <w:sz w:val="15"/>
                <w:szCs w:val="15"/>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Weisz</w:t>
            </w:r>
          </w:p>
        </w:tc>
        <w:tc>
          <w:tcPr>
            <w:tcW w:w="50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5"/>
                <w:szCs w:val="15"/>
                <w:color w:val="auto"/>
              </w:rPr>
              <w:t>$25,467</w:t>
            </w:r>
          </w:p>
        </w:tc>
        <w:tc>
          <w:tcPr>
            <w:tcW w:w="17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color w:val="auto"/>
              </w:rPr>
              <w:t>$51,236</w:t>
            </w:r>
          </w:p>
        </w:tc>
      </w:tr>
      <w:tr>
        <w:trPr>
          <w:trHeight w:val="172"/>
        </w:trPr>
        <w:tc>
          <w:tcPr>
            <w:tcW w:w="320" w:type="dxa"/>
            <w:vAlign w:val="bottom"/>
          </w:tcPr>
          <w:p>
            <w:pPr>
              <w:spacing w:after="0"/>
              <w:rPr>
                <w:sz w:val="14"/>
                <w:szCs w:val="1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 Geller</w:t>
            </w:r>
          </w:p>
        </w:tc>
        <w:tc>
          <w:tcPr>
            <w:tcW w:w="50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5"/>
                <w:szCs w:val="15"/>
                <w:color w:val="auto"/>
              </w:rPr>
              <w:t>6,246</w:t>
            </w:r>
          </w:p>
        </w:tc>
        <w:tc>
          <w:tcPr>
            <w:tcW w:w="17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color w:val="auto"/>
              </w:rPr>
              <w:t>6,090</w:t>
            </w:r>
          </w:p>
        </w:tc>
      </w:tr>
      <w:tr>
        <w:trPr>
          <w:trHeight w:val="172"/>
        </w:trPr>
        <w:tc>
          <w:tcPr>
            <w:tcW w:w="320" w:type="dxa"/>
            <w:vAlign w:val="bottom"/>
          </w:tcPr>
          <w:p>
            <w:pPr>
              <w:spacing w:after="0"/>
              <w:rPr>
                <w:sz w:val="14"/>
                <w:szCs w:val="1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 Terry</w:t>
            </w:r>
          </w:p>
        </w:tc>
        <w:tc>
          <w:tcPr>
            <w:tcW w:w="50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5"/>
                <w:szCs w:val="15"/>
                <w:color w:val="auto"/>
              </w:rPr>
              <w:t>5,226</w:t>
            </w:r>
          </w:p>
        </w:tc>
        <w:tc>
          <w:tcPr>
            <w:tcW w:w="17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color w:val="auto"/>
              </w:rPr>
              <w:t>5,705</w:t>
            </w:r>
          </w:p>
        </w:tc>
      </w:tr>
      <w:tr>
        <w:trPr>
          <w:trHeight w:val="172"/>
        </w:trPr>
        <w:tc>
          <w:tcPr>
            <w:tcW w:w="320" w:type="dxa"/>
            <w:vAlign w:val="bottom"/>
          </w:tcPr>
          <w:p>
            <w:pPr>
              <w:spacing w:after="0"/>
              <w:rPr>
                <w:sz w:val="14"/>
                <w:szCs w:val="1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 Cunningham</w:t>
            </w:r>
          </w:p>
        </w:tc>
        <w:tc>
          <w:tcPr>
            <w:tcW w:w="50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5"/>
                <w:szCs w:val="15"/>
                <w:color w:val="auto"/>
              </w:rPr>
              <w:t>3,529</w:t>
            </w:r>
          </w:p>
        </w:tc>
        <w:tc>
          <w:tcPr>
            <w:tcW w:w="17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color w:val="auto"/>
              </w:rPr>
              <w:t>18,717</w:t>
            </w:r>
          </w:p>
        </w:tc>
      </w:tr>
      <w:tr>
        <w:trPr>
          <w:trHeight w:val="172"/>
        </w:trPr>
        <w:tc>
          <w:tcPr>
            <w:tcW w:w="320" w:type="dxa"/>
            <w:vAlign w:val="bottom"/>
          </w:tcPr>
          <w:p>
            <w:pPr>
              <w:spacing w:after="0"/>
              <w:rPr>
                <w:sz w:val="14"/>
                <w:szCs w:val="1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 Miller</w:t>
            </w:r>
          </w:p>
        </w:tc>
        <w:tc>
          <w:tcPr>
            <w:tcW w:w="50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5"/>
                <w:szCs w:val="15"/>
                <w:color w:val="auto"/>
              </w:rPr>
              <w:t>20,014</w:t>
            </w:r>
          </w:p>
        </w:tc>
        <w:tc>
          <w:tcPr>
            <w:tcW w:w="1780" w:type="dxa"/>
            <w:vAlign w:val="bottom"/>
            <w:tcBorders>
              <w:bottom w:val="single" w:sz="8" w:color="auto"/>
            </w:tcBorders>
          </w:tcPr>
          <w:p>
            <w:pPr>
              <w:jc w:val="right"/>
              <w:ind w:right="388"/>
              <w:spacing w:after="0"/>
              <w:rPr>
                <w:sz w:val="20"/>
                <w:szCs w:val="20"/>
                <w:color w:val="auto"/>
              </w:rPr>
            </w:pPr>
            <w:r>
              <w:rPr>
                <w:rFonts w:ascii="Arial" w:cs="Arial" w:eastAsia="Arial" w:hAnsi="Arial"/>
                <w:sz w:val="15"/>
                <w:szCs w:val="15"/>
                <w:color w:val="auto"/>
              </w:rPr>
              <w:t>19,457</w:t>
            </w:r>
          </w:p>
        </w:tc>
      </w:tr>
      <w:tr>
        <w:trPr>
          <w:trHeight w:val="172"/>
        </w:trPr>
        <w:tc>
          <w:tcPr>
            <w:tcW w:w="320" w:type="dxa"/>
            <w:vAlign w:val="bottom"/>
          </w:tcPr>
          <w:p>
            <w:pPr>
              <w:spacing w:after="0"/>
              <w:rPr>
                <w:sz w:val="14"/>
                <w:szCs w:val="14"/>
                <w:color w:val="auto"/>
              </w:rPr>
            </w:pPr>
          </w:p>
        </w:tc>
        <w:tc>
          <w:tcPr>
            <w:tcW w:w="330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J. Marbert</w:t>
            </w:r>
          </w:p>
        </w:tc>
        <w:tc>
          <w:tcPr>
            <w:tcW w:w="5060" w:type="dxa"/>
            <w:vAlign w:val="bottom"/>
            <w:tcBorders>
              <w:bottom w:val="single" w:sz="8" w:color="004987"/>
            </w:tcBorders>
            <w:gridSpan w:val="2"/>
          </w:tcPr>
          <w:p>
            <w:pPr>
              <w:jc w:val="right"/>
              <w:ind w:right="672"/>
              <w:spacing w:after="0"/>
              <w:rPr>
                <w:sz w:val="20"/>
                <w:szCs w:val="20"/>
                <w:color w:val="auto"/>
              </w:rPr>
            </w:pPr>
            <w:r>
              <w:rPr>
                <w:rFonts w:ascii="Arial" w:cs="Arial" w:eastAsia="Arial" w:hAnsi="Arial"/>
                <w:sz w:val="15"/>
                <w:szCs w:val="15"/>
                <w:color w:val="auto"/>
              </w:rPr>
              <w:t>240</w:t>
            </w:r>
          </w:p>
        </w:tc>
        <w:tc>
          <w:tcPr>
            <w:tcW w:w="1780" w:type="dxa"/>
            <w:vAlign w:val="bottom"/>
            <w:tcBorders>
              <w:bottom w:val="single" w:sz="8" w:color="004987"/>
            </w:tcBorders>
          </w:tcPr>
          <w:p>
            <w:pPr>
              <w:jc w:val="right"/>
              <w:ind w:right="388"/>
              <w:spacing w:after="0"/>
              <w:rPr>
                <w:sz w:val="20"/>
                <w:szCs w:val="20"/>
                <w:color w:val="auto"/>
              </w:rPr>
            </w:pPr>
            <w:r>
              <w:rPr>
                <w:rFonts w:ascii="Arial" w:cs="Arial" w:eastAsia="Arial" w:hAnsi="Arial"/>
                <w:sz w:val="15"/>
                <w:szCs w:val="15"/>
                <w:color w:val="auto"/>
              </w:rPr>
              <w:t>—</w:t>
            </w:r>
          </w:p>
        </w:tc>
      </w:tr>
      <w:tr>
        <w:trPr>
          <w:trHeight w:val="249"/>
        </w:trPr>
        <w:tc>
          <w:tcPr>
            <w:tcW w:w="3620" w:type="dxa"/>
            <w:vAlign w:val="bottom"/>
            <w:tcBorders>
              <w:bottom w:val="single" w:sz="8" w:color="004987"/>
            </w:tcBorders>
            <w:gridSpan w:val="2"/>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5060" w:type="dxa"/>
            <w:vAlign w:val="bottom"/>
            <w:tcBorders>
              <w:bottom w:val="single" w:sz="8" w:color="004987"/>
            </w:tcBorders>
            <w:gridSpan w:val="2"/>
          </w:tcPr>
          <w:p>
            <w:pPr>
              <w:jc w:val="right"/>
              <w:ind w:right="2292"/>
              <w:spacing w:after="0"/>
              <w:rPr>
                <w:sz w:val="20"/>
                <w:szCs w:val="20"/>
                <w:color w:val="auto"/>
              </w:rPr>
            </w:pPr>
            <w:r>
              <w:rPr>
                <w:rFonts w:ascii="Arial" w:cs="Arial" w:eastAsia="Arial" w:hAnsi="Arial"/>
                <w:sz w:val="10"/>
                <w:szCs w:val="10"/>
                <w:color w:val="auto"/>
              </w:rPr>
              <w:t>Executive Compensation Tables and Discussion</w:t>
            </w:r>
          </w:p>
        </w:tc>
        <w:tc>
          <w:tcPr>
            <w:tcW w:w="1780" w:type="dxa"/>
            <w:vAlign w:val="bottom"/>
            <w:tcBorders>
              <w:bottom w:val="single" w:sz="8" w:color="004987"/>
            </w:tcBorders>
          </w:tcPr>
          <w:p>
            <w:pPr>
              <w:jc w:val="right"/>
              <w:spacing w:after="0"/>
              <w:rPr>
                <w:sz w:val="20"/>
                <w:szCs w:val="20"/>
                <w:color w:val="auto"/>
              </w:rPr>
            </w:pPr>
            <w:r>
              <w:rPr>
                <w:rFonts w:ascii="Arial" w:cs="Arial" w:eastAsia="Arial" w:hAnsi="Arial"/>
                <w:sz w:val="10"/>
                <w:szCs w:val="10"/>
                <w:b w:val="1"/>
                <w:bCs w:val="1"/>
                <w:color w:val="004987"/>
              </w:rPr>
              <w:t>41</w:t>
            </w:r>
          </w:p>
        </w:tc>
      </w:tr>
    </w:tbl>
    <w:p>
      <w:pPr>
        <w:sectPr>
          <w:pgSz w:w="11900" w:h="16838" w:orient="portrait"/>
          <w:cols w:equalWidth="0" w:num="1">
            <w:col w:w="10860"/>
          </w:cols>
          <w:pgMar w:left="320" w:top="440" w:right="719"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4" w:lineRule="exact"/>
        <w:rPr>
          <w:sz w:val="20"/>
          <w:szCs w:val="20"/>
          <w:color w:val="auto"/>
        </w:rPr>
      </w:pPr>
    </w:p>
    <w:p>
      <w:pPr>
        <w:ind w:left="700" w:right="240" w:hanging="306"/>
        <w:spacing w:after="0" w:line="188" w:lineRule="auto"/>
        <w:tabs>
          <w:tab w:leader="none" w:pos="700" w:val="left"/>
        </w:tabs>
        <w:numPr>
          <w:ilvl w:val="0"/>
          <w:numId w:val="78"/>
        </w:numPr>
        <w:rPr>
          <w:rFonts w:ascii="Arial" w:cs="Arial" w:eastAsia="Arial" w:hAnsi="Arial"/>
          <w:sz w:val="23"/>
          <w:szCs w:val="23"/>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Mr. Weisz, $867,491; Mr. Geller, $666,129; Mr. Cunningham, $442,725; Mr. Miller, $737,390; and Ms. Marbert, $26,269.</w:t>
      </w:r>
    </w:p>
    <w:p>
      <w:pPr>
        <w:spacing w:after="0" w:line="51" w:lineRule="exact"/>
        <w:rPr>
          <w:sz w:val="20"/>
          <w:szCs w:val="20"/>
          <w:color w:val="auto"/>
        </w:rPr>
      </w:pPr>
    </w:p>
    <w:p>
      <w:pPr>
        <w:ind w:left="700" w:right="300" w:hanging="306"/>
        <w:spacing w:after="0" w:line="190" w:lineRule="auto"/>
        <w:tabs>
          <w:tab w:leader="none" w:pos="700" w:val="left"/>
        </w:tabs>
        <w:numPr>
          <w:ilvl w:val="0"/>
          <w:numId w:val="79"/>
        </w:numPr>
        <w:rPr>
          <w:rFonts w:ascii="Arial" w:cs="Arial" w:eastAsia="Arial" w:hAnsi="Arial"/>
          <w:sz w:val="22"/>
          <w:szCs w:val="22"/>
          <w:color w:val="auto"/>
          <w:vertAlign w:val="superscript"/>
        </w:rPr>
      </w:pPr>
      <w:r>
        <w:rPr>
          <w:rFonts w:ascii="Arial" w:cs="Arial" w:eastAsia="Arial" w:hAnsi="Arial"/>
          <w:sz w:val="13"/>
          <w:szCs w:val="13"/>
          <w:color w:val="auto"/>
        </w:rPr>
        <w:t>Of these amounts, the following were previously reported in the Summary Compensation Table of previously filed proxy statements or in a Summary Compensation Table included in a Form 10 or Annual Report on Form 10-K: Mr. Weisz, $324,278; Mr. Geller, $93,194; Mr. Cunningham, $131,470; Mr. Miller, $210,614; and</w:t>
      </w:r>
    </w:p>
    <w:p>
      <w:pPr>
        <w:spacing w:after="0" w:line="1" w:lineRule="exact"/>
        <w:rPr>
          <w:rFonts w:ascii="Arial" w:cs="Arial" w:eastAsia="Arial" w:hAnsi="Arial"/>
          <w:sz w:val="22"/>
          <w:szCs w:val="22"/>
          <w:color w:val="auto"/>
          <w:vertAlign w:val="superscript"/>
        </w:rPr>
      </w:pPr>
    </w:p>
    <w:p>
      <w:pPr>
        <w:ind w:left="700"/>
        <w:spacing w:after="0"/>
        <w:rPr>
          <w:rFonts w:ascii="Arial" w:cs="Arial" w:eastAsia="Arial" w:hAnsi="Arial"/>
          <w:sz w:val="22"/>
          <w:szCs w:val="22"/>
          <w:color w:val="auto"/>
          <w:vertAlign w:val="superscript"/>
        </w:rPr>
      </w:pPr>
      <w:r>
        <w:rPr>
          <w:rFonts w:ascii="Arial" w:cs="Arial" w:eastAsia="Arial" w:hAnsi="Arial"/>
          <w:sz w:val="14"/>
          <w:szCs w:val="14"/>
          <w:color w:val="auto"/>
        </w:rPr>
        <w:t>Ms. Marbert, $0.</w:t>
      </w:r>
    </w:p>
    <w:p>
      <w:pPr>
        <w:spacing w:after="0" w:line="58" w:lineRule="exact"/>
        <w:rPr>
          <w:sz w:val="20"/>
          <w:szCs w:val="20"/>
          <w:color w:val="auto"/>
        </w:rPr>
      </w:pPr>
    </w:p>
    <w:p>
      <w:pPr>
        <w:ind w:left="700" w:right="40" w:hanging="306"/>
        <w:spacing w:after="0" w:line="212" w:lineRule="auto"/>
        <w:tabs>
          <w:tab w:leader="none" w:pos="700" w:val="left"/>
        </w:tabs>
        <w:numPr>
          <w:ilvl w:val="0"/>
          <w:numId w:val="80"/>
        </w:numPr>
        <w:rPr>
          <w:rFonts w:ascii="Arial" w:cs="Arial" w:eastAsia="Arial" w:hAnsi="Arial"/>
          <w:sz w:val="23"/>
          <w:szCs w:val="23"/>
          <w:color w:val="auto"/>
          <w:vertAlign w:val="superscript"/>
        </w:rPr>
      </w:pPr>
      <w:r>
        <w:rPr>
          <w:rFonts w:ascii="Arial" w:cs="Arial" w:eastAsia="Arial" w:hAnsi="Arial"/>
          <w:sz w:val="14"/>
          <w:szCs w:val="14"/>
          <w:color w:val="auto"/>
        </w:rPr>
        <w:t>This amount consists of the total of the increase in the value of 48.4 shares of Marriott Vacations Worldwide deferred bonus stock held by Mr. Cunningham during 2021 based on the difference between the Company’s 2021 fiscal year-end closing stock price of $168.98 and its 2020 fiscal year-end closing stock price of $137.22, and the increase in the value of 484 shares of Marriott International deferred bonus stock held by Mr. Cunningham during 2021 based on the difference between Marriott International’s 2021 fiscal year end closing price of $165.24 and its 2020 fiscal year-end closing stock price of $131.92. All of the shares of deferred bonus stock are fully vested and will be distributed to Mr. Cunningham in ten annual installments commencing on the January 2nd following the date on which he ceases being employed by the Company.</w:t>
      </w:r>
    </w:p>
    <w:p>
      <w:pPr>
        <w:spacing w:after="0" w:line="55" w:lineRule="exact"/>
        <w:rPr>
          <w:sz w:val="20"/>
          <w:szCs w:val="20"/>
          <w:color w:val="auto"/>
        </w:rPr>
      </w:pPr>
    </w:p>
    <w:p>
      <w:pPr>
        <w:ind w:left="700" w:right="200" w:hanging="306"/>
        <w:spacing w:after="0" w:line="199" w:lineRule="auto"/>
        <w:tabs>
          <w:tab w:leader="none" w:pos="700" w:val="left"/>
        </w:tabs>
        <w:numPr>
          <w:ilvl w:val="0"/>
          <w:numId w:val="81"/>
        </w:numPr>
        <w:rPr>
          <w:rFonts w:ascii="Arial" w:cs="Arial" w:eastAsia="Arial" w:hAnsi="Arial"/>
          <w:sz w:val="23"/>
          <w:szCs w:val="23"/>
          <w:color w:val="auto"/>
          <w:vertAlign w:val="superscript"/>
        </w:rPr>
      </w:pPr>
      <w:r>
        <w:rPr>
          <w:rFonts w:ascii="Arial" w:cs="Arial" w:eastAsia="Arial" w:hAnsi="Arial"/>
          <w:sz w:val="14"/>
          <w:szCs w:val="14"/>
          <w:color w:val="auto"/>
        </w:rPr>
        <w:t>This amount consists of the value of 48.4 shares of Marriott Vacations Worldwide deferred bonus stock held by Mr. Cunningham based on the Company’s 2021 fiscal year-end closing stock price of $168.98, and the value of 484 shares of Marriott International deferred bonus stock held by Mr. Cunningham based on Marriott International’s 2021 fiscal year-end closing stock price of $165.24.</w:t>
      </w:r>
    </w:p>
    <w:p>
      <w:pPr>
        <w:spacing w:after="0" w:line="73" w:lineRule="exact"/>
        <w:rPr>
          <w:sz w:val="20"/>
          <w:szCs w:val="20"/>
          <w:color w:val="auto"/>
        </w:rPr>
      </w:pPr>
    </w:p>
    <w:p>
      <w:pPr>
        <w:ind w:left="400"/>
        <w:spacing w:after="0" w:line="253" w:lineRule="auto"/>
        <w:rPr>
          <w:sz w:val="20"/>
          <w:szCs w:val="20"/>
          <w:color w:val="auto"/>
        </w:rPr>
      </w:pPr>
      <w:r>
        <w:rPr>
          <w:rFonts w:ascii="Arial" w:cs="Arial" w:eastAsia="Arial" w:hAnsi="Arial"/>
          <w:sz w:val="15"/>
          <w:szCs w:val="15"/>
          <w:color w:val="auto"/>
        </w:rPr>
        <w:t>For 2021, we credited amounts subject to the fixed rate of return in participant plan accounts with a rate of return of 3.5 percent. For 2021, Marriott International credited participant plan accounts with a rate of return of 3.3 percent, determined largely based on Marriott International’s estimated long-term cost of borrowing. To the extent that either of these fixed rates exceeds 120 percent of the applicable federal long-term rate, the excess is reported in the Change in Pension Value and Nonqualified Deferred Compensation Earnings column of the Summary Compensation Table. The terms of the MVW Deferred Compensation Plan are described above under “Deferred Compensation Plan.” Under the Marriott Deferred Compensation Plan, the named executive officers could defer the receipt of up to 80 percent of their salary, bonus, non-equity incentive plan compensation and/or commissions, which amounts were immediately vested. In addition, the named executive officers were eligible to receive a discretionary match or other discretionary contributions, which were vested when made (other than discretionary contributions made for any year prior to 2009, which vested 25 percent per year for each year that the executive remained employed by Marriott International or us), all of which have vested. Because our executives ceased to be eligible to make further contributions under the Marriott Deferred Compensation Plan as of the Spin-Off, no match or discretionary company contribution was received by any of the named executive officers for 2021.</w:t>
      </w:r>
    </w:p>
    <w:p>
      <w:pPr>
        <w:spacing w:after="0" w:line="77" w:lineRule="exact"/>
        <w:rPr>
          <w:sz w:val="20"/>
          <w:szCs w:val="20"/>
          <w:color w:val="auto"/>
        </w:rPr>
      </w:pPr>
    </w:p>
    <w:p>
      <w:pPr>
        <w:ind w:left="400" w:right="60"/>
        <w:spacing w:after="0" w:line="255" w:lineRule="auto"/>
        <w:rPr>
          <w:sz w:val="20"/>
          <w:szCs w:val="20"/>
          <w:color w:val="auto"/>
        </w:rPr>
      </w:pPr>
      <w:r>
        <w:rPr>
          <w:rFonts w:ascii="Arial" w:cs="Arial" w:eastAsia="Arial" w:hAnsi="Arial"/>
          <w:sz w:val="15"/>
          <w:szCs w:val="15"/>
          <w:color w:val="auto"/>
        </w:rPr>
        <w:t>Our named executive officers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plan year’s deferrals have a separate distribution election. Distributions payable upon termination of employment are payable as: (i) a lump sum cash payment; (ii) a series of annual cash installments payable over a designated term not to exceed twenty years; or (iii) five annual cash payments beginning on the sixth January following termination of employment, in each case as elected by the executive. In the case of amounts of $10,000 or less, or when no election regarding the form of distribution was made, the distribution is made in a lump sum.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98" w:lineRule="exact"/>
        <w:rPr>
          <w:sz w:val="20"/>
          <w:szCs w:val="20"/>
          <w:color w:val="auto"/>
        </w:rPr>
      </w:pPr>
    </w:p>
    <w:p>
      <w:pPr>
        <w:ind w:left="400" w:right="100"/>
        <w:spacing w:after="0" w:line="259" w:lineRule="auto"/>
        <w:rPr>
          <w:sz w:val="20"/>
          <w:szCs w:val="20"/>
          <w:color w:val="auto"/>
        </w:rPr>
      </w:pPr>
      <w:r>
        <w:rPr>
          <w:rFonts w:ascii="Arial" w:cs="Arial" w:eastAsia="Arial" w:hAnsi="Arial"/>
          <w:sz w:val="15"/>
          <w:szCs w:val="15"/>
          <w:color w:val="auto"/>
        </w:rPr>
        <w:t>The following information relates to benefits that would have been paid or payable had a change in control occurred and/or a named executive officer’s employment with us terminated as of December 31, 2021, the last business day of our fiscal year. The table below reflects the intrinsic value of unvested stock awards, unvested MVW Deferred Compensation Plan accounts and incentive payments under the Bonus Plan that each named executive officer would have received upon retirement, disability, death, resignation, involuntary termination of employment, or a change in control as of December 31, 2021 (based on our closing stock price of $168.98 as of that date).</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2"/>
          </w:tcPr>
          <w:p>
            <w:pPr>
              <w:jc w:val="center"/>
              <w:ind w:left="4"/>
              <w:spacing w:after="0"/>
              <w:rPr>
                <w:sz w:val="20"/>
                <w:szCs w:val="20"/>
                <w:color w:val="auto"/>
              </w:rPr>
            </w:pPr>
            <w:r>
              <w:rPr>
                <w:rFonts w:ascii="Arial" w:cs="Arial" w:eastAsia="Arial" w:hAnsi="Arial"/>
                <w:sz w:val="14"/>
                <w:szCs w:val="14"/>
                <w:b w:val="1"/>
                <w:bCs w:val="1"/>
                <w:color w:val="004987"/>
                <w:w w:val="97"/>
              </w:rPr>
              <w:t>Termination</w:t>
            </w:r>
          </w:p>
        </w:tc>
      </w:tr>
      <w:tr>
        <w:trPr>
          <w:trHeight w:val="154"/>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gridSpan w:val="2"/>
          </w:tcPr>
          <w:p>
            <w:pPr>
              <w:ind w:left="120"/>
              <w:spacing w:after="0" w:line="154" w:lineRule="exact"/>
              <w:rPr>
                <w:sz w:val="20"/>
                <w:szCs w:val="20"/>
                <w:color w:val="auto"/>
              </w:rPr>
            </w:pPr>
            <w:r>
              <w:rPr>
                <w:rFonts w:ascii="Arial" w:cs="Arial" w:eastAsia="Arial" w:hAnsi="Arial"/>
                <w:sz w:val="14"/>
                <w:szCs w:val="14"/>
                <w:b w:val="1"/>
                <w:bCs w:val="1"/>
                <w:color w:val="004987"/>
              </w:rPr>
              <w:t>Resignation or</w:t>
            </w:r>
          </w:p>
        </w:tc>
        <w:tc>
          <w:tcPr>
            <w:tcW w:w="220" w:type="dxa"/>
            <w:vAlign w:val="bottom"/>
          </w:tcPr>
          <w:p>
            <w:pPr>
              <w:spacing w:after="0"/>
              <w:rPr>
                <w:sz w:val="13"/>
                <w:szCs w:val="13"/>
                <w:color w:val="auto"/>
              </w:rPr>
            </w:pPr>
          </w:p>
        </w:tc>
        <w:tc>
          <w:tcPr>
            <w:tcW w:w="84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004987"/>
                <w:w w:val="97"/>
              </w:rPr>
              <w:t>Following</w:t>
            </w:r>
          </w:p>
        </w:tc>
      </w:tr>
      <w:tr>
        <w:trPr>
          <w:trHeight w:val="15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ind w:left="20"/>
              <w:spacing w:after="0" w:line="151" w:lineRule="exact"/>
              <w:rPr>
                <w:sz w:val="20"/>
                <w:szCs w:val="20"/>
                <w:color w:val="auto"/>
              </w:rPr>
            </w:pPr>
            <w:r>
              <w:rPr>
                <w:rFonts w:ascii="Arial" w:cs="Arial" w:eastAsia="Arial" w:hAnsi="Arial"/>
                <w:sz w:val="14"/>
                <w:szCs w:val="14"/>
                <w:b w:val="1"/>
                <w:bCs w:val="1"/>
                <w:color w:val="004987"/>
              </w:rPr>
              <w:t>Involuntary</w:t>
            </w:r>
          </w:p>
        </w:tc>
        <w:tc>
          <w:tcPr>
            <w:tcW w:w="220" w:type="dxa"/>
            <w:vAlign w:val="bottom"/>
          </w:tcPr>
          <w:p>
            <w:pPr>
              <w:spacing w:after="0"/>
              <w:rPr>
                <w:sz w:val="13"/>
                <w:szCs w:val="13"/>
                <w:color w:val="auto"/>
              </w:rPr>
            </w:pPr>
          </w:p>
        </w:tc>
        <w:tc>
          <w:tcPr>
            <w:tcW w:w="840" w:type="dxa"/>
            <w:vAlign w:val="bottom"/>
          </w:tcPr>
          <w:p>
            <w:pPr>
              <w:jc w:val="center"/>
              <w:ind w:right="65"/>
              <w:spacing w:after="0" w:line="151" w:lineRule="exact"/>
              <w:rPr>
                <w:sz w:val="20"/>
                <w:szCs w:val="20"/>
                <w:color w:val="auto"/>
              </w:rPr>
            </w:pPr>
            <w:r>
              <w:rPr>
                <w:rFonts w:ascii="Arial" w:cs="Arial" w:eastAsia="Arial" w:hAnsi="Arial"/>
                <w:sz w:val="14"/>
                <w:szCs w:val="14"/>
                <w:b w:val="1"/>
                <w:bCs w:val="1"/>
                <w:color w:val="004987"/>
                <w:w w:val="97"/>
              </w:rPr>
              <w:t>Change In</w:t>
            </w:r>
          </w:p>
        </w:tc>
      </w:tr>
      <w:tr>
        <w:trPr>
          <w:trHeight w:val="172"/>
        </w:trPr>
        <w:tc>
          <w:tcPr>
            <w:tcW w:w="1560" w:type="dxa"/>
            <w:vAlign w:val="bottom"/>
            <w:tcBorders>
              <w:bottom w:val="single" w:sz="8" w:color="004987"/>
            </w:tcBorders>
            <w:gridSpan w:val="2"/>
          </w:tcPr>
          <w:p>
            <w:pPr>
              <w:spacing w:after="0"/>
              <w:rPr>
                <w:sz w:val="20"/>
                <w:szCs w:val="20"/>
                <w:color w:val="auto"/>
              </w:rPr>
            </w:pPr>
            <w:r>
              <w:rPr>
                <w:rFonts w:ascii="Arial" w:cs="Arial" w:eastAsia="Arial" w:hAnsi="Arial"/>
                <w:sz w:val="14"/>
                <w:szCs w:val="14"/>
                <w:b w:val="1"/>
                <w:bCs w:val="1"/>
                <w:color w:val="004987"/>
              </w:rPr>
              <w:t>Name</w:t>
            </w:r>
          </w:p>
        </w:tc>
        <w:tc>
          <w:tcPr>
            <w:tcW w:w="3220" w:type="dxa"/>
            <w:vAlign w:val="bottom"/>
            <w:tcBorders>
              <w:bottom w:val="single" w:sz="8" w:color="004987"/>
            </w:tcBorders>
          </w:tcPr>
          <w:p>
            <w:pPr>
              <w:ind w:left="940"/>
              <w:spacing w:after="0"/>
              <w:rPr>
                <w:sz w:val="20"/>
                <w:szCs w:val="20"/>
                <w:color w:val="auto"/>
              </w:rPr>
            </w:pPr>
            <w:r>
              <w:rPr>
                <w:rFonts w:ascii="Arial" w:cs="Arial" w:eastAsia="Arial" w:hAnsi="Arial"/>
                <w:sz w:val="14"/>
                <w:szCs w:val="14"/>
                <w:b w:val="1"/>
                <w:bCs w:val="1"/>
                <w:color w:val="004987"/>
              </w:rPr>
              <w:t>Plan</w:t>
            </w:r>
          </w:p>
        </w:tc>
        <w:tc>
          <w:tcPr>
            <w:tcW w:w="1200" w:type="dxa"/>
            <w:vAlign w:val="bottom"/>
            <w:tcBorders>
              <w:bottom w:val="single" w:sz="8" w:color="004987"/>
            </w:tcBorders>
            <w:gridSpan w:val="2"/>
          </w:tcPr>
          <w:p>
            <w:pPr>
              <w:jc w:val="right"/>
              <w:ind w:right="103"/>
              <w:spacing w:after="0" w:line="166" w:lineRule="exact"/>
              <w:rPr>
                <w:sz w:val="20"/>
                <w:szCs w:val="20"/>
                <w:color w:val="auto"/>
              </w:rPr>
            </w:pPr>
            <w:r>
              <w:rPr>
                <w:rFonts w:ascii="Arial" w:cs="Arial" w:eastAsia="Arial" w:hAnsi="Arial"/>
                <w:sz w:val="12"/>
                <w:szCs w:val="12"/>
                <w:b w:val="1"/>
                <w:bCs w:val="1"/>
                <w:color w:val="004987"/>
              </w:rPr>
              <w:t>Retirement</w:t>
            </w:r>
            <w:r>
              <w:rPr>
                <w:rFonts w:ascii="Arial" w:cs="Arial" w:eastAsia="Arial" w:hAnsi="Arial"/>
                <w:sz w:val="19"/>
                <w:szCs w:val="19"/>
                <w:color w:val="004987"/>
                <w:vertAlign w:val="superscript"/>
              </w:rPr>
              <w:t>1</w:t>
            </w:r>
          </w:p>
        </w:tc>
        <w:tc>
          <w:tcPr>
            <w:tcW w:w="200" w:type="dxa"/>
            <w:vAlign w:val="bottom"/>
            <w:tcBorders>
              <w:bottom w:val="single" w:sz="8" w:color="004987"/>
            </w:tcBorders>
          </w:tcPr>
          <w:p>
            <w:pPr>
              <w:spacing w:after="0"/>
              <w:rPr>
                <w:sz w:val="14"/>
                <w:szCs w:val="14"/>
                <w:color w:val="auto"/>
              </w:rPr>
            </w:pPr>
          </w:p>
        </w:tc>
        <w:tc>
          <w:tcPr>
            <w:tcW w:w="900" w:type="dxa"/>
            <w:vAlign w:val="bottom"/>
            <w:tcBorders>
              <w:bottom w:val="single" w:sz="8" w:color="004987"/>
            </w:tcBorders>
          </w:tcPr>
          <w:p>
            <w:pPr>
              <w:jc w:val="right"/>
              <w:ind w:right="164"/>
              <w:spacing w:after="0"/>
              <w:rPr>
                <w:sz w:val="20"/>
                <w:szCs w:val="20"/>
                <w:color w:val="auto"/>
              </w:rPr>
            </w:pPr>
            <w:r>
              <w:rPr>
                <w:rFonts w:ascii="Arial" w:cs="Arial" w:eastAsia="Arial" w:hAnsi="Arial"/>
                <w:sz w:val="14"/>
                <w:szCs w:val="14"/>
                <w:b w:val="1"/>
                <w:bCs w:val="1"/>
                <w:color w:val="004987"/>
              </w:rPr>
              <w:t>Disability</w:t>
            </w:r>
          </w:p>
        </w:tc>
        <w:tc>
          <w:tcPr>
            <w:tcW w:w="220" w:type="dxa"/>
            <w:vAlign w:val="bottom"/>
            <w:tcBorders>
              <w:bottom w:val="single" w:sz="8" w:color="004987"/>
            </w:tcBorders>
          </w:tcPr>
          <w:p>
            <w:pPr>
              <w:spacing w:after="0"/>
              <w:rPr>
                <w:sz w:val="14"/>
                <w:szCs w:val="14"/>
                <w:color w:val="auto"/>
              </w:rPr>
            </w:pPr>
          </w:p>
        </w:tc>
        <w:tc>
          <w:tcPr>
            <w:tcW w:w="900" w:type="dxa"/>
            <w:vAlign w:val="bottom"/>
            <w:tcBorders>
              <w:bottom w:val="single" w:sz="8" w:color="004987"/>
            </w:tcBorders>
          </w:tcPr>
          <w:p>
            <w:pPr>
              <w:jc w:val="right"/>
              <w:ind w:right="285"/>
              <w:spacing w:after="0"/>
              <w:rPr>
                <w:sz w:val="20"/>
                <w:szCs w:val="20"/>
                <w:color w:val="auto"/>
              </w:rPr>
            </w:pPr>
            <w:r>
              <w:rPr>
                <w:rFonts w:ascii="Arial" w:cs="Arial" w:eastAsia="Arial" w:hAnsi="Arial"/>
                <w:sz w:val="14"/>
                <w:szCs w:val="14"/>
                <w:b w:val="1"/>
                <w:bCs w:val="1"/>
                <w:color w:val="004987"/>
              </w:rPr>
              <w:t>Death</w:t>
            </w:r>
          </w:p>
        </w:tc>
        <w:tc>
          <w:tcPr>
            <w:tcW w:w="1200" w:type="dxa"/>
            <w:vAlign w:val="bottom"/>
            <w:tcBorders>
              <w:bottom w:val="single" w:sz="8" w:color="004987"/>
            </w:tcBorders>
            <w:gridSpan w:val="2"/>
          </w:tcPr>
          <w:p>
            <w:pPr>
              <w:ind w:left="180"/>
              <w:spacing w:after="0" w:line="166" w:lineRule="exact"/>
              <w:rPr>
                <w:sz w:val="20"/>
                <w:szCs w:val="20"/>
                <w:color w:val="auto"/>
              </w:rPr>
            </w:pPr>
            <w:r>
              <w:rPr>
                <w:rFonts w:ascii="Arial" w:cs="Arial" w:eastAsia="Arial" w:hAnsi="Arial"/>
                <w:sz w:val="12"/>
                <w:szCs w:val="12"/>
                <w:b w:val="1"/>
                <w:bCs w:val="1"/>
                <w:color w:val="004987"/>
              </w:rPr>
              <w:t>Termination</w:t>
            </w:r>
            <w:r>
              <w:rPr>
                <w:rFonts w:ascii="Arial" w:cs="Arial" w:eastAsia="Arial" w:hAnsi="Arial"/>
                <w:sz w:val="19"/>
                <w:szCs w:val="19"/>
                <w:color w:val="004987"/>
                <w:vertAlign w:val="superscript"/>
              </w:rPr>
              <w:t>2</w:t>
            </w:r>
          </w:p>
        </w:tc>
        <w:tc>
          <w:tcPr>
            <w:tcW w:w="220" w:type="dxa"/>
            <w:vAlign w:val="bottom"/>
            <w:tcBorders>
              <w:bottom w:val="single" w:sz="8" w:color="004987"/>
            </w:tcBorders>
          </w:tcPr>
          <w:p>
            <w:pPr>
              <w:spacing w:after="0"/>
              <w:rPr>
                <w:sz w:val="14"/>
                <w:szCs w:val="14"/>
                <w:color w:val="auto"/>
              </w:rPr>
            </w:pPr>
          </w:p>
        </w:tc>
        <w:tc>
          <w:tcPr>
            <w:tcW w:w="840" w:type="dxa"/>
            <w:vAlign w:val="bottom"/>
            <w:tcBorders>
              <w:bottom w:val="single" w:sz="8" w:color="004987"/>
            </w:tcBorders>
          </w:tcPr>
          <w:p>
            <w:pPr>
              <w:jc w:val="center"/>
              <w:ind w:right="65"/>
              <w:spacing w:after="0" w:line="166" w:lineRule="exact"/>
              <w:rPr>
                <w:sz w:val="20"/>
                <w:szCs w:val="20"/>
                <w:color w:val="auto"/>
              </w:rPr>
            </w:pPr>
            <w:r>
              <w:rPr>
                <w:rFonts w:ascii="Arial" w:cs="Arial" w:eastAsia="Arial" w:hAnsi="Arial"/>
                <w:sz w:val="12"/>
                <w:szCs w:val="12"/>
                <w:b w:val="1"/>
                <w:bCs w:val="1"/>
                <w:color w:val="004987"/>
              </w:rPr>
              <w:t>Control</w:t>
            </w:r>
            <w:r>
              <w:rPr>
                <w:rFonts w:ascii="Arial" w:cs="Arial" w:eastAsia="Arial" w:hAnsi="Arial"/>
                <w:sz w:val="19"/>
                <w:szCs w:val="19"/>
                <w:color w:val="004987"/>
                <w:vertAlign w:val="superscript"/>
              </w:rPr>
              <w:t>3</w:t>
            </w:r>
          </w:p>
        </w:tc>
      </w:tr>
      <w:tr>
        <w:trPr>
          <w:trHeight w:val="165"/>
        </w:trPr>
        <w:tc>
          <w:tcPr>
            <w:tcW w:w="1560" w:type="dxa"/>
            <w:vAlign w:val="bottom"/>
            <w:gridSpan w:val="2"/>
          </w:tcPr>
          <w:p>
            <w:pPr>
              <w:spacing w:after="0" w:line="164" w:lineRule="exact"/>
              <w:rPr>
                <w:sz w:val="20"/>
                <w:szCs w:val="20"/>
                <w:color w:val="auto"/>
              </w:rPr>
            </w:pPr>
            <w:r>
              <w:rPr>
                <w:rFonts w:ascii="Arial" w:cs="Arial" w:eastAsia="Arial" w:hAnsi="Arial"/>
                <w:sz w:val="15"/>
                <w:szCs w:val="15"/>
                <w:color w:val="auto"/>
              </w:rPr>
              <w:t>S. Weisz</w:t>
            </w:r>
          </w:p>
        </w:tc>
        <w:tc>
          <w:tcPr>
            <w:tcW w:w="3220" w:type="dxa"/>
            <w:vAlign w:val="bottom"/>
          </w:tcPr>
          <w:p>
            <w:pPr>
              <w:ind w:left="940"/>
              <w:spacing w:after="0" w:line="164" w:lineRule="exact"/>
              <w:rPr>
                <w:sz w:val="20"/>
                <w:szCs w:val="20"/>
                <w:color w:val="auto"/>
              </w:rPr>
            </w:pPr>
            <w:r>
              <w:rPr>
                <w:rFonts w:ascii="Arial" w:cs="Arial" w:eastAsia="Arial" w:hAnsi="Arial"/>
                <w:sz w:val="15"/>
                <w:szCs w:val="15"/>
                <w:color w:val="auto"/>
              </w:rPr>
              <w:t>Cash Severance</w:t>
            </w:r>
          </w:p>
        </w:tc>
        <w:tc>
          <w:tcPr>
            <w:tcW w:w="30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line="164" w:lineRule="exact"/>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ind w:left="120"/>
              <w:spacing w:after="0" w:line="164" w:lineRule="exact"/>
              <w:rPr>
                <w:sz w:val="20"/>
                <w:szCs w:val="20"/>
                <w:color w:val="auto"/>
              </w:rPr>
            </w:pPr>
            <w:r>
              <w:rPr>
                <w:rFonts w:ascii="Arial" w:cs="Arial" w:eastAsia="Arial" w:hAnsi="Arial"/>
                <w:sz w:val="15"/>
                <w:szCs w:val="15"/>
                <w:color w:val="auto"/>
                <w:w w:val="95"/>
              </w:rPr>
              <w:t>$</w:t>
            </w:r>
          </w:p>
        </w:tc>
        <w:tc>
          <w:tcPr>
            <w:tcW w:w="980" w:type="dxa"/>
            <w:vAlign w:val="bottom"/>
          </w:tcPr>
          <w:p>
            <w:pPr>
              <w:ind w:left="720"/>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4" w:lineRule="exact"/>
              <w:rPr>
                <w:sz w:val="20"/>
                <w:szCs w:val="20"/>
                <w:color w:val="auto"/>
              </w:rPr>
            </w:pPr>
            <w:r>
              <w:rPr>
                <w:rFonts w:ascii="Arial" w:cs="Arial" w:eastAsia="Arial" w:hAnsi="Arial"/>
                <w:sz w:val="15"/>
                <w:szCs w:val="15"/>
                <w:color w:val="auto"/>
              </w:rPr>
              <w:t>7,500,000</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Annual Bonus</w:t>
            </w:r>
            <w:r>
              <w:rPr>
                <w:rFonts w:ascii="Arial" w:cs="Arial" w:eastAsia="Arial" w:hAnsi="Arial"/>
                <w:sz w:val="20"/>
                <w:szCs w:val="20"/>
                <w:color w:val="auto"/>
                <w:vertAlign w:val="superscript"/>
              </w:rPr>
              <w:t>4</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2,842,631</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2,842,631</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2,842,631</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1,500,000</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Other Benefits</w:t>
            </w:r>
            <w:r>
              <w:rPr>
                <w:rFonts w:ascii="Arial" w:cs="Arial" w:eastAsia="Arial" w:hAnsi="Arial"/>
                <w:sz w:val="20"/>
                <w:szCs w:val="20"/>
                <w:color w:val="auto"/>
                <w:vertAlign w:val="superscript"/>
              </w:rPr>
              <w:t>5</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38,790</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MVW Equity Awards</w:t>
            </w:r>
            <w:r>
              <w:rPr>
                <w:rFonts w:ascii="Arial" w:cs="Arial" w:eastAsia="Arial" w:hAnsi="Arial"/>
                <w:sz w:val="20"/>
                <w:szCs w:val="20"/>
                <w:color w:val="auto"/>
                <w:vertAlign w:val="superscript"/>
              </w:rPr>
              <w:t>6</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13,592,230</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14,976,626</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15,336,623</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16,847,250</w:t>
            </w:r>
          </w:p>
        </w:tc>
      </w:tr>
      <w:tr>
        <w:trPr>
          <w:trHeight w:val="194"/>
        </w:trPr>
        <w:tc>
          <w:tcPr>
            <w:tcW w:w="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ind w:left="940"/>
              <w:spacing w:after="0" w:line="194"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2"/>
                <w:szCs w:val="22"/>
                <w:color w:val="auto"/>
                <w:vertAlign w:val="superscript"/>
              </w:rPr>
              <w:t>7</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79,859</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79,859</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79,859</w:t>
            </w:r>
          </w:p>
        </w:tc>
      </w:tr>
      <w:tr>
        <w:trPr>
          <w:trHeight w:val="172"/>
        </w:trPr>
        <w:tc>
          <w:tcPr>
            <w:tcW w:w="20" w:type="dxa"/>
            <w:vAlign w:val="bottom"/>
          </w:tcPr>
          <w:p>
            <w:pPr>
              <w:spacing w:after="0"/>
              <w:rPr>
                <w:sz w:val="14"/>
                <w:szCs w:val="14"/>
                <w:color w:val="auto"/>
              </w:rPr>
            </w:pPr>
          </w:p>
        </w:tc>
        <w:tc>
          <w:tcPr>
            <w:tcW w:w="1540" w:type="dxa"/>
            <w:vAlign w:val="bottom"/>
            <w:tcBorders>
              <w:bottom w:val="single" w:sz="8" w:color="004987"/>
            </w:tcBorders>
          </w:tcPr>
          <w:p>
            <w:pPr>
              <w:spacing w:after="0"/>
              <w:rPr>
                <w:sz w:val="14"/>
                <w:szCs w:val="14"/>
                <w:color w:val="auto"/>
              </w:rPr>
            </w:pPr>
          </w:p>
        </w:tc>
        <w:tc>
          <w:tcPr>
            <w:tcW w:w="3220" w:type="dxa"/>
            <w:vAlign w:val="bottom"/>
            <w:tcBorders>
              <w:bottom w:val="single" w:sz="8" w:color="004987"/>
            </w:tcBorders>
          </w:tcPr>
          <w:p>
            <w:pPr>
              <w:ind w:left="940"/>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3"/>
              <w:spacing w:after="0"/>
              <w:rPr>
                <w:sz w:val="20"/>
                <w:szCs w:val="20"/>
                <w:color w:val="auto"/>
              </w:rPr>
            </w:pPr>
            <w:r>
              <w:rPr>
                <w:rFonts w:ascii="Arial" w:cs="Arial" w:eastAsia="Arial" w:hAnsi="Arial"/>
                <w:sz w:val="15"/>
                <w:szCs w:val="15"/>
                <w:b w:val="1"/>
                <w:bCs w:val="1"/>
                <w:color w:val="auto"/>
              </w:rPr>
              <w:t>16,514,720</w:t>
            </w:r>
          </w:p>
        </w:tc>
        <w:tc>
          <w:tcPr>
            <w:tcW w:w="2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rPr>
              <w:t>17,819,257</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5"/>
              <w:spacing w:after="0"/>
              <w:rPr>
                <w:sz w:val="20"/>
                <w:szCs w:val="20"/>
                <w:color w:val="auto"/>
              </w:rPr>
            </w:pPr>
            <w:r>
              <w:rPr>
                <w:rFonts w:ascii="Arial" w:cs="Arial" w:eastAsia="Arial" w:hAnsi="Arial"/>
                <w:sz w:val="15"/>
                <w:szCs w:val="15"/>
                <w:b w:val="1"/>
                <w:bCs w:val="1"/>
                <w:color w:val="auto"/>
              </w:rPr>
              <w:t>18,259,113</w:t>
            </w:r>
          </w:p>
        </w:tc>
        <w:tc>
          <w:tcPr>
            <w:tcW w:w="220" w:type="dxa"/>
            <w:vAlign w:val="bottom"/>
            <w:tcBorders>
              <w:bottom w:val="single" w:sz="8" w:color="004987"/>
            </w:tcBorders>
          </w:tcPr>
          <w:p>
            <w:pPr>
              <w:ind w:left="120"/>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004987"/>
            </w:tcBorders>
          </w:tcPr>
          <w:p>
            <w:pPr>
              <w:ind w:left="7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25,965,899</w:t>
            </w:r>
          </w:p>
        </w:tc>
      </w:tr>
      <w:tr>
        <w:trPr>
          <w:trHeight w:val="157"/>
        </w:trPr>
        <w:tc>
          <w:tcPr>
            <w:tcW w:w="20" w:type="dxa"/>
            <w:vAlign w:val="bottom"/>
          </w:tcPr>
          <w:p>
            <w:pPr>
              <w:spacing w:after="0"/>
              <w:rPr>
                <w:sz w:val="13"/>
                <w:szCs w:val="13"/>
                <w:color w:val="auto"/>
              </w:rPr>
            </w:pPr>
          </w:p>
        </w:tc>
        <w:tc>
          <w:tcPr>
            <w:tcW w:w="1540" w:type="dxa"/>
            <w:vAlign w:val="bottom"/>
          </w:tcPr>
          <w:p>
            <w:pPr>
              <w:spacing w:after="0" w:line="157" w:lineRule="exact"/>
              <w:rPr>
                <w:sz w:val="20"/>
                <w:szCs w:val="20"/>
                <w:color w:val="auto"/>
              </w:rPr>
            </w:pPr>
            <w:r>
              <w:rPr>
                <w:rFonts w:ascii="Arial" w:cs="Arial" w:eastAsia="Arial" w:hAnsi="Arial"/>
                <w:sz w:val="15"/>
                <w:szCs w:val="15"/>
                <w:color w:val="auto"/>
              </w:rPr>
              <w:t>J. Geller</w:t>
            </w:r>
          </w:p>
        </w:tc>
        <w:tc>
          <w:tcPr>
            <w:tcW w:w="3220" w:type="dxa"/>
            <w:vAlign w:val="bottom"/>
          </w:tcPr>
          <w:p>
            <w:pPr>
              <w:ind w:left="940"/>
              <w:spacing w:after="0" w:line="157" w:lineRule="exact"/>
              <w:rPr>
                <w:sz w:val="20"/>
                <w:szCs w:val="20"/>
                <w:color w:val="auto"/>
              </w:rPr>
            </w:pPr>
            <w:r>
              <w:rPr>
                <w:rFonts w:ascii="Arial" w:cs="Arial" w:eastAsia="Arial" w:hAnsi="Arial"/>
                <w:sz w:val="15"/>
                <w:szCs w:val="15"/>
                <w:color w:val="auto"/>
              </w:rPr>
              <w:t>Cash Severance</w:t>
            </w:r>
          </w:p>
        </w:tc>
        <w:tc>
          <w:tcPr>
            <w:tcW w:w="30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line="157" w:lineRule="exact"/>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ind w:left="120"/>
              <w:spacing w:after="0" w:line="157" w:lineRule="exact"/>
              <w:rPr>
                <w:sz w:val="20"/>
                <w:szCs w:val="20"/>
                <w:color w:val="auto"/>
              </w:rPr>
            </w:pPr>
            <w:r>
              <w:rPr>
                <w:rFonts w:ascii="Arial" w:cs="Arial" w:eastAsia="Arial" w:hAnsi="Arial"/>
                <w:sz w:val="15"/>
                <w:szCs w:val="15"/>
                <w:color w:val="auto"/>
                <w:w w:val="95"/>
              </w:rPr>
              <w:t>$</w:t>
            </w:r>
          </w:p>
        </w:tc>
        <w:tc>
          <w:tcPr>
            <w:tcW w:w="980" w:type="dxa"/>
            <w:vAlign w:val="bottom"/>
          </w:tcPr>
          <w:p>
            <w:pPr>
              <w:ind w:left="720"/>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5"/>
                <w:szCs w:val="15"/>
                <w:color w:val="auto"/>
              </w:rPr>
              <w:t>2,700,000</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Annual Bonus</w:t>
            </w:r>
            <w:r>
              <w:rPr>
                <w:rFonts w:ascii="Arial" w:cs="Arial" w:eastAsia="Arial" w:hAnsi="Arial"/>
                <w:sz w:val="20"/>
                <w:szCs w:val="20"/>
                <w:color w:val="auto"/>
                <w:vertAlign w:val="superscript"/>
              </w:rPr>
              <w:t>4</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1,279,184</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1,279,184</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675,000</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Other Benefits</w:t>
            </w:r>
            <w:r>
              <w:rPr>
                <w:rFonts w:ascii="Arial" w:cs="Arial" w:eastAsia="Arial" w:hAnsi="Arial"/>
                <w:sz w:val="20"/>
                <w:szCs w:val="20"/>
                <w:color w:val="auto"/>
                <w:vertAlign w:val="superscript"/>
              </w:rPr>
              <w:t>5</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36,162</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MVW Equity Awards</w:t>
            </w:r>
            <w:r>
              <w:rPr>
                <w:rFonts w:ascii="Arial" w:cs="Arial" w:eastAsia="Arial" w:hAnsi="Arial"/>
                <w:sz w:val="20"/>
                <w:szCs w:val="20"/>
                <w:color w:val="auto"/>
                <w:vertAlign w:val="superscript"/>
              </w:rPr>
              <w:t>6</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3,758,145</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5,319,773</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5,812,360</w:t>
            </w:r>
          </w:p>
        </w:tc>
      </w:tr>
      <w:tr>
        <w:trPr>
          <w:trHeight w:val="194"/>
        </w:trPr>
        <w:tc>
          <w:tcPr>
            <w:tcW w:w="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ind w:left="940"/>
              <w:spacing w:after="0" w:line="194"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2"/>
                <w:szCs w:val="22"/>
                <w:color w:val="auto"/>
                <w:vertAlign w:val="superscript"/>
              </w:rPr>
              <w:t>7</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50,400</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50,400</w:t>
            </w:r>
          </w:p>
        </w:tc>
      </w:tr>
      <w:tr>
        <w:trPr>
          <w:trHeight w:val="172"/>
        </w:trPr>
        <w:tc>
          <w:tcPr>
            <w:tcW w:w="20" w:type="dxa"/>
            <w:vAlign w:val="bottom"/>
          </w:tcPr>
          <w:p>
            <w:pPr>
              <w:spacing w:after="0"/>
              <w:rPr>
                <w:sz w:val="14"/>
                <w:szCs w:val="14"/>
                <w:color w:val="auto"/>
              </w:rPr>
            </w:pPr>
          </w:p>
        </w:tc>
        <w:tc>
          <w:tcPr>
            <w:tcW w:w="1540" w:type="dxa"/>
            <w:vAlign w:val="bottom"/>
            <w:tcBorders>
              <w:bottom w:val="single" w:sz="8" w:color="004987"/>
            </w:tcBorders>
          </w:tcPr>
          <w:p>
            <w:pPr>
              <w:spacing w:after="0"/>
              <w:rPr>
                <w:sz w:val="14"/>
                <w:szCs w:val="14"/>
                <w:color w:val="auto"/>
              </w:rPr>
            </w:pPr>
          </w:p>
        </w:tc>
        <w:tc>
          <w:tcPr>
            <w:tcW w:w="3220" w:type="dxa"/>
            <w:vAlign w:val="bottom"/>
            <w:tcBorders>
              <w:bottom w:val="single" w:sz="8" w:color="004987"/>
            </w:tcBorders>
          </w:tcPr>
          <w:p>
            <w:pPr>
              <w:ind w:left="940"/>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rPr>
              <w:t>5,037,329</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5"/>
              <w:spacing w:after="0"/>
              <w:rPr>
                <w:sz w:val="20"/>
                <w:szCs w:val="20"/>
                <w:color w:val="auto"/>
              </w:rPr>
            </w:pPr>
            <w:r>
              <w:rPr>
                <w:rFonts w:ascii="Arial" w:cs="Arial" w:eastAsia="Arial" w:hAnsi="Arial"/>
                <w:sz w:val="15"/>
                <w:szCs w:val="15"/>
                <w:b w:val="1"/>
                <w:bCs w:val="1"/>
                <w:color w:val="auto"/>
              </w:rPr>
              <w:t>6,649,357</w:t>
            </w:r>
          </w:p>
        </w:tc>
        <w:tc>
          <w:tcPr>
            <w:tcW w:w="220" w:type="dxa"/>
            <w:vAlign w:val="bottom"/>
            <w:tcBorders>
              <w:bottom w:val="single" w:sz="8" w:color="004987"/>
            </w:tcBorders>
          </w:tcPr>
          <w:p>
            <w:pPr>
              <w:ind w:left="120"/>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004987"/>
            </w:tcBorders>
          </w:tcPr>
          <w:p>
            <w:pPr>
              <w:ind w:left="7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9,273,922</w:t>
            </w:r>
          </w:p>
        </w:tc>
      </w:tr>
      <w:tr>
        <w:trPr>
          <w:trHeight w:val="157"/>
        </w:trPr>
        <w:tc>
          <w:tcPr>
            <w:tcW w:w="20" w:type="dxa"/>
            <w:vAlign w:val="bottom"/>
          </w:tcPr>
          <w:p>
            <w:pPr>
              <w:spacing w:after="0"/>
              <w:rPr>
                <w:sz w:val="13"/>
                <w:szCs w:val="13"/>
                <w:color w:val="auto"/>
              </w:rPr>
            </w:pPr>
          </w:p>
        </w:tc>
        <w:tc>
          <w:tcPr>
            <w:tcW w:w="1540" w:type="dxa"/>
            <w:vAlign w:val="bottom"/>
          </w:tcPr>
          <w:p>
            <w:pPr>
              <w:spacing w:after="0" w:line="157" w:lineRule="exact"/>
              <w:rPr>
                <w:sz w:val="20"/>
                <w:szCs w:val="20"/>
                <w:color w:val="auto"/>
              </w:rPr>
            </w:pPr>
            <w:r>
              <w:rPr>
                <w:rFonts w:ascii="Arial" w:cs="Arial" w:eastAsia="Arial" w:hAnsi="Arial"/>
                <w:sz w:val="15"/>
                <w:szCs w:val="15"/>
                <w:color w:val="auto"/>
              </w:rPr>
              <w:t>A. Terry</w:t>
            </w:r>
          </w:p>
        </w:tc>
        <w:tc>
          <w:tcPr>
            <w:tcW w:w="3220" w:type="dxa"/>
            <w:vAlign w:val="bottom"/>
          </w:tcPr>
          <w:p>
            <w:pPr>
              <w:ind w:left="940"/>
              <w:spacing w:after="0" w:line="157" w:lineRule="exact"/>
              <w:rPr>
                <w:sz w:val="20"/>
                <w:szCs w:val="20"/>
                <w:color w:val="auto"/>
              </w:rPr>
            </w:pPr>
            <w:r>
              <w:rPr>
                <w:rFonts w:ascii="Arial" w:cs="Arial" w:eastAsia="Arial" w:hAnsi="Arial"/>
                <w:sz w:val="15"/>
                <w:szCs w:val="15"/>
                <w:color w:val="auto"/>
              </w:rPr>
              <w:t>Cash Severance</w:t>
            </w:r>
          </w:p>
        </w:tc>
        <w:tc>
          <w:tcPr>
            <w:tcW w:w="30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3"/>
              <w:spacing w:after="0" w:line="157" w:lineRule="exact"/>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45"/>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ind w:left="120"/>
              <w:spacing w:after="0" w:line="157" w:lineRule="exact"/>
              <w:rPr>
                <w:sz w:val="20"/>
                <w:szCs w:val="20"/>
                <w:color w:val="auto"/>
              </w:rPr>
            </w:pPr>
            <w:r>
              <w:rPr>
                <w:rFonts w:ascii="Arial" w:cs="Arial" w:eastAsia="Arial" w:hAnsi="Arial"/>
                <w:sz w:val="15"/>
                <w:szCs w:val="15"/>
                <w:color w:val="auto"/>
                <w:w w:val="95"/>
              </w:rPr>
              <w:t>$</w:t>
            </w:r>
          </w:p>
        </w:tc>
        <w:tc>
          <w:tcPr>
            <w:tcW w:w="980" w:type="dxa"/>
            <w:vAlign w:val="bottom"/>
          </w:tcPr>
          <w:p>
            <w:pPr>
              <w:ind w:left="720"/>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7" w:lineRule="exact"/>
              <w:rPr>
                <w:sz w:val="20"/>
                <w:szCs w:val="20"/>
                <w:color w:val="auto"/>
              </w:rPr>
            </w:pPr>
            <w:r>
              <w:rPr>
                <w:rFonts w:ascii="Arial" w:cs="Arial" w:eastAsia="Arial" w:hAnsi="Arial"/>
                <w:sz w:val="15"/>
                <w:szCs w:val="15"/>
                <w:color w:val="auto"/>
              </w:rPr>
              <w:t>1,900,000</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Annual Bonus</w:t>
            </w:r>
            <w:r>
              <w:rPr>
                <w:rFonts w:ascii="Arial" w:cs="Arial" w:eastAsia="Arial" w:hAnsi="Arial"/>
                <w:sz w:val="20"/>
                <w:szCs w:val="20"/>
                <w:color w:val="auto"/>
                <w:vertAlign w:val="superscript"/>
              </w:rPr>
              <w:t>4</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384,460</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384,460</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201,427</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Other Benefits</w:t>
            </w:r>
            <w:r>
              <w:rPr>
                <w:rFonts w:ascii="Arial" w:cs="Arial" w:eastAsia="Arial" w:hAnsi="Arial"/>
                <w:sz w:val="20"/>
                <w:szCs w:val="20"/>
                <w:color w:val="auto"/>
                <w:vertAlign w:val="superscript"/>
              </w:rPr>
              <w:t>5</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33,436</w:t>
            </w:r>
          </w:p>
        </w:tc>
      </w:tr>
      <w:tr>
        <w:trPr>
          <w:trHeight w:val="179"/>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20" w:type="dxa"/>
            <w:vAlign w:val="bottom"/>
          </w:tcPr>
          <w:p>
            <w:pPr>
              <w:ind w:left="940"/>
              <w:spacing w:after="0" w:line="180" w:lineRule="exact"/>
              <w:rPr>
                <w:sz w:val="20"/>
                <w:szCs w:val="20"/>
                <w:color w:val="auto"/>
              </w:rPr>
            </w:pPr>
            <w:r>
              <w:rPr>
                <w:rFonts w:ascii="Arial" w:cs="Arial" w:eastAsia="Arial" w:hAnsi="Arial"/>
                <w:sz w:val="13"/>
                <w:szCs w:val="13"/>
                <w:color w:val="auto"/>
              </w:rPr>
              <w:t>MVW Equity Awards</w:t>
            </w:r>
            <w:r>
              <w:rPr>
                <w:rFonts w:ascii="Arial" w:cs="Arial" w:eastAsia="Arial" w:hAnsi="Arial"/>
                <w:sz w:val="20"/>
                <w:szCs w:val="20"/>
                <w:color w:val="auto"/>
                <w:vertAlign w:val="superscript"/>
              </w:rPr>
              <w:t>6</w:t>
            </w:r>
          </w:p>
        </w:tc>
        <w:tc>
          <w:tcPr>
            <w:tcW w:w="300" w:type="dxa"/>
            <w:vAlign w:val="bottom"/>
          </w:tcPr>
          <w:p>
            <w:pPr>
              <w:spacing w:after="0"/>
              <w:rPr>
                <w:sz w:val="15"/>
                <w:szCs w:val="15"/>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521,129</w:t>
            </w:r>
          </w:p>
        </w:tc>
        <w:tc>
          <w:tcPr>
            <w:tcW w:w="2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1,235,612</w:t>
            </w:r>
          </w:p>
        </w:tc>
        <w:tc>
          <w:tcPr>
            <w:tcW w:w="220" w:type="dxa"/>
            <w:vAlign w:val="bottom"/>
          </w:tcPr>
          <w:p>
            <w:pPr>
              <w:spacing w:after="0"/>
              <w:rPr>
                <w:sz w:val="15"/>
                <w:szCs w:val="15"/>
                <w:color w:val="auto"/>
              </w:rPr>
            </w:pPr>
          </w:p>
        </w:tc>
        <w:tc>
          <w:tcPr>
            <w:tcW w:w="980" w:type="dxa"/>
            <w:vAlign w:val="bottom"/>
          </w:tcPr>
          <w:p>
            <w:pPr>
              <w:ind w:left="7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1,294,725</w:t>
            </w:r>
          </w:p>
        </w:tc>
      </w:tr>
      <w:tr>
        <w:trPr>
          <w:trHeight w:val="194"/>
        </w:trPr>
        <w:tc>
          <w:tcPr>
            <w:tcW w:w="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ind w:left="940"/>
              <w:spacing w:after="0" w:line="194"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2"/>
                <w:szCs w:val="22"/>
                <w:color w:val="auto"/>
                <w:vertAlign w:val="superscript"/>
              </w:rPr>
              <w:t>7</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18,960</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18,960</w:t>
            </w:r>
          </w:p>
        </w:tc>
      </w:tr>
      <w:tr>
        <w:trPr>
          <w:trHeight w:val="172"/>
        </w:trPr>
        <w:tc>
          <w:tcPr>
            <w:tcW w:w="20" w:type="dxa"/>
            <w:vAlign w:val="bottom"/>
          </w:tcPr>
          <w:p>
            <w:pPr>
              <w:spacing w:after="0"/>
              <w:rPr>
                <w:sz w:val="14"/>
                <w:szCs w:val="14"/>
                <w:color w:val="auto"/>
              </w:rPr>
            </w:pPr>
          </w:p>
        </w:tc>
        <w:tc>
          <w:tcPr>
            <w:tcW w:w="1540" w:type="dxa"/>
            <w:vAlign w:val="bottom"/>
            <w:tcBorders>
              <w:bottom w:val="single" w:sz="8" w:color="004987"/>
            </w:tcBorders>
          </w:tcPr>
          <w:p>
            <w:pPr>
              <w:spacing w:after="0"/>
              <w:rPr>
                <w:sz w:val="14"/>
                <w:szCs w:val="14"/>
                <w:color w:val="auto"/>
              </w:rPr>
            </w:pPr>
          </w:p>
        </w:tc>
        <w:tc>
          <w:tcPr>
            <w:tcW w:w="3220" w:type="dxa"/>
            <w:vAlign w:val="bottom"/>
            <w:tcBorders>
              <w:bottom w:val="single" w:sz="8" w:color="004987"/>
            </w:tcBorders>
          </w:tcPr>
          <w:p>
            <w:pPr>
              <w:ind w:left="940"/>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rPr>
              <w:t>905,589</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004987"/>
            </w:tcBorders>
          </w:tcPr>
          <w:p>
            <w:pPr>
              <w:jc w:val="right"/>
              <w:ind w:right="45"/>
              <w:spacing w:after="0"/>
              <w:rPr>
                <w:sz w:val="20"/>
                <w:szCs w:val="20"/>
                <w:color w:val="auto"/>
              </w:rPr>
            </w:pPr>
            <w:r>
              <w:rPr>
                <w:rFonts w:ascii="Arial" w:cs="Arial" w:eastAsia="Arial" w:hAnsi="Arial"/>
                <w:sz w:val="15"/>
                <w:szCs w:val="15"/>
                <w:b w:val="1"/>
                <w:bCs w:val="1"/>
                <w:color w:val="auto"/>
              </w:rPr>
              <w:t>1,639,032</w:t>
            </w:r>
          </w:p>
        </w:tc>
        <w:tc>
          <w:tcPr>
            <w:tcW w:w="220" w:type="dxa"/>
            <w:vAlign w:val="bottom"/>
            <w:tcBorders>
              <w:bottom w:val="single" w:sz="8" w:color="004987"/>
            </w:tcBorders>
          </w:tcPr>
          <w:p>
            <w:pPr>
              <w:ind w:left="120"/>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004987"/>
            </w:tcBorders>
          </w:tcPr>
          <w:p>
            <w:pPr>
              <w:ind w:left="7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3,448,548</w:t>
            </w:r>
          </w:p>
        </w:tc>
      </w:tr>
      <w:tr>
        <w:trPr>
          <w:trHeight w:val="249"/>
        </w:trPr>
        <w:tc>
          <w:tcPr>
            <w:tcW w:w="1560" w:type="dxa"/>
            <w:vAlign w:val="bottom"/>
            <w:tcBorders>
              <w:bottom w:val="single" w:sz="8" w:color="004987"/>
            </w:tcBorders>
            <w:gridSpan w:val="2"/>
          </w:tcPr>
          <w:p>
            <w:pPr>
              <w:spacing w:after="0"/>
              <w:rPr>
                <w:sz w:val="20"/>
                <w:szCs w:val="20"/>
                <w:color w:val="auto"/>
              </w:rPr>
            </w:pPr>
            <w:r>
              <w:rPr>
                <w:rFonts w:ascii="Arial" w:cs="Arial" w:eastAsia="Arial" w:hAnsi="Arial"/>
                <w:sz w:val="10"/>
                <w:szCs w:val="10"/>
                <w:b w:val="1"/>
                <w:bCs w:val="1"/>
                <w:color w:val="004987"/>
              </w:rPr>
              <w:t>42</w:t>
            </w:r>
          </w:p>
        </w:tc>
        <w:tc>
          <w:tcPr>
            <w:tcW w:w="5520" w:type="dxa"/>
            <w:vAlign w:val="bottom"/>
            <w:tcBorders>
              <w:bottom w:val="single" w:sz="8" w:color="004987"/>
            </w:tcBorders>
            <w:gridSpan w:val="5"/>
          </w:tcPr>
          <w:p>
            <w:pPr>
              <w:ind w:left="2580"/>
              <w:spacing w:after="0"/>
              <w:rPr>
                <w:sz w:val="20"/>
                <w:szCs w:val="20"/>
                <w:color w:val="auto"/>
              </w:rPr>
            </w:pPr>
            <w:r>
              <w:rPr>
                <w:rFonts w:ascii="Arial" w:cs="Arial" w:eastAsia="Arial" w:hAnsi="Arial"/>
                <w:sz w:val="10"/>
                <w:szCs w:val="10"/>
                <w:color w:val="auto"/>
              </w:rPr>
              <w:t>Executive Compensation Tables and Discussion</w:t>
            </w:r>
          </w:p>
        </w:tc>
        <w:tc>
          <w:tcPr>
            <w:tcW w:w="220" w:type="dxa"/>
            <w:vAlign w:val="bottom"/>
            <w:tcBorders>
              <w:bottom w:val="single" w:sz="8" w:color="004987"/>
            </w:tcBorders>
          </w:tcPr>
          <w:p>
            <w:pPr>
              <w:spacing w:after="0"/>
              <w:rPr>
                <w:sz w:val="21"/>
                <w:szCs w:val="21"/>
                <w:color w:val="auto"/>
              </w:rPr>
            </w:pPr>
          </w:p>
        </w:tc>
        <w:tc>
          <w:tcPr>
            <w:tcW w:w="3160" w:type="dxa"/>
            <w:vAlign w:val="bottom"/>
            <w:tcBorders>
              <w:bottom w:val="single" w:sz="8" w:color="004987"/>
            </w:tcBorders>
            <w:gridSpan w:val="5"/>
          </w:tcPr>
          <w:p>
            <w:pPr>
              <w:jc w:val="right"/>
              <w:spacing w:after="0"/>
              <w:rPr>
                <w:sz w:val="20"/>
                <w:szCs w:val="20"/>
                <w:color w:val="auto"/>
              </w:rPr>
            </w:pP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tc>
      </w:tr>
    </w:tbl>
    <w:p>
      <w:pPr>
        <w:sectPr>
          <w:pgSz w:w="11900" w:h="16838" w:orient="portrait"/>
          <w:cols w:equalWidth="0" w:num="1">
            <w:col w:w="10860"/>
          </w:cols>
          <w:pgMar w:left="320" w:top="440" w:right="719" w:bottom="1440" w:gutter="0" w:footer="0" w:header="0"/>
        </w:sectPr>
      </w:pPr>
    </w:p>
    <w:bookmarkStart w:id="47" w:name="page48"/>
    <w:bookmarkEnd w:id="4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4987"/>
                <w:w w:val="97"/>
              </w:rPr>
              <w:t>Termination</w:t>
            </w:r>
          </w:p>
        </w:tc>
      </w:tr>
      <w:tr>
        <w:trPr>
          <w:trHeight w:val="154"/>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2"/>
          </w:tcPr>
          <w:p>
            <w:pPr>
              <w:ind w:left="120"/>
              <w:spacing w:after="0" w:line="154" w:lineRule="exact"/>
              <w:rPr>
                <w:sz w:val="20"/>
                <w:szCs w:val="20"/>
                <w:color w:val="auto"/>
              </w:rPr>
            </w:pPr>
            <w:r>
              <w:rPr>
                <w:rFonts w:ascii="Arial" w:cs="Arial" w:eastAsia="Arial" w:hAnsi="Arial"/>
                <w:sz w:val="14"/>
                <w:szCs w:val="14"/>
                <w:b w:val="1"/>
                <w:bCs w:val="1"/>
                <w:color w:val="004987"/>
              </w:rPr>
              <w:t>Resignation or</w:t>
            </w:r>
          </w:p>
        </w:tc>
        <w:tc>
          <w:tcPr>
            <w:tcW w:w="960" w:type="dxa"/>
            <w:vAlign w:val="bottom"/>
          </w:tcPr>
          <w:p>
            <w:pPr>
              <w:jc w:val="center"/>
              <w:ind w:left="5"/>
              <w:spacing w:after="0" w:line="154" w:lineRule="exact"/>
              <w:rPr>
                <w:sz w:val="20"/>
                <w:szCs w:val="20"/>
                <w:color w:val="auto"/>
              </w:rPr>
            </w:pPr>
            <w:r>
              <w:rPr>
                <w:rFonts w:ascii="Arial" w:cs="Arial" w:eastAsia="Arial" w:hAnsi="Arial"/>
                <w:sz w:val="14"/>
                <w:szCs w:val="14"/>
                <w:b w:val="1"/>
                <w:bCs w:val="1"/>
                <w:color w:val="004987"/>
                <w:w w:val="97"/>
              </w:rPr>
              <w:t>Following</w:t>
            </w:r>
          </w:p>
        </w:tc>
      </w:tr>
      <w:tr>
        <w:trPr>
          <w:trHeight w:val="151"/>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line="151" w:lineRule="exact"/>
              <w:rPr>
                <w:sz w:val="20"/>
                <w:szCs w:val="20"/>
                <w:color w:val="auto"/>
              </w:rPr>
            </w:pPr>
            <w:r>
              <w:rPr>
                <w:rFonts w:ascii="Arial" w:cs="Arial" w:eastAsia="Arial" w:hAnsi="Arial"/>
                <w:sz w:val="14"/>
                <w:szCs w:val="14"/>
                <w:b w:val="1"/>
                <w:bCs w:val="1"/>
                <w:color w:val="004987"/>
              </w:rPr>
              <w:t>Involuntary</w:t>
            </w:r>
          </w:p>
        </w:tc>
        <w:tc>
          <w:tcPr>
            <w:tcW w:w="96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7"/>
              </w:rPr>
              <w:t>Change In</w:t>
            </w:r>
          </w:p>
        </w:tc>
      </w:tr>
      <w:tr>
        <w:trPr>
          <w:trHeight w:val="172"/>
        </w:trPr>
        <w:tc>
          <w:tcPr>
            <w:tcW w:w="1900" w:type="dxa"/>
            <w:vAlign w:val="bottom"/>
            <w:tcBorders>
              <w:bottom w:val="single" w:sz="8" w:color="004987"/>
            </w:tcBorders>
            <w:gridSpan w:val="2"/>
          </w:tcPr>
          <w:p>
            <w:pPr>
              <w:spacing w:after="0"/>
              <w:rPr>
                <w:sz w:val="20"/>
                <w:szCs w:val="20"/>
                <w:color w:val="auto"/>
              </w:rPr>
            </w:pPr>
            <w:r>
              <w:rPr>
                <w:rFonts w:ascii="Arial" w:cs="Arial" w:eastAsia="Arial" w:hAnsi="Arial"/>
                <w:sz w:val="14"/>
                <w:szCs w:val="14"/>
                <w:b w:val="1"/>
                <w:bCs w:val="1"/>
                <w:color w:val="004987"/>
              </w:rPr>
              <w:t>Name</w:t>
            </w:r>
          </w:p>
        </w:tc>
        <w:tc>
          <w:tcPr>
            <w:tcW w:w="3180" w:type="dxa"/>
            <w:vAlign w:val="bottom"/>
            <w:tcBorders>
              <w:bottom w:val="single" w:sz="8" w:color="004987"/>
            </w:tcBorders>
          </w:tcPr>
          <w:p>
            <w:pPr>
              <w:ind w:left="840"/>
              <w:spacing w:after="0"/>
              <w:rPr>
                <w:sz w:val="20"/>
                <w:szCs w:val="20"/>
                <w:color w:val="auto"/>
              </w:rPr>
            </w:pPr>
            <w:r>
              <w:rPr>
                <w:rFonts w:ascii="Arial" w:cs="Arial" w:eastAsia="Arial" w:hAnsi="Arial"/>
                <w:sz w:val="14"/>
                <w:szCs w:val="14"/>
                <w:b w:val="1"/>
                <w:bCs w:val="1"/>
                <w:color w:val="004987"/>
              </w:rPr>
              <w:t>Plan</w:t>
            </w:r>
          </w:p>
        </w:tc>
        <w:tc>
          <w:tcPr>
            <w:tcW w:w="1160" w:type="dxa"/>
            <w:vAlign w:val="bottom"/>
            <w:tcBorders>
              <w:bottom w:val="single" w:sz="8" w:color="004987"/>
            </w:tcBorders>
            <w:gridSpan w:val="2"/>
          </w:tcPr>
          <w:p>
            <w:pPr>
              <w:ind w:left="280"/>
              <w:spacing w:after="0" w:line="166" w:lineRule="exact"/>
              <w:rPr>
                <w:sz w:val="20"/>
                <w:szCs w:val="20"/>
                <w:color w:val="auto"/>
              </w:rPr>
            </w:pPr>
            <w:r>
              <w:rPr>
                <w:rFonts w:ascii="Arial" w:cs="Arial" w:eastAsia="Arial" w:hAnsi="Arial"/>
                <w:sz w:val="12"/>
                <w:szCs w:val="12"/>
                <w:b w:val="1"/>
                <w:bCs w:val="1"/>
                <w:color w:val="004987"/>
              </w:rPr>
              <w:t>Retirement</w:t>
            </w:r>
            <w:r>
              <w:rPr>
                <w:rFonts w:ascii="Arial" w:cs="Arial" w:eastAsia="Arial" w:hAnsi="Arial"/>
                <w:sz w:val="19"/>
                <w:szCs w:val="19"/>
                <w:color w:val="004987"/>
                <w:vertAlign w:val="superscript"/>
              </w:rPr>
              <w:t>1</w:t>
            </w:r>
          </w:p>
        </w:tc>
        <w:tc>
          <w:tcPr>
            <w:tcW w:w="220" w:type="dxa"/>
            <w:vAlign w:val="bottom"/>
            <w:tcBorders>
              <w:bottom w:val="single" w:sz="8" w:color="004987"/>
            </w:tcBorders>
          </w:tcPr>
          <w:p>
            <w:pPr>
              <w:spacing w:after="0"/>
              <w:rPr>
                <w:sz w:val="14"/>
                <w:szCs w:val="14"/>
                <w:color w:val="auto"/>
              </w:rPr>
            </w:pPr>
          </w:p>
        </w:tc>
        <w:tc>
          <w:tcPr>
            <w:tcW w:w="800" w:type="dxa"/>
            <w:vAlign w:val="bottom"/>
            <w:tcBorders>
              <w:bottom w:val="single" w:sz="8" w:color="004987"/>
            </w:tcBorders>
          </w:tcPr>
          <w:p>
            <w:pPr>
              <w:jc w:val="right"/>
              <w:ind w:right="124"/>
              <w:spacing w:after="0"/>
              <w:rPr>
                <w:sz w:val="20"/>
                <w:szCs w:val="20"/>
                <w:color w:val="auto"/>
              </w:rPr>
            </w:pPr>
            <w:r>
              <w:rPr>
                <w:rFonts w:ascii="Arial" w:cs="Arial" w:eastAsia="Arial" w:hAnsi="Arial"/>
                <w:sz w:val="14"/>
                <w:szCs w:val="14"/>
                <w:b w:val="1"/>
                <w:bCs w:val="1"/>
                <w:color w:val="004987"/>
                <w:w w:val="93"/>
              </w:rPr>
              <w:t>Disability</w:t>
            </w:r>
          </w:p>
        </w:tc>
        <w:tc>
          <w:tcPr>
            <w:tcW w:w="220" w:type="dxa"/>
            <w:vAlign w:val="bottom"/>
            <w:tcBorders>
              <w:bottom w:val="single" w:sz="8" w:color="004987"/>
            </w:tcBorders>
          </w:tcPr>
          <w:p>
            <w:pPr>
              <w:spacing w:after="0"/>
              <w:rPr>
                <w:sz w:val="14"/>
                <w:szCs w:val="14"/>
                <w:color w:val="auto"/>
              </w:rPr>
            </w:pPr>
          </w:p>
        </w:tc>
        <w:tc>
          <w:tcPr>
            <w:tcW w:w="820" w:type="dxa"/>
            <w:vAlign w:val="bottom"/>
            <w:tcBorders>
              <w:bottom w:val="single" w:sz="8" w:color="004987"/>
            </w:tcBorders>
          </w:tcPr>
          <w:p>
            <w:pPr>
              <w:jc w:val="right"/>
              <w:ind w:right="244"/>
              <w:spacing w:after="0"/>
              <w:rPr>
                <w:sz w:val="20"/>
                <w:szCs w:val="20"/>
                <w:color w:val="auto"/>
              </w:rPr>
            </w:pPr>
            <w:r>
              <w:rPr>
                <w:rFonts w:ascii="Arial" w:cs="Arial" w:eastAsia="Arial" w:hAnsi="Arial"/>
                <w:sz w:val="14"/>
                <w:szCs w:val="14"/>
                <w:b w:val="1"/>
                <w:bCs w:val="1"/>
                <w:color w:val="004987"/>
              </w:rPr>
              <w:t>Death</w:t>
            </w:r>
          </w:p>
        </w:tc>
        <w:tc>
          <w:tcPr>
            <w:tcW w:w="1200" w:type="dxa"/>
            <w:vAlign w:val="bottom"/>
            <w:tcBorders>
              <w:bottom w:val="single" w:sz="8" w:color="004987"/>
            </w:tcBorders>
            <w:gridSpan w:val="2"/>
          </w:tcPr>
          <w:p>
            <w:pPr>
              <w:ind w:left="180"/>
              <w:spacing w:after="0" w:line="166" w:lineRule="exact"/>
              <w:rPr>
                <w:sz w:val="20"/>
                <w:szCs w:val="20"/>
                <w:color w:val="auto"/>
              </w:rPr>
            </w:pPr>
            <w:r>
              <w:rPr>
                <w:rFonts w:ascii="Arial" w:cs="Arial" w:eastAsia="Arial" w:hAnsi="Arial"/>
                <w:sz w:val="12"/>
                <w:szCs w:val="12"/>
                <w:b w:val="1"/>
                <w:bCs w:val="1"/>
                <w:color w:val="004987"/>
              </w:rPr>
              <w:t>Termination</w:t>
            </w:r>
            <w:r>
              <w:rPr>
                <w:rFonts w:ascii="Arial" w:cs="Arial" w:eastAsia="Arial" w:hAnsi="Arial"/>
                <w:sz w:val="19"/>
                <w:szCs w:val="19"/>
                <w:color w:val="004987"/>
                <w:vertAlign w:val="superscript"/>
              </w:rPr>
              <w:t>2</w:t>
            </w:r>
          </w:p>
        </w:tc>
        <w:tc>
          <w:tcPr>
            <w:tcW w:w="960" w:type="dxa"/>
            <w:vAlign w:val="bottom"/>
            <w:tcBorders>
              <w:bottom w:val="single" w:sz="8" w:color="004987"/>
            </w:tcBorders>
          </w:tcPr>
          <w:p>
            <w:pPr>
              <w:jc w:val="center"/>
              <w:spacing w:after="0" w:line="166" w:lineRule="exact"/>
              <w:rPr>
                <w:sz w:val="20"/>
                <w:szCs w:val="20"/>
                <w:color w:val="auto"/>
              </w:rPr>
            </w:pPr>
            <w:r>
              <w:rPr>
                <w:rFonts w:ascii="Arial" w:cs="Arial" w:eastAsia="Arial" w:hAnsi="Arial"/>
                <w:sz w:val="12"/>
                <w:szCs w:val="12"/>
                <w:b w:val="1"/>
                <w:bCs w:val="1"/>
                <w:color w:val="004987"/>
              </w:rPr>
              <w:t>Control</w:t>
            </w:r>
            <w:r>
              <w:rPr>
                <w:rFonts w:ascii="Arial" w:cs="Arial" w:eastAsia="Arial" w:hAnsi="Arial"/>
                <w:sz w:val="19"/>
                <w:szCs w:val="19"/>
                <w:color w:val="004987"/>
                <w:vertAlign w:val="superscript"/>
              </w:rPr>
              <w:t>3</w:t>
            </w:r>
          </w:p>
        </w:tc>
      </w:tr>
      <w:tr>
        <w:trPr>
          <w:trHeight w:val="165"/>
        </w:trPr>
        <w:tc>
          <w:tcPr>
            <w:tcW w:w="1900" w:type="dxa"/>
            <w:vAlign w:val="bottom"/>
            <w:gridSpan w:val="2"/>
          </w:tcPr>
          <w:p>
            <w:pPr>
              <w:spacing w:after="0" w:line="164" w:lineRule="exact"/>
              <w:rPr>
                <w:sz w:val="20"/>
                <w:szCs w:val="20"/>
                <w:color w:val="auto"/>
              </w:rPr>
            </w:pPr>
            <w:r>
              <w:rPr>
                <w:rFonts w:ascii="Arial" w:cs="Arial" w:eastAsia="Arial" w:hAnsi="Arial"/>
                <w:sz w:val="15"/>
                <w:szCs w:val="15"/>
                <w:color w:val="auto"/>
              </w:rPr>
              <w:t>R. Cunningham</w:t>
            </w:r>
          </w:p>
        </w:tc>
        <w:tc>
          <w:tcPr>
            <w:tcW w:w="3180" w:type="dxa"/>
            <w:vAlign w:val="bottom"/>
          </w:tcPr>
          <w:p>
            <w:pPr>
              <w:ind w:left="840"/>
              <w:spacing w:after="0" w:line="164" w:lineRule="exact"/>
              <w:rPr>
                <w:sz w:val="20"/>
                <w:szCs w:val="20"/>
                <w:color w:val="auto"/>
              </w:rPr>
            </w:pPr>
            <w:r>
              <w:rPr>
                <w:rFonts w:ascii="Arial" w:cs="Arial" w:eastAsia="Arial" w:hAnsi="Arial"/>
                <w:sz w:val="15"/>
                <w:szCs w:val="15"/>
                <w:color w:val="auto"/>
              </w:rPr>
              <w:t>Cash Severance</w:t>
            </w:r>
          </w:p>
        </w:tc>
        <w:tc>
          <w:tcPr>
            <w:tcW w:w="360" w:type="dxa"/>
            <w:vAlign w:val="bottom"/>
          </w:tcPr>
          <w:p>
            <w:pPr>
              <w:ind w:left="280"/>
              <w:spacing w:after="0" w:line="164"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ind w:right="23"/>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line="164" w:lineRule="exact"/>
              <w:rPr>
                <w:sz w:val="20"/>
                <w:szCs w:val="20"/>
                <w:color w:val="auto"/>
              </w:rPr>
            </w:pPr>
            <w:r>
              <w:rPr>
                <w:rFonts w:ascii="Arial" w:cs="Arial" w:eastAsia="Arial" w:hAnsi="Arial"/>
                <w:sz w:val="15"/>
                <w:szCs w:val="15"/>
                <w:color w:val="auto"/>
              </w:rPr>
              <w:t>—</w:t>
            </w:r>
          </w:p>
        </w:tc>
        <w:tc>
          <w:tcPr>
            <w:tcW w:w="220" w:type="dxa"/>
            <w:vAlign w:val="bottom"/>
          </w:tcPr>
          <w:p>
            <w:pPr>
              <w:ind w:left="120"/>
              <w:spacing w:after="0" w:line="164" w:lineRule="exact"/>
              <w:rPr>
                <w:sz w:val="20"/>
                <w:szCs w:val="20"/>
                <w:color w:val="auto"/>
              </w:rPr>
            </w:pPr>
            <w:r>
              <w:rPr>
                <w:rFonts w:ascii="Arial" w:cs="Arial" w:eastAsia="Arial" w:hAnsi="Arial"/>
                <w:sz w:val="15"/>
                <w:szCs w:val="15"/>
                <w:color w:val="auto"/>
                <w:w w:val="95"/>
              </w:rPr>
              <w:t>$</w:t>
            </w:r>
          </w:p>
        </w:tc>
        <w:tc>
          <w:tcPr>
            <w:tcW w:w="980" w:type="dxa"/>
            <w:vAlign w:val="bottom"/>
          </w:tcPr>
          <w:p>
            <w:pPr>
              <w:ind w:left="700"/>
              <w:spacing w:after="0" w:line="164"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4" w:lineRule="exact"/>
              <w:rPr>
                <w:sz w:val="20"/>
                <w:szCs w:val="20"/>
                <w:color w:val="auto"/>
              </w:rPr>
            </w:pPr>
            <w:r>
              <w:rPr>
                <w:rFonts w:ascii="Arial" w:cs="Arial" w:eastAsia="Arial" w:hAnsi="Arial"/>
                <w:sz w:val="15"/>
                <w:szCs w:val="15"/>
                <w:color w:val="auto"/>
              </w:rPr>
              <w:t>$1,938,000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Annual Bonus</w:t>
            </w:r>
            <w:r>
              <w:rPr>
                <w:rFonts w:ascii="Arial" w:cs="Arial" w:eastAsia="Arial" w:hAnsi="Arial"/>
                <w:sz w:val="20"/>
                <w:szCs w:val="20"/>
                <w:color w:val="auto"/>
                <w:vertAlign w:val="superscript"/>
              </w:rPr>
              <w:t>4</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869,845</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869,845</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869,845</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459,000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Other Benefits</w:t>
            </w:r>
            <w:r>
              <w:rPr>
                <w:rFonts w:ascii="Arial" w:cs="Arial" w:eastAsia="Arial" w:hAnsi="Arial"/>
                <w:sz w:val="20"/>
                <w:szCs w:val="20"/>
                <w:color w:val="auto"/>
                <w:vertAlign w:val="superscript"/>
              </w:rPr>
              <w:t>5</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33,547</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MVW Equity Awards</w:t>
            </w:r>
            <w:r>
              <w:rPr>
                <w:rFonts w:ascii="Arial" w:cs="Arial" w:eastAsia="Arial" w:hAnsi="Arial"/>
                <w:sz w:val="20"/>
                <w:szCs w:val="20"/>
                <w:color w:val="auto"/>
                <w:vertAlign w:val="superscript"/>
              </w:rPr>
              <w:t>6</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2,540,215</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w w:val="98"/>
              </w:rPr>
              <w:t>2,811,081</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2,869,987</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3,165,551</w:t>
            </w:r>
          </w:p>
        </w:tc>
      </w:tr>
      <w:tr>
        <w:trPr>
          <w:trHeight w:val="194"/>
        </w:trPr>
        <w:tc>
          <w:tcPr>
            <w:tcW w:w="2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840"/>
              <w:spacing w:after="0" w:line="194"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2"/>
                <w:szCs w:val="22"/>
                <w:color w:val="auto"/>
                <w:vertAlign w:val="superscript"/>
              </w:rPr>
              <w:t>7</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31,130</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31,130</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31,130</w:t>
            </w:r>
          </w:p>
        </w:tc>
      </w:tr>
      <w:tr>
        <w:trPr>
          <w:trHeight w:val="172"/>
        </w:trPr>
        <w:tc>
          <w:tcPr>
            <w:tcW w:w="20" w:type="dxa"/>
            <w:vAlign w:val="bottom"/>
          </w:tcPr>
          <w:p>
            <w:pPr>
              <w:spacing w:after="0"/>
              <w:rPr>
                <w:sz w:val="14"/>
                <w:szCs w:val="14"/>
                <w:color w:val="auto"/>
              </w:rPr>
            </w:pPr>
          </w:p>
        </w:tc>
        <w:tc>
          <w:tcPr>
            <w:tcW w:w="1880" w:type="dxa"/>
            <w:vAlign w:val="bottom"/>
            <w:tcBorders>
              <w:bottom w:val="single" w:sz="8" w:color="004987"/>
            </w:tcBorders>
          </w:tcPr>
          <w:p>
            <w:pPr>
              <w:spacing w:after="0"/>
              <w:rPr>
                <w:sz w:val="14"/>
                <w:szCs w:val="14"/>
                <w:color w:val="auto"/>
              </w:rPr>
            </w:pPr>
          </w:p>
        </w:tc>
        <w:tc>
          <w:tcPr>
            <w:tcW w:w="3180" w:type="dxa"/>
            <w:vAlign w:val="bottom"/>
            <w:tcBorders>
              <w:bottom w:val="single" w:sz="8" w:color="004987"/>
            </w:tcBorders>
          </w:tcPr>
          <w:p>
            <w:pPr>
              <w:ind w:left="84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004987"/>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987"/>
            </w:tcBorders>
          </w:tcPr>
          <w:p>
            <w:pPr>
              <w:jc w:val="right"/>
              <w:ind w:right="23"/>
              <w:spacing w:after="0"/>
              <w:rPr>
                <w:sz w:val="20"/>
                <w:szCs w:val="20"/>
                <w:color w:val="auto"/>
              </w:rPr>
            </w:pPr>
            <w:r>
              <w:rPr>
                <w:rFonts w:ascii="Arial" w:cs="Arial" w:eastAsia="Arial" w:hAnsi="Arial"/>
                <w:sz w:val="15"/>
                <w:szCs w:val="15"/>
                <w:b w:val="1"/>
                <w:bCs w:val="1"/>
                <w:color w:val="auto"/>
              </w:rPr>
              <w:t>3,441,190</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w w:val="98"/>
              </w:rPr>
              <w:t>3,680,926</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rPr>
              <w:t>3,770,962</w:t>
            </w:r>
          </w:p>
        </w:tc>
        <w:tc>
          <w:tcPr>
            <w:tcW w:w="220" w:type="dxa"/>
            <w:vAlign w:val="bottom"/>
            <w:tcBorders>
              <w:bottom w:val="single" w:sz="8" w:color="004987"/>
            </w:tcBorders>
          </w:tcPr>
          <w:p>
            <w:pPr>
              <w:ind w:left="120"/>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004987"/>
            </w:tcBorders>
          </w:tcPr>
          <w:p>
            <w:pPr>
              <w:ind w:left="70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$5,627,228</w:t>
            </w:r>
          </w:p>
        </w:tc>
      </w:tr>
      <w:tr>
        <w:trPr>
          <w:trHeight w:val="157"/>
        </w:trPr>
        <w:tc>
          <w:tcPr>
            <w:tcW w:w="20" w:type="dxa"/>
            <w:vAlign w:val="bottom"/>
          </w:tcPr>
          <w:p>
            <w:pPr>
              <w:spacing w:after="0"/>
              <w:rPr>
                <w:sz w:val="13"/>
                <w:szCs w:val="13"/>
                <w:color w:val="auto"/>
              </w:rPr>
            </w:pPr>
          </w:p>
        </w:tc>
        <w:tc>
          <w:tcPr>
            <w:tcW w:w="1880" w:type="dxa"/>
            <w:vAlign w:val="bottom"/>
          </w:tcPr>
          <w:p>
            <w:pPr>
              <w:spacing w:after="0" w:line="157" w:lineRule="exact"/>
              <w:rPr>
                <w:sz w:val="20"/>
                <w:szCs w:val="20"/>
                <w:color w:val="auto"/>
              </w:rPr>
            </w:pPr>
            <w:r>
              <w:rPr>
                <w:rFonts w:ascii="Arial" w:cs="Arial" w:eastAsia="Arial" w:hAnsi="Arial"/>
                <w:sz w:val="15"/>
                <w:szCs w:val="15"/>
                <w:color w:val="auto"/>
              </w:rPr>
              <w:t>B. Miller</w:t>
            </w:r>
          </w:p>
        </w:tc>
        <w:tc>
          <w:tcPr>
            <w:tcW w:w="3180" w:type="dxa"/>
            <w:vAlign w:val="bottom"/>
          </w:tcPr>
          <w:p>
            <w:pPr>
              <w:ind w:left="840"/>
              <w:spacing w:after="0" w:line="157" w:lineRule="exact"/>
              <w:rPr>
                <w:sz w:val="20"/>
                <w:szCs w:val="20"/>
                <w:color w:val="auto"/>
              </w:rPr>
            </w:pPr>
            <w:r>
              <w:rPr>
                <w:rFonts w:ascii="Arial" w:cs="Arial" w:eastAsia="Arial" w:hAnsi="Arial"/>
                <w:sz w:val="15"/>
                <w:szCs w:val="15"/>
                <w:color w:val="auto"/>
              </w:rPr>
              <w:t>Cash Severance</w:t>
            </w:r>
          </w:p>
        </w:tc>
        <w:tc>
          <w:tcPr>
            <w:tcW w:w="360" w:type="dxa"/>
            <w:vAlign w:val="bottom"/>
          </w:tcPr>
          <w:p>
            <w:pPr>
              <w:ind w:left="280"/>
              <w:spacing w:after="0" w:line="157"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ind w:right="23"/>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ind w:left="120"/>
              <w:spacing w:after="0" w:line="157" w:lineRule="exact"/>
              <w:rPr>
                <w:sz w:val="20"/>
                <w:szCs w:val="20"/>
                <w:color w:val="auto"/>
              </w:rPr>
            </w:pPr>
            <w:r>
              <w:rPr>
                <w:rFonts w:ascii="Arial" w:cs="Arial" w:eastAsia="Arial" w:hAnsi="Arial"/>
                <w:sz w:val="15"/>
                <w:szCs w:val="15"/>
                <w:color w:val="auto"/>
                <w:w w:val="95"/>
              </w:rPr>
              <w:t>$</w:t>
            </w:r>
          </w:p>
        </w:tc>
        <w:tc>
          <w:tcPr>
            <w:tcW w:w="980" w:type="dxa"/>
            <w:vAlign w:val="bottom"/>
          </w:tcPr>
          <w:p>
            <w:pPr>
              <w:ind w:left="700"/>
              <w:spacing w:after="0" w:line="157"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7" w:lineRule="exact"/>
              <w:rPr>
                <w:sz w:val="20"/>
                <w:szCs w:val="20"/>
                <w:color w:val="auto"/>
              </w:rPr>
            </w:pPr>
            <w:r>
              <w:rPr>
                <w:rFonts w:ascii="Arial" w:cs="Arial" w:eastAsia="Arial" w:hAnsi="Arial"/>
                <w:sz w:val="15"/>
                <w:szCs w:val="15"/>
                <w:color w:val="auto"/>
              </w:rPr>
              <w:t>$2,926,000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Annual Bonus</w:t>
            </w:r>
            <w:r>
              <w:rPr>
                <w:rFonts w:ascii="Arial" w:cs="Arial" w:eastAsia="Arial" w:hAnsi="Arial"/>
                <w:sz w:val="20"/>
                <w:szCs w:val="20"/>
                <w:color w:val="auto"/>
                <w:vertAlign w:val="superscript"/>
              </w:rPr>
              <w:t>4</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1,313,296</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w w:val="98"/>
              </w:rPr>
              <w:t>1,313,296</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1,313,296</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693,000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Other Benefits</w:t>
            </w:r>
            <w:r>
              <w:rPr>
                <w:rFonts w:ascii="Arial" w:cs="Arial" w:eastAsia="Arial" w:hAnsi="Arial"/>
                <w:sz w:val="20"/>
                <w:szCs w:val="20"/>
                <w:color w:val="auto"/>
                <w:vertAlign w:val="superscript"/>
              </w:rPr>
              <w:t>5</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34,217</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MVW Equity Awards</w:t>
            </w:r>
            <w:r>
              <w:rPr>
                <w:rFonts w:ascii="Arial" w:cs="Arial" w:eastAsia="Arial" w:hAnsi="Arial"/>
                <w:sz w:val="20"/>
                <w:szCs w:val="20"/>
                <w:color w:val="auto"/>
                <w:vertAlign w:val="superscript"/>
              </w:rPr>
              <w:t>6</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2,050,464</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w w:val="98"/>
              </w:rPr>
              <w:t>2,321,330</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3,138,841</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3,434,405</w:t>
            </w:r>
          </w:p>
        </w:tc>
      </w:tr>
      <w:tr>
        <w:trPr>
          <w:trHeight w:val="194"/>
        </w:trPr>
        <w:tc>
          <w:tcPr>
            <w:tcW w:w="2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840"/>
              <w:spacing w:after="0" w:line="194"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2"/>
                <w:szCs w:val="22"/>
                <w:color w:val="auto"/>
                <w:vertAlign w:val="superscript"/>
              </w:rPr>
              <w:t>7</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52,420</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52,420</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52,420</w:t>
            </w:r>
          </w:p>
        </w:tc>
      </w:tr>
      <w:tr>
        <w:trPr>
          <w:trHeight w:val="172"/>
        </w:trPr>
        <w:tc>
          <w:tcPr>
            <w:tcW w:w="20" w:type="dxa"/>
            <w:vAlign w:val="bottom"/>
          </w:tcPr>
          <w:p>
            <w:pPr>
              <w:spacing w:after="0"/>
              <w:rPr>
                <w:sz w:val="14"/>
                <w:szCs w:val="14"/>
                <w:color w:val="auto"/>
              </w:rPr>
            </w:pPr>
          </w:p>
        </w:tc>
        <w:tc>
          <w:tcPr>
            <w:tcW w:w="1880" w:type="dxa"/>
            <w:vAlign w:val="bottom"/>
            <w:tcBorders>
              <w:bottom w:val="single" w:sz="8" w:color="004987"/>
            </w:tcBorders>
          </w:tcPr>
          <w:p>
            <w:pPr>
              <w:spacing w:after="0"/>
              <w:rPr>
                <w:sz w:val="14"/>
                <w:szCs w:val="14"/>
                <w:color w:val="auto"/>
              </w:rPr>
            </w:pPr>
          </w:p>
        </w:tc>
        <w:tc>
          <w:tcPr>
            <w:tcW w:w="3180" w:type="dxa"/>
            <w:vAlign w:val="bottom"/>
            <w:tcBorders>
              <w:bottom w:val="single" w:sz="8" w:color="004987"/>
            </w:tcBorders>
          </w:tcPr>
          <w:p>
            <w:pPr>
              <w:ind w:left="84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004987"/>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987"/>
            </w:tcBorders>
          </w:tcPr>
          <w:p>
            <w:pPr>
              <w:jc w:val="right"/>
              <w:ind w:right="23"/>
              <w:spacing w:after="0"/>
              <w:rPr>
                <w:sz w:val="20"/>
                <w:szCs w:val="20"/>
                <w:color w:val="auto"/>
              </w:rPr>
            </w:pPr>
            <w:r>
              <w:rPr>
                <w:rFonts w:ascii="Arial" w:cs="Arial" w:eastAsia="Arial" w:hAnsi="Arial"/>
                <w:sz w:val="15"/>
                <w:szCs w:val="15"/>
                <w:b w:val="1"/>
                <w:bCs w:val="1"/>
                <w:color w:val="auto"/>
              </w:rPr>
              <w:t>3,416,180</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w w:val="98"/>
              </w:rPr>
              <w:t>3,634,626</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rPr>
              <w:t>4,504,557</w:t>
            </w:r>
          </w:p>
        </w:tc>
        <w:tc>
          <w:tcPr>
            <w:tcW w:w="220" w:type="dxa"/>
            <w:vAlign w:val="bottom"/>
            <w:tcBorders>
              <w:bottom w:val="single" w:sz="8" w:color="004987"/>
            </w:tcBorders>
          </w:tcPr>
          <w:p>
            <w:pPr>
              <w:ind w:left="120"/>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004987"/>
            </w:tcBorders>
          </w:tcPr>
          <w:p>
            <w:pPr>
              <w:ind w:left="70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$7,140,042</w:t>
            </w:r>
          </w:p>
        </w:tc>
      </w:tr>
      <w:tr>
        <w:trPr>
          <w:trHeight w:val="157"/>
        </w:trPr>
        <w:tc>
          <w:tcPr>
            <w:tcW w:w="20" w:type="dxa"/>
            <w:vAlign w:val="bottom"/>
          </w:tcPr>
          <w:p>
            <w:pPr>
              <w:spacing w:after="0"/>
              <w:rPr>
                <w:sz w:val="13"/>
                <w:szCs w:val="13"/>
                <w:color w:val="auto"/>
              </w:rPr>
            </w:pPr>
          </w:p>
        </w:tc>
        <w:tc>
          <w:tcPr>
            <w:tcW w:w="1880" w:type="dxa"/>
            <w:vAlign w:val="bottom"/>
          </w:tcPr>
          <w:p>
            <w:pPr>
              <w:spacing w:after="0" w:line="157" w:lineRule="exact"/>
              <w:rPr>
                <w:sz w:val="20"/>
                <w:szCs w:val="20"/>
                <w:color w:val="auto"/>
              </w:rPr>
            </w:pPr>
            <w:r>
              <w:rPr>
                <w:rFonts w:ascii="Arial" w:cs="Arial" w:eastAsia="Arial" w:hAnsi="Arial"/>
                <w:sz w:val="15"/>
                <w:szCs w:val="15"/>
                <w:color w:val="auto"/>
              </w:rPr>
              <w:t>J. Marbert</w:t>
            </w:r>
          </w:p>
        </w:tc>
        <w:tc>
          <w:tcPr>
            <w:tcW w:w="3180" w:type="dxa"/>
            <w:vAlign w:val="bottom"/>
          </w:tcPr>
          <w:p>
            <w:pPr>
              <w:ind w:left="840"/>
              <w:spacing w:after="0" w:line="157" w:lineRule="exact"/>
              <w:rPr>
                <w:sz w:val="20"/>
                <w:szCs w:val="20"/>
                <w:color w:val="auto"/>
              </w:rPr>
            </w:pPr>
            <w:r>
              <w:rPr>
                <w:rFonts w:ascii="Arial" w:cs="Arial" w:eastAsia="Arial" w:hAnsi="Arial"/>
                <w:sz w:val="15"/>
                <w:szCs w:val="15"/>
                <w:color w:val="auto"/>
              </w:rPr>
              <w:t>Cash Severance</w:t>
            </w:r>
          </w:p>
        </w:tc>
        <w:tc>
          <w:tcPr>
            <w:tcW w:w="360" w:type="dxa"/>
            <w:vAlign w:val="bottom"/>
          </w:tcPr>
          <w:p>
            <w:pPr>
              <w:ind w:left="280"/>
              <w:spacing w:after="0" w:line="157"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ind w:right="23"/>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line="157" w:lineRule="exact"/>
              <w:rPr>
                <w:sz w:val="20"/>
                <w:szCs w:val="20"/>
                <w:color w:val="auto"/>
              </w:rPr>
            </w:pPr>
            <w:r>
              <w:rPr>
                <w:rFonts w:ascii="Arial" w:cs="Arial" w:eastAsia="Arial" w:hAnsi="Arial"/>
                <w:sz w:val="15"/>
                <w:szCs w:val="15"/>
                <w:color w:val="auto"/>
              </w:rPr>
              <w:t>—</w:t>
            </w:r>
          </w:p>
        </w:tc>
        <w:tc>
          <w:tcPr>
            <w:tcW w:w="220" w:type="dxa"/>
            <w:vAlign w:val="bottom"/>
          </w:tcPr>
          <w:p>
            <w:pPr>
              <w:ind w:left="120"/>
              <w:spacing w:after="0" w:line="157" w:lineRule="exact"/>
              <w:rPr>
                <w:sz w:val="20"/>
                <w:szCs w:val="20"/>
                <w:color w:val="auto"/>
              </w:rPr>
            </w:pPr>
            <w:r>
              <w:rPr>
                <w:rFonts w:ascii="Arial" w:cs="Arial" w:eastAsia="Arial" w:hAnsi="Arial"/>
                <w:sz w:val="15"/>
                <w:szCs w:val="15"/>
                <w:color w:val="auto"/>
                <w:w w:val="95"/>
              </w:rPr>
              <w:t>$</w:t>
            </w:r>
          </w:p>
        </w:tc>
        <w:tc>
          <w:tcPr>
            <w:tcW w:w="980" w:type="dxa"/>
            <w:vAlign w:val="bottom"/>
          </w:tcPr>
          <w:p>
            <w:pPr>
              <w:ind w:left="700"/>
              <w:spacing w:after="0" w:line="157"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7" w:lineRule="exact"/>
              <w:rPr>
                <w:sz w:val="20"/>
                <w:szCs w:val="20"/>
                <w:color w:val="auto"/>
              </w:rPr>
            </w:pPr>
            <w:r>
              <w:rPr>
                <w:rFonts w:ascii="Arial" w:cs="Arial" w:eastAsia="Arial" w:hAnsi="Arial"/>
                <w:sz w:val="15"/>
                <w:szCs w:val="15"/>
                <w:color w:val="auto"/>
              </w:rPr>
              <w:t>$1,995,000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Annual Bonus</w:t>
            </w:r>
            <w:r>
              <w:rPr>
                <w:rFonts w:ascii="Arial" w:cs="Arial" w:eastAsia="Arial" w:hAnsi="Arial"/>
                <w:sz w:val="20"/>
                <w:szCs w:val="20"/>
                <w:color w:val="auto"/>
                <w:vertAlign w:val="superscript"/>
              </w:rPr>
              <w:t>4</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895,429</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895,429</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895,429</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472,500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Other Benefits</w:t>
            </w:r>
            <w:r>
              <w:rPr>
                <w:rFonts w:ascii="Arial" w:cs="Arial" w:eastAsia="Arial" w:hAnsi="Arial"/>
                <w:sz w:val="20"/>
                <w:szCs w:val="20"/>
                <w:color w:val="auto"/>
                <w:vertAlign w:val="superscript"/>
              </w:rPr>
              <w:t>5</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25,260</w:t>
            </w:r>
          </w:p>
        </w:tc>
      </w:tr>
      <w:tr>
        <w:trPr>
          <w:trHeight w:val="179"/>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180" w:type="dxa"/>
            <w:vAlign w:val="bottom"/>
          </w:tcPr>
          <w:p>
            <w:pPr>
              <w:ind w:left="840"/>
              <w:spacing w:after="0" w:line="180" w:lineRule="exact"/>
              <w:rPr>
                <w:sz w:val="20"/>
                <w:szCs w:val="20"/>
                <w:color w:val="auto"/>
              </w:rPr>
            </w:pPr>
            <w:r>
              <w:rPr>
                <w:rFonts w:ascii="Arial" w:cs="Arial" w:eastAsia="Arial" w:hAnsi="Arial"/>
                <w:sz w:val="13"/>
                <w:szCs w:val="13"/>
                <w:color w:val="auto"/>
              </w:rPr>
              <w:t>MVW Equity Awards</w:t>
            </w:r>
            <w:r>
              <w:rPr>
                <w:rFonts w:ascii="Arial" w:cs="Arial" w:eastAsia="Arial" w:hAnsi="Arial"/>
                <w:sz w:val="20"/>
                <w:szCs w:val="20"/>
                <w:color w:val="auto"/>
                <w:vertAlign w:val="superscript"/>
              </w:rPr>
              <w:t>6</w:t>
            </w:r>
          </w:p>
        </w:tc>
        <w:tc>
          <w:tcPr>
            <w:tcW w:w="360" w:type="dxa"/>
            <w:vAlign w:val="bottom"/>
          </w:tcPr>
          <w:p>
            <w:pPr>
              <w:spacing w:after="0"/>
              <w:rPr>
                <w:sz w:val="15"/>
                <w:szCs w:val="15"/>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1,942,495</w:t>
            </w:r>
          </w:p>
        </w:tc>
        <w:tc>
          <w:tcPr>
            <w:tcW w:w="2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w w:val="98"/>
              </w:rPr>
              <w:t>2,213,361</w:t>
            </w:r>
          </w:p>
        </w:tc>
        <w:tc>
          <w:tcPr>
            <w:tcW w:w="220" w:type="dxa"/>
            <w:vAlign w:val="bottom"/>
          </w:tcPr>
          <w:p>
            <w:pPr>
              <w:spacing w:after="0"/>
              <w:rPr>
                <w:sz w:val="15"/>
                <w:szCs w:val="15"/>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2,849,963</w:t>
            </w:r>
          </w:p>
        </w:tc>
        <w:tc>
          <w:tcPr>
            <w:tcW w:w="220" w:type="dxa"/>
            <w:vAlign w:val="bottom"/>
          </w:tcPr>
          <w:p>
            <w:pPr>
              <w:spacing w:after="0"/>
              <w:rPr>
                <w:sz w:val="15"/>
                <w:szCs w:val="15"/>
                <w:color w:val="auto"/>
              </w:rPr>
            </w:pPr>
          </w:p>
        </w:tc>
        <w:tc>
          <w:tcPr>
            <w:tcW w:w="98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3,145,527</w:t>
            </w:r>
          </w:p>
        </w:tc>
      </w:tr>
      <w:tr>
        <w:trPr>
          <w:trHeight w:val="194"/>
        </w:trPr>
        <w:tc>
          <w:tcPr>
            <w:tcW w:w="2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ind w:left="840"/>
              <w:spacing w:after="0" w:line="194" w:lineRule="exact"/>
              <w:rPr>
                <w:sz w:val="20"/>
                <w:szCs w:val="20"/>
                <w:color w:val="auto"/>
              </w:rPr>
            </w:pPr>
            <w:r>
              <w:rPr>
                <w:rFonts w:ascii="Arial" w:cs="Arial" w:eastAsia="Arial" w:hAnsi="Arial"/>
                <w:sz w:val="14"/>
                <w:szCs w:val="14"/>
                <w:color w:val="auto"/>
              </w:rPr>
              <w:t>Deferred Compensation Plan</w:t>
            </w:r>
            <w:r>
              <w:rPr>
                <w:rFonts w:ascii="Arial" w:cs="Arial" w:eastAsia="Arial" w:hAnsi="Arial"/>
                <w:sz w:val="22"/>
                <w:szCs w:val="22"/>
                <w:color w:val="auto"/>
                <w:vertAlign w:val="superscript"/>
              </w:rPr>
              <w:t>7</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19,136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19,136</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19,136</w:t>
            </w:r>
          </w:p>
        </w:tc>
      </w:tr>
      <w:tr>
        <w:trPr>
          <w:trHeight w:val="172"/>
        </w:trPr>
        <w:tc>
          <w:tcPr>
            <w:tcW w:w="20" w:type="dxa"/>
            <w:vAlign w:val="bottom"/>
          </w:tcPr>
          <w:p>
            <w:pPr>
              <w:spacing w:after="0"/>
              <w:rPr>
                <w:sz w:val="14"/>
                <w:szCs w:val="14"/>
                <w:color w:val="auto"/>
              </w:rPr>
            </w:pPr>
          </w:p>
        </w:tc>
        <w:tc>
          <w:tcPr>
            <w:tcW w:w="1880" w:type="dxa"/>
            <w:vAlign w:val="bottom"/>
            <w:tcBorders>
              <w:bottom w:val="single" w:sz="8" w:color="004987"/>
            </w:tcBorders>
          </w:tcPr>
          <w:p>
            <w:pPr>
              <w:spacing w:after="0"/>
              <w:rPr>
                <w:sz w:val="14"/>
                <w:szCs w:val="14"/>
                <w:color w:val="auto"/>
              </w:rPr>
            </w:pPr>
          </w:p>
        </w:tc>
        <w:tc>
          <w:tcPr>
            <w:tcW w:w="3180" w:type="dxa"/>
            <w:vAlign w:val="bottom"/>
            <w:tcBorders>
              <w:bottom w:val="single" w:sz="8" w:color="004987"/>
            </w:tcBorders>
          </w:tcPr>
          <w:p>
            <w:pPr>
              <w:ind w:left="840"/>
              <w:spacing w:after="0"/>
              <w:rPr>
                <w:sz w:val="20"/>
                <w:szCs w:val="20"/>
                <w:color w:val="auto"/>
              </w:rPr>
            </w:pPr>
            <w:r>
              <w:rPr>
                <w:rFonts w:ascii="Arial" w:cs="Arial" w:eastAsia="Arial" w:hAnsi="Arial"/>
                <w:sz w:val="15"/>
                <w:szCs w:val="15"/>
                <w:b w:val="1"/>
                <w:bCs w:val="1"/>
                <w:color w:val="auto"/>
              </w:rPr>
              <w:t>Total</w:t>
            </w:r>
          </w:p>
        </w:tc>
        <w:tc>
          <w:tcPr>
            <w:tcW w:w="360" w:type="dxa"/>
            <w:vAlign w:val="bottom"/>
            <w:tcBorders>
              <w:bottom w:val="single" w:sz="8" w:color="004987"/>
            </w:tcBorders>
          </w:tcPr>
          <w:p>
            <w:pPr>
              <w:ind w:left="28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987"/>
            </w:tcBorders>
          </w:tcPr>
          <w:p>
            <w:pPr>
              <w:jc w:val="right"/>
              <w:ind w:right="23"/>
              <w:spacing w:after="0"/>
              <w:rPr>
                <w:sz w:val="20"/>
                <w:szCs w:val="20"/>
                <w:color w:val="auto"/>
              </w:rPr>
            </w:pPr>
            <w:r>
              <w:rPr>
                <w:rFonts w:ascii="Arial" w:cs="Arial" w:eastAsia="Arial" w:hAnsi="Arial"/>
                <w:sz w:val="15"/>
                <w:szCs w:val="15"/>
                <w:b w:val="1"/>
                <w:bCs w:val="1"/>
                <w:color w:val="auto"/>
              </w:rPr>
              <w:t>2,857,060</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w w:val="98"/>
              </w:rPr>
              <w:t>3,108,790</w:t>
            </w:r>
          </w:p>
        </w:tc>
        <w:tc>
          <w:tcPr>
            <w:tcW w:w="22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004987"/>
            </w:tcBorders>
          </w:tcPr>
          <w:p>
            <w:pPr>
              <w:jc w:val="right"/>
              <w:ind w:right="44"/>
              <w:spacing w:after="0"/>
              <w:rPr>
                <w:sz w:val="20"/>
                <w:szCs w:val="20"/>
                <w:color w:val="auto"/>
              </w:rPr>
            </w:pPr>
            <w:r>
              <w:rPr>
                <w:rFonts w:ascii="Arial" w:cs="Arial" w:eastAsia="Arial" w:hAnsi="Arial"/>
                <w:sz w:val="15"/>
                <w:szCs w:val="15"/>
                <w:b w:val="1"/>
                <w:bCs w:val="1"/>
                <w:color w:val="auto"/>
              </w:rPr>
              <w:t>3,764,528</w:t>
            </w:r>
          </w:p>
        </w:tc>
        <w:tc>
          <w:tcPr>
            <w:tcW w:w="220" w:type="dxa"/>
            <w:vAlign w:val="bottom"/>
            <w:tcBorders>
              <w:bottom w:val="single" w:sz="8" w:color="004987"/>
            </w:tcBorders>
          </w:tcPr>
          <w:p>
            <w:pPr>
              <w:ind w:left="120"/>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004987"/>
            </w:tcBorders>
          </w:tcPr>
          <w:p>
            <w:pPr>
              <w:ind w:left="70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$5,657,423</w:t>
            </w:r>
          </w:p>
        </w:tc>
      </w:tr>
    </w:tbl>
    <w:p>
      <w:pPr>
        <w:spacing w:after="0" w:line="69" w:lineRule="exact"/>
        <w:rPr>
          <w:sz w:val="20"/>
          <w:szCs w:val="20"/>
          <w:color w:val="auto"/>
        </w:rPr>
      </w:pPr>
    </w:p>
    <w:p>
      <w:pPr>
        <w:ind w:left="700" w:right="140" w:hanging="306"/>
        <w:spacing w:after="0" w:line="199" w:lineRule="auto"/>
        <w:tabs>
          <w:tab w:leader="none" w:pos="70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Each of Mr. Weisz, Mr. Cunningham, Mr. Miller and Ms. Marbert is eligible for “approved retiree” status under the MVW Deferred Compensation Plan and the Equity Plans. Amounts in this column reflect the benefits each would receive if he or she ceased being employed by the Company for any reason on December 31, 2021 and satisfied the requirements of such plans for qualification as an approved retiree.</w:t>
      </w:r>
    </w:p>
    <w:p>
      <w:pPr>
        <w:spacing w:after="0" w:line="52" w:lineRule="exact"/>
        <w:rPr>
          <w:sz w:val="20"/>
          <w:szCs w:val="20"/>
          <w:color w:val="auto"/>
        </w:rPr>
      </w:pPr>
    </w:p>
    <w:p>
      <w:pPr>
        <w:ind w:left="700" w:right="140" w:hanging="306"/>
        <w:spacing w:after="0" w:line="188" w:lineRule="auto"/>
        <w:tabs>
          <w:tab w:leader="none" w:pos="70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Upon resignation or termination with cause, no benefits would be payable. In addition, there are no contractual rights providing for payment upon a termination without cause other than in connection with a change in control. Any such payments would be based upon negotiation at the time of such termination.</w:t>
      </w:r>
    </w:p>
    <w:p>
      <w:pPr>
        <w:spacing w:after="0" w:line="51" w:lineRule="exact"/>
        <w:rPr>
          <w:sz w:val="20"/>
          <w:szCs w:val="20"/>
          <w:color w:val="auto"/>
        </w:rPr>
      </w:pPr>
    </w:p>
    <w:p>
      <w:pPr>
        <w:ind w:left="700" w:right="20" w:hanging="306"/>
        <w:spacing w:after="0" w:line="227" w:lineRule="auto"/>
        <w:tabs>
          <w:tab w:leader="none" w:pos="700" w:val="left"/>
        </w:tabs>
        <w:numPr>
          <w:ilvl w:val="0"/>
          <w:numId w:val="84"/>
        </w:numPr>
        <w:rPr>
          <w:rFonts w:ascii="Arial" w:cs="Arial" w:eastAsia="Arial" w:hAnsi="Arial"/>
          <w:sz w:val="22"/>
          <w:szCs w:val="22"/>
          <w:color w:val="auto"/>
          <w:vertAlign w:val="superscript"/>
        </w:rPr>
      </w:pPr>
      <w:r>
        <w:rPr>
          <w:rFonts w:ascii="Arial" w:cs="Arial" w:eastAsia="Arial" w:hAnsi="Arial"/>
          <w:sz w:val="13"/>
          <w:szCs w:val="13"/>
          <w:color w:val="auto"/>
        </w:rPr>
        <w:t>As described above under “Change in Control Arrangements,” a named executive officer who participates in the Change in Control Plan and who executes a waiver and release of claims in favor of the Company will receive the following severance benefits if his or her employment is terminated involuntarily by the Company or any of its affiliates, other than due to Cause, Total Disability, or death, or is terminated by the named executive officer for Good Reason, in each case, within two years following a Change in Control of the Company: (1) a cash severance payment, payable in a lump sum, equal to two times (or three times, in the case of the Chief Executive Officer of the Company) the sum of his or her Base Salary and Target Bonus; (2) twenty-four months (or thirty-six months, in the case of the Chief Executive Officer of the Company) of Company-subsidized medical, dental and life-insurance coverage for such named executive officer and his or her spouse and dependents, at the same benefit level as provided to the executive immediately prior to the Change in Control, or the cash equivalent of the present value of such coverage (“Benefit Coverage”);</w:t>
      </w:r>
    </w:p>
    <w:p>
      <w:pPr>
        <w:spacing w:after="0" w:line="1" w:lineRule="exact"/>
        <w:rPr>
          <w:rFonts w:ascii="Arial" w:cs="Arial" w:eastAsia="Arial" w:hAnsi="Arial"/>
          <w:sz w:val="22"/>
          <w:szCs w:val="22"/>
          <w:color w:val="auto"/>
          <w:vertAlign w:val="superscript"/>
        </w:rPr>
      </w:pPr>
    </w:p>
    <w:p>
      <w:pPr>
        <w:ind w:left="700" w:right="20"/>
        <w:spacing w:after="0" w:line="231" w:lineRule="auto"/>
        <w:rPr>
          <w:rFonts w:ascii="Arial" w:cs="Arial" w:eastAsia="Arial" w:hAnsi="Arial"/>
          <w:sz w:val="22"/>
          <w:szCs w:val="22"/>
          <w:color w:val="auto"/>
          <w:vertAlign w:val="superscript"/>
        </w:rPr>
      </w:pPr>
      <w:r>
        <w:rPr>
          <w:rFonts w:ascii="Arial" w:cs="Arial" w:eastAsia="Arial" w:hAnsi="Arial"/>
          <w:sz w:val="14"/>
          <w:szCs w:val="14"/>
          <w:color w:val="auto"/>
        </w:rPr>
        <w:t>(3) any unpaid salary or bonus as of the Termination date for any previously-completed fiscal year (“Earned Amounts”); (4) a pro-rata bonus for the fiscal year in which the named executive officer’s employment is terminated assuming achievement at the target level of performance; (5) vesting of all restricted stock, RSUs or other share-based awards in a form substantially similar to restricted stock or RSUs as of the Termination date; (6) vesting of all unvested or unexercisable options, SARs or other share-based awards in a form substantially similar to options or SARs, which will be exercisable until the earlier of the end of their original term or 12 months (or in the case of certain approved retirees, five years) following the Termination date; and (7) the vesting and immediate payment of all other cash performance units or other share-based awards subject to performance-based vesting criteria based on a presumed achievement of target levels of performance. No amounts are shown for Earned Amounts as we have assumed there would be no such amounts unpaid on the last day of the fiscal year. Certain terms in this footnote are defined above under “Change in Control Arrangements.”</w:t>
      </w:r>
    </w:p>
    <w:p>
      <w:pPr>
        <w:spacing w:after="0" w:line="56" w:lineRule="exact"/>
        <w:rPr>
          <w:sz w:val="20"/>
          <w:szCs w:val="20"/>
          <w:color w:val="auto"/>
        </w:rPr>
      </w:pPr>
    </w:p>
    <w:p>
      <w:pPr>
        <w:ind w:left="700" w:right="320" w:hanging="306"/>
        <w:spacing w:after="0" w:line="205" w:lineRule="auto"/>
        <w:tabs>
          <w:tab w:leader="none" w:pos="700"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Upon retirement after either reaching age 55 and completing ten continuous years of service or completing 20 years of continuous service, disability or death, the named executive officer would be entitled to a pro-rata bonus based on actual performance under the 2021 Bonus Plan. The amount shown with respect to annual bonus for each named executive officer is the actual payout amount for 2021. See Note 3 for a description of annual bonus amounts payable following a Change in Control.</w:t>
      </w:r>
    </w:p>
    <w:p>
      <w:pPr>
        <w:ind w:left="700" w:hanging="306"/>
        <w:spacing w:after="0" w:line="211" w:lineRule="auto"/>
        <w:tabs>
          <w:tab w:leader="none" w:pos="70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Consists of the Benefit Coverage payable under the Change in Control Plan.</w:t>
      </w:r>
    </w:p>
    <w:p>
      <w:pPr>
        <w:spacing w:after="0" w:line="57" w:lineRule="exact"/>
        <w:rPr>
          <w:sz w:val="20"/>
          <w:szCs w:val="20"/>
          <w:color w:val="auto"/>
        </w:rPr>
      </w:pPr>
    </w:p>
    <w:p>
      <w:pPr>
        <w:ind w:left="700" w:right="60" w:hanging="306"/>
        <w:spacing w:after="0" w:line="236" w:lineRule="auto"/>
        <w:tabs>
          <w:tab w:leader="none" w:pos="700" w:val="left"/>
        </w:tabs>
        <w:numPr>
          <w:ilvl w:val="0"/>
          <w:numId w:val="87"/>
        </w:numPr>
        <w:rPr>
          <w:rFonts w:ascii="Arial" w:cs="Arial" w:eastAsia="Arial" w:hAnsi="Arial"/>
          <w:sz w:val="22"/>
          <w:szCs w:val="22"/>
          <w:color w:val="auto"/>
          <w:vertAlign w:val="superscript"/>
        </w:rPr>
      </w:pPr>
      <w:r>
        <w:rPr>
          <w:rFonts w:ascii="Arial" w:cs="Arial" w:eastAsia="Arial" w:hAnsi="Arial"/>
          <w:sz w:val="13"/>
          <w:szCs w:val="13"/>
          <w:color w:val="auto"/>
        </w:rPr>
        <w:t>Upon retirement or permanent disability (as defined in the pertinent plan), a named executive officer may continue to vest in and receive distributions under outstanding stock awards for the remainder of their vesting period and may exercise options and SARs for up to five years in accordance with the awards’ original terms; provided however that upon permanent disability, the Performance Units will immediately vest assuming achievement at the target level of performance. Annual stock awards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Compensation Policy Committee by an executive who had attained age 55 with 10 years of service. In all cases, however, the Compensation Policy Committee or its designee has the authority to revoke approved retiree status if an executive’s employment terminated for serious misconduct or was subsequently found to have engaged in competition or engaged in criminal conduct or other behavior that was actually or potentially harmful to the Company. A named executive officer who dies as an employee or approved retiree would immediately vest in his or her options, SARs and other stock awards. As of December 31, 2021, each of Mr. Weisz, Mr. Cunningham, Ms. Marbert and Mr. Miller met the age and service conditions for retirement eligibility. The value of Performance Units vesting upon retirement is calculated based on the probable outcome of the performance conditions as of December 31, 2021; the value of Performance Units vesting upon disability or death is calculated assuming achievement at the target level of performance. See Note 3 for a description of treatment of outstanding equity awards following a Change in Control.</w:t>
      </w:r>
    </w:p>
    <w:p>
      <w:pPr>
        <w:spacing w:after="0" w:line="52" w:lineRule="exact"/>
        <w:rPr>
          <w:sz w:val="20"/>
          <w:szCs w:val="20"/>
          <w:color w:val="auto"/>
        </w:rPr>
      </w:pPr>
    </w:p>
    <w:p>
      <w:pPr>
        <w:ind w:left="700" w:right="40" w:hanging="306"/>
        <w:spacing w:after="0" w:line="210" w:lineRule="auto"/>
        <w:tabs>
          <w:tab w:leader="none" w:pos="700" w:val="left"/>
        </w:tabs>
        <w:numPr>
          <w:ilvl w:val="0"/>
          <w:numId w:val="88"/>
        </w:numPr>
        <w:rPr>
          <w:rFonts w:ascii="Arial" w:cs="Arial" w:eastAsia="Arial" w:hAnsi="Arial"/>
          <w:sz w:val="23"/>
          <w:szCs w:val="23"/>
          <w:color w:val="auto"/>
          <w:vertAlign w:val="superscript"/>
        </w:rPr>
      </w:pPr>
      <w:r>
        <w:rPr>
          <w:rFonts w:ascii="Arial" w:cs="Arial" w:eastAsia="Arial" w:hAnsi="Arial"/>
          <w:sz w:val="14"/>
          <w:szCs w:val="14"/>
          <w:color w:val="auto"/>
        </w:rPr>
        <w:t>Consists of the value of unvested employer credits under the MVW Deferred Compensation Plan. The Company may credit participants’ accounts with employer credits that will vest at a rate of 25 percent per year on the first four anniversaries of the date the discretionary employer credit was allocated to the participant’s account, provided that the participant remains in continued service with the Company. Upon a change in control of the Company or a participant’s death or retirement after reaching age 55 and completing ten continuous years of service, all employer credits will immediately vest in full. Although the Marriott Deferred Compensation Plan also provided for employer credits, no named executive officer has unvested employer credits under the Marriott Deferred Compensation Plan.</w:t>
      </w:r>
    </w:p>
    <w:p>
      <w:pPr>
        <w:spacing w:after="0" w:line="110" w:lineRule="exact"/>
        <w:rPr>
          <w:sz w:val="20"/>
          <w:szCs w:val="20"/>
          <w:color w:val="auto"/>
        </w:rPr>
      </w:pPr>
    </w:p>
    <w:p>
      <w:pPr>
        <w:ind w:left="400"/>
        <w:spacing w:after="0"/>
        <w:tabs>
          <w:tab w:leader="none" w:pos="45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b w:val="1"/>
          <w:bCs w:val="1"/>
          <w:color w:val="00498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48" w:name="page49"/>
    <w:bookmarkEnd w:id="4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right="80"/>
        <w:spacing w:after="0" w:line="256" w:lineRule="auto"/>
        <w:rPr>
          <w:sz w:val="20"/>
          <w:szCs w:val="20"/>
          <w:color w:val="auto"/>
        </w:rPr>
      </w:pPr>
      <w:r>
        <w:rPr>
          <w:rFonts w:ascii="Arial" w:cs="Arial" w:eastAsia="Arial" w:hAnsi="Arial"/>
          <w:sz w:val="15"/>
          <w:szCs w:val="15"/>
          <w:color w:val="auto"/>
        </w:rPr>
        <w:t>The benefits reported in the table and narrative above are in addition to benefits available prior to the occurrence of any termination of employment, including benefits available under then-exercisable SARs and options and vested MVW Deferred Compensation Plan balances, and benefits available generally to salaried employees such as benefits under the 401(k) Plan, group medical and dental plans, life and accidental death insurance plans, disability programs, health and dependent care spending accounts, and accrued paid time off. Amounts actually received if any of the named executive officers cease to be employed will vary based on factors such as the timing during the year of any such event, the price of the Company’s stock, the named executive officer’s age, and any changes to our benefit arrangements and policies. We may determine to provide additional or different benefits in connection with any executive’s termination.</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CEO PAY RATIO</w:t>
      </w:r>
    </w:p>
    <w:p>
      <w:pPr>
        <w:spacing w:after="0" w:line="106" w:lineRule="exact"/>
        <w:rPr>
          <w:sz w:val="20"/>
          <w:szCs w:val="20"/>
          <w:color w:val="auto"/>
        </w:rPr>
      </w:pPr>
    </w:p>
    <w:p>
      <w:pPr>
        <w:ind w:left="400" w:right="540"/>
        <w:spacing w:after="0" w:line="289" w:lineRule="auto"/>
        <w:rPr>
          <w:sz w:val="20"/>
          <w:szCs w:val="20"/>
          <w:color w:val="auto"/>
        </w:rPr>
      </w:pPr>
      <w:r>
        <w:rPr>
          <w:rFonts w:ascii="Arial" w:cs="Arial" w:eastAsia="Arial" w:hAnsi="Arial"/>
          <w:sz w:val="15"/>
          <w:szCs w:val="15"/>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w:t>
      </w:r>
    </w:p>
    <w:p>
      <w:pPr>
        <w:spacing w:after="0" w:line="46" w:lineRule="exact"/>
        <w:rPr>
          <w:sz w:val="20"/>
          <w:szCs w:val="20"/>
          <w:color w:val="auto"/>
        </w:rPr>
      </w:pPr>
    </w:p>
    <w:p>
      <w:pPr>
        <w:ind w:left="400" w:right="120"/>
        <w:spacing w:after="0" w:line="263" w:lineRule="auto"/>
        <w:rPr>
          <w:sz w:val="20"/>
          <w:szCs w:val="20"/>
          <w:color w:val="auto"/>
        </w:rPr>
      </w:pPr>
      <w:r>
        <w:rPr>
          <w:rFonts w:ascii="Arial" w:cs="Arial" w:eastAsia="Arial" w:hAnsi="Arial"/>
          <w:sz w:val="15"/>
          <w:szCs w:val="15"/>
          <w:color w:val="auto"/>
        </w:rPr>
        <w:t>Under the relevant rules, we are required to identify the median employee by use of a consistently applied compensation measure. We chose to utilize compensation rules that were consistent with the Summary Compensation Table. Associates who became our employees as a result of the Welk acquisition (approximately 1,110 individual) are excluded for one year. We did not perform adjustments to the compensation paid to part-time employees to calculate what they would have been paid on a full-time basis.</w:t>
      </w:r>
    </w:p>
    <w:p>
      <w:pPr>
        <w:spacing w:after="0" w:line="64" w:lineRule="exact"/>
        <w:rPr>
          <w:sz w:val="20"/>
          <w:szCs w:val="20"/>
          <w:color w:val="auto"/>
        </w:rPr>
      </w:pPr>
    </w:p>
    <w:p>
      <w:pPr>
        <w:ind w:left="400" w:right="280"/>
        <w:spacing w:after="0" w:line="263" w:lineRule="auto"/>
        <w:rPr>
          <w:sz w:val="20"/>
          <w:szCs w:val="20"/>
          <w:color w:val="auto"/>
        </w:rPr>
      </w:pPr>
      <w:r>
        <w:rPr>
          <w:rFonts w:ascii="Arial" w:cs="Arial" w:eastAsia="Arial" w:hAnsi="Arial"/>
          <w:sz w:val="15"/>
          <w:szCs w:val="15"/>
          <w:color w:val="auto"/>
        </w:rPr>
        <w:t>As of December 31, 2021, the date for the determination of the median employee, we had 19,150 employees in 25 countries for purposes of this determination, however, the vast majority of these employees were in North America. In identifying the median employee, we excluded workers in 20 countries totaling 900 associates (approximately 4.4% of our workforce) as permitted by the de minimis exemption rules, given the small portion of the total employee population in these countries.</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excluded the following number of workers from the following countries in the identification of the median employee.</w:t>
      </w:r>
    </w:p>
    <w:p>
      <w:pPr>
        <w:spacing w:after="0" w:line="23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560" w:type="dxa"/>
            <w:vAlign w:val="bottom"/>
          </w:tcPr>
          <w:p>
            <w:pPr>
              <w:ind w:left="1500"/>
              <w:spacing w:after="0"/>
              <w:rPr>
                <w:sz w:val="20"/>
                <w:szCs w:val="20"/>
                <w:color w:val="auto"/>
              </w:rPr>
            </w:pPr>
            <w:r>
              <w:rPr>
                <w:rFonts w:ascii="Arial" w:cs="Arial" w:eastAsia="Arial" w:hAnsi="Arial"/>
                <w:sz w:val="14"/>
                <w:szCs w:val="14"/>
                <w:b w:val="1"/>
                <w:bCs w:val="1"/>
                <w:color w:val="004987"/>
              </w:rPr>
              <w:t>Number of</w:t>
            </w:r>
          </w:p>
        </w:tc>
        <w:tc>
          <w:tcPr>
            <w:tcW w:w="2360" w:type="dxa"/>
            <w:vAlign w:val="bottom"/>
          </w:tcPr>
          <w:p>
            <w:pPr>
              <w:spacing w:after="0"/>
              <w:rPr>
                <w:sz w:val="14"/>
                <w:szCs w:val="14"/>
                <w:color w:val="auto"/>
              </w:rPr>
            </w:pPr>
          </w:p>
        </w:tc>
        <w:tc>
          <w:tcPr>
            <w:tcW w:w="1640" w:type="dxa"/>
            <w:vAlign w:val="bottom"/>
          </w:tcPr>
          <w:p>
            <w:pPr>
              <w:ind w:left="920"/>
              <w:spacing w:after="0"/>
              <w:rPr>
                <w:sz w:val="20"/>
                <w:szCs w:val="20"/>
                <w:color w:val="auto"/>
              </w:rPr>
            </w:pPr>
            <w:r>
              <w:rPr>
                <w:rFonts w:ascii="Arial" w:cs="Arial" w:eastAsia="Arial" w:hAnsi="Arial"/>
                <w:sz w:val="14"/>
                <w:szCs w:val="14"/>
                <w:b w:val="1"/>
                <w:bCs w:val="1"/>
                <w:color w:val="004987"/>
                <w:w w:val="99"/>
              </w:rPr>
              <w:t>Number of</w:t>
            </w:r>
          </w:p>
        </w:tc>
      </w:tr>
      <w:tr>
        <w:trPr>
          <w:trHeight w:val="182"/>
        </w:trPr>
        <w:tc>
          <w:tcPr>
            <w:tcW w:w="222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Country</w:t>
            </w:r>
          </w:p>
        </w:tc>
        <w:tc>
          <w:tcPr>
            <w:tcW w:w="2560" w:type="dxa"/>
            <w:vAlign w:val="bottom"/>
            <w:tcBorders>
              <w:bottom w:val="single" w:sz="8" w:color="004987"/>
            </w:tcBorders>
          </w:tcPr>
          <w:p>
            <w:pPr>
              <w:ind w:left="1480"/>
              <w:spacing w:after="0"/>
              <w:rPr>
                <w:sz w:val="20"/>
                <w:szCs w:val="20"/>
                <w:color w:val="auto"/>
              </w:rPr>
            </w:pPr>
            <w:r>
              <w:rPr>
                <w:rFonts w:ascii="Arial" w:cs="Arial" w:eastAsia="Arial" w:hAnsi="Arial"/>
                <w:sz w:val="14"/>
                <w:szCs w:val="14"/>
                <w:b w:val="1"/>
                <w:bCs w:val="1"/>
                <w:color w:val="004987"/>
              </w:rPr>
              <w:t>Associates</w:t>
            </w:r>
          </w:p>
        </w:tc>
        <w:tc>
          <w:tcPr>
            <w:tcW w:w="2360" w:type="dxa"/>
            <w:vAlign w:val="bottom"/>
            <w:tcBorders>
              <w:bottom w:val="single" w:sz="8" w:color="004987"/>
            </w:tcBorders>
          </w:tcPr>
          <w:p>
            <w:pPr>
              <w:ind w:left="360"/>
              <w:spacing w:after="0"/>
              <w:rPr>
                <w:sz w:val="20"/>
                <w:szCs w:val="20"/>
                <w:color w:val="auto"/>
              </w:rPr>
            </w:pPr>
            <w:r>
              <w:rPr>
                <w:rFonts w:ascii="Arial" w:cs="Arial" w:eastAsia="Arial" w:hAnsi="Arial"/>
                <w:sz w:val="14"/>
                <w:szCs w:val="14"/>
                <w:b w:val="1"/>
                <w:bCs w:val="1"/>
                <w:color w:val="004987"/>
              </w:rPr>
              <w:t>Country</w:t>
            </w:r>
          </w:p>
        </w:tc>
        <w:tc>
          <w:tcPr>
            <w:tcW w:w="1640" w:type="dxa"/>
            <w:vAlign w:val="bottom"/>
            <w:tcBorders>
              <w:bottom w:val="single" w:sz="8" w:color="004987"/>
            </w:tcBorders>
          </w:tcPr>
          <w:p>
            <w:pPr>
              <w:ind w:left="900"/>
              <w:spacing w:after="0"/>
              <w:rPr>
                <w:sz w:val="20"/>
                <w:szCs w:val="20"/>
                <w:color w:val="auto"/>
              </w:rPr>
            </w:pPr>
            <w:r>
              <w:rPr>
                <w:rFonts w:ascii="Arial" w:cs="Arial" w:eastAsia="Arial" w:hAnsi="Arial"/>
                <w:sz w:val="14"/>
                <w:szCs w:val="14"/>
                <w:b w:val="1"/>
                <w:bCs w:val="1"/>
                <w:color w:val="004987"/>
                <w:w w:val="97"/>
              </w:rPr>
              <w:t>Associates</w:t>
            </w:r>
          </w:p>
        </w:tc>
      </w:tr>
      <w:tr>
        <w:trPr>
          <w:trHeight w:val="167"/>
        </w:trPr>
        <w:tc>
          <w:tcPr>
            <w:tcW w:w="2220" w:type="dxa"/>
            <w:vAlign w:val="bottom"/>
          </w:tcPr>
          <w:p>
            <w:pPr>
              <w:spacing w:after="0" w:line="167" w:lineRule="exact"/>
              <w:rPr>
                <w:sz w:val="20"/>
                <w:szCs w:val="20"/>
                <w:color w:val="auto"/>
              </w:rPr>
            </w:pPr>
            <w:r>
              <w:rPr>
                <w:rFonts w:ascii="Arial" w:cs="Arial" w:eastAsia="Arial" w:hAnsi="Arial"/>
                <w:sz w:val="15"/>
                <w:szCs w:val="15"/>
                <w:color w:val="auto"/>
              </w:rPr>
              <w:t>Argentina</w:t>
            </w:r>
          </w:p>
        </w:tc>
        <w:tc>
          <w:tcPr>
            <w:tcW w:w="2560" w:type="dxa"/>
            <w:vAlign w:val="bottom"/>
          </w:tcPr>
          <w:p>
            <w:pPr>
              <w:jc w:val="center"/>
              <w:ind w:left="1045"/>
              <w:spacing w:after="0" w:line="167" w:lineRule="exact"/>
              <w:rPr>
                <w:sz w:val="20"/>
                <w:szCs w:val="20"/>
                <w:color w:val="auto"/>
              </w:rPr>
            </w:pPr>
            <w:r>
              <w:rPr>
                <w:rFonts w:ascii="Arial" w:cs="Arial" w:eastAsia="Arial" w:hAnsi="Arial"/>
                <w:sz w:val="15"/>
                <w:szCs w:val="15"/>
                <w:color w:val="auto"/>
                <w:w w:val="95"/>
              </w:rPr>
              <w:t>16</w:t>
            </w:r>
          </w:p>
        </w:tc>
        <w:tc>
          <w:tcPr>
            <w:tcW w:w="2360" w:type="dxa"/>
            <w:vAlign w:val="bottom"/>
          </w:tcPr>
          <w:p>
            <w:pPr>
              <w:ind w:left="360"/>
              <w:spacing w:after="0" w:line="167" w:lineRule="exact"/>
              <w:rPr>
                <w:sz w:val="20"/>
                <w:szCs w:val="20"/>
                <w:color w:val="auto"/>
              </w:rPr>
            </w:pPr>
            <w:r>
              <w:rPr>
                <w:rFonts w:ascii="Arial" w:cs="Arial" w:eastAsia="Arial" w:hAnsi="Arial"/>
                <w:sz w:val="15"/>
                <w:szCs w:val="15"/>
                <w:color w:val="auto"/>
              </w:rPr>
              <w:t>Finland</w:t>
            </w:r>
          </w:p>
        </w:tc>
        <w:tc>
          <w:tcPr>
            <w:tcW w:w="1640" w:type="dxa"/>
            <w:vAlign w:val="bottom"/>
          </w:tcPr>
          <w:p>
            <w:pPr>
              <w:jc w:val="center"/>
              <w:ind w:left="825"/>
              <w:spacing w:after="0" w:line="167" w:lineRule="exact"/>
              <w:rPr>
                <w:sz w:val="20"/>
                <w:szCs w:val="20"/>
                <w:color w:val="auto"/>
              </w:rPr>
            </w:pPr>
            <w:r>
              <w:rPr>
                <w:rFonts w:ascii="Arial" w:cs="Arial" w:eastAsia="Arial" w:hAnsi="Arial"/>
                <w:sz w:val="15"/>
                <w:szCs w:val="15"/>
                <w:color w:val="auto"/>
              </w:rPr>
              <w:t>7</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Aruba</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76</w:t>
            </w:r>
          </w:p>
        </w:tc>
        <w:tc>
          <w:tcPr>
            <w:tcW w:w="2360" w:type="dxa"/>
            <w:vAlign w:val="bottom"/>
          </w:tcPr>
          <w:p>
            <w:pPr>
              <w:ind w:left="360"/>
              <w:spacing w:after="0"/>
              <w:rPr>
                <w:sz w:val="20"/>
                <w:szCs w:val="20"/>
                <w:color w:val="auto"/>
              </w:rPr>
            </w:pPr>
            <w:r>
              <w:rPr>
                <w:rFonts w:ascii="Arial" w:cs="Arial" w:eastAsia="Arial" w:hAnsi="Arial"/>
                <w:sz w:val="15"/>
                <w:szCs w:val="15"/>
                <w:color w:val="auto"/>
              </w:rPr>
              <w:t>Germany</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16</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Australia</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38</w:t>
            </w:r>
          </w:p>
        </w:tc>
        <w:tc>
          <w:tcPr>
            <w:tcW w:w="2360" w:type="dxa"/>
            <w:vAlign w:val="bottom"/>
          </w:tcPr>
          <w:p>
            <w:pPr>
              <w:ind w:left="360"/>
              <w:spacing w:after="0"/>
              <w:rPr>
                <w:sz w:val="20"/>
                <w:szCs w:val="20"/>
                <w:color w:val="auto"/>
              </w:rPr>
            </w:pPr>
            <w:r>
              <w:rPr>
                <w:rFonts w:ascii="Arial" w:cs="Arial" w:eastAsia="Arial" w:hAnsi="Arial"/>
                <w:sz w:val="15"/>
                <w:szCs w:val="15"/>
                <w:color w:val="auto"/>
              </w:rPr>
              <w:t>Hong Kong</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3</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Bahamas</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36</w:t>
            </w:r>
          </w:p>
        </w:tc>
        <w:tc>
          <w:tcPr>
            <w:tcW w:w="2360" w:type="dxa"/>
            <w:vAlign w:val="bottom"/>
          </w:tcPr>
          <w:p>
            <w:pPr>
              <w:ind w:left="360"/>
              <w:spacing w:after="0"/>
              <w:rPr>
                <w:sz w:val="20"/>
                <w:szCs w:val="20"/>
                <w:color w:val="auto"/>
              </w:rPr>
            </w:pPr>
            <w:r>
              <w:rPr>
                <w:rFonts w:ascii="Arial" w:cs="Arial" w:eastAsia="Arial" w:hAnsi="Arial"/>
                <w:sz w:val="15"/>
                <w:szCs w:val="15"/>
                <w:color w:val="auto"/>
              </w:rPr>
              <w:t>Indonesia</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124</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Brazil</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3</w:t>
            </w:r>
          </w:p>
        </w:tc>
        <w:tc>
          <w:tcPr>
            <w:tcW w:w="2360" w:type="dxa"/>
            <w:vAlign w:val="bottom"/>
          </w:tcPr>
          <w:p>
            <w:pPr>
              <w:ind w:left="360"/>
              <w:spacing w:after="0"/>
              <w:rPr>
                <w:sz w:val="20"/>
                <w:szCs w:val="20"/>
                <w:color w:val="auto"/>
              </w:rPr>
            </w:pPr>
            <w:r>
              <w:rPr>
                <w:rFonts w:ascii="Arial" w:cs="Arial" w:eastAsia="Arial" w:hAnsi="Arial"/>
                <w:sz w:val="15"/>
                <w:szCs w:val="15"/>
                <w:color w:val="auto"/>
              </w:rPr>
              <w:t>Italy</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2</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China</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25</w:t>
            </w:r>
          </w:p>
        </w:tc>
        <w:tc>
          <w:tcPr>
            <w:tcW w:w="2360" w:type="dxa"/>
            <w:vAlign w:val="bottom"/>
          </w:tcPr>
          <w:p>
            <w:pPr>
              <w:ind w:left="360"/>
              <w:spacing w:after="0"/>
              <w:rPr>
                <w:sz w:val="20"/>
                <w:szCs w:val="20"/>
                <w:color w:val="auto"/>
              </w:rPr>
            </w:pPr>
            <w:r>
              <w:rPr>
                <w:rFonts w:ascii="Arial" w:cs="Arial" w:eastAsia="Arial" w:hAnsi="Arial"/>
                <w:sz w:val="15"/>
                <w:szCs w:val="15"/>
                <w:color w:val="auto"/>
              </w:rPr>
              <w:t>Japan</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36</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Columbia</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17</w:t>
            </w:r>
          </w:p>
        </w:tc>
        <w:tc>
          <w:tcPr>
            <w:tcW w:w="2360" w:type="dxa"/>
            <w:vAlign w:val="bottom"/>
          </w:tcPr>
          <w:p>
            <w:pPr>
              <w:ind w:left="360"/>
              <w:spacing w:after="0"/>
              <w:rPr>
                <w:sz w:val="20"/>
                <w:szCs w:val="20"/>
                <w:color w:val="auto"/>
              </w:rPr>
            </w:pPr>
            <w:r>
              <w:rPr>
                <w:rFonts w:ascii="Arial" w:cs="Arial" w:eastAsia="Arial" w:hAnsi="Arial"/>
                <w:sz w:val="15"/>
                <w:szCs w:val="15"/>
                <w:color w:val="auto"/>
              </w:rPr>
              <w:t>St. Kitts</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41</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Costa Rica</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11</w:t>
            </w:r>
          </w:p>
        </w:tc>
        <w:tc>
          <w:tcPr>
            <w:tcW w:w="2360" w:type="dxa"/>
            <w:vAlign w:val="bottom"/>
          </w:tcPr>
          <w:p>
            <w:pPr>
              <w:ind w:left="360"/>
              <w:spacing w:after="0"/>
              <w:rPr>
                <w:sz w:val="20"/>
                <w:szCs w:val="20"/>
                <w:color w:val="auto"/>
              </w:rPr>
            </w:pPr>
            <w:r>
              <w:rPr>
                <w:rFonts w:ascii="Arial" w:cs="Arial" w:eastAsia="Arial" w:hAnsi="Arial"/>
                <w:sz w:val="15"/>
                <w:szCs w:val="15"/>
                <w:color w:val="auto"/>
              </w:rPr>
              <w:t>Thailand</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169</w:t>
            </w:r>
          </w:p>
        </w:tc>
      </w:tr>
      <w:tr>
        <w:trPr>
          <w:trHeight w:val="179"/>
        </w:trPr>
        <w:tc>
          <w:tcPr>
            <w:tcW w:w="2220" w:type="dxa"/>
            <w:vAlign w:val="bottom"/>
          </w:tcPr>
          <w:p>
            <w:pPr>
              <w:spacing w:after="0"/>
              <w:rPr>
                <w:sz w:val="20"/>
                <w:szCs w:val="20"/>
                <w:color w:val="auto"/>
              </w:rPr>
            </w:pPr>
            <w:r>
              <w:rPr>
                <w:rFonts w:ascii="Arial" w:cs="Arial" w:eastAsia="Arial" w:hAnsi="Arial"/>
                <w:sz w:val="15"/>
                <w:szCs w:val="15"/>
                <w:color w:val="auto"/>
              </w:rPr>
              <w:t>Egypt</w:t>
            </w:r>
          </w:p>
        </w:tc>
        <w:tc>
          <w:tcPr>
            <w:tcW w:w="2560" w:type="dxa"/>
            <w:vAlign w:val="bottom"/>
          </w:tcPr>
          <w:p>
            <w:pPr>
              <w:jc w:val="center"/>
              <w:ind w:left="1045"/>
              <w:spacing w:after="0"/>
              <w:rPr>
                <w:sz w:val="20"/>
                <w:szCs w:val="20"/>
                <w:color w:val="auto"/>
              </w:rPr>
            </w:pPr>
            <w:r>
              <w:rPr>
                <w:rFonts w:ascii="Arial" w:cs="Arial" w:eastAsia="Arial" w:hAnsi="Arial"/>
                <w:sz w:val="15"/>
                <w:szCs w:val="15"/>
                <w:color w:val="auto"/>
                <w:w w:val="95"/>
              </w:rPr>
              <w:t>8</w:t>
            </w:r>
          </w:p>
        </w:tc>
        <w:tc>
          <w:tcPr>
            <w:tcW w:w="2360" w:type="dxa"/>
            <w:vAlign w:val="bottom"/>
          </w:tcPr>
          <w:p>
            <w:pPr>
              <w:ind w:left="360"/>
              <w:spacing w:after="0"/>
              <w:rPr>
                <w:sz w:val="20"/>
                <w:szCs w:val="20"/>
                <w:color w:val="auto"/>
              </w:rPr>
            </w:pPr>
            <w:r>
              <w:rPr>
                <w:rFonts w:ascii="Arial" w:cs="Arial" w:eastAsia="Arial" w:hAnsi="Arial"/>
                <w:sz w:val="15"/>
                <w:szCs w:val="15"/>
                <w:color w:val="auto"/>
              </w:rPr>
              <w:t>UAE</w:t>
            </w:r>
          </w:p>
        </w:tc>
        <w:tc>
          <w:tcPr>
            <w:tcW w:w="1640" w:type="dxa"/>
            <w:vAlign w:val="bottom"/>
          </w:tcPr>
          <w:p>
            <w:pPr>
              <w:jc w:val="center"/>
              <w:ind w:left="825"/>
              <w:spacing w:after="0"/>
              <w:rPr>
                <w:sz w:val="20"/>
                <w:szCs w:val="20"/>
                <w:color w:val="auto"/>
              </w:rPr>
            </w:pPr>
            <w:r>
              <w:rPr>
                <w:rFonts w:ascii="Arial" w:cs="Arial" w:eastAsia="Arial" w:hAnsi="Arial"/>
                <w:sz w:val="15"/>
                <w:szCs w:val="15"/>
                <w:color w:val="auto"/>
              </w:rPr>
              <w:t>38</w:t>
            </w:r>
          </w:p>
        </w:tc>
      </w:tr>
      <w:tr>
        <w:trPr>
          <w:trHeight w:val="192"/>
        </w:trPr>
        <w:tc>
          <w:tcPr>
            <w:tcW w:w="222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France</w:t>
            </w:r>
          </w:p>
        </w:tc>
        <w:tc>
          <w:tcPr>
            <w:tcW w:w="2560" w:type="dxa"/>
            <w:vAlign w:val="bottom"/>
            <w:tcBorders>
              <w:bottom w:val="single" w:sz="8" w:color="004987"/>
            </w:tcBorders>
          </w:tcPr>
          <w:p>
            <w:pPr>
              <w:jc w:val="center"/>
              <w:ind w:left="1065"/>
              <w:spacing w:after="0"/>
              <w:rPr>
                <w:sz w:val="20"/>
                <w:szCs w:val="20"/>
                <w:color w:val="auto"/>
              </w:rPr>
            </w:pPr>
            <w:r>
              <w:rPr>
                <w:rFonts w:ascii="Arial" w:cs="Arial" w:eastAsia="Arial" w:hAnsi="Arial"/>
                <w:sz w:val="15"/>
                <w:szCs w:val="15"/>
                <w:color w:val="auto"/>
              </w:rPr>
              <w:t>103</w:t>
            </w:r>
          </w:p>
        </w:tc>
        <w:tc>
          <w:tcPr>
            <w:tcW w:w="2360" w:type="dxa"/>
            <w:vAlign w:val="bottom"/>
            <w:tcBorders>
              <w:bottom w:val="single" w:sz="8" w:color="004987"/>
            </w:tcBorders>
          </w:tcPr>
          <w:p>
            <w:pPr>
              <w:ind w:left="360"/>
              <w:spacing w:after="0"/>
              <w:rPr>
                <w:sz w:val="20"/>
                <w:szCs w:val="20"/>
                <w:color w:val="auto"/>
              </w:rPr>
            </w:pPr>
            <w:r>
              <w:rPr>
                <w:rFonts w:ascii="Arial" w:cs="Arial" w:eastAsia="Arial" w:hAnsi="Arial"/>
                <w:sz w:val="15"/>
                <w:szCs w:val="15"/>
                <w:color w:val="auto"/>
              </w:rPr>
              <w:t>United Kingdom</w:t>
            </w:r>
          </w:p>
        </w:tc>
        <w:tc>
          <w:tcPr>
            <w:tcW w:w="1640" w:type="dxa"/>
            <w:vAlign w:val="bottom"/>
            <w:tcBorders>
              <w:bottom w:val="single" w:sz="8" w:color="004987"/>
            </w:tcBorders>
          </w:tcPr>
          <w:p>
            <w:pPr>
              <w:jc w:val="center"/>
              <w:ind w:left="825"/>
              <w:spacing w:after="0"/>
              <w:rPr>
                <w:sz w:val="20"/>
                <w:szCs w:val="20"/>
                <w:color w:val="auto"/>
              </w:rPr>
            </w:pPr>
            <w:r>
              <w:rPr>
                <w:rFonts w:ascii="Arial" w:cs="Arial" w:eastAsia="Arial" w:hAnsi="Arial"/>
                <w:sz w:val="15"/>
                <w:szCs w:val="15"/>
                <w:color w:val="auto"/>
              </w:rPr>
              <w:t>131</w:t>
            </w:r>
          </w:p>
        </w:tc>
      </w:tr>
    </w:tbl>
    <w:p>
      <w:pPr>
        <w:spacing w:after="0" w:line="90" w:lineRule="exact"/>
        <w:rPr>
          <w:sz w:val="20"/>
          <w:szCs w:val="20"/>
          <w:color w:val="auto"/>
        </w:rPr>
      </w:pPr>
    </w:p>
    <w:p>
      <w:pPr>
        <w:jc w:val="both"/>
        <w:ind w:left="400" w:right="140"/>
        <w:spacing w:after="0" w:line="269" w:lineRule="auto"/>
        <w:rPr>
          <w:sz w:val="20"/>
          <w:szCs w:val="20"/>
          <w:color w:val="auto"/>
        </w:rPr>
      </w:pPr>
      <w:r>
        <w:rPr>
          <w:rFonts w:ascii="Arial" w:cs="Arial" w:eastAsia="Arial" w:hAnsi="Arial"/>
          <w:sz w:val="15"/>
          <w:szCs w:val="15"/>
          <w:color w:val="auto"/>
        </w:rPr>
        <w:t>After applying our methodology and excluding the employees listed above, we identified the median employee. Our median employee compensation as calculated using Summary Compensation Table requirements was $36,899. Our CEO’s compensation as reported in the Summary Compensation Table was $13,223,937. Therefore, our CEO to median employee pay ratio is 358:1.</w:t>
      </w:r>
    </w:p>
    <w:p>
      <w:pPr>
        <w:spacing w:after="0" w:line="61" w:lineRule="exact"/>
        <w:rPr>
          <w:sz w:val="20"/>
          <w:szCs w:val="20"/>
          <w:color w:val="auto"/>
        </w:rPr>
      </w:pPr>
    </w:p>
    <w:p>
      <w:pPr>
        <w:ind w:left="400" w:right="160"/>
        <w:spacing w:after="0" w:line="263" w:lineRule="auto"/>
        <w:rPr>
          <w:sz w:val="20"/>
          <w:szCs w:val="20"/>
          <w:color w:val="auto"/>
        </w:rPr>
      </w:pPr>
      <w:r>
        <w:rPr>
          <w:rFonts w:ascii="Arial" w:cs="Arial" w:eastAsia="Arial" w:hAnsi="Arial"/>
          <w:sz w:val="15"/>
          <w:szCs w:val="15"/>
          <w:color w:val="auto"/>
        </w:rPr>
        <w:t>Note that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This information is being provided for compliance purposes. Neither the Compensation Policy Committee nor management of the Company used the pay ratio measure in making compensation decisions.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COMPENSATION ARRANGEMENTS FOR NON-EMPLOYEE DIRECTORS</w:t>
      </w:r>
    </w:p>
    <w:p>
      <w:pPr>
        <w:spacing w:after="0" w:line="106" w:lineRule="exact"/>
        <w:rPr>
          <w:sz w:val="20"/>
          <w:szCs w:val="20"/>
          <w:color w:val="auto"/>
        </w:rPr>
      </w:pPr>
    </w:p>
    <w:p>
      <w:pPr>
        <w:ind w:left="400" w:right="20"/>
        <w:spacing w:after="0" w:line="259" w:lineRule="auto"/>
        <w:rPr>
          <w:sz w:val="20"/>
          <w:szCs w:val="20"/>
          <w:color w:val="auto"/>
        </w:rPr>
      </w:pPr>
      <w:r>
        <w:rPr>
          <w:rFonts w:ascii="Arial" w:cs="Arial" w:eastAsia="Arial" w:hAnsi="Arial"/>
          <w:sz w:val="15"/>
          <w:szCs w:val="15"/>
          <w:color w:val="auto"/>
        </w:rPr>
        <w:t>In designing and implementing compensation programs applicable to our non-employee directors, our Compensation Policy Committee considered the advice and recommendations of Exequity. In determining its recommendation to the Board with respect to compensation for our non-employee directors for 2021, the Compensation Policy Committee considered Exequity’s recommendation that with the COVID pandemic, an external market review would not result in changes to the prior year’s compensation. The Compensation Policy Committee, therefore, did not recommend changes to the non-employee director compensation in 2021.</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For 2021, our compensation arrangements for our non-employee directors for service on our Board of Directors consisted of:</w:t>
      </w:r>
    </w:p>
    <w:p>
      <w:pPr>
        <w:spacing w:after="0" w:line="122" w:lineRule="exact"/>
        <w:rPr>
          <w:sz w:val="20"/>
          <w:szCs w:val="20"/>
          <w:color w:val="auto"/>
        </w:rPr>
      </w:pPr>
    </w:p>
    <w:p>
      <w:pPr>
        <w:ind w:left="600" w:hanging="206"/>
        <w:spacing w:after="0"/>
        <w:tabs>
          <w:tab w:leader="none" w:pos="600" w:val="left"/>
        </w:tabs>
        <w:numPr>
          <w:ilvl w:val="0"/>
          <w:numId w:val="89"/>
        </w:numPr>
        <w:rPr>
          <w:rFonts w:ascii="Arial" w:cs="Arial" w:eastAsia="Arial" w:hAnsi="Arial"/>
          <w:sz w:val="15"/>
          <w:szCs w:val="15"/>
          <w:color w:val="004987"/>
        </w:rPr>
      </w:pPr>
      <w:r>
        <w:rPr>
          <w:rFonts w:ascii="Arial" w:cs="Arial" w:eastAsia="Arial" w:hAnsi="Arial"/>
          <w:sz w:val="15"/>
          <w:szCs w:val="15"/>
          <w:color w:val="auto"/>
        </w:rPr>
        <w:t>an annual cash retainer of $85,000 for each non-employee director other than the Chairman and $130,000 for the Chairman;</w:t>
      </w:r>
    </w:p>
    <w:p>
      <w:pPr>
        <w:spacing w:after="0" w:line="122" w:lineRule="exact"/>
        <w:rPr>
          <w:rFonts w:ascii="Arial" w:cs="Arial" w:eastAsia="Arial" w:hAnsi="Arial"/>
          <w:sz w:val="15"/>
          <w:szCs w:val="15"/>
          <w:color w:val="004987"/>
        </w:rPr>
      </w:pPr>
    </w:p>
    <w:p>
      <w:pPr>
        <w:ind w:left="600" w:right="340" w:hanging="206"/>
        <w:spacing w:after="0" w:line="289" w:lineRule="auto"/>
        <w:tabs>
          <w:tab w:leader="none" w:pos="600" w:val="left"/>
        </w:tabs>
        <w:numPr>
          <w:ilvl w:val="0"/>
          <w:numId w:val="89"/>
        </w:numPr>
        <w:rPr>
          <w:rFonts w:ascii="Arial" w:cs="Arial" w:eastAsia="Arial" w:hAnsi="Arial"/>
          <w:sz w:val="15"/>
          <w:szCs w:val="15"/>
          <w:color w:val="004987"/>
        </w:rPr>
      </w:pPr>
      <w:r>
        <w:rPr>
          <w:rFonts w:ascii="Arial" w:cs="Arial" w:eastAsia="Arial" w:hAnsi="Arial"/>
          <w:sz w:val="15"/>
          <w:szCs w:val="15"/>
          <w:color w:val="auto"/>
        </w:rPr>
        <w:t>an annual cash retainer of $25,000 for the chairs of each of the Audit Committee, Compensation Policy Committee and Nominating and Corporate Governance Committee;</w:t>
      </w:r>
    </w:p>
    <w:p>
      <w:pPr>
        <w:spacing w:after="0" w:line="58" w:lineRule="exact"/>
        <w:rPr>
          <w:rFonts w:ascii="Arial" w:cs="Arial" w:eastAsia="Arial" w:hAnsi="Arial"/>
          <w:sz w:val="15"/>
          <w:szCs w:val="15"/>
          <w:color w:val="004987"/>
        </w:rPr>
      </w:pPr>
    </w:p>
    <w:p>
      <w:pPr>
        <w:ind w:left="600" w:right="360" w:hanging="206"/>
        <w:spacing w:after="0" w:line="289" w:lineRule="auto"/>
        <w:tabs>
          <w:tab w:leader="none" w:pos="600" w:val="left"/>
        </w:tabs>
        <w:numPr>
          <w:ilvl w:val="0"/>
          <w:numId w:val="89"/>
        </w:numPr>
        <w:rPr>
          <w:rFonts w:ascii="Arial" w:cs="Arial" w:eastAsia="Arial" w:hAnsi="Arial"/>
          <w:sz w:val="15"/>
          <w:szCs w:val="15"/>
          <w:color w:val="004987"/>
        </w:rPr>
      </w:pPr>
      <w:r>
        <w:rPr>
          <w:rFonts w:ascii="Arial" w:cs="Arial" w:eastAsia="Arial" w:hAnsi="Arial"/>
          <w:sz w:val="15"/>
          <w:szCs w:val="15"/>
          <w:color w:val="auto"/>
        </w:rPr>
        <w:t>an annual cash retainer of $10,000 for the members (other than the Chairs) of each of the Audit Committee, Compensation Policy Committee and Nominating and Corporate Governance Committee; and</w:t>
      </w:r>
    </w:p>
    <w:p>
      <w:pPr>
        <w:spacing w:after="0" w:line="58" w:lineRule="exact"/>
        <w:rPr>
          <w:rFonts w:ascii="Arial" w:cs="Arial" w:eastAsia="Arial" w:hAnsi="Arial"/>
          <w:sz w:val="15"/>
          <w:szCs w:val="15"/>
          <w:color w:val="004987"/>
        </w:rPr>
      </w:pPr>
    </w:p>
    <w:p>
      <w:pPr>
        <w:ind w:left="600" w:right="20" w:hanging="206"/>
        <w:spacing w:after="0" w:line="289" w:lineRule="auto"/>
        <w:tabs>
          <w:tab w:leader="none" w:pos="600" w:val="left"/>
        </w:tabs>
        <w:numPr>
          <w:ilvl w:val="0"/>
          <w:numId w:val="89"/>
        </w:numPr>
        <w:rPr>
          <w:rFonts w:ascii="Arial" w:cs="Arial" w:eastAsia="Arial" w:hAnsi="Arial"/>
          <w:sz w:val="15"/>
          <w:szCs w:val="15"/>
          <w:color w:val="004987"/>
        </w:rPr>
      </w:pPr>
      <w:r>
        <w:rPr>
          <w:rFonts w:ascii="Arial" w:cs="Arial" w:eastAsia="Arial" w:hAnsi="Arial"/>
          <w:sz w:val="15"/>
          <w:szCs w:val="15"/>
          <w:color w:val="auto"/>
        </w:rPr>
        <w:t>an annual equity grant (the “Non-Employee Director Share Awards”) with a grant date value of $150,000 for each non-employee director other than the Chairman and $225,000 for the Chairman.</w:t>
      </w:r>
    </w:p>
    <w:p>
      <w:pPr>
        <w:spacing w:after="0" w:line="84" w:lineRule="exact"/>
        <w:rPr>
          <w:sz w:val="20"/>
          <w:szCs w:val="20"/>
          <w:color w:val="auto"/>
        </w:rPr>
      </w:pPr>
    </w:p>
    <w:p>
      <w:pPr>
        <w:ind w:left="400"/>
        <w:spacing w:after="0"/>
        <w:tabs>
          <w:tab w:leader="none" w:pos="4520" w:val="left"/>
          <w:tab w:leader="none" w:pos="7720" w:val="left"/>
        </w:tabs>
        <w:rPr>
          <w:sz w:val="20"/>
          <w:szCs w:val="20"/>
          <w:color w:val="auto"/>
        </w:rPr>
      </w:pPr>
      <w:r>
        <w:rPr>
          <w:rFonts w:ascii="Arial" w:cs="Arial" w:eastAsia="Arial" w:hAnsi="Arial"/>
          <w:sz w:val="10"/>
          <w:szCs w:val="10"/>
          <w:b w:val="1"/>
          <w:bCs w:val="1"/>
          <w:color w:val="004987"/>
        </w:rPr>
        <w:t>44</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49" w:name="page50"/>
    <w:bookmarkEnd w:id="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9" w:lineRule="exact"/>
        <w:rPr>
          <w:sz w:val="20"/>
          <w:szCs w:val="20"/>
          <w:color w:val="auto"/>
        </w:rPr>
      </w:pPr>
    </w:p>
    <w:p>
      <w:pPr>
        <w:ind w:left="400" w:right="20"/>
        <w:spacing w:after="0" w:line="263" w:lineRule="auto"/>
        <w:rPr>
          <w:sz w:val="20"/>
          <w:szCs w:val="20"/>
          <w:color w:val="auto"/>
        </w:rPr>
      </w:pPr>
      <w:r>
        <w:rPr>
          <w:rFonts w:ascii="Arial" w:cs="Arial" w:eastAsia="Arial" w:hAnsi="Arial"/>
          <w:sz w:val="15"/>
          <w:szCs w:val="15"/>
          <w:color w:val="auto"/>
        </w:rPr>
        <w:t>The Non-Employee Director Share Awards vest immediately upon grant. Non-Employee Director Share Awards granted prior to 2016 represent the right to receive shares of the Company’s common stock upon a director’s completion of Board service. Since 2016, a non-employee director who has achieved the ownership level required by our stock ownership guidelines at such time (without giving effect to any time permitted for achievement) has been permitted to elect one of the following options with respect to each grant of Non-Employee Director Share Awards:</w:t>
      </w:r>
    </w:p>
    <w:p>
      <w:pPr>
        <w:spacing w:after="0" w:line="77" w:lineRule="exact"/>
        <w:rPr>
          <w:sz w:val="20"/>
          <w:szCs w:val="20"/>
          <w:color w:val="auto"/>
        </w:rPr>
      </w:pPr>
    </w:p>
    <w:p>
      <w:pPr>
        <w:jc w:val="both"/>
        <w:ind w:left="600" w:right="20" w:hanging="206"/>
        <w:spacing w:after="0" w:line="269" w:lineRule="auto"/>
        <w:tabs>
          <w:tab w:leader="none" w:pos="600" w:val="left"/>
        </w:tabs>
        <w:numPr>
          <w:ilvl w:val="0"/>
          <w:numId w:val="90"/>
        </w:numPr>
        <w:rPr>
          <w:rFonts w:ascii="Arial" w:cs="Arial" w:eastAsia="Arial" w:hAnsi="Arial"/>
          <w:sz w:val="15"/>
          <w:szCs w:val="15"/>
          <w:color w:val="004987"/>
        </w:rPr>
      </w:pPr>
      <w:r>
        <w:rPr>
          <w:rFonts w:ascii="Arial" w:cs="Arial" w:eastAsia="Arial" w:hAnsi="Arial"/>
          <w:sz w:val="15"/>
          <w:szCs w:val="15"/>
          <w:color w:val="auto"/>
        </w:rPr>
        <w:t>to receive the Non-Employee Director Share Awards in the form of stock units with terms, including regarding the payment of dividends, as specified in the Equity Plans, with distribution in the form of shares of the Company’s common stock to occur as elected by the non-employee director as permitted pursuant to the Equity Plans; or</w:t>
      </w:r>
    </w:p>
    <w:p>
      <w:pPr>
        <w:spacing w:after="0" w:line="73" w:lineRule="exact"/>
        <w:rPr>
          <w:rFonts w:ascii="Arial" w:cs="Arial" w:eastAsia="Arial" w:hAnsi="Arial"/>
          <w:sz w:val="15"/>
          <w:szCs w:val="15"/>
          <w:color w:val="004987"/>
        </w:rPr>
      </w:pPr>
    </w:p>
    <w:p>
      <w:pPr>
        <w:ind w:left="600" w:right="480" w:hanging="206"/>
        <w:spacing w:after="0" w:line="289" w:lineRule="auto"/>
        <w:tabs>
          <w:tab w:leader="none" w:pos="600" w:val="left"/>
        </w:tabs>
        <w:numPr>
          <w:ilvl w:val="0"/>
          <w:numId w:val="90"/>
        </w:numPr>
        <w:rPr>
          <w:rFonts w:ascii="Arial" w:cs="Arial" w:eastAsia="Arial" w:hAnsi="Arial"/>
          <w:sz w:val="15"/>
          <w:szCs w:val="15"/>
          <w:color w:val="004987"/>
        </w:rPr>
      </w:pPr>
      <w:r>
        <w:rPr>
          <w:rFonts w:ascii="Arial" w:cs="Arial" w:eastAsia="Arial" w:hAnsi="Arial"/>
          <w:sz w:val="15"/>
          <w:szCs w:val="15"/>
          <w:color w:val="auto"/>
        </w:rPr>
        <w:t>to receive the Non-Employee Director Share Awards in the form of shares of the Company’s common stock, to be issued as soon as practicable following the grant date.</w:t>
      </w:r>
    </w:p>
    <w:p>
      <w:pPr>
        <w:spacing w:after="0" w:line="46" w:lineRule="exact"/>
        <w:rPr>
          <w:sz w:val="20"/>
          <w:szCs w:val="20"/>
          <w:color w:val="auto"/>
        </w:rPr>
      </w:pPr>
    </w:p>
    <w:p>
      <w:pPr>
        <w:jc w:val="both"/>
        <w:ind w:left="400" w:right="100"/>
        <w:spacing w:after="0" w:line="263" w:lineRule="auto"/>
        <w:rPr>
          <w:sz w:val="20"/>
          <w:szCs w:val="20"/>
          <w:color w:val="auto"/>
        </w:rPr>
      </w:pPr>
      <w:r>
        <w:rPr>
          <w:rFonts w:ascii="Arial" w:cs="Arial" w:eastAsia="Arial" w:hAnsi="Arial"/>
          <w:sz w:val="15"/>
          <w:szCs w:val="15"/>
          <w:color w:val="auto"/>
        </w:rPr>
        <w:t>If no election is made, Non-Employee Director Share Awards will represent the right to receive shares of the Company’s common stock upon a director’s completion of Board service. When the Company pays a cash dividend, a corresponding dividend equivalent payment is paid in cash with respect to the Non-Employee Director Share Awards. Non-Employee Director Share Awards cannot be transferred or assigned, and the director has no voting rights in the shares of common stock underlying the awards until such time as such shares are distributed to the non-employee director.</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the compensation paid to our non-employee directors during the fiscal year ended December 31, 2021.</w:t>
      </w: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4987"/>
                <w:w w:val="96"/>
              </w:rPr>
              <w:t>Change in Pension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6"/>
              </w:rPr>
              <w:t>Value and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spacing w:after="0"/>
              <w:rPr>
                <w:sz w:val="13"/>
                <w:szCs w:val="13"/>
                <w:color w:val="auto"/>
              </w:rPr>
            </w:pPr>
          </w:p>
        </w:tc>
        <w:tc>
          <w:tcPr>
            <w:tcW w:w="3240" w:type="dxa"/>
            <w:vAlign w:val="bottom"/>
            <w:vMerge w:val="restart"/>
          </w:tcPr>
          <w:p>
            <w:pPr>
              <w:jc w:val="center"/>
              <w:ind w:left="1846"/>
              <w:spacing w:after="0"/>
              <w:rPr>
                <w:sz w:val="20"/>
                <w:szCs w:val="20"/>
                <w:color w:val="auto"/>
              </w:rPr>
            </w:pPr>
            <w:r>
              <w:rPr>
                <w:rFonts w:ascii="Arial" w:cs="Arial" w:eastAsia="Arial" w:hAnsi="Arial"/>
                <w:sz w:val="14"/>
                <w:szCs w:val="14"/>
                <w:b w:val="1"/>
                <w:bCs w:val="1"/>
                <w:color w:val="004987"/>
                <w:w w:val="96"/>
              </w:rPr>
              <w:t>Fees Earned</w:t>
            </w:r>
          </w:p>
        </w:tc>
        <w:tc>
          <w:tcPr>
            <w:tcW w:w="1060" w:type="dxa"/>
            <w:vAlign w:val="bottom"/>
          </w:tcPr>
          <w:p>
            <w:pPr>
              <w:spacing w:after="0"/>
              <w:rPr>
                <w:sz w:val="13"/>
                <w:szCs w:val="13"/>
                <w:color w:val="auto"/>
              </w:rPr>
            </w:pPr>
          </w:p>
        </w:tc>
        <w:tc>
          <w:tcPr>
            <w:tcW w:w="1520" w:type="dxa"/>
            <w:vAlign w:val="bottom"/>
          </w:tcPr>
          <w:p>
            <w:pPr>
              <w:jc w:val="center"/>
              <w:spacing w:after="0" w:line="154" w:lineRule="exact"/>
              <w:rPr>
                <w:sz w:val="20"/>
                <w:szCs w:val="20"/>
                <w:color w:val="auto"/>
              </w:rPr>
            </w:pPr>
            <w:r>
              <w:rPr>
                <w:rFonts w:ascii="Arial" w:cs="Arial" w:eastAsia="Arial" w:hAnsi="Arial"/>
                <w:sz w:val="14"/>
                <w:szCs w:val="14"/>
                <w:b w:val="1"/>
                <w:bCs w:val="1"/>
                <w:color w:val="004987"/>
                <w:w w:val="96"/>
              </w:rPr>
              <w:t>Non-qualified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78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jc w:val="center"/>
              <w:spacing w:after="0" w:line="141" w:lineRule="exact"/>
              <w:rPr>
                <w:sz w:val="20"/>
                <w:szCs w:val="20"/>
                <w:color w:val="auto"/>
              </w:rPr>
            </w:pPr>
            <w:r>
              <w:rPr>
                <w:rFonts w:ascii="Arial" w:cs="Arial" w:eastAsia="Arial" w:hAnsi="Arial"/>
                <w:sz w:val="14"/>
                <w:szCs w:val="14"/>
                <w:b w:val="1"/>
                <w:bCs w:val="1"/>
                <w:color w:val="004987"/>
                <w:w w:val="97"/>
              </w:rPr>
              <w:t>Deferred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3240" w:type="dxa"/>
            <w:vAlign w:val="bottom"/>
          </w:tcPr>
          <w:p>
            <w:pPr>
              <w:jc w:val="center"/>
              <w:ind w:left="1826"/>
              <w:spacing w:after="0" w:line="151" w:lineRule="exact"/>
              <w:rPr>
                <w:sz w:val="20"/>
                <w:szCs w:val="20"/>
                <w:color w:val="auto"/>
              </w:rPr>
            </w:pPr>
            <w:r>
              <w:rPr>
                <w:rFonts w:ascii="Arial" w:cs="Arial" w:eastAsia="Arial" w:hAnsi="Arial"/>
                <w:sz w:val="14"/>
                <w:szCs w:val="14"/>
                <w:b w:val="1"/>
                <w:bCs w:val="1"/>
                <w:color w:val="004987"/>
                <w:w w:val="97"/>
              </w:rPr>
              <w:t>or Paid in</w:t>
            </w:r>
          </w:p>
        </w:tc>
        <w:tc>
          <w:tcPr>
            <w:tcW w:w="1060" w:type="dxa"/>
            <w:vAlign w:val="bottom"/>
          </w:tcPr>
          <w:p>
            <w:pPr>
              <w:jc w:val="right"/>
              <w:ind w:right="225"/>
              <w:spacing w:after="0" w:line="151" w:lineRule="exact"/>
              <w:rPr>
                <w:sz w:val="20"/>
                <w:szCs w:val="20"/>
                <w:color w:val="auto"/>
              </w:rPr>
            </w:pPr>
            <w:r>
              <w:rPr>
                <w:rFonts w:ascii="Arial" w:cs="Arial" w:eastAsia="Arial" w:hAnsi="Arial"/>
                <w:sz w:val="14"/>
                <w:szCs w:val="14"/>
                <w:b w:val="1"/>
                <w:bCs w:val="1"/>
                <w:color w:val="004987"/>
              </w:rPr>
              <w:t>Stock</w:t>
            </w:r>
          </w:p>
        </w:tc>
        <w:tc>
          <w:tcPr>
            <w:tcW w:w="1520" w:type="dxa"/>
            <w:vAlign w:val="bottom"/>
          </w:tcPr>
          <w:p>
            <w:pPr>
              <w:jc w:val="center"/>
              <w:spacing w:after="0" w:line="151" w:lineRule="exact"/>
              <w:rPr>
                <w:sz w:val="20"/>
                <w:szCs w:val="20"/>
                <w:color w:val="auto"/>
              </w:rPr>
            </w:pPr>
            <w:r>
              <w:rPr>
                <w:rFonts w:ascii="Arial" w:cs="Arial" w:eastAsia="Arial" w:hAnsi="Arial"/>
                <w:sz w:val="14"/>
                <w:szCs w:val="14"/>
                <w:b w:val="1"/>
                <w:bCs w:val="1"/>
                <w:color w:val="004987"/>
                <w:w w:val="96"/>
              </w:rPr>
              <w:t>Compensation</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3240" w:type="dxa"/>
            <w:vAlign w:val="bottom"/>
            <w:tcBorders>
              <w:bottom w:val="single" w:sz="8" w:color="004987"/>
            </w:tcBorders>
          </w:tcPr>
          <w:p>
            <w:pPr>
              <w:jc w:val="center"/>
              <w:ind w:left="1846"/>
              <w:spacing w:after="0" w:line="180" w:lineRule="exact"/>
              <w:rPr>
                <w:sz w:val="20"/>
                <w:szCs w:val="20"/>
                <w:color w:val="auto"/>
              </w:rPr>
            </w:pPr>
            <w:r>
              <w:rPr>
                <w:rFonts w:ascii="Arial" w:cs="Arial" w:eastAsia="Arial" w:hAnsi="Arial"/>
                <w:sz w:val="12"/>
                <w:szCs w:val="12"/>
                <w:b w:val="1"/>
                <w:bCs w:val="1"/>
                <w:color w:val="004987"/>
              </w:rPr>
              <w:t>Cash</w:t>
            </w:r>
            <w:r>
              <w:rPr>
                <w:rFonts w:ascii="Arial" w:cs="Arial" w:eastAsia="Arial" w:hAnsi="Arial"/>
                <w:sz w:val="20"/>
                <w:szCs w:val="20"/>
                <w:color w:val="004987"/>
                <w:vertAlign w:val="superscript"/>
              </w:rPr>
              <w:t>1,2</w:t>
            </w:r>
          </w:p>
        </w:tc>
        <w:tc>
          <w:tcPr>
            <w:tcW w:w="1060" w:type="dxa"/>
            <w:vAlign w:val="bottom"/>
            <w:tcBorders>
              <w:bottom w:val="single" w:sz="8" w:color="004987"/>
            </w:tcBorders>
          </w:tcPr>
          <w:p>
            <w:pPr>
              <w:jc w:val="right"/>
              <w:ind w:right="145"/>
              <w:spacing w:after="0" w:line="180" w:lineRule="exact"/>
              <w:rPr>
                <w:sz w:val="20"/>
                <w:szCs w:val="20"/>
                <w:color w:val="auto"/>
              </w:rPr>
            </w:pPr>
            <w:r>
              <w:rPr>
                <w:rFonts w:ascii="Arial" w:cs="Arial" w:eastAsia="Arial" w:hAnsi="Arial"/>
                <w:sz w:val="12"/>
                <w:szCs w:val="12"/>
                <w:b w:val="1"/>
                <w:bCs w:val="1"/>
                <w:color w:val="004987"/>
              </w:rPr>
              <w:t>Awards</w:t>
            </w:r>
            <w:r>
              <w:rPr>
                <w:rFonts w:ascii="Arial" w:cs="Arial" w:eastAsia="Arial" w:hAnsi="Arial"/>
                <w:sz w:val="20"/>
                <w:szCs w:val="20"/>
                <w:color w:val="004987"/>
                <w:vertAlign w:val="superscript"/>
              </w:rPr>
              <w:t>3</w:t>
            </w:r>
          </w:p>
        </w:tc>
        <w:tc>
          <w:tcPr>
            <w:tcW w:w="1520" w:type="dxa"/>
            <w:vAlign w:val="bottom"/>
            <w:tcBorders>
              <w:bottom w:val="single" w:sz="8" w:color="004987"/>
            </w:tcBorders>
          </w:tcPr>
          <w:p>
            <w:pPr>
              <w:jc w:val="center"/>
              <w:spacing w:after="0" w:line="180" w:lineRule="exact"/>
              <w:rPr>
                <w:sz w:val="20"/>
                <w:szCs w:val="20"/>
                <w:color w:val="auto"/>
              </w:rPr>
            </w:pPr>
            <w:r>
              <w:rPr>
                <w:rFonts w:ascii="Arial" w:cs="Arial" w:eastAsia="Arial" w:hAnsi="Arial"/>
                <w:sz w:val="12"/>
                <w:szCs w:val="12"/>
                <w:b w:val="1"/>
                <w:bCs w:val="1"/>
                <w:color w:val="004987"/>
              </w:rPr>
              <w:t>Earnings</w:t>
            </w:r>
            <w:r>
              <w:rPr>
                <w:rFonts w:ascii="Arial" w:cs="Arial" w:eastAsia="Arial" w:hAnsi="Arial"/>
                <w:sz w:val="20"/>
                <w:szCs w:val="20"/>
                <w:color w:val="004987"/>
                <w:vertAlign w:val="superscript"/>
              </w:rPr>
              <w:t>4</w:t>
            </w:r>
          </w:p>
        </w:tc>
        <w:tc>
          <w:tcPr>
            <w:tcW w:w="860" w:type="dxa"/>
            <w:vAlign w:val="bottom"/>
            <w:tcBorders>
              <w:bottom w:val="single" w:sz="8" w:color="004987"/>
            </w:tcBorders>
          </w:tcPr>
          <w:p>
            <w:pPr>
              <w:jc w:val="right"/>
              <w:ind w:right="164"/>
              <w:spacing w:after="0"/>
              <w:rPr>
                <w:sz w:val="20"/>
                <w:szCs w:val="20"/>
                <w:color w:val="auto"/>
              </w:rPr>
            </w:pPr>
            <w:r>
              <w:rPr>
                <w:rFonts w:ascii="Arial" w:cs="Arial" w:eastAsia="Arial" w:hAnsi="Arial"/>
                <w:sz w:val="14"/>
                <w:szCs w:val="14"/>
                <w:b w:val="1"/>
                <w:bCs w:val="1"/>
                <w:color w:val="004987"/>
              </w:rPr>
              <w:t>Total</w:t>
            </w:r>
          </w:p>
        </w:tc>
        <w:tc>
          <w:tcPr>
            <w:tcW w:w="0" w:type="dxa"/>
            <w:vAlign w:val="bottom"/>
          </w:tcPr>
          <w:p>
            <w:pPr>
              <w:spacing w:after="0"/>
              <w:rPr>
                <w:sz w:val="1"/>
                <w:szCs w:val="1"/>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William J. Shaw</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$130,000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$225,080</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$355,080</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 Andrews</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120,000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150,457</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270,457</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Lizanne Galbreath</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105,000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150,457</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255,457</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Raymond L. Gellein, Jr.</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105,000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149,938</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254,938</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Thomas J. Hutchison III</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105,000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149,938</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254,938</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Melquiades R. Martinez</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110,000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149,938</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259,938</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William W. McCarten</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105,000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149,938</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254,938</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Dianna F. Morgan</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120,000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149,938</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269,938</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Stephen R. Quazzo</w:t>
            </w:r>
          </w:p>
        </w:tc>
        <w:tc>
          <w:tcPr>
            <w:tcW w:w="324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105,000</w:t>
            </w:r>
          </w:p>
        </w:tc>
        <w:tc>
          <w:tcPr>
            <w:tcW w:w="10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149,938</w:t>
            </w:r>
          </w:p>
        </w:tc>
        <w:tc>
          <w:tcPr>
            <w:tcW w:w="15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254,938</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Jonice G. Tucker</w:t>
            </w:r>
          </w:p>
        </w:tc>
        <w:tc>
          <w:tcPr>
            <w:tcW w:w="3240" w:type="dxa"/>
            <w:vAlign w:val="bottom"/>
            <w:tcBorders>
              <w:bottom w:val="single" w:sz="8" w:color="004987"/>
            </w:tcBorders>
          </w:tcPr>
          <w:p>
            <w:pPr>
              <w:jc w:val="right"/>
              <w:ind w:right="266"/>
              <w:spacing w:after="0"/>
              <w:rPr>
                <w:sz w:val="20"/>
                <w:szCs w:val="20"/>
                <w:color w:val="auto"/>
              </w:rPr>
            </w:pPr>
            <w:r>
              <w:rPr>
                <w:rFonts w:ascii="Arial" w:cs="Arial" w:eastAsia="Arial" w:hAnsi="Arial"/>
                <w:sz w:val="15"/>
                <w:szCs w:val="15"/>
                <w:color w:val="auto"/>
              </w:rPr>
              <w:t>21,250</w:t>
            </w:r>
          </w:p>
        </w:tc>
        <w:tc>
          <w:tcPr>
            <w:tcW w:w="1060" w:type="dxa"/>
            <w:vAlign w:val="bottom"/>
            <w:tcBorders>
              <w:bottom w:val="single" w:sz="8" w:color="004987"/>
            </w:tcBorders>
          </w:tcPr>
          <w:p>
            <w:pPr>
              <w:jc w:val="right"/>
              <w:ind w:right="65"/>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004987"/>
            </w:tcBorders>
          </w:tcPr>
          <w:p>
            <w:pPr>
              <w:jc w:val="right"/>
              <w:ind w:right="32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21,250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00" w:right="300" w:hanging="306"/>
        <w:spacing w:after="0" w:line="188" w:lineRule="auto"/>
        <w:tabs>
          <w:tab w:leader="none" w:pos="700" w:val="left"/>
        </w:tabs>
        <w:numPr>
          <w:ilvl w:val="0"/>
          <w:numId w:val="91"/>
        </w:numPr>
        <w:rPr>
          <w:rFonts w:ascii="Arial" w:cs="Arial" w:eastAsia="Arial" w:hAnsi="Arial"/>
          <w:sz w:val="23"/>
          <w:szCs w:val="23"/>
          <w:color w:val="auto"/>
          <w:vertAlign w:val="superscript"/>
        </w:rPr>
      </w:pPr>
      <w:r>
        <w:rPr>
          <w:rFonts w:ascii="Arial" w:cs="Arial" w:eastAsia="Arial" w:hAnsi="Arial"/>
          <w:sz w:val="14"/>
          <w:szCs w:val="14"/>
          <w:color w:val="auto"/>
        </w:rPr>
        <w:t>Directors may elect to defer their cash retainer and committee fees pursuant to the MVW Deferred Compensation Plan. Includes $120,000 deferred by Mr. Andrews under the MVW Deferred Compensation Plan.</w:t>
      </w:r>
    </w:p>
    <w:p>
      <w:pPr>
        <w:spacing w:after="0" w:line="51" w:lineRule="exact"/>
        <w:rPr>
          <w:sz w:val="20"/>
          <w:szCs w:val="20"/>
          <w:color w:val="auto"/>
        </w:rPr>
      </w:pPr>
    </w:p>
    <w:p>
      <w:pPr>
        <w:ind w:left="700" w:right="340" w:hanging="306"/>
        <w:spacing w:after="0" w:line="188" w:lineRule="auto"/>
        <w:tabs>
          <w:tab w:leader="none" w:pos="700" w:val="left"/>
        </w:tabs>
        <w:numPr>
          <w:ilvl w:val="0"/>
          <w:numId w:val="92"/>
        </w:numPr>
        <w:rPr>
          <w:rFonts w:ascii="Arial" w:cs="Arial" w:eastAsia="Arial" w:hAnsi="Arial"/>
          <w:sz w:val="23"/>
          <w:szCs w:val="23"/>
          <w:color w:val="auto"/>
          <w:vertAlign w:val="superscript"/>
        </w:rPr>
      </w:pPr>
      <w:r>
        <w:rPr>
          <w:rFonts w:ascii="Arial" w:cs="Arial" w:eastAsia="Arial" w:hAnsi="Arial"/>
          <w:sz w:val="14"/>
          <w:szCs w:val="14"/>
          <w:color w:val="auto"/>
        </w:rPr>
        <w:t>Directors may elect to receive their cash retainer and committee fees in the form of equity awards. Mr. Gellein and Ms. Galbreath elected equity in lieu of their cash retainer in 2021.</w:t>
      </w:r>
    </w:p>
    <w:p>
      <w:pPr>
        <w:ind w:left="700" w:hanging="306"/>
        <w:spacing w:after="0" w:line="209" w:lineRule="auto"/>
        <w:tabs>
          <w:tab w:leader="none" w:pos="70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The following table indicates the number of outstanding equity awards held by each non-employee director as of December 31, 2021:</w:t>
      </w:r>
    </w:p>
    <w:p>
      <w:pPr>
        <w:spacing w:after="0" w:line="22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004987"/>
                <w:w w:val="96"/>
              </w:rPr>
              <w:t>Number of Securities</w:t>
            </w:r>
          </w:p>
        </w:tc>
        <w:tc>
          <w:tcPr>
            <w:tcW w:w="1680" w:type="dxa"/>
            <w:vAlign w:val="bottom"/>
          </w:tcPr>
          <w:p>
            <w:pPr>
              <w:jc w:val="center"/>
              <w:ind w:left="5"/>
              <w:spacing w:after="0"/>
              <w:rPr>
                <w:sz w:val="20"/>
                <w:szCs w:val="20"/>
                <w:color w:val="auto"/>
              </w:rPr>
            </w:pPr>
            <w:r>
              <w:rPr>
                <w:rFonts w:ascii="Arial" w:cs="Arial" w:eastAsia="Arial" w:hAnsi="Arial"/>
                <w:sz w:val="14"/>
                <w:szCs w:val="14"/>
                <w:b w:val="1"/>
                <w:bCs w:val="1"/>
                <w:color w:val="004987"/>
                <w:w w:val="97"/>
              </w:rPr>
              <w:t>Number of</w:t>
            </w:r>
          </w:p>
        </w:tc>
        <w:tc>
          <w:tcPr>
            <w:tcW w:w="1400" w:type="dxa"/>
            <w:vAlign w:val="bottom"/>
          </w:tcPr>
          <w:p>
            <w:pPr>
              <w:jc w:val="center"/>
              <w:ind w:left="85"/>
              <w:spacing w:after="0"/>
              <w:rPr>
                <w:sz w:val="20"/>
                <w:szCs w:val="20"/>
                <w:color w:val="auto"/>
              </w:rPr>
            </w:pPr>
            <w:r>
              <w:rPr>
                <w:rFonts w:ascii="Arial" w:cs="Arial" w:eastAsia="Arial" w:hAnsi="Arial"/>
                <w:sz w:val="14"/>
                <w:szCs w:val="14"/>
                <w:b w:val="1"/>
                <w:bCs w:val="1"/>
                <w:color w:val="004987"/>
                <w:w w:val="97"/>
              </w:rPr>
              <w:t>Number of</w:t>
            </w:r>
          </w:p>
        </w:tc>
      </w:tr>
      <w:tr>
        <w:trPr>
          <w:trHeight w:val="154"/>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004987"/>
                <w:w w:val="97"/>
              </w:rPr>
              <w:t>Underlying Unexercised</w:t>
            </w:r>
          </w:p>
        </w:tc>
        <w:tc>
          <w:tcPr>
            <w:tcW w:w="1680" w:type="dxa"/>
            <w:vAlign w:val="bottom"/>
          </w:tcPr>
          <w:p>
            <w:pPr>
              <w:jc w:val="center"/>
              <w:ind w:left="5"/>
              <w:spacing w:after="0" w:line="154" w:lineRule="exact"/>
              <w:rPr>
                <w:sz w:val="20"/>
                <w:szCs w:val="20"/>
                <w:color w:val="auto"/>
              </w:rPr>
            </w:pPr>
            <w:r>
              <w:rPr>
                <w:rFonts w:ascii="Arial" w:cs="Arial" w:eastAsia="Arial" w:hAnsi="Arial"/>
                <w:sz w:val="14"/>
                <w:szCs w:val="14"/>
                <w:b w:val="1"/>
                <w:bCs w:val="1"/>
                <w:color w:val="004987"/>
                <w:w w:val="96"/>
              </w:rPr>
              <w:t>Shares or Units</w:t>
            </w:r>
          </w:p>
        </w:tc>
        <w:tc>
          <w:tcPr>
            <w:tcW w:w="1400" w:type="dxa"/>
            <w:vAlign w:val="bottom"/>
          </w:tcPr>
          <w:p>
            <w:pPr>
              <w:jc w:val="center"/>
              <w:ind w:left="65"/>
              <w:spacing w:after="0" w:line="154" w:lineRule="exact"/>
              <w:rPr>
                <w:sz w:val="20"/>
                <w:szCs w:val="20"/>
                <w:color w:val="auto"/>
              </w:rPr>
            </w:pPr>
            <w:r>
              <w:rPr>
                <w:rFonts w:ascii="Arial" w:cs="Arial" w:eastAsia="Arial" w:hAnsi="Arial"/>
                <w:sz w:val="14"/>
                <w:szCs w:val="14"/>
                <w:b w:val="1"/>
                <w:bCs w:val="1"/>
                <w:color w:val="004987"/>
                <w:w w:val="98"/>
              </w:rPr>
              <w:t>Shares or Units</w:t>
            </w:r>
          </w:p>
        </w:tc>
      </w:tr>
      <w:tr>
        <w:trPr>
          <w:trHeight w:val="163"/>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Borders>
              <w:bottom w:val="single" w:sz="8" w:color="004987"/>
            </w:tcBorders>
            <w:gridSpan w:val="2"/>
          </w:tcPr>
          <w:p>
            <w:pPr>
              <w:jc w:val="center"/>
              <w:spacing w:after="0"/>
              <w:rPr>
                <w:sz w:val="20"/>
                <w:szCs w:val="20"/>
                <w:color w:val="auto"/>
              </w:rPr>
            </w:pPr>
            <w:r>
              <w:rPr>
                <w:rFonts w:ascii="Arial" w:cs="Arial" w:eastAsia="Arial" w:hAnsi="Arial"/>
                <w:sz w:val="14"/>
                <w:szCs w:val="14"/>
                <w:b w:val="1"/>
                <w:bCs w:val="1"/>
                <w:color w:val="004987"/>
                <w:w w:val="97"/>
              </w:rPr>
              <w:t>Options/SARs</w:t>
            </w:r>
          </w:p>
        </w:tc>
        <w:tc>
          <w:tcPr>
            <w:tcW w:w="1680" w:type="dxa"/>
            <w:vAlign w:val="bottom"/>
          </w:tcPr>
          <w:p>
            <w:pPr>
              <w:jc w:val="center"/>
              <w:ind w:left="5"/>
              <w:spacing w:after="0"/>
              <w:rPr>
                <w:sz w:val="20"/>
                <w:szCs w:val="20"/>
                <w:color w:val="auto"/>
              </w:rPr>
            </w:pPr>
            <w:r>
              <w:rPr>
                <w:rFonts w:ascii="Arial" w:cs="Arial" w:eastAsia="Arial" w:hAnsi="Arial"/>
                <w:sz w:val="14"/>
                <w:szCs w:val="14"/>
                <w:b w:val="1"/>
                <w:bCs w:val="1"/>
                <w:color w:val="004987"/>
                <w:w w:val="99"/>
              </w:rPr>
              <w:t>of Stock That</w:t>
            </w:r>
          </w:p>
        </w:tc>
        <w:tc>
          <w:tcPr>
            <w:tcW w:w="1400" w:type="dxa"/>
            <w:vAlign w:val="bottom"/>
          </w:tcPr>
          <w:p>
            <w:pPr>
              <w:jc w:val="center"/>
              <w:ind w:left="65"/>
              <w:spacing w:after="0"/>
              <w:rPr>
                <w:sz w:val="20"/>
                <w:szCs w:val="20"/>
                <w:color w:val="auto"/>
              </w:rPr>
            </w:pPr>
            <w:r>
              <w:rPr>
                <w:rFonts w:ascii="Arial" w:cs="Arial" w:eastAsia="Arial" w:hAnsi="Arial"/>
                <w:sz w:val="14"/>
                <w:szCs w:val="14"/>
                <w:b w:val="1"/>
                <w:bCs w:val="1"/>
                <w:color w:val="004987"/>
                <w:w w:val="96"/>
              </w:rPr>
              <w:t>of Stock That</w:t>
            </w:r>
          </w:p>
        </w:tc>
      </w:tr>
      <w:tr>
        <w:trPr>
          <w:trHeight w:val="165"/>
        </w:trPr>
        <w:tc>
          <w:tcPr>
            <w:tcW w:w="1980" w:type="dxa"/>
            <w:vAlign w:val="bottom"/>
            <w:tcBorders>
              <w:bottom w:val="single" w:sz="8" w:color="004987"/>
            </w:tcBorders>
            <w:gridSpan w:val="2"/>
          </w:tcPr>
          <w:p>
            <w:pPr>
              <w:spacing w:after="0" w:line="159" w:lineRule="exact"/>
              <w:rPr>
                <w:sz w:val="20"/>
                <w:szCs w:val="20"/>
                <w:color w:val="auto"/>
              </w:rPr>
            </w:pPr>
            <w:r>
              <w:rPr>
                <w:rFonts w:ascii="Arial" w:cs="Arial" w:eastAsia="Arial" w:hAnsi="Arial"/>
                <w:sz w:val="14"/>
                <w:szCs w:val="14"/>
                <w:b w:val="1"/>
                <w:bCs w:val="1"/>
                <w:color w:val="004987"/>
              </w:rPr>
              <w:t>Name</w:t>
            </w:r>
          </w:p>
        </w:tc>
        <w:tc>
          <w:tcPr>
            <w:tcW w:w="2460" w:type="dxa"/>
            <w:vAlign w:val="bottom"/>
            <w:tcBorders>
              <w:bottom w:val="single" w:sz="8" w:color="004987"/>
            </w:tcBorders>
          </w:tcPr>
          <w:p>
            <w:pPr>
              <w:ind w:left="360"/>
              <w:spacing w:after="0" w:line="159" w:lineRule="exact"/>
              <w:rPr>
                <w:sz w:val="20"/>
                <w:szCs w:val="20"/>
                <w:color w:val="auto"/>
              </w:rPr>
            </w:pPr>
            <w:r>
              <w:rPr>
                <w:rFonts w:ascii="Arial" w:cs="Arial" w:eastAsia="Arial" w:hAnsi="Arial"/>
                <w:sz w:val="14"/>
                <w:szCs w:val="14"/>
                <w:b w:val="1"/>
                <w:bCs w:val="1"/>
                <w:color w:val="004987"/>
              </w:rPr>
              <w:t>Award Type</w:t>
            </w:r>
          </w:p>
        </w:tc>
        <w:tc>
          <w:tcPr>
            <w:tcW w:w="1420" w:type="dxa"/>
            <w:vAlign w:val="bottom"/>
            <w:tcBorders>
              <w:bottom w:val="single" w:sz="8" w:color="004987"/>
            </w:tcBorders>
            <w:gridSpan w:val="2"/>
          </w:tcPr>
          <w:p>
            <w:pPr>
              <w:ind w:left="480"/>
              <w:spacing w:after="0" w:line="159" w:lineRule="exact"/>
              <w:rPr>
                <w:sz w:val="20"/>
                <w:szCs w:val="20"/>
                <w:color w:val="auto"/>
              </w:rPr>
            </w:pPr>
            <w:r>
              <w:rPr>
                <w:rFonts w:ascii="Arial" w:cs="Arial" w:eastAsia="Arial" w:hAnsi="Arial"/>
                <w:sz w:val="14"/>
                <w:szCs w:val="14"/>
                <w:b w:val="1"/>
                <w:bCs w:val="1"/>
                <w:color w:val="004987"/>
              </w:rPr>
              <w:t>Exercisable</w:t>
            </w:r>
          </w:p>
        </w:tc>
        <w:tc>
          <w:tcPr>
            <w:tcW w:w="1100" w:type="dxa"/>
            <w:vAlign w:val="bottom"/>
            <w:tcBorders>
              <w:bottom w:val="single" w:sz="8" w:color="004987"/>
            </w:tcBorders>
          </w:tcPr>
          <w:p>
            <w:pPr>
              <w:ind w:left="160"/>
              <w:spacing w:after="0" w:line="159" w:lineRule="exact"/>
              <w:rPr>
                <w:sz w:val="20"/>
                <w:szCs w:val="20"/>
                <w:color w:val="auto"/>
              </w:rPr>
            </w:pPr>
            <w:r>
              <w:rPr>
                <w:rFonts w:ascii="Arial" w:cs="Arial" w:eastAsia="Arial" w:hAnsi="Arial"/>
                <w:sz w:val="14"/>
                <w:szCs w:val="14"/>
                <w:b w:val="1"/>
                <w:bCs w:val="1"/>
                <w:color w:val="004987"/>
                <w:w w:val="96"/>
              </w:rPr>
              <w:t>Unexercisable</w:t>
            </w:r>
          </w:p>
        </w:tc>
        <w:tc>
          <w:tcPr>
            <w:tcW w:w="1680" w:type="dxa"/>
            <w:vAlign w:val="bottom"/>
            <w:tcBorders>
              <w:bottom w:val="single" w:sz="8" w:color="004987"/>
            </w:tcBorders>
          </w:tcPr>
          <w:p>
            <w:pPr>
              <w:jc w:val="center"/>
              <w:ind w:left="5"/>
              <w:spacing w:after="0" w:line="159" w:lineRule="exact"/>
              <w:rPr>
                <w:sz w:val="20"/>
                <w:szCs w:val="20"/>
                <w:color w:val="auto"/>
              </w:rPr>
            </w:pPr>
            <w:r>
              <w:rPr>
                <w:rFonts w:ascii="Arial" w:cs="Arial" w:eastAsia="Arial" w:hAnsi="Arial"/>
                <w:sz w:val="14"/>
                <w:szCs w:val="14"/>
                <w:b w:val="1"/>
                <w:bCs w:val="1"/>
                <w:color w:val="004987"/>
                <w:w w:val="97"/>
              </w:rPr>
              <w:t>Have Not Vested</w:t>
            </w:r>
          </w:p>
        </w:tc>
        <w:tc>
          <w:tcPr>
            <w:tcW w:w="1400" w:type="dxa"/>
            <w:vAlign w:val="bottom"/>
            <w:tcBorders>
              <w:bottom w:val="single" w:sz="8" w:color="004987"/>
            </w:tcBorders>
          </w:tcPr>
          <w:p>
            <w:pPr>
              <w:jc w:val="center"/>
              <w:ind w:left="85"/>
              <w:spacing w:after="0" w:line="159" w:lineRule="exact"/>
              <w:rPr>
                <w:sz w:val="20"/>
                <w:szCs w:val="20"/>
                <w:color w:val="auto"/>
              </w:rPr>
            </w:pPr>
            <w:r>
              <w:rPr>
                <w:rFonts w:ascii="Arial" w:cs="Arial" w:eastAsia="Arial" w:hAnsi="Arial"/>
                <w:sz w:val="14"/>
                <w:szCs w:val="14"/>
                <w:b w:val="1"/>
                <w:bCs w:val="1"/>
                <w:color w:val="004987"/>
                <w:w w:val="96"/>
              </w:rPr>
              <w:t>Have Vested</w:t>
            </w:r>
          </w:p>
        </w:tc>
      </w:tr>
      <w:tr>
        <w:trPr>
          <w:trHeight w:val="179"/>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William J. Shaw</w:t>
            </w: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Non-Employee Director</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33,223</w:t>
            </w:r>
          </w:p>
        </w:tc>
      </w:tr>
      <w:tr>
        <w:trPr>
          <w:trHeight w:val="172"/>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C.E. Andrews</w:t>
            </w: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Non-Employee Director</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14,543</w:t>
            </w:r>
          </w:p>
        </w:tc>
      </w:tr>
      <w:tr>
        <w:trPr>
          <w:trHeight w:val="160"/>
        </w:trPr>
        <w:tc>
          <w:tcPr>
            <w:tcW w:w="1980" w:type="dxa"/>
            <w:vAlign w:val="bottom"/>
            <w:gridSpan w:val="2"/>
          </w:tcPr>
          <w:p>
            <w:pPr>
              <w:spacing w:after="0" w:line="160" w:lineRule="exact"/>
              <w:rPr>
                <w:sz w:val="20"/>
                <w:szCs w:val="20"/>
                <w:color w:val="auto"/>
              </w:rPr>
            </w:pPr>
            <w:r>
              <w:rPr>
                <w:rFonts w:ascii="Arial" w:cs="Arial" w:eastAsia="Arial" w:hAnsi="Arial"/>
                <w:sz w:val="15"/>
                <w:szCs w:val="15"/>
                <w:color w:val="auto"/>
              </w:rPr>
              <w:t>Lizanne Galbreath</w:t>
            </w:r>
          </w:p>
        </w:tc>
        <w:tc>
          <w:tcPr>
            <w:tcW w:w="2460" w:type="dxa"/>
            <w:vAlign w:val="bottom"/>
          </w:tcPr>
          <w:p>
            <w:pPr>
              <w:ind w:left="360"/>
              <w:spacing w:after="0" w:line="160" w:lineRule="exact"/>
              <w:rPr>
                <w:sz w:val="20"/>
                <w:szCs w:val="20"/>
                <w:color w:val="auto"/>
              </w:rPr>
            </w:pPr>
            <w:r>
              <w:rPr>
                <w:rFonts w:ascii="Arial" w:cs="Arial" w:eastAsia="Arial" w:hAnsi="Arial"/>
                <w:sz w:val="15"/>
                <w:szCs w:val="15"/>
                <w:color w:val="auto"/>
              </w:rPr>
              <w:t>Non-Employee Director</w:t>
            </w:r>
          </w:p>
        </w:tc>
        <w:tc>
          <w:tcPr>
            <w:tcW w:w="480" w:type="dxa"/>
            <w:vAlign w:val="bottom"/>
          </w:tcPr>
          <w:p>
            <w:pPr>
              <w:spacing w:after="0"/>
              <w:rPr>
                <w:sz w:val="13"/>
                <w:szCs w:val="13"/>
                <w:color w:val="auto"/>
              </w:rPr>
            </w:pPr>
          </w:p>
        </w:tc>
        <w:tc>
          <w:tcPr>
            <w:tcW w:w="940" w:type="dxa"/>
            <w:vAlign w:val="bottom"/>
          </w:tcPr>
          <w:p>
            <w:pPr>
              <w:ind w:left="360"/>
              <w:spacing w:after="0" w:line="160" w:lineRule="exact"/>
              <w:rPr>
                <w:sz w:val="20"/>
                <w:szCs w:val="20"/>
                <w:color w:val="auto"/>
              </w:rPr>
            </w:pPr>
            <w:r>
              <w:rPr>
                <w:rFonts w:ascii="Arial" w:cs="Arial" w:eastAsia="Arial" w:hAnsi="Arial"/>
                <w:sz w:val="15"/>
                <w:szCs w:val="15"/>
                <w:color w:val="auto"/>
              </w:rPr>
              <w:t>—</w:t>
            </w:r>
          </w:p>
        </w:tc>
        <w:tc>
          <w:tcPr>
            <w:tcW w:w="1100" w:type="dxa"/>
            <w:vAlign w:val="bottom"/>
          </w:tcPr>
          <w:p>
            <w:pPr>
              <w:ind w:left="620"/>
              <w:spacing w:after="0" w:line="160" w:lineRule="exact"/>
              <w:rPr>
                <w:sz w:val="20"/>
                <w:szCs w:val="20"/>
                <w:color w:val="auto"/>
              </w:rPr>
            </w:pPr>
            <w:r>
              <w:rPr>
                <w:rFonts w:ascii="Arial" w:cs="Arial" w:eastAsia="Arial" w:hAnsi="Arial"/>
                <w:sz w:val="15"/>
                <w:szCs w:val="15"/>
                <w:color w:val="auto"/>
              </w:rPr>
              <w:t>—</w:t>
            </w:r>
          </w:p>
        </w:tc>
        <w:tc>
          <w:tcPr>
            <w:tcW w:w="1680" w:type="dxa"/>
            <w:vAlign w:val="bottom"/>
          </w:tcPr>
          <w:p>
            <w:pPr>
              <w:ind w:left="880"/>
              <w:spacing w:after="0" w:line="160"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85"/>
              <w:spacing w:after="0" w:line="160" w:lineRule="exact"/>
              <w:rPr>
                <w:sz w:val="20"/>
                <w:szCs w:val="20"/>
                <w:color w:val="auto"/>
              </w:rPr>
            </w:pPr>
            <w:r>
              <w:rPr>
                <w:rFonts w:ascii="Arial" w:cs="Arial" w:eastAsia="Arial" w:hAnsi="Arial"/>
                <w:sz w:val="15"/>
                <w:szCs w:val="15"/>
                <w:color w:val="auto"/>
              </w:rPr>
              <w:t>4,411</w:t>
            </w:r>
          </w:p>
        </w:tc>
      </w:tr>
      <w:tr>
        <w:trPr>
          <w:trHeight w:val="192"/>
        </w:trPr>
        <w:tc>
          <w:tcPr>
            <w:tcW w:w="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Stock Units</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2,641</w:t>
            </w:r>
          </w:p>
        </w:tc>
      </w:tr>
      <w:tr>
        <w:trPr>
          <w:trHeight w:val="160"/>
        </w:trPr>
        <w:tc>
          <w:tcPr>
            <w:tcW w:w="20" w:type="dxa"/>
            <w:vAlign w:val="bottom"/>
          </w:tcPr>
          <w:p>
            <w:pPr>
              <w:spacing w:after="0"/>
              <w:rPr>
                <w:sz w:val="13"/>
                <w:szCs w:val="13"/>
                <w:color w:val="auto"/>
              </w:rPr>
            </w:pPr>
          </w:p>
        </w:tc>
        <w:tc>
          <w:tcPr>
            <w:tcW w:w="1960" w:type="dxa"/>
            <w:vAlign w:val="bottom"/>
          </w:tcPr>
          <w:p>
            <w:pPr>
              <w:spacing w:after="0" w:line="160" w:lineRule="exact"/>
              <w:rPr>
                <w:sz w:val="20"/>
                <w:szCs w:val="20"/>
                <w:color w:val="auto"/>
              </w:rPr>
            </w:pPr>
            <w:r>
              <w:rPr>
                <w:rFonts w:ascii="Arial" w:cs="Arial" w:eastAsia="Arial" w:hAnsi="Arial"/>
                <w:sz w:val="15"/>
                <w:szCs w:val="15"/>
                <w:color w:val="auto"/>
              </w:rPr>
              <w:t>Raymond L. Gellein, Jr.</w:t>
            </w:r>
          </w:p>
        </w:tc>
        <w:tc>
          <w:tcPr>
            <w:tcW w:w="2460" w:type="dxa"/>
            <w:vAlign w:val="bottom"/>
          </w:tcPr>
          <w:p>
            <w:pPr>
              <w:ind w:left="360"/>
              <w:spacing w:after="0" w:line="160" w:lineRule="exact"/>
              <w:rPr>
                <w:sz w:val="20"/>
                <w:szCs w:val="20"/>
                <w:color w:val="auto"/>
              </w:rPr>
            </w:pPr>
            <w:r>
              <w:rPr>
                <w:rFonts w:ascii="Arial" w:cs="Arial" w:eastAsia="Arial" w:hAnsi="Arial"/>
                <w:sz w:val="15"/>
                <w:szCs w:val="15"/>
                <w:color w:val="auto"/>
              </w:rPr>
              <w:t>Non-Employee Director</w:t>
            </w:r>
          </w:p>
        </w:tc>
        <w:tc>
          <w:tcPr>
            <w:tcW w:w="480" w:type="dxa"/>
            <w:vAlign w:val="bottom"/>
          </w:tcPr>
          <w:p>
            <w:pPr>
              <w:spacing w:after="0"/>
              <w:rPr>
                <w:sz w:val="13"/>
                <w:szCs w:val="13"/>
                <w:color w:val="auto"/>
              </w:rPr>
            </w:pPr>
          </w:p>
        </w:tc>
        <w:tc>
          <w:tcPr>
            <w:tcW w:w="940" w:type="dxa"/>
            <w:vAlign w:val="bottom"/>
          </w:tcPr>
          <w:p>
            <w:pPr>
              <w:ind w:left="360"/>
              <w:spacing w:after="0" w:line="160" w:lineRule="exact"/>
              <w:rPr>
                <w:sz w:val="20"/>
                <w:szCs w:val="20"/>
                <w:color w:val="auto"/>
              </w:rPr>
            </w:pPr>
            <w:r>
              <w:rPr>
                <w:rFonts w:ascii="Arial" w:cs="Arial" w:eastAsia="Arial" w:hAnsi="Arial"/>
                <w:sz w:val="15"/>
                <w:szCs w:val="15"/>
                <w:color w:val="auto"/>
              </w:rPr>
              <w:t>—</w:t>
            </w:r>
          </w:p>
        </w:tc>
        <w:tc>
          <w:tcPr>
            <w:tcW w:w="1100" w:type="dxa"/>
            <w:vAlign w:val="bottom"/>
          </w:tcPr>
          <w:p>
            <w:pPr>
              <w:ind w:left="620"/>
              <w:spacing w:after="0" w:line="160" w:lineRule="exact"/>
              <w:rPr>
                <w:sz w:val="20"/>
                <w:szCs w:val="20"/>
                <w:color w:val="auto"/>
              </w:rPr>
            </w:pPr>
            <w:r>
              <w:rPr>
                <w:rFonts w:ascii="Arial" w:cs="Arial" w:eastAsia="Arial" w:hAnsi="Arial"/>
                <w:sz w:val="15"/>
                <w:szCs w:val="15"/>
                <w:color w:val="auto"/>
              </w:rPr>
              <w:t>—</w:t>
            </w:r>
          </w:p>
        </w:tc>
        <w:tc>
          <w:tcPr>
            <w:tcW w:w="1680" w:type="dxa"/>
            <w:vAlign w:val="bottom"/>
          </w:tcPr>
          <w:p>
            <w:pPr>
              <w:ind w:left="880"/>
              <w:spacing w:after="0" w:line="160"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85"/>
              <w:spacing w:after="0" w:line="160" w:lineRule="exact"/>
              <w:rPr>
                <w:sz w:val="20"/>
                <w:szCs w:val="20"/>
                <w:color w:val="auto"/>
              </w:rPr>
            </w:pPr>
            <w:r>
              <w:rPr>
                <w:rFonts w:ascii="Arial" w:cs="Arial" w:eastAsia="Arial" w:hAnsi="Arial"/>
                <w:sz w:val="15"/>
                <w:szCs w:val="15"/>
                <w:color w:val="auto"/>
              </w:rPr>
              <w:t>18,981</w:t>
            </w:r>
          </w:p>
        </w:tc>
      </w:tr>
      <w:tr>
        <w:trPr>
          <w:trHeight w:val="192"/>
        </w:trPr>
        <w:tc>
          <w:tcPr>
            <w:tcW w:w="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Stock Units</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2,719</w:t>
            </w:r>
          </w:p>
        </w:tc>
      </w:tr>
      <w:tr>
        <w:trPr>
          <w:trHeight w:val="160"/>
        </w:trPr>
        <w:tc>
          <w:tcPr>
            <w:tcW w:w="20" w:type="dxa"/>
            <w:vAlign w:val="bottom"/>
          </w:tcPr>
          <w:p>
            <w:pPr>
              <w:spacing w:after="0"/>
              <w:rPr>
                <w:sz w:val="13"/>
                <w:szCs w:val="13"/>
                <w:color w:val="auto"/>
              </w:rPr>
            </w:pPr>
          </w:p>
        </w:tc>
        <w:tc>
          <w:tcPr>
            <w:tcW w:w="1960" w:type="dxa"/>
            <w:vAlign w:val="bottom"/>
          </w:tcPr>
          <w:p>
            <w:pPr>
              <w:spacing w:after="0" w:line="160" w:lineRule="exact"/>
              <w:rPr>
                <w:sz w:val="20"/>
                <w:szCs w:val="20"/>
                <w:color w:val="auto"/>
              </w:rPr>
            </w:pPr>
            <w:r>
              <w:rPr>
                <w:rFonts w:ascii="Arial" w:cs="Arial" w:eastAsia="Arial" w:hAnsi="Arial"/>
                <w:sz w:val="15"/>
                <w:szCs w:val="15"/>
                <w:color w:val="auto"/>
              </w:rPr>
              <w:t>Thomas J. Hutchison III</w:t>
            </w:r>
          </w:p>
        </w:tc>
        <w:tc>
          <w:tcPr>
            <w:tcW w:w="2460" w:type="dxa"/>
            <w:vAlign w:val="bottom"/>
          </w:tcPr>
          <w:p>
            <w:pPr>
              <w:ind w:left="360"/>
              <w:spacing w:after="0" w:line="160" w:lineRule="exact"/>
              <w:rPr>
                <w:sz w:val="20"/>
                <w:szCs w:val="20"/>
                <w:color w:val="auto"/>
              </w:rPr>
            </w:pPr>
            <w:r>
              <w:rPr>
                <w:rFonts w:ascii="Arial" w:cs="Arial" w:eastAsia="Arial" w:hAnsi="Arial"/>
                <w:sz w:val="15"/>
                <w:szCs w:val="15"/>
                <w:color w:val="auto"/>
              </w:rPr>
              <w:t>Non-Employee Director</w:t>
            </w:r>
          </w:p>
        </w:tc>
        <w:tc>
          <w:tcPr>
            <w:tcW w:w="480" w:type="dxa"/>
            <w:vAlign w:val="bottom"/>
          </w:tcPr>
          <w:p>
            <w:pPr>
              <w:spacing w:after="0"/>
              <w:rPr>
                <w:sz w:val="13"/>
                <w:szCs w:val="13"/>
                <w:color w:val="auto"/>
              </w:rPr>
            </w:pPr>
          </w:p>
        </w:tc>
        <w:tc>
          <w:tcPr>
            <w:tcW w:w="940" w:type="dxa"/>
            <w:vAlign w:val="bottom"/>
          </w:tcPr>
          <w:p>
            <w:pPr>
              <w:ind w:left="360"/>
              <w:spacing w:after="0" w:line="160" w:lineRule="exact"/>
              <w:rPr>
                <w:sz w:val="20"/>
                <w:szCs w:val="20"/>
                <w:color w:val="auto"/>
              </w:rPr>
            </w:pPr>
            <w:r>
              <w:rPr>
                <w:rFonts w:ascii="Arial" w:cs="Arial" w:eastAsia="Arial" w:hAnsi="Arial"/>
                <w:sz w:val="15"/>
                <w:szCs w:val="15"/>
                <w:color w:val="auto"/>
              </w:rPr>
              <w:t>—</w:t>
            </w:r>
          </w:p>
        </w:tc>
        <w:tc>
          <w:tcPr>
            <w:tcW w:w="1100" w:type="dxa"/>
            <w:vAlign w:val="bottom"/>
          </w:tcPr>
          <w:p>
            <w:pPr>
              <w:ind w:left="620"/>
              <w:spacing w:after="0" w:line="160" w:lineRule="exact"/>
              <w:rPr>
                <w:sz w:val="20"/>
                <w:szCs w:val="20"/>
                <w:color w:val="auto"/>
              </w:rPr>
            </w:pPr>
            <w:r>
              <w:rPr>
                <w:rFonts w:ascii="Arial" w:cs="Arial" w:eastAsia="Arial" w:hAnsi="Arial"/>
                <w:sz w:val="15"/>
                <w:szCs w:val="15"/>
                <w:color w:val="auto"/>
              </w:rPr>
              <w:t>—</w:t>
            </w:r>
          </w:p>
        </w:tc>
        <w:tc>
          <w:tcPr>
            <w:tcW w:w="1680" w:type="dxa"/>
            <w:vAlign w:val="bottom"/>
          </w:tcPr>
          <w:p>
            <w:pPr>
              <w:ind w:left="880"/>
              <w:spacing w:after="0" w:line="160"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85"/>
              <w:spacing w:after="0" w:line="160" w:lineRule="exact"/>
              <w:rPr>
                <w:sz w:val="20"/>
                <w:szCs w:val="20"/>
                <w:color w:val="auto"/>
              </w:rPr>
            </w:pPr>
            <w:r>
              <w:rPr>
                <w:rFonts w:ascii="Arial" w:cs="Arial" w:eastAsia="Arial" w:hAnsi="Arial"/>
                <w:sz w:val="15"/>
                <w:szCs w:val="15"/>
                <w:color w:val="auto"/>
              </w:rPr>
              <w:t>14,413</w:t>
            </w:r>
          </w:p>
        </w:tc>
      </w:tr>
      <w:tr>
        <w:trPr>
          <w:trHeight w:val="192"/>
        </w:trPr>
        <w:tc>
          <w:tcPr>
            <w:tcW w:w="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Stock Units</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2,526</w:t>
            </w:r>
          </w:p>
        </w:tc>
      </w:tr>
      <w:tr>
        <w:trPr>
          <w:trHeight w:val="160"/>
        </w:trPr>
        <w:tc>
          <w:tcPr>
            <w:tcW w:w="20" w:type="dxa"/>
            <w:vAlign w:val="bottom"/>
          </w:tcPr>
          <w:p>
            <w:pPr>
              <w:spacing w:after="0"/>
              <w:rPr>
                <w:sz w:val="13"/>
                <w:szCs w:val="13"/>
                <w:color w:val="auto"/>
              </w:rPr>
            </w:pPr>
          </w:p>
        </w:tc>
        <w:tc>
          <w:tcPr>
            <w:tcW w:w="1960" w:type="dxa"/>
            <w:vAlign w:val="bottom"/>
          </w:tcPr>
          <w:p>
            <w:pPr>
              <w:spacing w:after="0" w:line="160" w:lineRule="exact"/>
              <w:rPr>
                <w:sz w:val="20"/>
                <w:szCs w:val="20"/>
                <w:color w:val="auto"/>
              </w:rPr>
            </w:pPr>
            <w:r>
              <w:rPr>
                <w:rFonts w:ascii="Arial" w:cs="Arial" w:eastAsia="Arial" w:hAnsi="Arial"/>
                <w:sz w:val="15"/>
                <w:szCs w:val="15"/>
                <w:color w:val="auto"/>
              </w:rPr>
              <w:t>Melquiades R. Martinez</w:t>
            </w:r>
          </w:p>
        </w:tc>
        <w:tc>
          <w:tcPr>
            <w:tcW w:w="2460" w:type="dxa"/>
            <w:vAlign w:val="bottom"/>
          </w:tcPr>
          <w:p>
            <w:pPr>
              <w:ind w:left="360"/>
              <w:spacing w:after="0" w:line="160" w:lineRule="exact"/>
              <w:rPr>
                <w:sz w:val="20"/>
                <w:szCs w:val="20"/>
                <w:color w:val="auto"/>
              </w:rPr>
            </w:pPr>
            <w:r>
              <w:rPr>
                <w:rFonts w:ascii="Arial" w:cs="Arial" w:eastAsia="Arial" w:hAnsi="Arial"/>
                <w:sz w:val="15"/>
                <w:szCs w:val="15"/>
                <w:color w:val="auto"/>
              </w:rPr>
              <w:t>Non-Employee Director</w:t>
            </w:r>
          </w:p>
        </w:tc>
        <w:tc>
          <w:tcPr>
            <w:tcW w:w="480" w:type="dxa"/>
            <w:vAlign w:val="bottom"/>
          </w:tcPr>
          <w:p>
            <w:pPr>
              <w:spacing w:after="0"/>
              <w:rPr>
                <w:sz w:val="13"/>
                <w:szCs w:val="13"/>
                <w:color w:val="auto"/>
              </w:rPr>
            </w:pPr>
          </w:p>
        </w:tc>
        <w:tc>
          <w:tcPr>
            <w:tcW w:w="940" w:type="dxa"/>
            <w:vAlign w:val="bottom"/>
          </w:tcPr>
          <w:p>
            <w:pPr>
              <w:ind w:left="360"/>
              <w:spacing w:after="0" w:line="160" w:lineRule="exact"/>
              <w:rPr>
                <w:sz w:val="20"/>
                <w:szCs w:val="20"/>
                <w:color w:val="auto"/>
              </w:rPr>
            </w:pPr>
            <w:r>
              <w:rPr>
                <w:rFonts w:ascii="Arial" w:cs="Arial" w:eastAsia="Arial" w:hAnsi="Arial"/>
                <w:sz w:val="15"/>
                <w:szCs w:val="15"/>
                <w:color w:val="auto"/>
              </w:rPr>
              <w:t>—</w:t>
            </w:r>
          </w:p>
        </w:tc>
        <w:tc>
          <w:tcPr>
            <w:tcW w:w="1100" w:type="dxa"/>
            <w:vAlign w:val="bottom"/>
          </w:tcPr>
          <w:p>
            <w:pPr>
              <w:ind w:left="620"/>
              <w:spacing w:after="0" w:line="160" w:lineRule="exact"/>
              <w:rPr>
                <w:sz w:val="20"/>
                <w:szCs w:val="20"/>
                <w:color w:val="auto"/>
              </w:rPr>
            </w:pPr>
            <w:r>
              <w:rPr>
                <w:rFonts w:ascii="Arial" w:cs="Arial" w:eastAsia="Arial" w:hAnsi="Arial"/>
                <w:sz w:val="15"/>
                <w:szCs w:val="15"/>
                <w:color w:val="auto"/>
              </w:rPr>
              <w:t>—</w:t>
            </w:r>
          </w:p>
        </w:tc>
        <w:tc>
          <w:tcPr>
            <w:tcW w:w="1680" w:type="dxa"/>
            <w:vAlign w:val="bottom"/>
          </w:tcPr>
          <w:p>
            <w:pPr>
              <w:ind w:left="880"/>
              <w:spacing w:after="0" w:line="160"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85"/>
              <w:spacing w:after="0" w:line="160" w:lineRule="exact"/>
              <w:rPr>
                <w:sz w:val="20"/>
                <w:szCs w:val="20"/>
                <w:color w:val="auto"/>
              </w:rPr>
            </w:pPr>
            <w:r>
              <w:rPr>
                <w:rFonts w:ascii="Arial" w:cs="Arial" w:eastAsia="Arial" w:hAnsi="Arial"/>
                <w:sz w:val="15"/>
                <w:szCs w:val="15"/>
                <w:color w:val="auto"/>
              </w:rPr>
              <w:t>12,837</w:t>
            </w:r>
          </w:p>
        </w:tc>
      </w:tr>
      <w:tr>
        <w:trPr>
          <w:trHeight w:val="192"/>
        </w:trPr>
        <w:tc>
          <w:tcPr>
            <w:tcW w:w="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Stock Units</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1,044</w:t>
            </w:r>
          </w:p>
        </w:tc>
      </w:tr>
      <w:tr>
        <w:trPr>
          <w:trHeight w:val="172"/>
        </w:trPr>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William W. McCarten</w:t>
            </w: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Non-Employee Director</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20,900</w:t>
            </w:r>
          </w:p>
        </w:tc>
      </w:tr>
      <w:tr>
        <w:trPr>
          <w:trHeight w:val="172"/>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Dianna F. Morgan</w:t>
            </w: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Non-Employee Director</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12,051</w:t>
            </w:r>
          </w:p>
        </w:tc>
      </w:tr>
      <w:tr>
        <w:trPr>
          <w:trHeight w:val="160"/>
        </w:trPr>
        <w:tc>
          <w:tcPr>
            <w:tcW w:w="1980" w:type="dxa"/>
            <w:vAlign w:val="bottom"/>
            <w:gridSpan w:val="2"/>
          </w:tcPr>
          <w:p>
            <w:pPr>
              <w:spacing w:after="0" w:line="160" w:lineRule="exact"/>
              <w:rPr>
                <w:sz w:val="20"/>
                <w:szCs w:val="20"/>
                <w:color w:val="auto"/>
              </w:rPr>
            </w:pPr>
            <w:r>
              <w:rPr>
                <w:rFonts w:ascii="Arial" w:cs="Arial" w:eastAsia="Arial" w:hAnsi="Arial"/>
                <w:sz w:val="15"/>
                <w:szCs w:val="15"/>
                <w:color w:val="auto"/>
              </w:rPr>
              <w:t>Stephen R. Quazzo</w:t>
            </w:r>
          </w:p>
        </w:tc>
        <w:tc>
          <w:tcPr>
            <w:tcW w:w="2460" w:type="dxa"/>
            <w:vAlign w:val="bottom"/>
          </w:tcPr>
          <w:p>
            <w:pPr>
              <w:ind w:left="360"/>
              <w:spacing w:after="0" w:line="160" w:lineRule="exact"/>
              <w:rPr>
                <w:sz w:val="20"/>
                <w:szCs w:val="20"/>
                <w:color w:val="auto"/>
              </w:rPr>
            </w:pPr>
            <w:r>
              <w:rPr>
                <w:rFonts w:ascii="Arial" w:cs="Arial" w:eastAsia="Arial" w:hAnsi="Arial"/>
                <w:sz w:val="15"/>
                <w:szCs w:val="15"/>
                <w:color w:val="auto"/>
              </w:rPr>
              <w:t>Non-Employee Director</w:t>
            </w:r>
          </w:p>
        </w:tc>
        <w:tc>
          <w:tcPr>
            <w:tcW w:w="480" w:type="dxa"/>
            <w:vAlign w:val="bottom"/>
          </w:tcPr>
          <w:p>
            <w:pPr>
              <w:spacing w:after="0"/>
              <w:rPr>
                <w:sz w:val="13"/>
                <w:szCs w:val="13"/>
                <w:color w:val="auto"/>
              </w:rPr>
            </w:pPr>
          </w:p>
        </w:tc>
        <w:tc>
          <w:tcPr>
            <w:tcW w:w="940" w:type="dxa"/>
            <w:vAlign w:val="bottom"/>
          </w:tcPr>
          <w:p>
            <w:pPr>
              <w:ind w:left="360"/>
              <w:spacing w:after="0" w:line="160" w:lineRule="exact"/>
              <w:rPr>
                <w:sz w:val="20"/>
                <w:szCs w:val="20"/>
                <w:color w:val="auto"/>
              </w:rPr>
            </w:pPr>
            <w:r>
              <w:rPr>
                <w:rFonts w:ascii="Arial" w:cs="Arial" w:eastAsia="Arial" w:hAnsi="Arial"/>
                <w:sz w:val="15"/>
                <w:szCs w:val="15"/>
                <w:color w:val="auto"/>
              </w:rPr>
              <w:t>—</w:t>
            </w:r>
          </w:p>
        </w:tc>
        <w:tc>
          <w:tcPr>
            <w:tcW w:w="1100" w:type="dxa"/>
            <w:vAlign w:val="bottom"/>
          </w:tcPr>
          <w:p>
            <w:pPr>
              <w:ind w:left="620"/>
              <w:spacing w:after="0" w:line="160" w:lineRule="exact"/>
              <w:rPr>
                <w:sz w:val="20"/>
                <w:szCs w:val="20"/>
                <w:color w:val="auto"/>
              </w:rPr>
            </w:pPr>
            <w:r>
              <w:rPr>
                <w:rFonts w:ascii="Arial" w:cs="Arial" w:eastAsia="Arial" w:hAnsi="Arial"/>
                <w:sz w:val="15"/>
                <w:szCs w:val="15"/>
                <w:color w:val="auto"/>
              </w:rPr>
              <w:t>—</w:t>
            </w:r>
          </w:p>
        </w:tc>
        <w:tc>
          <w:tcPr>
            <w:tcW w:w="1680" w:type="dxa"/>
            <w:vAlign w:val="bottom"/>
          </w:tcPr>
          <w:p>
            <w:pPr>
              <w:ind w:left="880"/>
              <w:spacing w:after="0" w:line="160"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85"/>
              <w:spacing w:after="0" w:line="160" w:lineRule="exact"/>
              <w:rPr>
                <w:sz w:val="20"/>
                <w:szCs w:val="20"/>
                <w:color w:val="auto"/>
              </w:rPr>
            </w:pPr>
            <w:r>
              <w:rPr>
                <w:rFonts w:ascii="Arial" w:cs="Arial" w:eastAsia="Arial" w:hAnsi="Arial"/>
                <w:sz w:val="15"/>
                <w:szCs w:val="15"/>
                <w:color w:val="auto"/>
              </w:rPr>
              <w:t>1,615</w:t>
            </w:r>
          </w:p>
        </w:tc>
      </w:tr>
      <w:tr>
        <w:trPr>
          <w:trHeight w:val="192"/>
        </w:trPr>
        <w:tc>
          <w:tcPr>
            <w:tcW w:w="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Stock Units</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981</w:t>
            </w:r>
          </w:p>
        </w:tc>
      </w:tr>
      <w:tr>
        <w:trPr>
          <w:trHeight w:val="172"/>
        </w:trPr>
        <w:tc>
          <w:tcPr>
            <w:tcW w:w="20" w:type="dxa"/>
            <w:vAlign w:val="bottom"/>
            <w:tcBorders>
              <w:bottom w:val="single" w:sz="8" w:color="004987"/>
            </w:tcBorders>
          </w:tcPr>
          <w:p>
            <w:pPr>
              <w:spacing w:after="0"/>
              <w:rPr>
                <w:sz w:val="14"/>
                <w:szCs w:val="14"/>
                <w:color w:val="auto"/>
              </w:rPr>
            </w:pPr>
          </w:p>
        </w:tc>
        <w:tc>
          <w:tcPr>
            <w:tcW w:w="196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Jonice G. Tucker</w:t>
            </w:r>
          </w:p>
        </w:tc>
        <w:tc>
          <w:tcPr>
            <w:tcW w:w="2460" w:type="dxa"/>
            <w:vAlign w:val="bottom"/>
            <w:tcBorders>
              <w:bottom w:val="single" w:sz="8" w:color="004987"/>
            </w:tcBorders>
          </w:tcPr>
          <w:p>
            <w:pPr>
              <w:ind w:left="360"/>
              <w:spacing w:after="0"/>
              <w:rPr>
                <w:sz w:val="20"/>
                <w:szCs w:val="20"/>
                <w:color w:val="auto"/>
              </w:rPr>
            </w:pPr>
            <w:r>
              <w:rPr>
                <w:rFonts w:ascii="Arial" w:cs="Arial" w:eastAsia="Arial" w:hAnsi="Arial"/>
                <w:sz w:val="15"/>
                <w:szCs w:val="15"/>
                <w:color w:val="auto"/>
              </w:rPr>
              <w:t>Non-Employee Director</w:t>
            </w:r>
          </w:p>
        </w:tc>
        <w:tc>
          <w:tcPr>
            <w:tcW w:w="480" w:type="dxa"/>
            <w:vAlign w:val="bottom"/>
            <w:tcBorders>
              <w:bottom w:val="single" w:sz="8" w:color="004987"/>
            </w:tcBorders>
          </w:tcPr>
          <w:p>
            <w:pPr>
              <w:spacing w:after="0"/>
              <w:rPr>
                <w:sz w:val="14"/>
                <w:szCs w:val="14"/>
                <w:color w:val="auto"/>
              </w:rPr>
            </w:pPr>
          </w:p>
        </w:tc>
        <w:tc>
          <w:tcPr>
            <w:tcW w:w="940" w:type="dxa"/>
            <w:vAlign w:val="bottom"/>
            <w:tcBorders>
              <w:bottom w:val="single" w:sz="8" w:color="004987"/>
            </w:tcBorders>
          </w:tcPr>
          <w:p>
            <w:pPr>
              <w:ind w:left="36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004987"/>
            </w:tcBorders>
          </w:tcPr>
          <w:p>
            <w:pPr>
              <w:ind w:left="620"/>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004987"/>
            </w:tcBorders>
          </w:tcPr>
          <w:p>
            <w:pPr>
              <w:ind w:left="88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004987"/>
            </w:tcBorders>
          </w:tcPr>
          <w:p>
            <w:pPr>
              <w:jc w:val="right"/>
              <w:ind w:right="285"/>
              <w:spacing w:after="0"/>
              <w:rPr>
                <w:sz w:val="20"/>
                <w:szCs w:val="20"/>
                <w:color w:val="auto"/>
              </w:rPr>
            </w:pPr>
            <w:r>
              <w:rPr>
                <w:rFonts w:ascii="Arial" w:cs="Arial" w:eastAsia="Arial" w:hAnsi="Arial"/>
                <w:sz w:val="15"/>
                <w:szCs w:val="15"/>
                <w:color w:val="auto"/>
              </w:rPr>
              <w:t>—</w:t>
            </w:r>
          </w:p>
        </w:tc>
      </w:tr>
    </w:tbl>
    <w:p>
      <w:pPr>
        <w:spacing w:after="0" w:line="69" w:lineRule="exact"/>
        <w:rPr>
          <w:sz w:val="20"/>
          <w:szCs w:val="20"/>
          <w:color w:val="auto"/>
        </w:rPr>
      </w:pPr>
    </w:p>
    <w:p>
      <w:pPr>
        <w:ind w:left="700" w:right="100" w:hanging="306"/>
        <w:spacing w:after="0" w:line="188" w:lineRule="auto"/>
        <w:tabs>
          <w:tab w:leader="none" w:pos="70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values reported equal the excess of the return on amounts credited to accounts in the MVW Deferred Compensation Plan at the annually designated rate of return over 120 percent of the applicable federal long-term rate.</w:t>
      </w:r>
    </w:p>
    <w:p>
      <w:pPr>
        <w:spacing w:after="0" w:line="110" w:lineRule="exact"/>
        <w:rPr>
          <w:sz w:val="20"/>
          <w:szCs w:val="20"/>
          <w:color w:val="auto"/>
        </w:rPr>
      </w:pPr>
    </w:p>
    <w:p>
      <w:pPr>
        <w:ind w:left="400"/>
        <w:spacing w:after="0"/>
        <w:tabs>
          <w:tab w:leader="none" w:pos="45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b w:val="1"/>
          <w:bCs w:val="1"/>
          <w:color w:val="00498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0" w:name="page51"/>
    <w:bookmarkEnd w:id="5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9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Deferred Compensation Plan</w:t>
      </w:r>
    </w:p>
    <w:p>
      <w:pPr>
        <w:spacing w:after="0" w:line="98" w:lineRule="exact"/>
        <w:rPr>
          <w:sz w:val="20"/>
          <w:szCs w:val="20"/>
          <w:color w:val="auto"/>
        </w:rPr>
      </w:pPr>
    </w:p>
    <w:p>
      <w:pPr>
        <w:ind w:left="400" w:right="140"/>
        <w:spacing w:after="0" w:line="259" w:lineRule="auto"/>
        <w:rPr>
          <w:sz w:val="20"/>
          <w:szCs w:val="20"/>
          <w:color w:val="auto"/>
        </w:rPr>
      </w:pPr>
      <w:r>
        <w:rPr>
          <w:rFonts w:ascii="Arial" w:cs="Arial" w:eastAsia="Arial" w:hAnsi="Arial"/>
          <w:sz w:val="15"/>
          <w:szCs w:val="15"/>
          <w:color w:val="auto"/>
        </w:rPr>
        <w:t>Our non-employee directors are eligible to participate in the MVW Deferred Compensation Plan. A non-employee director may defer receipt of all or part of any non-employee director fees until such future date as he or she elects in accordance with the terms of the MVW Deferred Compensation Plan. A non-employee director may elect to receive his or her deferred amounts in a lump sum or in installments over five, ten, fifteen or twenty years at either a separation from service or upon any of the first five anniversaries of a separation from service. Alternatively, he or she may elect to receive his or her deferred amounts in a lump sum in January of a specified year.</w:t>
      </w:r>
    </w:p>
    <w:p>
      <w:pPr>
        <w:spacing w:after="0" w:line="69" w:lineRule="exact"/>
        <w:rPr>
          <w:sz w:val="20"/>
          <w:szCs w:val="20"/>
          <w:color w:val="auto"/>
        </w:rPr>
      </w:pPr>
    </w:p>
    <w:p>
      <w:pPr>
        <w:ind w:left="400" w:right="40"/>
        <w:spacing w:after="0" w:line="252" w:lineRule="auto"/>
        <w:rPr>
          <w:sz w:val="20"/>
          <w:szCs w:val="20"/>
          <w:color w:val="auto"/>
        </w:rPr>
      </w:pPr>
      <w:r>
        <w:rPr>
          <w:rFonts w:ascii="Arial" w:cs="Arial" w:eastAsia="Arial" w:hAnsi="Arial"/>
          <w:sz w:val="15"/>
          <w:szCs w:val="15"/>
          <w:color w:val="auto"/>
        </w:rPr>
        <w:t>For 2021, participants were able to select a fixed rate of return of 3.5 percent or a rate of return based on various market-based investment alternatives, such as mutual funds with various investment profiles, and were also able to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of which the Company is the grantor. For 2021, participants may select a rate of return based on market-based investment alternatives for up to 100 percent of their contributions and existing balances. Earnings under the MVW Deferred Compensation Plan that were credited at a fixed rate of interest in excess of</w:t>
      </w:r>
    </w:p>
    <w:p>
      <w:pPr>
        <w:spacing w:after="0" w:line="4" w:lineRule="exact"/>
        <w:rPr>
          <w:sz w:val="20"/>
          <w:szCs w:val="20"/>
          <w:color w:val="auto"/>
        </w:rPr>
      </w:pPr>
    </w:p>
    <w:p>
      <w:pPr>
        <w:ind w:left="400" w:right="380"/>
        <w:spacing w:after="0" w:line="270" w:lineRule="auto"/>
        <w:rPr>
          <w:sz w:val="20"/>
          <w:szCs w:val="20"/>
          <w:color w:val="auto"/>
        </w:rPr>
      </w:pPr>
      <w:r>
        <w:rPr>
          <w:rFonts w:ascii="Arial" w:cs="Arial" w:eastAsia="Arial" w:hAnsi="Arial"/>
          <w:sz w:val="15"/>
          <w:szCs w:val="15"/>
          <w:color w:val="auto"/>
        </w:rPr>
        <w:t>120 percent of the applicable federal long-term rate are reported in the Change in Pension Value and Nonqualified Deferred Compensation Earnings column.</w:t>
      </w:r>
    </w:p>
    <w:p>
      <w:pPr>
        <w:spacing w:after="0" w:line="255"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Clawbacks</w:t>
      </w:r>
    </w:p>
    <w:p>
      <w:pPr>
        <w:spacing w:after="0" w:line="98" w:lineRule="exact"/>
        <w:rPr>
          <w:sz w:val="20"/>
          <w:szCs w:val="20"/>
          <w:color w:val="auto"/>
        </w:rPr>
      </w:pPr>
    </w:p>
    <w:p>
      <w:pPr>
        <w:ind w:left="400" w:right="20"/>
        <w:spacing w:after="0" w:line="269" w:lineRule="auto"/>
        <w:rPr>
          <w:sz w:val="20"/>
          <w:szCs w:val="20"/>
          <w:color w:val="auto"/>
        </w:rPr>
      </w:pPr>
      <w:r>
        <w:rPr>
          <w:rFonts w:ascii="Arial" w:cs="Arial" w:eastAsia="Arial" w:hAnsi="Arial"/>
          <w:sz w:val="15"/>
          <w:szCs w:val="15"/>
          <w:color w:val="auto"/>
        </w:rPr>
        <w:t>Under our clawback policy, the Board may recoup any compensation received by a director who has engaged in conduct that violates our Business Conduct Guide or in willful misconduct or fraud that causes harm to the Company. Compensation received up to three years prior to the willful misconduct or fraud and after the date of the adoption of the policy is subject to potential recoupment under the policy.</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Stock Ownership Guidelines</w:t>
      </w:r>
    </w:p>
    <w:p>
      <w:pPr>
        <w:spacing w:after="0" w:line="98" w:lineRule="exact"/>
        <w:rPr>
          <w:sz w:val="20"/>
          <w:szCs w:val="20"/>
          <w:color w:val="auto"/>
        </w:rPr>
      </w:pPr>
    </w:p>
    <w:p>
      <w:pPr>
        <w:ind w:left="400" w:right="20"/>
        <w:spacing w:after="0" w:line="254" w:lineRule="auto"/>
        <w:rPr>
          <w:sz w:val="20"/>
          <w:szCs w:val="20"/>
          <w:color w:val="auto"/>
        </w:rPr>
      </w:pPr>
      <w:r>
        <w:rPr>
          <w:rFonts w:ascii="Arial" w:cs="Arial" w:eastAsia="Arial" w:hAnsi="Arial"/>
          <w:sz w:val="15"/>
          <w:szCs w:val="15"/>
          <w:color w:val="auto"/>
        </w:rPr>
        <w:t>Under our stock ownership guidelines, non-employee directors are to own shares of our stock with a value equal to five times their Board cash retainer for the fiscal year for which compliance is being evaluated. For purposes of determining compliance with the guidelines, the following are considered shares owned by the director: shares owned by the director and his or her spouse; shares held by a trust any beneficiaries of which are the director or his or her family members; shares held jointly with others; restricted stock awards; restricted stock unit awards; Non-Employee Director Share Awards; and share equivalents deferred in accordance with our plans. Shares underlying options and SARs are not considered owned by the director. The Compensation Policy Committee receives an annual report of the ownership achieved by each director as of the end of the fiscal year, with the achievement level determined by reference to the average of the closing prices of our common stock for the 20 trading days ending on the last trading day of the fiscal year. As of the end of 2021, all directors were in compliance with the guidelines with the exception of a director who was newly appointed in November 2021, who has until 2026 to become compliant.</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Pledging, Hedging, and Derivative Transactions</w:t>
      </w:r>
    </w:p>
    <w:p>
      <w:pPr>
        <w:spacing w:after="0" w:line="98" w:lineRule="exact"/>
        <w:rPr>
          <w:sz w:val="20"/>
          <w:szCs w:val="20"/>
          <w:color w:val="auto"/>
        </w:rPr>
      </w:pPr>
    </w:p>
    <w:p>
      <w:pPr>
        <w:ind w:left="400" w:right="20"/>
        <w:spacing w:after="0" w:line="255" w:lineRule="auto"/>
        <w:rPr>
          <w:sz w:val="20"/>
          <w:szCs w:val="20"/>
          <w:color w:val="auto"/>
        </w:rPr>
      </w:pPr>
      <w:r>
        <w:rPr>
          <w:rFonts w:ascii="Arial" w:cs="Arial" w:eastAsia="Arial" w:hAnsi="Arial"/>
          <w:sz w:val="15"/>
          <w:szCs w:val="15"/>
          <w:color w:val="auto"/>
        </w:rPr>
        <w:t>Employees, officers and directors are prohibited from including the Company’s stock or other securities in a margin account or pledging such securities as collateral for a loan or shorting the sale of our stock or securities. These persons are further prohibited from buying, selling, writing or otherwise entering into any other “derivative” transaction related to our stock or securities, including options, warrants, puts, calls, and similar rights that have an exercise or conversion privilege that is related to the price of our securities, or similar securities with a value derived from the value of our securities (in each case, other than the receipt or exercise of employee stock options or other derivative securities that we issue to employees, officers or directors pursuant to Company compensation plans). This prohibition of derivative transactions extends to any transactions designed to hedge or offset, or that have the effect of hedging or offsetting, any decrease in the market value of our securities. As such, employees, officers and directors may not utilize financial instruments, such as prepaid variable forwards, equity swaps, collars or exchange funds.</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004987"/>
        </w:rPr>
        <w:t>SECURITIES AUTHORIZED FOR ISSUANCE UNDER EQUITY COMPENSATION PLANS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sets forth information about the securities authorized for issuance under our equity compensation plans as of December 31, 2021.</w:t>
      </w: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20" w:type="dxa"/>
            <w:vAlign w:val="bottom"/>
          </w:tcPr>
          <w:p>
            <w:pPr>
              <w:jc w:val="center"/>
              <w:ind w:left="50"/>
              <w:spacing w:after="0"/>
              <w:rPr>
                <w:sz w:val="20"/>
                <w:szCs w:val="20"/>
                <w:color w:val="auto"/>
              </w:rPr>
            </w:pPr>
            <w:r>
              <w:rPr>
                <w:rFonts w:ascii="Arial" w:cs="Arial" w:eastAsia="Arial" w:hAnsi="Arial"/>
                <w:sz w:val="14"/>
                <w:szCs w:val="14"/>
                <w:b w:val="1"/>
                <w:bCs w:val="1"/>
                <w:color w:val="004987"/>
                <w:w w:val="97"/>
              </w:rPr>
              <w:t>Number of Securities</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60" w:type="dxa"/>
            <w:vAlign w:val="bottom"/>
          </w:tcPr>
          <w:p>
            <w:pPr>
              <w:jc w:val="center"/>
              <w:ind w:left="70"/>
              <w:spacing w:after="0"/>
              <w:rPr>
                <w:sz w:val="20"/>
                <w:szCs w:val="20"/>
                <w:color w:val="auto"/>
              </w:rPr>
            </w:pPr>
            <w:r>
              <w:rPr>
                <w:rFonts w:ascii="Arial" w:cs="Arial" w:eastAsia="Arial" w:hAnsi="Arial"/>
                <w:sz w:val="14"/>
                <w:szCs w:val="14"/>
                <w:b w:val="1"/>
                <w:bCs w:val="1"/>
                <w:color w:val="004987"/>
                <w:w w:val="97"/>
              </w:rPr>
              <w:t>Number of Securities</w:t>
            </w:r>
          </w:p>
        </w:tc>
      </w:tr>
      <w:tr>
        <w:trPr>
          <w:trHeight w:val="154"/>
        </w:trPr>
        <w:tc>
          <w:tcPr>
            <w:tcW w:w="4340" w:type="dxa"/>
            <w:vAlign w:val="bottom"/>
          </w:tcPr>
          <w:p>
            <w:pPr>
              <w:spacing w:after="0"/>
              <w:rPr>
                <w:sz w:val="13"/>
                <w:szCs w:val="13"/>
                <w:color w:val="auto"/>
              </w:rPr>
            </w:pPr>
          </w:p>
        </w:tc>
        <w:tc>
          <w:tcPr>
            <w:tcW w:w="2220" w:type="dxa"/>
            <w:vAlign w:val="bottom"/>
          </w:tcPr>
          <w:p>
            <w:pPr>
              <w:jc w:val="center"/>
              <w:ind w:left="50"/>
              <w:spacing w:after="0" w:line="154" w:lineRule="exact"/>
              <w:rPr>
                <w:sz w:val="20"/>
                <w:szCs w:val="20"/>
                <w:color w:val="auto"/>
              </w:rPr>
            </w:pPr>
            <w:r>
              <w:rPr>
                <w:rFonts w:ascii="Arial" w:cs="Arial" w:eastAsia="Arial" w:hAnsi="Arial"/>
                <w:sz w:val="14"/>
                <w:szCs w:val="14"/>
                <w:b w:val="1"/>
                <w:bCs w:val="1"/>
                <w:color w:val="004987"/>
                <w:w w:val="97"/>
              </w:rPr>
              <w:t>to be Issued Upon</w:t>
            </w:r>
          </w:p>
        </w:tc>
        <w:tc>
          <w:tcPr>
            <w:tcW w:w="360" w:type="dxa"/>
            <w:vAlign w:val="bottom"/>
          </w:tcPr>
          <w:p>
            <w:pPr>
              <w:spacing w:after="0"/>
              <w:rPr>
                <w:sz w:val="13"/>
                <w:szCs w:val="13"/>
                <w:color w:val="auto"/>
              </w:rPr>
            </w:pPr>
          </w:p>
        </w:tc>
        <w:tc>
          <w:tcPr>
            <w:tcW w:w="1580" w:type="dxa"/>
            <w:vAlign w:val="bottom"/>
          </w:tcPr>
          <w:p>
            <w:pPr>
              <w:jc w:val="center"/>
              <w:ind w:right="287"/>
              <w:spacing w:after="0" w:line="154" w:lineRule="exact"/>
              <w:rPr>
                <w:sz w:val="20"/>
                <w:szCs w:val="20"/>
                <w:color w:val="auto"/>
              </w:rPr>
            </w:pPr>
            <w:r>
              <w:rPr>
                <w:rFonts w:ascii="Arial" w:cs="Arial" w:eastAsia="Arial" w:hAnsi="Arial"/>
                <w:sz w:val="14"/>
                <w:szCs w:val="14"/>
                <w:b w:val="1"/>
                <w:bCs w:val="1"/>
                <w:color w:val="004987"/>
                <w:w w:val="96"/>
              </w:rPr>
              <w:t>Weighted Average</w:t>
            </w:r>
          </w:p>
        </w:tc>
        <w:tc>
          <w:tcPr>
            <w:tcW w:w="1960" w:type="dxa"/>
            <w:vAlign w:val="bottom"/>
          </w:tcPr>
          <w:p>
            <w:pPr>
              <w:jc w:val="center"/>
              <w:ind w:left="70"/>
              <w:spacing w:after="0" w:line="154" w:lineRule="exact"/>
              <w:rPr>
                <w:sz w:val="20"/>
                <w:szCs w:val="20"/>
                <w:color w:val="auto"/>
              </w:rPr>
            </w:pPr>
            <w:r>
              <w:rPr>
                <w:rFonts w:ascii="Arial" w:cs="Arial" w:eastAsia="Arial" w:hAnsi="Arial"/>
                <w:sz w:val="14"/>
                <w:szCs w:val="14"/>
                <w:b w:val="1"/>
                <w:bCs w:val="1"/>
                <w:color w:val="004987"/>
                <w:w w:val="96"/>
              </w:rPr>
              <w:t>Remaining Available for</w:t>
            </w:r>
          </w:p>
        </w:tc>
      </w:tr>
      <w:tr>
        <w:trPr>
          <w:trHeight w:val="154"/>
        </w:trPr>
        <w:tc>
          <w:tcPr>
            <w:tcW w:w="4340" w:type="dxa"/>
            <w:vAlign w:val="bottom"/>
          </w:tcPr>
          <w:p>
            <w:pPr>
              <w:spacing w:after="0"/>
              <w:rPr>
                <w:sz w:val="13"/>
                <w:szCs w:val="13"/>
                <w:color w:val="auto"/>
              </w:rPr>
            </w:pPr>
          </w:p>
        </w:tc>
        <w:tc>
          <w:tcPr>
            <w:tcW w:w="2220" w:type="dxa"/>
            <w:vAlign w:val="bottom"/>
          </w:tcPr>
          <w:p>
            <w:pPr>
              <w:jc w:val="center"/>
              <w:ind w:left="50"/>
              <w:spacing w:after="0" w:line="154" w:lineRule="exact"/>
              <w:rPr>
                <w:sz w:val="20"/>
                <w:szCs w:val="20"/>
                <w:color w:val="auto"/>
              </w:rPr>
            </w:pPr>
            <w:r>
              <w:rPr>
                <w:rFonts w:ascii="Arial" w:cs="Arial" w:eastAsia="Arial" w:hAnsi="Arial"/>
                <w:sz w:val="14"/>
                <w:szCs w:val="14"/>
                <w:b w:val="1"/>
                <w:bCs w:val="1"/>
                <w:color w:val="004987"/>
                <w:w w:val="98"/>
              </w:rPr>
              <w:t>Exercise of</w:t>
            </w:r>
          </w:p>
        </w:tc>
        <w:tc>
          <w:tcPr>
            <w:tcW w:w="360" w:type="dxa"/>
            <w:vAlign w:val="bottom"/>
          </w:tcPr>
          <w:p>
            <w:pPr>
              <w:spacing w:after="0"/>
              <w:rPr>
                <w:sz w:val="13"/>
                <w:szCs w:val="13"/>
                <w:color w:val="auto"/>
              </w:rPr>
            </w:pPr>
          </w:p>
        </w:tc>
        <w:tc>
          <w:tcPr>
            <w:tcW w:w="1580" w:type="dxa"/>
            <w:vAlign w:val="bottom"/>
          </w:tcPr>
          <w:p>
            <w:pPr>
              <w:jc w:val="center"/>
              <w:ind w:right="287"/>
              <w:spacing w:after="0" w:line="154" w:lineRule="exact"/>
              <w:rPr>
                <w:sz w:val="20"/>
                <w:szCs w:val="20"/>
                <w:color w:val="auto"/>
              </w:rPr>
            </w:pPr>
            <w:r>
              <w:rPr>
                <w:rFonts w:ascii="Arial" w:cs="Arial" w:eastAsia="Arial" w:hAnsi="Arial"/>
                <w:sz w:val="14"/>
                <w:szCs w:val="14"/>
                <w:b w:val="1"/>
                <w:bCs w:val="1"/>
                <w:color w:val="004987"/>
                <w:w w:val="97"/>
              </w:rPr>
              <w:t>Exercise Price of</w:t>
            </w:r>
          </w:p>
        </w:tc>
        <w:tc>
          <w:tcPr>
            <w:tcW w:w="1960" w:type="dxa"/>
            <w:vAlign w:val="bottom"/>
          </w:tcPr>
          <w:p>
            <w:pPr>
              <w:jc w:val="center"/>
              <w:ind w:left="70"/>
              <w:spacing w:after="0" w:line="154" w:lineRule="exact"/>
              <w:rPr>
                <w:sz w:val="20"/>
                <w:szCs w:val="20"/>
                <w:color w:val="auto"/>
              </w:rPr>
            </w:pPr>
            <w:r>
              <w:rPr>
                <w:rFonts w:ascii="Arial" w:cs="Arial" w:eastAsia="Arial" w:hAnsi="Arial"/>
                <w:sz w:val="14"/>
                <w:szCs w:val="14"/>
                <w:b w:val="1"/>
                <w:bCs w:val="1"/>
                <w:color w:val="004987"/>
                <w:w w:val="98"/>
              </w:rPr>
              <w:t>Future Issuance</w:t>
            </w:r>
          </w:p>
        </w:tc>
      </w:tr>
      <w:tr>
        <w:trPr>
          <w:trHeight w:val="154"/>
        </w:trPr>
        <w:tc>
          <w:tcPr>
            <w:tcW w:w="4340" w:type="dxa"/>
            <w:vAlign w:val="bottom"/>
          </w:tcPr>
          <w:p>
            <w:pPr>
              <w:spacing w:after="0"/>
              <w:rPr>
                <w:sz w:val="13"/>
                <w:szCs w:val="13"/>
                <w:color w:val="auto"/>
              </w:rPr>
            </w:pPr>
          </w:p>
        </w:tc>
        <w:tc>
          <w:tcPr>
            <w:tcW w:w="2220" w:type="dxa"/>
            <w:vAlign w:val="bottom"/>
          </w:tcPr>
          <w:p>
            <w:pPr>
              <w:jc w:val="center"/>
              <w:ind w:left="70"/>
              <w:spacing w:after="0" w:line="154" w:lineRule="exact"/>
              <w:rPr>
                <w:sz w:val="20"/>
                <w:szCs w:val="20"/>
                <w:color w:val="auto"/>
              </w:rPr>
            </w:pPr>
            <w:r>
              <w:rPr>
                <w:rFonts w:ascii="Arial" w:cs="Arial" w:eastAsia="Arial" w:hAnsi="Arial"/>
                <w:sz w:val="14"/>
                <w:szCs w:val="14"/>
                <w:b w:val="1"/>
                <w:bCs w:val="1"/>
                <w:color w:val="004987"/>
                <w:w w:val="97"/>
              </w:rPr>
              <w:t>Outstanding Options,</w:t>
            </w:r>
          </w:p>
        </w:tc>
        <w:tc>
          <w:tcPr>
            <w:tcW w:w="19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004987"/>
                <w:w w:val="97"/>
              </w:rPr>
              <w:t>Outstanding Options,</w:t>
            </w:r>
          </w:p>
        </w:tc>
        <w:tc>
          <w:tcPr>
            <w:tcW w:w="1960" w:type="dxa"/>
            <w:vAlign w:val="bottom"/>
          </w:tcPr>
          <w:p>
            <w:pPr>
              <w:jc w:val="center"/>
              <w:ind w:left="70"/>
              <w:spacing w:after="0" w:line="154" w:lineRule="exact"/>
              <w:rPr>
                <w:sz w:val="20"/>
                <w:szCs w:val="20"/>
                <w:color w:val="auto"/>
              </w:rPr>
            </w:pPr>
            <w:r>
              <w:rPr>
                <w:rFonts w:ascii="Arial" w:cs="Arial" w:eastAsia="Arial" w:hAnsi="Arial"/>
                <w:sz w:val="14"/>
                <w:szCs w:val="14"/>
                <w:b w:val="1"/>
                <w:bCs w:val="1"/>
                <w:color w:val="004987"/>
                <w:w w:val="98"/>
              </w:rPr>
              <w:t>Under Equity</w:t>
            </w:r>
          </w:p>
        </w:tc>
      </w:tr>
      <w:tr>
        <w:trPr>
          <w:trHeight w:val="182"/>
        </w:trPr>
        <w:tc>
          <w:tcPr>
            <w:tcW w:w="434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Plan Category</w:t>
            </w:r>
          </w:p>
        </w:tc>
        <w:tc>
          <w:tcPr>
            <w:tcW w:w="2220" w:type="dxa"/>
            <w:vAlign w:val="bottom"/>
            <w:tcBorders>
              <w:bottom w:val="single" w:sz="8" w:color="004987"/>
            </w:tcBorders>
          </w:tcPr>
          <w:p>
            <w:pPr>
              <w:jc w:val="center"/>
              <w:ind w:left="50"/>
              <w:spacing w:after="0"/>
              <w:rPr>
                <w:sz w:val="20"/>
                <w:szCs w:val="20"/>
                <w:color w:val="auto"/>
              </w:rPr>
            </w:pPr>
            <w:r>
              <w:rPr>
                <w:rFonts w:ascii="Arial" w:cs="Arial" w:eastAsia="Arial" w:hAnsi="Arial"/>
                <w:sz w:val="14"/>
                <w:szCs w:val="14"/>
                <w:b w:val="1"/>
                <w:bCs w:val="1"/>
                <w:color w:val="004987"/>
                <w:w w:val="97"/>
              </w:rPr>
              <w:t>Warrants and Rights</w:t>
            </w:r>
          </w:p>
        </w:tc>
        <w:tc>
          <w:tcPr>
            <w:tcW w:w="1940" w:type="dxa"/>
            <w:vAlign w:val="bottom"/>
            <w:tcBorders>
              <w:bottom w:val="single" w:sz="8" w:color="004987"/>
            </w:tcBorders>
            <w:gridSpan w:val="2"/>
          </w:tcPr>
          <w:p>
            <w:pPr>
              <w:jc w:val="center"/>
              <w:spacing w:after="0"/>
              <w:rPr>
                <w:sz w:val="20"/>
                <w:szCs w:val="20"/>
                <w:color w:val="auto"/>
              </w:rPr>
            </w:pPr>
            <w:r>
              <w:rPr>
                <w:rFonts w:ascii="Arial" w:cs="Arial" w:eastAsia="Arial" w:hAnsi="Arial"/>
                <w:sz w:val="14"/>
                <w:szCs w:val="14"/>
                <w:b w:val="1"/>
                <w:bCs w:val="1"/>
                <w:color w:val="004987"/>
                <w:w w:val="97"/>
              </w:rPr>
              <w:t>Warrants and Rights</w:t>
            </w:r>
          </w:p>
        </w:tc>
        <w:tc>
          <w:tcPr>
            <w:tcW w:w="1960" w:type="dxa"/>
            <w:vAlign w:val="bottom"/>
            <w:tcBorders>
              <w:bottom w:val="single" w:sz="8" w:color="004987"/>
            </w:tcBorders>
          </w:tcPr>
          <w:p>
            <w:pPr>
              <w:jc w:val="center"/>
              <w:ind w:left="70"/>
              <w:spacing w:after="0"/>
              <w:rPr>
                <w:sz w:val="20"/>
                <w:szCs w:val="20"/>
                <w:color w:val="auto"/>
              </w:rPr>
            </w:pPr>
            <w:r>
              <w:rPr>
                <w:rFonts w:ascii="Arial" w:cs="Arial" w:eastAsia="Arial" w:hAnsi="Arial"/>
                <w:sz w:val="14"/>
                <w:szCs w:val="14"/>
                <w:b w:val="1"/>
                <w:bCs w:val="1"/>
                <w:color w:val="004987"/>
                <w:w w:val="96"/>
              </w:rPr>
              <w:t>Compensation Plans</w:t>
            </w:r>
          </w:p>
        </w:tc>
      </w:tr>
      <w:tr>
        <w:trPr>
          <w:trHeight w:val="179"/>
        </w:trPr>
        <w:tc>
          <w:tcPr>
            <w:tcW w:w="4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Equity compensation plans approved by stockholders</w:t>
            </w:r>
          </w:p>
        </w:tc>
        <w:tc>
          <w:tcPr>
            <w:tcW w:w="2220" w:type="dxa"/>
            <w:vAlign w:val="bottom"/>
            <w:tcBorders>
              <w:bottom w:val="single" w:sz="8" w:color="auto"/>
            </w:tcBorders>
          </w:tcPr>
          <w:p>
            <w:pPr>
              <w:jc w:val="right"/>
              <w:ind w:right="210"/>
              <w:spacing w:after="0" w:line="180" w:lineRule="exact"/>
              <w:rPr>
                <w:sz w:val="20"/>
                <w:szCs w:val="20"/>
                <w:color w:val="auto"/>
              </w:rPr>
            </w:pPr>
            <w:r>
              <w:rPr>
                <w:rFonts w:ascii="Arial" w:cs="Arial" w:eastAsia="Arial" w:hAnsi="Arial"/>
                <w:sz w:val="13"/>
                <w:szCs w:val="13"/>
                <w:color w:val="auto"/>
              </w:rPr>
              <w:t>1,867,077</w:t>
            </w:r>
            <w:r>
              <w:rPr>
                <w:rFonts w:ascii="Arial" w:cs="Arial" w:eastAsia="Arial" w:hAnsi="Arial"/>
                <w:sz w:val="20"/>
                <w:szCs w:val="20"/>
                <w:color w:val="auto"/>
                <w:vertAlign w:val="superscript"/>
              </w:rPr>
              <w:t>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rPr>
              <w:t>107.86</w:t>
            </w:r>
          </w:p>
        </w:tc>
        <w:tc>
          <w:tcPr>
            <w:tcW w:w="19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3"/>
                <w:szCs w:val="13"/>
                <w:color w:val="auto"/>
              </w:rPr>
              <w:t>1,826,632</w:t>
            </w:r>
            <w:r>
              <w:rPr>
                <w:rFonts w:ascii="Arial" w:cs="Arial" w:eastAsia="Arial" w:hAnsi="Arial"/>
                <w:sz w:val="20"/>
                <w:szCs w:val="20"/>
                <w:color w:val="auto"/>
                <w:vertAlign w:val="superscript"/>
              </w:rPr>
              <w:t>2</w:t>
            </w:r>
          </w:p>
        </w:tc>
      </w:tr>
      <w:tr>
        <w:trPr>
          <w:trHeight w:val="172"/>
        </w:trPr>
        <w:tc>
          <w:tcPr>
            <w:tcW w:w="4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Equity compensation plans not approved by stockholders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w:t>
            </w:r>
          </w:p>
        </w:tc>
      </w:tr>
      <w:tr>
        <w:trPr>
          <w:trHeight w:val="172"/>
        </w:trPr>
        <w:tc>
          <w:tcPr>
            <w:tcW w:w="4340" w:type="dxa"/>
            <w:vAlign w:val="bottom"/>
            <w:tcBorders>
              <w:bottom w:val="single" w:sz="8" w:color="004987"/>
            </w:tcBorders>
          </w:tcPr>
          <w:p>
            <w:pPr>
              <w:spacing w:after="0"/>
              <w:rPr>
                <w:sz w:val="20"/>
                <w:szCs w:val="20"/>
                <w:color w:val="auto"/>
              </w:rPr>
            </w:pPr>
            <w:r>
              <w:rPr>
                <w:rFonts w:ascii="Arial" w:cs="Arial" w:eastAsia="Arial" w:hAnsi="Arial"/>
                <w:sz w:val="15"/>
                <w:szCs w:val="15"/>
                <w:b w:val="1"/>
                <w:bCs w:val="1"/>
                <w:color w:val="auto"/>
              </w:rPr>
              <w:t>Total</w:t>
            </w:r>
          </w:p>
        </w:tc>
        <w:tc>
          <w:tcPr>
            <w:tcW w:w="2220" w:type="dxa"/>
            <w:vAlign w:val="bottom"/>
            <w:tcBorders>
              <w:bottom w:val="single" w:sz="8" w:color="004987"/>
            </w:tcBorders>
          </w:tcPr>
          <w:p>
            <w:pPr>
              <w:jc w:val="right"/>
              <w:ind w:right="270"/>
              <w:spacing w:after="0"/>
              <w:rPr>
                <w:sz w:val="20"/>
                <w:szCs w:val="20"/>
                <w:color w:val="auto"/>
              </w:rPr>
            </w:pPr>
            <w:r>
              <w:rPr>
                <w:rFonts w:ascii="Arial" w:cs="Arial" w:eastAsia="Arial" w:hAnsi="Arial"/>
                <w:sz w:val="15"/>
                <w:szCs w:val="15"/>
                <w:b w:val="1"/>
                <w:bCs w:val="1"/>
                <w:color w:val="auto"/>
              </w:rPr>
              <w:t>1,867,077</w:t>
            </w:r>
          </w:p>
        </w:tc>
        <w:tc>
          <w:tcPr>
            <w:tcW w:w="360" w:type="dxa"/>
            <w:vAlign w:val="bottom"/>
            <w:tcBorders>
              <w:bottom w:val="single" w:sz="8" w:color="004987"/>
            </w:tcBorders>
          </w:tcPr>
          <w:p>
            <w:pPr>
              <w:jc w:val="right"/>
              <w:spacing w:after="0"/>
              <w:rPr>
                <w:sz w:val="20"/>
                <w:szCs w:val="20"/>
                <w:color w:val="auto"/>
              </w:rPr>
            </w:pPr>
            <w:r>
              <w:rPr>
                <w:rFonts w:ascii="Arial" w:cs="Arial" w:eastAsia="Arial" w:hAnsi="Arial"/>
                <w:sz w:val="15"/>
                <w:szCs w:val="15"/>
                <w:b w:val="1"/>
                <w:bCs w:val="1"/>
                <w:color w:val="auto"/>
              </w:rPr>
              <w:t>$</w:t>
            </w:r>
          </w:p>
        </w:tc>
        <w:tc>
          <w:tcPr>
            <w:tcW w:w="1580" w:type="dxa"/>
            <w:vAlign w:val="bottom"/>
            <w:tcBorders>
              <w:bottom w:val="single" w:sz="8" w:color="004987"/>
            </w:tcBorders>
          </w:tcPr>
          <w:p>
            <w:pPr>
              <w:jc w:val="right"/>
              <w:ind w:right="207"/>
              <w:spacing w:after="0"/>
              <w:rPr>
                <w:sz w:val="20"/>
                <w:szCs w:val="20"/>
                <w:color w:val="auto"/>
              </w:rPr>
            </w:pPr>
            <w:r>
              <w:rPr>
                <w:rFonts w:ascii="Arial" w:cs="Arial" w:eastAsia="Arial" w:hAnsi="Arial"/>
                <w:sz w:val="15"/>
                <w:szCs w:val="15"/>
                <w:b w:val="1"/>
                <w:bCs w:val="1"/>
                <w:color w:val="auto"/>
              </w:rPr>
              <w:t>107.86</w:t>
            </w:r>
          </w:p>
        </w:tc>
        <w:tc>
          <w:tcPr>
            <w:tcW w:w="1960" w:type="dxa"/>
            <w:vAlign w:val="bottom"/>
            <w:tcBorders>
              <w:bottom w:val="single" w:sz="8" w:color="004987"/>
            </w:tcBorders>
          </w:tcPr>
          <w:p>
            <w:pPr>
              <w:jc w:val="right"/>
              <w:ind w:right="70"/>
              <w:spacing w:after="0"/>
              <w:rPr>
                <w:sz w:val="20"/>
                <w:szCs w:val="20"/>
                <w:color w:val="auto"/>
              </w:rPr>
            </w:pPr>
            <w:r>
              <w:rPr>
                <w:rFonts w:ascii="Arial" w:cs="Arial" w:eastAsia="Arial" w:hAnsi="Arial"/>
                <w:sz w:val="15"/>
                <w:szCs w:val="15"/>
                <w:b w:val="1"/>
                <w:bCs w:val="1"/>
                <w:color w:val="auto"/>
              </w:rPr>
              <w:t>1,826,632</w:t>
            </w:r>
          </w:p>
        </w:tc>
      </w:tr>
    </w:tbl>
    <w:p>
      <w:pPr>
        <w:spacing w:after="0" w:line="69" w:lineRule="exact"/>
        <w:rPr>
          <w:sz w:val="20"/>
          <w:szCs w:val="20"/>
          <w:color w:val="auto"/>
        </w:rPr>
      </w:pPr>
    </w:p>
    <w:p>
      <w:pPr>
        <w:ind w:left="700" w:right="360" w:hanging="306"/>
        <w:spacing w:after="0" w:line="188" w:lineRule="auto"/>
        <w:tabs>
          <w:tab w:leader="none" w:pos="70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Includes 1,240,201 shares of outstanding deferred stock bonus and RSUs, as well as Non-Employee Director Share Awards awarded to directors under our equity compensation plans, that are not included in the calculation of Weighted-Average Exercise Price column.</w:t>
      </w:r>
    </w:p>
    <w:p>
      <w:pPr>
        <w:ind w:left="700" w:hanging="306"/>
        <w:spacing w:after="0" w:line="209" w:lineRule="auto"/>
        <w:tabs>
          <w:tab w:leader="none" w:pos="700" w:val="left"/>
        </w:tabs>
        <w:numPr>
          <w:ilvl w:val="0"/>
          <w:numId w:val="96"/>
        </w:numPr>
        <w:rPr>
          <w:rFonts w:ascii="Arial" w:cs="Arial" w:eastAsia="Arial" w:hAnsi="Arial"/>
          <w:sz w:val="23"/>
          <w:szCs w:val="23"/>
          <w:color w:val="auto"/>
          <w:vertAlign w:val="superscript"/>
        </w:rPr>
      </w:pPr>
      <w:r>
        <w:rPr>
          <w:rFonts w:ascii="Arial" w:cs="Arial" w:eastAsia="Arial" w:hAnsi="Arial"/>
          <w:sz w:val="14"/>
          <w:szCs w:val="14"/>
          <w:color w:val="auto"/>
        </w:rPr>
        <w:t>Consists of 1,441,032 shares available for issuance under our equity compensation plans and 385,600 shares available under the ESPP.</w:t>
      </w:r>
    </w:p>
    <w:p>
      <w:pPr>
        <w:spacing w:after="0" w:line="120" w:lineRule="exact"/>
        <w:rPr>
          <w:sz w:val="20"/>
          <w:szCs w:val="20"/>
          <w:color w:val="auto"/>
        </w:rPr>
      </w:pPr>
    </w:p>
    <w:p>
      <w:pPr>
        <w:ind w:left="400"/>
        <w:spacing w:after="0"/>
        <w:tabs>
          <w:tab w:leader="none" w:pos="4520" w:val="left"/>
          <w:tab w:leader="none" w:pos="7720" w:val="left"/>
        </w:tabs>
        <w:rPr>
          <w:sz w:val="20"/>
          <w:szCs w:val="20"/>
          <w:color w:val="auto"/>
        </w:rPr>
      </w:pPr>
      <w:r>
        <w:rPr>
          <w:rFonts w:ascii="Arial" w:cs="Arial" w:eastAsia="Arial" w:hAnsi="Arial"/>
          <w:sz w:val="10"/>
          <w:szCs w:val="10"/>
          <w:b w:val="1"/>
          <w:bCs w:val="1"/>
          <w:color w:val="004987"/>
        </w:rPr>
        <w:t>46</w:t>
      </w:r>
      <w:r>
        <w:rPr>
          <w:sz w:val="20"/>
          <w:szCs w:val="20"/>
          <w:color w:val="auto"/>
        </w:rPr>
        <w:tab/>
      </w:r>
      <w:r>
        <w:rPr>
          <w:rFonts w:ascii="Arial" w:cs="Arial" w:eastAsia="Arial" w:hAnsi="Arial"/>
          <w:sz w:val="10"/>
          <w:szCs w:val="10"/>
          <w:color w:val="auto"/>
        </w:rPr>
        <w:t>Executive Compensation Tables and Discussion</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1905</wp:posOffset>
            </wp:positionV>
            <wp:extent cx="66427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1" w:name="page52"/>
    <w:bookmarkEnd w:id="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spacing w:after="0"/>
        <w:rPr>
          <w:sz w:val="20"/>
          <w:szCs w:val="20"/>
          <w:color w:val="auto"/>
        </w:rPr>
      </w:pPr>
      <w:r>
        <w:rPr>
          <w:rFonts w:ascii="Arial" w:cs="Arial" w:eastAsia="Arial" w:hAnsi="Arial"/>
          <w:sz w:val="51"/>
          <w:szCs w:val="51"/>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-337185</wp:posOffset>
            </wp:positionV>
            <wp:extent cx="81280" cy="423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1280" cy="4235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STOCK OWNERSHIP OF OUR DIRECTORS, EXECUTIVE OFFICERS AND CERTAIN BENEFICIAL OWNERS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table below sets forth the beneficial ownership of the Company’s common stock as of March 15, 2022 (unless otherwise noted) by:</w:t>
      </w:r>
    </w:p>
    <w:p>
      <w:pPr>
        <w:spacing w:after="0" w:line="122" w:lineRule="exact"/>
        <w:rPr>
          <w:sz w:val="20"/>
          <w:szCs w:val="20"/>
          <w:color w:val="auto"/>
        </w:rPr>
      </w:pPr>
    </w:p>
    <w:p>
      <w:pPr>
        <w:ind w:left="600" w:right="80" w:hanging="206"/>
        <w:spacing w:after="0" w:line="289" w:lineRule="auto"/>
        <w:tabs>
          <w:tab w:leader="none" w:pos="600" w:val="left"/>
        </w:tabs>
        <w:numPr>
          <w:ilvl w:val="0"/>
          <w:numId w:val="97"/>
        </w:numPr>
        <w:rPr>
          <w:rFonts w:ascii="Arial" w:cs="Arial" w:eastAsia="Arial" w:hAnsi="Arial"/>
          <w:sz w:val="15"/>
          <w:szCs w:val="15"/>
          <w:color w:val="004987"/>
        </w:rPr>
      </w:pPr>
      <w:r>
        <w:rPr>
          <w:rFonts w:ascii="Arial" w:cs="Arial" w:eastAsia="Arial" w:hAnsi="Arial"/>
          <w:sz w:val="15"/>
          <w:szCs w:val="15"/>
          <w:color w:val="auto"/>
        </w:rPr>
        <w:t>those persons or entities (or group affiliated persons or entities) known by management to beneficially own more than 5% of the outstanding shares of the Company’s common stock;</w:t>
      </w:r>
    </w:p>
    <w:p>
      <w:pPr>
        <w:spacing w:after="0" w:line="58" w:lineRule="exact"/>
        <w:rPr>
          <w:rFonts w:ascii="Arial" w:cs="Arial" w:eastAsia="Arial" w:hAnsi="Arial"/>
          <w:sz w:val="15"/>
          <w:szCs w:val="15"/>
          <w:color w:val="004987"/>
        </w:rPr>
      </w:pPr>
    </w:p>
    <w:p>
      <w:pPr>
        <w:ind w:left="600" w:hanging="206"/>
        <w:spacing w:after="0"/>
        <w:tabs>
          <w:tab w:leader="none" w:pos="600" w:val="left"/>
        </w:tabs>
        <w:numPr>
          <w:ilvl w:val="0"/>
          <w:numId w:val="97"/>
        </w:numPr>
        <w:rPr>
          <w:rFonts w:ascii="Arial" w:cs="Arial" w:eastAsia="Arial" w:hAnsi="Arial"/>
          <w:sz w:val="15"/>
          <w:szCs w:val="15"/>
          <w:color w:val="004987"/>
        </w:rPr>
      </w:pPr>
      <w:r>
        <w:rPr>
          <w:rFonts w:ascii="Arial" w:cs="Arial" w:eastAsia="Arial" w:hAnsi="Arial"/>
          <w:sz w:val="15"/>
          <w:szCs w:val="15"/>
          <w:color w:val="auto"/>
        </w:rPr>
        <w:t>each director and director nominee of the Company;</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97"/>
        </w:numPr>
        <w:rPr>
          <w:rFonts w:ascii="Arial" w:cs="Arial" w:eastAsia="Arial" w:hAnsi="Arial"/>
          <w:sz w:val="15"/>
          <w:szCs w:val="15"/>
          <w:color w:val="004987"/>
        </w:rPr>
      </w:pPr>
      <w:r>
        <w:rPr>
          <w:rFonts w:ascii="Arial" w:cs="Arial" w:eastAsia="Arial" w:hAnsi="Arial"/>
          <w:sz w:val="15"/>
          <w:szCs w:val="15"/>
          <w:color w:val="auto"/>
        </w:rPr>
        <w:t>each named executive officer of the Company; and</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97"/>
        </w:numPr>
        <w:rPr>
          <w:rFonts w:ascii="Arial" w:cs="Arial" w:eastAsia="Arial" w:hAnsi="Arial"/>
          <w:sz w:val="15"/>
          <w:szCs w:val="15"/>
          <w:color w:val="004987"/>
        </w:rPr>
      </w:pPr>
      <w:r>
        <w:rPr>
          <w:rFonts w:ascii="Arial" w:cs="Arial" w:eastAsia="Arial" w:hAnsi="Arial"/>
          <w:sz w:val="15"/>
          <w:szCs w:val="15"/>
          <w:color w:val="auto"/>
        </w:rPr>
        <w:t>all of the current executive officers and directors of the Company as a group.</w:t>
      </w:r>
    </w:p>
    <w:p>
      <w:pPr>
        <w:spacing w:after="0" w:line="110" w:lineRule="exact"/>
        <w:rPr>
          <w:sz w:val="20"/>
          <w:szCs w:val="20"/>
          <w:color w:val="auto"/>
        </w:rPr>
      </w:pPr>
    </w:p>
    <w:p>
      <w:pPr>
        <w:ind w:left="400" w:right="340"/>
        <w:spacing w:after="0" w:line="289" w:lineRule="auto"/>
        <w:rPr>
          <w:sz w:val="20"/>
          <w:szCs w:val="20"/>
          <w:color w:val="auto"/>
        </w:rPr>
      </w:pPr>
      <w:r>
        <w:rPr>
          <w:rFonts w:ascii="Arial" w:cs="Arial" w:eastAsia="Arial" w:hAnsi="Arial"/>
          <w:sz w:val="15"/>
          <w:szCs w:val="15"/>
          <w:color w:val="auto"/>
        </w:rPr>
        <w:t>Ownership consists of sole voting and sole investment power, except as indicated in the notes below, and except for shares registered in the name of children sharing the same household or subject to any community property laws.</w:t>
      </w:r>
    </w:p>
    <w:p>
      <w:pPr>
        <w:spacing w:after="0" w:line="46" w:lineRule="exact"/>
        <w:rPr>
          <w:sz w:val="20"/>
          <w:szCs w:val="20"/>
          <w:color w:val="auto"/>
        </w:rPr>
      </w:pPr>
    </w:p>
    <w:p>
      <w:pPr>
        <w:ind w:left="400" w:right="180"/>
        <w:spacing w:after="0" w:line="259" w:lineRule="auto"/>
        <w:rPr>
          <w:sz w:val="20"/>
          <w:szCs w:val="20"/>
          <w:color w:val="auto"/>
        </w:rPr>
      </w:pPr>
      <w:r>
        <w:rPr>
          <w:rFonts w:ascii="Arial" w:cs="Arial" w:eastAsia="Arial" w:hAnsi="Arial"/>
          <w:sz w:val="15"/>
          <w:szCs w:val="15"/>
          <w:color w:val="auto"/>
        </w:rPr>
        <w:t>Beneficial ownership is determined in accordance with the rules of the SEC. In computing the number of shares beneficially owned by a person and the percentage ownership of that person, shares of the Company’s common stock that such person has the right to acquire within 60 days of the applicable date, including through the exercise of SARs, are deemed outstanding for such person. Such shares, however, are not deemed outstanding for the purpose of computing the percentage ownership of any other person. Percentage ownership is based upon 41,958,486 shares of the Company’s common stock outstanding on March 15, 2022.</w:t>
      </w:r>
    </w:p>
    <w:p>
      <w:pPr>
        <w:spacing w:after="0" w:line="265"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Stock Ownership of Certain Beneficial Owners</w:t>
      </w:r>
    </w:p>
    <w:p>
      <w:pPr>
        <w:spacing w:after="0" w:line="22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740" w:type="dxa"/>
            <w:vAlign w:val="bottom"/>
          </w:tcPr>
          <w:p>
            <w:pPr>
              <w:jc w:val="center"/>
              <w:ind w:left="1732"/>
              <w:spacing w:after="0"/>
              <w:rPr>
                <w:sz w:val="20"/>
                <w:szCs w:val="20"/>
                <w:color w:val="auto"/>
              </w:rPr>
            </w:pPr>
            <w:r>
              <w:rPr>
                <w:rFonts w:ascii="Arial" w:cs="Arial" w:eastAsia="Arial" w:hAnsi="Arial"/>
                <w:sz w:val="14"/>
                <w:szCs w:val="14"/>
                <w:b w:val="1"/>
                <w:bCs w:val="1"/>
                <w:color w:val="004987"/>
                <w:w w:val="96"/>
              </w:rPr>
              <w:t>Amount and Nature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680" w:type="dxa"/>
            <w:vAlign w:val="bottom"/>
          </w:tcPr>
          <w:p>
            <w:pPr>
              <w:spacing w:after="0"/>
              <w:rPr>
                <w:sz w:val="13"/>
                <w:szCs w:val="13"/>
                <w:color w:val="auto"/>
              </w:rPr>
            </w:pPr>
          </w:p>
        </w:tc>
        <w:tc>
          <w:tcPr>
            <w:tcW w:w="3740" w:type="dxa"/>
            <w:vAlign w:val="bottom"/>
          </w:tcPr>
          <w:p>
            <w:pPr>
              <w:jc w:val="center"/>
              <w:ind w:left="1732"/>
              <w:spacing w:after="0" w:line="154" w:lineRule="exact"/>
              <w:rPr>
                <w:sz w:val="20"/>
                <w:szCs w:val="20"/>
                <w:color w:val="auto"/>
              </w:rPr>
            </w:pPr>
            <w:r>
              <w:rPr>
                <w:rFonts w:ascii="Arial" w:cs="Arial" w:eastAsia="Arial" w:hAnsi="Arial"/>
                <w:sz w:val="14"/>
                <w:szCs w:val="14"/>
                <w:b w:val="1"/>
                <w:bCs w:val="1"/>
                <w:color w:val="004987"/>
                <w:w w:val="98"/>
              </w:rPr>
              <w:t>of Beneficial</w:t>
            </w:r>
          </w:p>
        </w:tc>
        <w:tc>
          <w:tcPr>
            <w:tcW w:w="1040" w:type="dxa"/>
            <w:vAlign w:val="bottom"/>
          </w:tcPr>
          <w:p>
            <w:pPr>
              <w:jc w:val="right"/>
              <w:spacing w:after="0" w:line="154" w:lineRule="exact"/>
              <w:rPr>
                <w:sz w:val="20"/>
                <w:szCs w:val="20"/>
                <w:color w:val="auto"/>
              </w:rPr>
            </w:pPr>
            <w:r>
              <w:rPr>
                <w:rFonts w:ascii="Arial" w:cs="Arial" w:eastAsia="Arial" w:hAnsi="Arial"/>
                <w:sz w:val="14"/>
                <w:szCs w:val="14"/>
                <w:b w:val="1"/>
                <w:bCs w:val="1"/>
                <w:color w:val="004987"/>
              </w:rPr>
              <w:t>Percent of</w:t>
            </w:r>
          </w:p>
        </w:tc>
        <w:tc>
          <w:tcPr>
            <w:tcW w:w="0" w:type="dxa"/>
            <w:vAlign w:val="bottom"/>
          </w:tcPr>
          <w:p>
            <w:pPr>
              <w:spacing w:after="0"/>
              <w:rPr>
                <w:sz w:val="1"/>
                <w:szCs w:val="1"/>
                <w:color w:val="auto"/>
              </w:rPr>
            </w:pPr>
          </w:p>
        </w:tc>
      </w:tr>
      <w:tr>
        <w:trPr>
          <w:trHeight w:val="182"/>
        </w:trPr>
        <w:tc>
          <w:tcPr>
            <w:tcW w:w="568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Name</w:t>
            </w:r>
          </w:p>
        </w:tc>
        <w:tc>
          <w:tcPr>
            <w:tcW w:w="3740" w:type="dxa"/>
            <w:vAlign w:val="bottom"/>
            <w:tcBorders>
              <w:bottom w:val="single" w:sz="8" w:color="004987"/>
            </w:tcBorders>
          </w:tcPr>
          <w:p>
            <w:pPr>
              <w:jc w:val="center"/>
              <w:ind w:left="1732"/>
              <w:spacing w:after="0"/>
              <w:rPr>
                <w:sz w:val="20"/>
                <w:szCs w:val="20"/>
                <w:color w:val="auto"/>
              </w:rPr>
            </w:pPr>
            <w:r>
              <w:rPr>
                <w:rFonts w:ascii="Arial" w:cs="Arial" w:eastAsia="Arial" w:hAnsi="Arial"/>
                <w:sz w:val="14"/>
                <w:szCs w:val="14"/>
                <w:b w:val="1"/>
                <w:bCs w:val="1"/>
                <w:color w:val="004987"/>
                <w:w w:val="96"/>
              </w:rPr>
              <w:t>Ownership</w:t>
            </w:r>
          </w:p>
        </w:tc>
        <w:tc>
          <w:tcPr>
            <w:tcW w:w="1040" w:type="dxa"/>
            <w:vAlign w:val="bottom"/>
            <w:tcBorders>
              <w:bottom w:val="single" w:sz="8" w:color="004987"/>
            </w:tcBorders>
          </w:tcPr>
          <w:p>
            <w:pPr>
              <w:jc w:val="right"/>
              <w:ind w:right="84"/>
              <w:spacing w:after="0" w:line="176" w:lineRule="exact"/>
              <w:rPr>
                <w:sz w:val="20"/>
                <w:szCs w:val="20"/>
                <w:color w:val="auto"/>
              </w:rPr>
            </w:pPr>
            <w:r>
              <w:rPr>
                <w:rFonts w:ascii="Arial" w:cs="Arial" w:eastAsia="Arial" w:hAnsi="Arial"/>
                <w:sz w:val="12"/>
                <w:szCs w:val="12"/>
                <w:b w:val="1"/>
                <w:bCs w:val="1"/>
                <w:color w:val="004987"/>
              </w:rPr>
              <w:t>Class</w:t>
            </w:r>
            <w:r>
              <w:rPr>
                <w:rFonts w:ascii="Arial" w:cs="Arial" w:eastAsia="Arial" w:hAnsi="Arial"/>
                <w:sz w:val="20"/>
                <w:szCs w:val="20"/>
                <w:color w:val="004987"/>
                <w:vertAlign w:val="superscript"/>
              </w:rPr>
              <w:t>1</w:t>
            </w:r>
          </w:p>
        </w:tc>
        <w:tc>
          <w:tcPr>
            <w:tcW w:w="0" w:type="dxa"/>
            <w:vAlign w:val="bottom"/>
          </w:tcPr>
          <w:p>
            <w:pPr>
              <w:spacing w:after="0"/>
              <w:rPr>
                <w:sz w:val="1"/>
                <w:szCs w:val="1"/>
                <w:color w:val="auto"/>
              </w:rPr>
            </w:pPr>
          </w:p>
        </w:tc>
      </w:tr>
      <w:tr>
        <w:trPr>
          <w:trHeight w:val="167"/>
        </w:trPr>
        <w:tc>
          <w:tcPr>
            <w:tcW w:w="5680" w:type="dxa"/>
            <w:vAlign w:val="bottom"/>
          </w:tcPr>
          <w:p>
            <w:pPr>
              <w:spacing w:after="0" w:line="167" w:lineRule="exact"/>
              <w:rPr>
                <w:sz w:val="20"/>
                <w:szCs w:val="20"/>
                <w:color w:val="auto"/>
              </w:rPr>
            </w:pPr>
            <w:r>
              <w:rPr>
                <w:rFonts w:ascii="Arial" w:cs="Arial" w:eastAsia="Arial" w:hAnsi="Arial"/>
                <w:sz w:val="15"/>
                <w:szCs w:val="15"/>
                <w:b w:val="1"/>
                <w:bCs w:val="1"/>
                <w:color w:val="auto"/>
              </w:rPr>
              <w:t>Directors and Nominees</w:t>
            </w:r>
          </w:p>
        </w:tc>
        <w:tc>
          <w:tcPr>
            <w:tcW w:w="3740" w:type="dxa"/>
            <w:vAlign w:val="bottom"/>
            <w:vMerge w:val="restart"/>
          </w:tcPr>
          <w:p>
            <w:pPr>
              <w:jc w:val="right"/>
              <w:ind w:right="452"/>
              <w:spacing w:after="0"/>
              <w:rPr>
                <w:sz w:val="20"/>
                <w:szCs w:val="20"/>
                <w:color w:val="auto"/>
              </w:rPr>
            </w:pPr>
            <w:r>
              <w:rPr>
                <w:rFonts w:ascii="Arial" w:cs="Arial" w:eastAsia="Arial" w:hAnsi="Arial"/>
                <w:sz w:val="15"/>
                <w:szCs w:val="15"/>
                <w:color w:val="auto"/>
              </w:rPr>
              <w:t>21,505</w:t>
            </w:r>
            <w:r>
              <w:rPr>
                <w:rFonts w:ascii="Arial" w:cs="Arial" w:eastAsia="Arial" w:hAnsi="Arial"/>
                <w:sz w:val="26"/>
                <w:szCs w:val="26"/>
                <w:color w:val="auto"/>
                <w:vertAlign w:val="superscript"/>
              </w:rPr>
              <w:t>2</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680" w:type="dxa"/>
            <w:vAlign w:val="bottom"/>
          </w:tcPr>
          <w:p>
            <w:pPr>
              <w:ind w:left="140"/>
              <w:spacing w:after="0"/>
              <w:rPr>
                <w:sz w:val="20"/>
                <w:szCs w:val="20"/>
                <w:color w:val="auto"/>
              </w:rPr>
            </w:pPr>
            <w:r>
              <w:rPr>
                <w:rFonts w:ascii="Arial" w:cs="Arial" w:eastAsia="Arial" w:hAnsi="Arial"/>
                <w:sz w:val="15"/>
                <w:szCs w:val="15"/>
                <w:color w:val="auto"/>
              </w:rPr>
              <w:t>C.E. Andrews</w:t>
            </w:r>
          </w:p>
        </w:tc>
        <w:tc>
          <w:tcPr>
            <w:tcW w:w="3740" w:type="dxa"/>
            <w:vAlign w:val="bottom"/>
            <w:vMerge w:val="continue"/>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Lizanne Galbreath</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11,895</w:t>
            </w:r>
            <w:r>
              <w:rPr>
                <w:rFonts w:ascii="Arial" w:cs="Arial" w:eastAsia="Arial" w:hAnsi="Arial"/>
                <w:sz w:val="20"/>
                <w:szCs w:val="20"/>
                <w:color w:val="auto"/>
                <w:vertAlign w:val="superscript"/>
              </w:rPr>
              <w:t>2</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Raymond L. Gellein, Jr.</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24,499</w:t>
            </w:r>
            <w:r>
              <w:rPr>
                <w:rFonts w:ascii="Arial" w:cs="Arial" w:eastAsia="Arial" w:hAnsi="Arial"/>
                <w:sz w:val="20"/>
                <w:szCs w:val="20"/>
                <w:color w:val="auto"/>
                <w:vertAlign w:val="superscript"/>
              </w:rPr>
              <w:t>2</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Thomas J. Hutchison III</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24,184</w:t>
            </w:r>
            <w:r>
              <w:rPr>
                <w:rFonts w:ascii="Arial" w:cs="Arial" w:eastAsia="Arial" w:hAnsi="Arial"/>
                <w:sz w:val="20"/>
                <w:szCs w:val="20"/>
                <w:color w:val="auto"/>
                <w:vertAlign w:val="superscript"/>
              </w:rPr>
              <w:t>2</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Melquiades R. Martinez</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16,673</w:t>
            </w:r>
            <w:r>
              <w:rPr>
                <w:rFonts w:ascii="Arial" w:cs="Arial" w:eastAsia="Arial" w:hAnsi="Arial"/>
                <w:sz w:val="20"/>
                <w:szCs w:val="20"/>
                <w:color w:val="auto"/>
                <w:vertAlign w:val="superscript"/>
              </w:rPr>
              <w:t>2</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William W. McCarten</w:t>
            </w:r>
          </w:p>
        </w:tc>
        <w:tc>
          <w:tcPr>
            <w:tcW w:w="3740" w:type="dxa"/>
            <w:vAlign w:val="bottom"/>
          </w:tcPr>
          <w:p>
            <w:pPr>
              <w:jc w:val="right"/>
              <w:ind w:right="352"/>
              <w:spacing w:after="0" w:line="180" w:lineRule="exact"/>
              <w:rPr>
                <w:sz w:val="20"/>
                <w:szCs w:val="20"/>
                <w:color w:val="auto"/>
              </w:rPr>
            </w:pPr>
            <w:r>
              <w:rPr>
                <w:rFonts w:ascii="Arial" w:cs="Arial" w:eastAsia="Arial" w:hAnsi="Arial"/>
                <w:sz w:val="13"/>
                <w:szCs w:val="13"/>
                <w:color w:val="auto"/>
              </w:rPr>
              <w:t>24,239</w:t>
            </w:r>
            <w:r>
              <w:rPr>
                <w:rFonts w:ascii="Arial" w:cs="Arial" w:eastAsia="Arial" w:hAnsi="Arial"/>
                <w:sz w:val="20"/>
                <w:szCs w:val="20"/>
                <w:color w:val="auto"/>
                <w:vertAlign w:val="superscript"/>
              </w:rPr>
              <w:t>2,3</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Dianna F. Morgan</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15,063</w:t>
            </w:r>
            <w:r>
              <w:rPr>
                <w:rFonts w:ascii="Arial" w:cs="Arial" w:eastAsia="Arial" w:hAnsi="Arial"/>
                <w:sz w:val="20"/>
                <w:szCs w:val="20"/>
                <w:color w:val="auto"/>
                <w:vertAlign w:val="superscript"/>
              </w:rPr>
              <w:t>2</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Stephen R. Quazzo</w:t>
            </w:r>
          </w:p>
        </w:tc>
        <w:tc>
          <w:tcPr>
            <w:tcW w:w="3740" w:type="dxa"/>
            <w:vAlign w:val="bottom"/>
          </w:tcPr>
          <w:p>
            <w:pPr>
              <w:jc w:val="right"/>
              <w:ind w:right="352"/>
              <w:spacing w:after="0" w:line="180" w:lineRule="exact"/>
              <w:rPr>
                <w:sz w:val="20"/>
                <w:szCs w:val="20"/>
                <w:color w:val="auto"/>
              </w:rPr>
            </w:pPr>
            <w:r>
              <w:rPr>
                <w:rFonts w:ascii="Arial" w:cs="Arial" w:eastAsia="Arial" w:hAnsi="Arial"/>
                <w:sz w:val="13"/>
                <w:szCs w:val="13"/>
                <w:color w:val="auto"/>
              </w:rPr>
              <w:t>14,555</w:t>
            </w:r>
            <w:r>
              <w:rPr>
                <w:rFonts w:ascii="Arial" w:cs="Arial" w:eastAsia="Arial" w:hAnsi="Arial"/>
                <w:sz w:val="20"/>
                <w:szCs w:val="20"/>
                <w:color w:val="auto"/>
                <w:vertAlign w:val="superscript"/>
              </w:rPr>
              <w:t>2,4</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5680" w:type="dxa"/>
            <w:vAlign w:val="bottom"/>
          </w:tcPr>
          <w:p>
            <w:pPr>
              <w:ind w:left="140"/>
              <w:spacing w:after="0"/>
              <w:rPr>
                <w:sz w:val="20"/>
                <w:szCs w:val="20"/>
                <w:color w:val="auto"/>
              </w:rPr>
            </w:pPr>
            <w:r>
              <w:rPr>
                <w:rFonts w:ascii="Arial" w:cs="Arial" w:eastAsia="Arial" w:hAnsi="Arial"/>
                <w:sz w:val="15"/>
                <w:szCs w:val="15"/>
                <w:color w:val="auto"/>
              </w:rPr>
              <w:t>William J. Shaw</w:t>
            </w:r>
          </w:p>
        </w:tc>
        <w:tc>
          <w:tcPr>
            <w:tcW w:w="3740" w:type="dxa"/>
            <w:vAlign w:val="bottom"/>
          </w:tcPr>
          <w:p>
            <w:pPr>
              <w:jc w:val="right"/>
              <w:ind w:right="452"/>
              <w:spacing w:after="0" w:line="183" w:lineRule="exact"/>
              <w:rPr>
                <w:sz w:val="20"/>
                <w:szCs w:val="20"/>
                <w:color w:val="auto"/>
              </w:rPr>
            </w:pPr>
            <w:r>
              <w:rPr>
                <w:rFonts w:ascii="Arial" w:cs="Arial" w:eastAsia="Arial" w:hAnsi="Arial"/>
                <w:sz w:val="13"/>
                <w:szCs w:val="13"/>
                <w:color w:val="auto"/>
              </w:rPr>
              <w:t>173,086</w:t>
            </w:r>
            <w:r>
              <w:rPr>
                <w:rFonts w:ascii="Arial" w:cs="Arial" w:eastAsia="Arial" w:hAnsi="Arial"/>
                <w:sz w:val="21"/>
                <w:szCs w:val="21"/>
                <w:color w:val="auto"/>
                <w:vertAlign w:val="superscript"/>
              </w:rPr>
              <w:t>2</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5680" w:type="dxa"/>
            <w:vAlign w:val="bottom"/>
          </w:tcPr>
          <w:p>
            <w:pPr>
              <w:ind w:left="140"/>
              <w:spacing w:after="0"/>
              <w:rPr>
                <w:sz w:val="20"/>
                <w:szCs w:val="20"/>
                <w:color w:val="auto"/>
              </w:rPr>
            </w:pPr>
            <w:r>
              <w:rPr>
                <w:rFonts w:ascii="Arial" w:cs="Arial" w:eastAsia="Arial" w:hAnsi="Arial"/>
                <w:sz w:val="15"/>
                <w:szCs w:val="15"/>
                <w:color w:val="auto"/>
              </w:rPr>
              <w:t>Jonice G. Tucker</w:t>
            </w:r>
          </w:p>
        </w:tc>
        <w:tc>
          <w:tcPr>
            <w:tcW w:w="3740" w:type="dxa"/>
            <w:vAlign w:val="bottom"/>
          </w:tcPr>
          <w:p>
            <w:pPr>
              <w:jc w:val="right"/>
              <w:ind w:right="532"/>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5680" w:type="dxa"/>
            <w:vAlign w:val="bottom"/>
          </w:tcPr>
          <w:p>
            <w:pPr>
              <w:ind w:left="140"/>
              <w:spacing w:after="0"/>
              <w:rPr>
                <w:sz w:val="20"/>
                <w:szCs w:val="20"/>
                <w:color w:val="auto"/>
              </w:rPr>
            </w:pPr>
            <w:r>
              <w:rPr>
                <w:rFonts w:ascii="Arial" w:cs="Arial" w:eastAsia="Arial" w:hAnsi="Arial"/>
                <w:sz w:val="15"/>
                <w:szCs w:val="15"/>
                <w:color w:val="auto"/>
              </w:rPr>
              <w:t>Stephen P. Weisz</w:t>
            </w:r>
          </w:p>
        </w:tc>
        <w:tc>
          <w:tcPr>
            <w:tcW w:w="3740" w:type="dxa"/>
            <w:vAlign w:val="bottom"/>
          </w:tcPr>
          <w:p>
            <w:pPr>
              <w:jc w:val="right"/>
              <w:ind w:right="352"/>
              <w:spacing w:after="0" w:line="181" w:lineRule="exact"/>
              <w:rPr>
                <w:sz w:val="20"/>
                <w:szCs w:val="20"/>
                <w:color w:val="auto"/>
              </w:rPr>
            </w:pPr>
            <w:r>
              <w:rPr>
                <w:rFonts w:ascii="Arial" w:cs="Arial" w:eastAsia="Arial" w:hAnsi="Arial"/>
                <w:sz w:val="13"/>
                <w:szCs w:val="13"/>
                <w:color w:val="auto"/>
              </w:rPr>
              <w:t>365,141</w:t>
            </w:r>
            <w:r>
              <w:rPr>
                <w:rFonts w:ascii="Arial" w:cs="Arial" w:eastAsia="Arial" w:hAnsi="Arial"/>
                <w:sz w:val="20"/>
                <w:szCs w:val="20"/>
                <w:color w:val="auto"/>
                <w:vertAlign w:val="superscript"/>
              </w:rPr>
              <w:t>5,6</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680" w:type="dxa"/>
            <w:vAlign w:val="bottom"/>
          </w:tcPr>
          <w:p>
            <w:pPr>
              <w:spacing w:after="0"/>
              <w:rPr>
                <w:sz w:val="20"/>
                <w:szCs w:val="20"/>
                <w:color w:val="auto"/>
              </w:rPr>
            </w:pPr>
            <w:r>
              <w:rPr>
                <w:rFonts w:ascii="Arial" w:cs="Arial" w:eastAsia="Arial" w:hAnsi="Arial"/>
                <w:sz w:val="15"/>
                <w:szCs w:val="15"/>
                <w:b w:val="1"/>
                <w:bCs w:val="1"/>
                <w:color w:val="auto"/>
              </w:rPr>
              <w:t>Named Executive Officers (other than Mr. Weisz)</w:t>
            </w:r>
          </w:p>
        </w:tc>
        <w:tc>
          <w:tcPr>
            <w:tcW w:w="3740" w:type="dxa"/>
            <w:vAlign w:val="bottom"/>
            <w:vMerge w:val="restart"/>
          </w:tcPr>
          <w:p>
            <w:pPr>
              <w:jc w:val="right"/>
              <w:ind w:right="452"/>
              <w:spacing w:after="0"/>
              <w:rPr>
                <w:sz w:val="20"/>
                <w:szCs w:val="20"/>
                <w:color w:val="auto"/>
              </w:rPr>
            </w:pPr>
            <w:r>
              <w:rPr>
                <w:rFonts w:ascii="Arial" w:cs="Arial" w:eastAsia="Arial" w:hAnsi="Arial"/>
                <w:sz w:val="15"/>
                <w:szCs w:val="15"/>
                <w:color w:val="auto"/>
              </w:rPr>
              <w:t>23,384</w:t>
            </w:r>
            <w:r>
              <w:rPr>
                <w:rFonts w:ascii="Arial" w:cs="Arial" w:eastAsia="Arial" w:hAnsi="Arial"/>
                <w:sz w:val="26"/>
                <w:szCs w:val="26"/>
                <w:color w:val="auto"/>
                <w:vertAlign w:val="superscript"/>
              </w:rPr>
              <w:t>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680" w:type="dxa"/>
            <w:vAlign w:val="bottom"/>
          </w:tcPr>
          <w:p>
            <w:pPr>
              <w:ind w:left="140"/>
              <w:spacing w:after="0"/>
              <w:rPr>
                <w:sz w:val="20"/>
                <w:szCs w:val="20"/>
                <w:color w:val="auto"/>
              </w:rPr>
            </w:pPr>
            <w:r>
              <w:rPr>
                <w:rFonts w:ascii="Arial" w:cs="Arial" w:eastAsia="Arial" w:hAnsi="Arial"/>
                <w:sz w:val="15"/>
                <w:szCs w:val="15"/>
                <w:color w:val="auto"/>
              </w:rPr>
              <w:t>R. Lee Cunningham</w:t>
            </w:r>
          </w:p>
        </w:tc>
        <w:tc>
          <w:tcPr>
            <w:tcW w:w="3740" w:type="dxa"/>
            <w:vAlign w:val="bottom"/>
            <w:vMerge w:val="continue"/>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John E. Geller, Jr.</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109,295</w:t>
            </w:r>
            <w:r>
              <w:rPr>
                <w:rFonts w:ascii="Arial" w:cs="Arial" w:eastAsia="Arial" w:hAnsi="Arial"/>
                <w:sz w:val="20"/>
                <w:szCs w:val="20"/>
                <w:color w:val="auto"/>
                <w:vertAlign w:val="superscript"/>
              </w:rPr>
              <w:t>5</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Jeanette Marbert</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100,035</w:t>
            </w:r>
            <w:r>
              <w:rPr>
                <w:rFonts w:ascii="Arial" w:cs="Arial" w:eastAsia="Arial" w:hAnsi="Arial"/>
                <w:sz w:val="20"/>
                <w:szCs w:val="20"/>
                <w:color w:val="auto"/>
                <w:vertAlign w:val="superscript"/>
              </w:rPr>
              <w:t>5</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5680" w:type="dxa"/>
            <w:vAlign w:val="bottom"/>
          </w:tcPr>
          <w:p>
            <w:pPr>
              <w:ind w:left="140"/>
              <w:spacing w:after="0"/>
              <w:rPr>
                <w:sz w:val="20"/>
                <w:szCs w:val="20"/>
                <w:color w:val="auto"/>
              </w:rPr>
            </w:pPr>
            <w:r>
              <w:rPr>
                <w:rFonts w:ascii="Arial" w:cs="Arial" w:eastAsia="Arial" w:hAnsi="Arial"/>
                <w:sz w:val="15"/>
                <w:szCs w:val="15"/>
                <w:color w:val="auto"/>
              </w:rPr>
              <w:t>Brian E. Miller</w:t>
            </w:r>
          </w:p>
        </w:tc>
        <w:tc>
          <w:tcPr>
            <w:tcW w:w="3740" w:type="dxa"/>
            <w:vAlign w:val="bottom"/>
          </w:tcPr>
          <w:p>
            <w:pPr>
              <w:jc w:val="right"/>
              <w:ind w:right="452"/>
              <w:spacing w:after="0" w:line="183" w:lineRule="exact"/>
              <w:rPr>
                <w:sz w:val="20"/>
                <w:szCs w:val="20"/>
                <w:color w:val="auto"/>
              </w:rPr>
            </w:pPr>
            <w:r>
              <w:rPr>
                <w:rFonts w:ascii="Arial" w:cs="Arial" w:eastAsia="Arial" w:hAnsi="Arial"/>
                <w:sz w:val="13"/>
                <w:szCs w:val="13"/>
                <w:color w:val="auto"/>
              </w:rPr>
              <w:t>24,357</w:t>
            </w:r>
            <w:r>
              <w:rPr>
                <w:rFonts w:ascii="Arial" w:cs="Arial" w:eastAsia="Arial" w:hAnsi="Arial"/>
                <w:sz w:val="21"/>
                <w:szCs w:val="21"/>
                <w:color w:val="auto"/>
                <w:vertAlign w:val="superscript"/>
              </w:rPr>
              <w:t>5</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5680" w:type="dxa"/>
            <w:vAlign w:val="bottom"/>
          </w:tcPr>
          <w:p>
            <w:pPr>
              <w:ind w:left="140"/>
              <w:spacing w:after="0"/>
              <w:rPr>
                <w:sz w:val="20"/>
                <w:szCs w:val="20"/>
                <w:color w:val="auto"/>
              </w:rPr>
            </w:pPr>
            <w:r>
              <w:rPr>
                <w:rFonts w:ascii="Arial" w:cs="Arial" w:eastAsia="Arial" w:hAnsi="Arial"/>
                <w:sz w:val="15"/>
                <w:szCs w:val="15"/>
                <w:color w:val="auto"/>
              </w:rPr>
              <w:t>Anthony E. Terry</w:t>
            </w:r>
          </w:p>
        </w:tc>
        <w:tc>
          <w:tcPr>
            <w:tcW w:w="3740" w:type="dxa"/>
            <w:vAlign w:val="bottom"/>
          </w:tcPr>
          <w:p>
            <w:pPr>
              <w:jc w:val="right"/>
              <w:ind w:right="532"/>
              <w:spacing w:after="0"/>
              <w:rPr>
                <w:sz w:val="20"/>
                <w:szCs w:val="20"/>
                <w:color w:val="auto"/>
              </w:rPr>
            </w:pPr>
            <w:r>
              <w:rPr>
                <w:rFonts w:ascii="Arial" w:cs="Arial" w:eastAsia="Arial" w:hAnsi="Arial"/>
                <w:sz w:val="15"/>
                <w:szCs w:val="15"/>
                <w:color w:val="auto"/>
              </w:rPr>
              <w:t>1,653</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5680" w:type="dxa"/>
            <w:vAlign w:val="bottom"/>
          </w:tcPr>
          <w:p>
            <w:pPr>
              <w:spacing w:after="0"/>
              <w:rPr>
                <w:sz w:val="20"/>
                <w:szCs w:val="20"/>
                <w:color w:val="auto"/>
              </w:rPr>
            </w:pPr>
            <w:r>
              <w:rPr>
                <w:rFonts w:ascii="Arial" w:cs="Arial" w:eastAsia="Arial" w:hAnsi="Arial"/>
                <w:sz w:val="15"/>
                <w:szCs w:val="15"/>
                <w:b w:val="1"/>
                <w:bCs w:val="1"/>
                <w:color w:val="auto"/>
              </w:rPr>
              <w:t>All Directors and Executive Officers as a Group</w:t>
            </w:r>
          </w:p>
        </w:tc>
        <w:tc>
          <w:tcPr>
            <w:tcW w:w="3740" w:type="dxa"/>
            <w:vAlign w:val="bottom"/>
            <w:vMerge w:val="restart"/>
          </w:tcPr>
          <w:p>
            <w:pPr>
              <w:jc w:val="right"/>
              <w:ind w:right="452"/>
              <w:spacing w:after="0"/>
              <w:rPr>
                <w:sz w:val="20"/>
                <w:szCs w:val="20"/>
                <w:color w:val="auto"/>
              </w:rPr>
            </w:pPr>
            <w:r>
              <w:rPr>
                <w:rFonts w:ascii="Arial" w:cs="Arial" w:eastAsia="Arial" w:hAnsi="Arial"/>
                <w:sz w:val="15"/>
                <w:szCs w:val="15"/>
                <w:color w:val="auto"/>
              </w:rPr>
              <w:t>1,106,411</w:t>
            </w:r>
            <w:r>
              <w:rPr>
                <w:rFonts w:ascii="Arial" w:cs="Arial" w:eastAsia="Arial" w:hAnsi="Arial"/>
                <w:sz w:val="26"/>
                <w:szCs w:val="26"/>
                <w:color w:val="auto"/>
                <w:vertAlign w:val="superscript"/>
              </w:rPr>
              <w:t>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680" w:type="dxa"/>
            <w:vAlign w:val="bottom"/>
          </w:tcPr>
          <w:p>
            <w:pPr>
              <w:ind w:left="140"/>
              <w:spacing w:after="0"/>
              <w:rPr>
                <w:sz w:val="20"/>
                <w:szCs w:val="20"/>
                <w:color w:val="auto"/>
              </w:rPr>
            </w:pPr>
            <w:r>
              <w:rPr>
                <w:rFonts w:ascii="Arial" w:cs="Arial" w:eastAsia="Arial" w:hAnsi="Arial"/>
                <w:sz w:val="15"/>
                <w:szCs w:val="15"/>
                <w:color w:val="auto"/>
              </w:rPr>
              <w:t>(21 persons)</w:t>
            </w:r>
          </w:p>
        </w:tc>
        <w:tc>
          <w:tcPr>
            <w:tcW w:w="3740" w:type="dxa"/>
            <w:vAlign w:val="bottom"/>
            <w:vMerge w:val="continue"/>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1"/>
        </w:trPr>
        <w:tc>
          <w:tcPr>
            <w:tcW w:w="5680" w:type="dxa"/>
            <w:vAlign w:val="bottom"/>
          </w:tcPr>
          <w:p>
            <w:pPr>
              <w:spacing w:after="0"/>
              <w:rPr>
                <w:sz w:val="20"/>
                <w:szCs w:val="20"/>
                <w:color w:val="auto"/>
              </w:rPr>
            </w:pPr>
            <w:r>
              <w:rPr>
                <w:rFonts w:ascii="Arial" w:cs="Arial" w:eastAsia="Arial" w:hAnsi="Arial"/>
                <w:sz w:val="15"/>
                <w:szCs w:val="15"/>
                <w:b w:val="1"/>
                <w:bCs w:val="1"/>
                <w:color w:val="auto"/>
              </w:rPr>
              <w:t>Five Percent Beneficial Owners</w:t>
            </w:r>
          </w:p>
        </w:tc>
        <w:tc>
          <w:tcPr>
            <w:tcW w:w="3740" w:type="dxa"/>
            <w:vAlign w:val="bottom"/>
            <w:vMerge w:val="restart"/>
          </w:tcPr>
          <w:p>
            <w:pPr>
              <w:jc w:val="right"/>
              <w:ind w:right="452"/>
              <w:spacing w:after="0"/>
              <w:rPr>
                <w:sz w:val="20"/>
                <w:szCs w:val="20"/>
                <w:color w:val="auto"/>
              </w:rPr>
            </w:pPr>
            <w:r>
              <w:rPr>
                <w:rFonts w:ascii="Arial" w:cs="Arial" w:eastAsia="Arial" w:hAnsi="Arial"/>
                <w:sz w:val="15"/>
                <w:szCs w:val="15"/>
                <w:color w:val="auto"/>
              </w:rPr>
              <w:t>3,535,693</w:t>
            </w:r>
            <w:r>
              <w:rPr>
                <w:rFonts w:ascii="Arial" w:cs="Arial" w:eastAsia="Arial" w:hAnsi="Arial"/>
                <w:sz w:val="26"/>
                <w:szCs w:val="26"/>
                <w:color w:val="auto"/>
                <w:vertAlign w:val="superscript"/>
              </w:rPr>
              <w:t>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680" w:type="dxa"/>
            <w:vAlign w:val="bottom"/>
          </w:tcPr>
          <w:p>
            <w:pPr>
              <w:ind w:left="140"/>
              <w:spacing w:after="0"/>
              <w:rPr>
                <w:sz w:val="20"/>
                <w:szCs w:val="20"/>
                <w:color w:val="auto"/>
              </w:rPr>
            </w:pPr>
            <w:r>
              <w:rPr>
                <w:rFonts w:ascii="Arial" w:cs="Arial" w:eastAsia="Arial" w:hAnsi="Arial"/>
                <w:sz w:val="15"/>
                <w:szCs w:val="15"/>
                <w:color w:val="auto"/>
              </w:rPr>
              <w:t>BlackRock, Inc.</w:t>
            </w:r>
          </w:p>
        </w:tc>
        <w:tc>
          <w:tcPr>
            <w:tcW w:w="3740" w:type="dxa"/>
            <w:vAlign w:val="bottom"/>
            <w:vMerge w:val="continue"/>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9"/>
        </w:trPr>
        <w:tc>
          <w:tcPr>
            <w:tcW w:w="5680" w:type="dxa"/>
            <w:vAlign w:val="bottom"/>
          </w:tcPr>
          <w:p>
            <w:pPr>
              <w:ind w:left="140"/>
              <w:spacing w:after="0"/>
              <w:rPr>
                <w:sz w:val="20"/>
                <w:szCs w:val="20"/>
                <w:color w:val="auto"/>
              </w:rPr>
            </w:pPr>
            <w:r>
              <w:rPr>
                <w:rFonts w:ascii="Arial" w:cs="Arial" w:eastAsia="Arial" w:hAnsi="Arial"/>
                <w:sz w:val="15"/>
                <w:szCs w:val="15"/>
                <w:color w:val="auto"/>
              </w:rPr>
              <w:t>The Vanguard Group, Inc.</w:t>
            </w:r>
          </w:p>
        </w:tc>
        <w:tc>
          <w:tcPr>
            <w:tcW w:w="3740" w:type="dxa"/>
            <w:vAlign w:val="bottom"/>
          </w:tcPr>
          <w:p>
            <w:pPr>
              <w:jc w:val="right"/>
              <w:ind w:right="452"/>
              <w:spacing w:after="0" w:line="180" w:lineRule="exact"/>
              <w:rPr>
                <w:sz w:val="20"/>
                <w:szCs w:val="20"/>
                <w:color w:val="auto"/>
              </w:rPr>
            </w:pPr>
            <w:r>
              <w:rPr>
                <w:rFonts w:ascii="Arial" w:cs="Arial" w:eastAsia="Arial" w:hAnsi="Arial"/>
                <w:sz w:val="13"/>
                <w:szCs w:val="13"/>
                <w:color w:val="auto"/>
              </w:rPr>
              <w:t>3,692,320</w:t>
            </w:r>
            <w:r>
              <w:rPr>
                <w:rFonts w:ascii="Arial" w:cs="Arial" w:eastAsia="Arial" w:hAnsi="Arial"/>
                <w:sz w:val="20"/>
                <w:szCs w:val="20"/>
                <w:color w:val="auto"/>
                <w:vertAlign w:val="superscript"/>
              </w:rPr>
              <w:t>9</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94"/>
        </w:trPr>
        <w:tc>
          <w:tcPr>
            <w:tcW w:w="5680" w:type="dxa"/>
            <w:vAlign w:val="bottom"/>
            <w:tcBorders>
              <w:bottom w:val="single" w:sz="8" w:color="004987"/>
            </w:tcBorders>
          </w:tcPr>
          <w:p>
            <w:pPr>
              <w:ind w:left="140"/>
              <w:spacing w:after="0"/>
              <w:rPr>
                <w:sz w:val="20"/>
                <w:szCs w:val="20"/>
                <w:color w:val="auto"/>
              </w:rPr>
            </w:pPr>
            <w:r>
              <w:rPr>
                <w:rFonts w:ascii="Arial" w:cs="Arial" w:eastAsia="Arial" w:hAnsi="Arial"/>
                <w:sz w:val="15"/>
                <w:szCs w:val="15"/>
                <w:color w:val="auto"/>
              </w:rPr>
              <w:t>BAMCO, Inc.</w:t>
            </w:r>
          </w:p>
        </w:tc>
        <w:tc>
          <w:tcPr>
            <w:tcW w:w="3740" w:type="dxa"/>
            <w:vAlign w:val="bottom"/>
            <w:tcBorders>
              <w:bottom w:val="single" w:sz="8" w:color="004987"/>
            </w:tcBorders>
          </w:tcPr>
          <w:p>
            <w:pPr>
              <w:jc w:val="right"/>
              <w:ind w:right="372"/>
              <w:spacing w:after="0" w:line="194" w:lineRule="exact"/>
              <w:rPr>
                <w:sz w:val="20"/>
                <w:szCs w:val="20"/>
                <w:color w:val="auto"/>
              </w:rPr>
            </w:pPr>
            <w:r>
              <w:rPr>
                <w:rFonts w:ascii="Arial" w:cs="Arial" w:eastAsia="Arial" w:hAnsi="Arial"/>
                <w:sz w:val="14"/>
                <w:szCs w:val="14"/>
                <w:color w:val="auto"/>
              </w:rPr>
              <w:t>2,941,647</w:t>
            </w:r>
            <w:r>
              <w:rPr>
                <w:rFonts w:ascii="Arial" w:cs="Arial" w:eastAsia="Arial" w:hAnsi="Arial"/>
                <w:sz w:val="22"/>
                <w:szCs w:val="22"/>
                <w:color w:val="auto"/>
                <w:vertAlign w:val="superscript"/>
              </w:rPr>
              <w:t>10</w:t>
            </w:r>
          </w:p>
        </w:tc>
        <w:tc>
          <w:tcPr>
            <w:tcW w:w="1040" w:type="dxa"/>
            <w:vAlign w:val="bottom"/>
            <w:tcBorders>
              <w:bottom w:val="single" w:sz="8" w:color="004987"/>
            </w:tcBorders>
          </w:tcPr>
          <w:p>
            <w:pPr>
              <w:jc w:val="right"/>
              <w:ind w:right="164"/>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700" w:hanging="306"/>
        <w:spacing w:after="0"/>
        <w:tabs>
          <w:tab w:leader="none" w:pos="7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70" w:lineRule="exact"/>
        <w:rPr>
          <w:sz w:val="20"/>
          <w:szCs w:val="20"/>
          <w:color w:val="auto"/>
        </w:rPr>
      </w:pPr>
    </w:p>
    <w:p>
      <w:pPr>
        <w:ind w:left="700" w:right="620" w:hanging="306"/>
        <w:spacing w:after="0" w:line="188" w:lineRule="auto"/>
        <w:tabs>
          <w:tab w:leader="none" w:pos="700" w:val="left"/>
        </w:tabs>
        <w:numPr>
          <w:ilvl w:val="0"/>
          <w:numId w:val="99"/>
        </w:numPr>
        <w:rPr>
          <w:rFonts w:ascii="Arial" w:cs="Arial" w:eastAsia="Arial" w:hAnsi="Arial"/>
          <w:sz w:val="23"/>
          <w:szCs w:val="23"/>
          <w:color w:val="auto"/>
          <w:vertAlign w:val="superscript"/>
        </w:rPr>
      </w:pPr>
      <w:r>
        <w:rPr>
          <w:rFonts w:ascii="Arial" w:cs="Arial" w:eastAsia="Arial" w:hAnsi="Arial"/>
          <w:sz w:val="14"/>
          <w:szCs w:val="14"/>
          <w:color w:val="auto"/>
        </w:rPr>
        <w:t>Based on the number of shares outstanding (41,958,486) on March 15, 2022, plus the number of shares acquirable by the specified persons within 60 days of March 15, 2022, as described below.</w:t>
      </w:r>
    </w:p>
    <w:p>
      <w:pPr>
        <w:spacing w:after="0" w:line="51" w:lineRule="exact"/>
        <w:rPr>
          <w:sz w:val="20"/>
          <w:szCs w:val="20"/>
          <w:color w:val="auto"/>
        </w:rPr>
      </w:pPr>
    </w:p>
    <w:p>
      <w:pPr>
        <w:ind w:left="700" w:right="40" w:hanging="306"/>
        <w:spacing w:after="0" w:line="212" w:lineRule="auto"/>
        <w:tabs>
          <w:tab w:leader="none" w:pos="700" w:val="left"/>
        </w:tabs>
        <w:numPr>
          <w:ilvl w:val="0"/>
          <w:numId w:val="100"/>
        </w:numPr>
        <w:rPr>
          <w:rFonts w:ascii="Arial" w:cs="Arial" w:eastAsia="Arial" w:hAnsi="Arial"/>
          <w:sz w:val="23"/>
          <w:szCs w:val="23"/>
          <w:color w:val="auto"/>
          <w:vertAlign w:val="superscript"/>
        </w:rPr>
      </w:pPr>
      <w:r>
        <w:rPr>
          <w:rFonts w:ascii="Arial" w:cs="Arial" w:eastAsia="Arial" w:hAnsi="Arial"/>
          <w:sz w:val="14"/>
          <w:szCs w:val="14"/>
          <w:color w:val="auto"/>
        </w:rPr>
        <w:t>Includes shares subject to Non-Employee Director Share Awards currently exercisable or exercisable within 60 days after March 15, 2022 as follows: Mr. Andrews, 14,561 shares; Ms. Galbreath, 7,076 shares; Mr. Gellein, Jr., 21,712 shares; Mr. Hutchison, 16,939 shares; Mr. Martinez, 13,886 shares; Mr. McCarten, 20,905 shares; Ms. Morgan, 12,055 shares; Mr. Quazzo, 2,605 shares; Ms. Tucker, 0 shares; and Mr. Shaw, 33,231 shares. Does not include additional shares to which Ms. Tucker and Mr. Gellein are entitled to receive on March 22, 2022 in lieu of the portion of their annual retainer to be paid on such date. The total number of shares to which each of them will be entitled is determined based on the average of the high and low price of our common stock on March 22, 2022. The aggregate dollar value of our common stock to which each of them is entitled is: Ms. Tucker, $21,250 and Mr. Gellein, $26,250.</w:t>
      </w:r>
    </w:p>
    <w:p>
      <w:pPr>
        <w:spacing w:after="0" w:line="114" w:lineRule="exact"/>
        <w:rPr>
          <w:sz w:val="20"/>
          <w:szCs w:val="20"/>
          <w:color w:val="auto"/>
        </w:rPr>
      </w:pPr>
    </w:p>
    <w:p>
      <w:pPr>
        <w:ind w:left="400"/>
        <w:spacing w:after="0"/>
        <w:tabs>
          <w:tab w:leader="none" w:pos="52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Stock Ownership</w:t>
      </w:r>
      <w:r>
        <w:rPr>
          <w:sz w:val="20"/>
          <w:szCs w:val="20"/>
          <w:color w:val="auto"/>
        </w:rPr>
        <w:tab/>
      </w:r>
      <w:r>
        <w:rPr>
          <w:rFonts w:ascii="Arial" w:cs="Arial" w:eastAsia="Arial" w:hAnsi="Arial"/>
          <w:sz w:val="10"/>
          <w:szCs w:val="10"/>
          <w:b w:val="1"/>
          <w:bCs w:val="1"/>
          <w:color w:val="00498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2" w:name="page53"/>
    <w:bookmarkEnd w:id="5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4" w:lineRule="exact"/>
        <w:rPr>
          <w:sz w:val="20"/>
          <w:szCs w:val="20"/>
          <w:color w:val="auto"/>
        </w:rPr>
      </w:pPr>
    </w:p>
    <w:p>
      <w:pPr>
        <w:ind w:left="700" w:right="560" w:hanging="306"/>
        <w:spacing w:after="0" w:line="188" w:lineRule="auto"/>
        <w:tabs>
          <w:tab w:leader="none" w:pos="700" w:val="left"/>
        </w:tabs>
        <w:numPr>
          <w:ilvl w:val="0"/>
          <w:numId w:val="101"/>
        </w:numPr>
        <w:rPr>
          <w:rFonts w:ascii="Arial" w:cs="Arial" w:eastAsia="Arial" w:hAnsi="Arial"/>
          <w:sz w:val="23"/>
          <w:szCs w:val="23"/>
          <w:color w:val="auto"/>
          <w:vertAlign w:val="superscript"/>
        </w:rPr>
      </w:pPr>
      <w:r>
        <w:rPr>
          <w:rFonts w:ascii="Arial" w:cs="Arial" w:eastAsia="Arial" w:hAnsi="Arial"/>
          <w:sz w:val="14"/>
          <w:szCs w:val="14"/>
          <w:color w:val="auto"/>
        </w:rPr>
        <w:t>Includes 6 shares held as tenants in common with Mr. McCarten’s spouse and 1,966 shares held by a limited liability corporation in which Mr. McCarten owns a 2 percent interest and acts as Manager.</w:t>
      </w:r>
    </w:p>
    <w:p>
      <w:pPr>
        <w:ind w:left="700" w:hanging="306"/>
        <w:spacing w:after="0" w:line="209" w:lineRule="auto"/>
        <w:tabs>
          <w:tab w:leader="none" w:pos="700" w:val="left"/>
        </w:tabs>
        <w:numPr>
          <w:ilvl w:val="0"/>
          <w:numId w:val="102"/>
        </w:numPr>
        <w:rPr>
          <w:rFonts w:ascii="Arial" w:cs="Arial" w:eastAsia="Arial" w:hAnsi="Arial"/>
          <w:sz w:val="23"/>
          <w:szCs w:val="23"/>
          <w:color w:val="auto"/>
          <w:vertAlign w:val="superscript"/>
        </w:rPr>
      </w:pPr>
      <w:r>
        <w:rPr>
          <w:rFonts w:ascii="Arial" w:cs="Arial" w:eastAsia="Arial" w:hAnsi="Arial"/>
          <w:sz w:val="14"/>
          <w:szCs w:val="14"/>
          <w:color w:val="auto"/>
        </w:rPr>
        <w:t>Includes 28 shares held by trusts for the benefit of Mr. Quazzo’s spouse.</w:t>
      </w:r>
    </w:p>
    <w:p>
      <w:pPr>
        <w:spacing w:after="0" w:line="57" w:lineRule="exact"/>
        <w:rPr>
          <w:sz w:val="20"/>
          <w:szCs w:val="20"/>
          <w:color w:val="auto"/>
        </w:rPr>
      </w:pPr>
    </w:p>
    <w:p>
      <w:pPr>
        <w:ind w:left="700" w:right="20" w:hanging="306"/>
        <w:spacing w:after="0" w:line="204" w:lineRule="auto"/>
        <w:tabs>
          <w:tab w:leader="none" w:pos="700" w:val="left"/>
        </w:tabs>
        <w:numPr>
          <w:ilvl w:val="0"/>
          <w:numId w:val="103"/>
        </w:numPr>
        <w:rPr>
          <w:rFonts w:ascii="Arial" w:cs="Arial" w:eastAsia="Arial" w:hAnsi="Arial"/>
          <w:sz w:val="23"/>
          <w:szCs w:val="23"/>
          <w:color w:val="auto"/>
          <w:vertAlign w:val="superscript"/>
        </w:rPr>
      </w:pPr>
      <w:r>
        <w:rPr>
          <w:rFonts w:ascii="Arial" w:cs="Arial" w:eastAsia="Arial" w:hAnsi="Arial"/>
          <w:sz w:val="14"/>
          <w:szCs w:val="14"/>
          <w:color w:val="auto"/>
        </w:rPr>
        <w:t>Includes shares subject to SARs currently exercisable or exercisable within 60 days after March 15, 2022, as follows: Mr. Weisz, 79,707 shares; Mr. Cunningham, 1,675 shares; Mr. Geller, 27,922 shares; Ms. Marbert, 3,861 shares; and Mr. Miller, 1,656 shares. For purposes of determining the number of shares subject to SARs that are beneficially owned by each such person, we have calculated the number of shares that such person could obtain by exercising all vested SARs on March 15, 2022, based on the closing price of our common stock on that date ($151.29).</w:t>
      </w:r>
    </w:p>
    <w:p>
      <w:pPr>
        <w:ind w:left="700" w:hanging="306"/>
        <w:spacing w:after="0" w:line="210" w:lineRule="auto"/>
        <w:tabs>
          <w:tab w:leader="none" w:pos="700"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color w:val="auto"/>
        </w:rPr>
        <w:t>Includes shares held by a revocable trust of which Mr. Weisz’s spouse is the trustee and Mr. Weisz is the beneficiary (13,513 shares).</w:t>
      </w:r>
    </w:p>
    <w:p>
      <w:pPr>
        <w:spacing w:after="0" w:line="56" w:lineRule="exact"/>
        <w:rPr>
          <w:sz w:val="20"/>
          <w:szCs w:val="20"/>
          <w:color w:val="auto"/>
        </w:rPr>
      </w:pPr>
    </w:p>
    <w:p>
      <w:pPr>
        <w:ind w:left="700" w:right="20" w:hanging="306"/>
        <w:spacing w:after="0" w:line="204" w:lineRule="auto"/>
        <w:tabs>
          <w:tab w:leader="none" w:pos="70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Includes an aggregate of shares subject to SARs, RSUs, Non-Employee Director Share Awards and Non-Employee Director Stock Units currently exercisable or exercisable within 60 days after March 15, 2022. For purposes of determining the number of shares subject to SARs that are beneficially owned, we have calculated the number of shares that such persons could obtain by exercising all vested SARs on March 15, 2022, based on the closing price of our common stock on that date ($151.29).</w:t>
      </w:r>
    </w:p>
    <w:p>
      <w:pPr>
        <w:spacing w:after="0" w:line="52" w:lineRule="exact"/>
        <w:rPr>
          <w:sz w:val="20"/>
          <w:szCs w:val="20"/>
          <w:color w:val="auto"/>
        </w:rPr>
      </w:pPr>
    </w:p>
    <w:p>
      <w:pPr>
        <w:ind w:left="700" w:right="60" w:hanging="306"/>
        <w:spacing w:after="0" w:line="198" w:lineRule="auto"/>
        <w:tabs>
          <w:tab w:leader="none" w:pos="700" w:val="left"/>
        </w:tabs>
        <w:numPr>
          <w:ilvl w:val="0"/>
          <w:numId w:val="106"/>
        </w:numPr>
        <w:rPr>
          <w:rFonts w:ascii="Arial" w:cs="Arial" w:eastAsia="Arial" w:hAnsi="Arial"/>
          <w:sz w:val="22"/>
          <w:szCs w:val="22"/>
          <w:color w:val="auto"/>
          <w:vertAlign w:val="superscript"/>
        </w:rPr>
      </w:pPr>
      <w:r>
        <w:rPr>
          <w:rFonts w:ascii="Arial" w:cs="Arial" w:eastAsia="Arial" w:hAnsi="Arial"/>
          <w:sz w:val="13"/>
          <w:szCs w:val="13"/>
          <w:color w:val="auto"/>
        </w:rPr>
        <w:t>Based solely on the information contained in a Schedule 13G/A filed with the SEC on February 3, 2022 by BlackRock, Inc. (“BlackRock”). BlackRock reported sole voting power as to 3,353,641 shares and sole dispositive power as to 3,535,693 shares. The address of BlackRock is 55 East 52nd Street, New York, New York 10055.</w:t>
      </w:r>
    </w:p>
    <w:p>
      <w:pPr>
        <w:spacing w:after="0" w:line="53" w:lineRule="exact"/>
        <w:rPr>
          <w:sz w:val="20"/>
          <w:szCs w:val="20"/>
          <w:color w:val="auto"/>
        </w:rPr>
      </w:pPr>
    </w:p>
    <w:p>
      <w:pPr>
        <w:ind w:left="700" w:right="20" w:hanging="306"/>
        <w:spacing w:after="0" w:line="199" w:lineRule="auto"/>
        <w:tabs>
          <w:tab w:leader="none" w:pos="700" w:val="left"/>
        </w:tabs>
        <w:numPr>
          <w:ilvl w:val="0"/>
          <w:numId w:val="107"/>
        </w:numPr>
        <w:rPr>
          <w:rFonts w:ascii="Arial" w:cs="Arial" w:eastAsia="Arial" w:hAnsi="Arial"/>
          <w:sz w:val="23"/>
          <w:szCs w:val="23"/>
          <w:color w:val="auto"/>
          <w:vertAlign w:val="superscript"/>
        </w:rPr>
      </w:pPr>
      <w:r>
        <w:rPr>
          <w:rFonts w:ascii="Arial" w:cs="Arial" w:eastAsia="Arial" w:hAnsi="Arial"/>
          <w:sz w:val="14"/>
          <w:szCs w:val="14"/>
          <w:color w:val="auto"/>
        </w:rPr>
        <w:t>Based solely on the information contained in a Schedule 13G/A filed with the SEC on February 10, 2022 by The Vanguard Group, Inc. (“Vanguard”). Vanguard reported shared voting power as to 19,365 shares, sole dispositive power as to 3,638,684 shares, and shared dispositive power as to 53,636 shares. The address of Vanguard is 100 Vanguard Boulevard, Malvern, Pennsylvania 19355.</w:t>
      </w:r>
    </w:p>
    <w:p>
      <w:pPr>
        <w:spacing w:after="0" w:line="52" w:lineRule="exact"/>
        <w:rPr>
          <w:sz w:val="20"/>
          <w:szCs w:val="20"/>
          <w:color w:val="auto"/>
        </w:rPr>
      </w:pPr>
    </w:p>
    <w:p>
      <w:pPr>
        <w:ind w:left="700" w:right="100" w:hanging="306"/>
        <w:spacing w:after="0" w:line="210" w:lineRule="auto"/>
        <w:tabs>
          <w:tab w:leader="none" w:pos="700" w:val="left"/>
        </w:tabs>
        <w:numPr>
          <w:ilvl w:val="0"/>
          <w:numId w:val="108"/>
        </w:numPr>
        <w:rPr>
          <w:rFonts w:ascii="Arial" w:cs="Arial" w:eastAsia="Arial" w:hAnsi="Arial"/>
          <w:sz w:val="23"/>
          <w:szCs w:val="23"/>
          <w:color w:val="auto"/>
          <w:vertAlign w:val="superscript"/>
        </w:rPr>
      </w:pPr>
      <w:r>
        <w:rPr>
          <w:rFonts w:ascii="Arial" w:cs="Arial" w:eastAsia="Arial" w:hAnsi="Arial"/>
          <w:sz w:val="14"/>
          <w:szCs w:val="14"/>
          <w:color w:val="auto"/>
        </w:rPr>
        <w:t>Based solely on the information contained in a Schedule 13G filed with the SEC on February 14, 2022 by BAMCO, Inc. (“BAMCO”), Baron Capital Group, Inc. (“BCG”), Baron Capital Management, Inc. (“BCM”) and Ronald Baron (“Baron”). BAMCO reported shared voting power as to 2,856,747 shares and shared dispositive power as to 2,941,647 shares, BCG and Ronald Baron each reported shared voting power as to 2,856,747 shares and shared dispositive power as to 2,941,647 shares, and BCM reported shared voting and dispositive power as to 212,586 shares. The address of BAMCO, BCG, BCM and Baron is 767 Fifth Avenue, 49th Floor, New York, New York 10153.</w:t>
      </w:r>
    </w:p>
    <w:p>
      <w:pPr>
        <w:spacing w:after="0" w:line="110" w:lineRule="exact"/>
        <w:rPr>
          <w:sz w:val="20"/>
          <w:szCs w:val="20"/>
          <w:color w:val="auto"/>
        </w:rPr>
      </w:pPr>
    </w:p>
    <w:p>
      <w:pPr>
        <w:ind w:left="400"/>
        <w:spacing w:after="0"/>
        <w:tabs>
          <w:tab w:leader="none" w:pos="5220" w:val="left"/>
          <w:tab w:leader="none" w:pos="7720" w:val="left"/>
        </w:tabs>
        <w:rPr>
          <w:sz w:val="20"/>
          <w:szCs w:val="20"/>
          <w:color w:val="auto"/>
        </w:rPr>
      </w:pPr>
      <w:r>
        <w:rPr>
          <w:rFonts w:ascii="Arial" w:cs="Arial" w:eastAsia="Arial" w:hAnsi="Arial"/>
          <w:sz w:val="10"/>
          <w:szCs w:val="10"/>
          <w:b w:val="1"/>
          <w:bCs w:val="1"/>
          <w:color w:val="004987"/>
        </w:rPr>
        <w:t>48</w:t>
      </w:r>
      <w:r>
        <w:rPr>
          <w:sz w:val="20"/>
          <w:szCs w:val="20"/>
          <w:color w:val="auto"/>
        </w:rPr>
        <w:tab/>
      </w:r>
      <w:r>
        <w:rPr>
          <w:rFonts w:ascii="Arial" w:cs="Arial" w:eastAsia="Arial" w:hAnsi="Arial"/>
          <w:sz w:val="10"/>
          <w:szCs w:val="10"/>
          <w:color w:val="auto"/>
        </w:rPr>
        <w:t>Stock Ownership</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3" w:name="page54"/>
    <w:bookmarkEnd w:id="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right="1960"/>
        <w:spacing w:after="0" w:line="285" w:lineRule="auto"/>
        <w:rPr>
          <w:sz w:val="20"/>
          <w:szCs w:val="20"/>
          <w:color w:val="auto"/>
        </w:rPr>
      </w:pPr>
      <w:r>
        <w:rPr>
          <w:rFonts w:ascii="Arial" w:cs="Arial" w:eastAsia="Arial" w:hAnsi="Arial"/>
          <w:sz w:val="51"/>
          <w:szCs w:val="51"/>
          <w:b w:val="1"/>
          <w:bCs w:val="1"/>
          <w:color w:val="auto"/>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-848995</wp:posOffset>
            </wp:positionV>
            <wp:extent cx="81280" cy="789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280" cy="789940"/>
                    </a:xfrm>
                    <a:prstGeom prst="rect">
                      <a:avLst/>
                    </a:prstGeom>
                    <a:noFill/>
                  </pic:spPr>
                </pic:pic>
              </a:graphicData>
            </a:graphic>
          </wp:anchor>
        </w:drawing>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POLICY ON TRANSACTIONS AND ARRANGEMENTS WITH RELATED PERSONS</w:t>
      </w:r>
    </w:p>
    <w:p>
      <w:pPr>
        <w:spacing w:after="0" w:line="106" w:lineRule="exact"/>
        <w:rPr>
          <w:sz w:val="20"/>
          <w:szCs w:val="20"/>
          <w:color w:val="auto"/>
        </w:rPr>
      </w:pPr>
    </w:p>
    <w:p>
      <w:pPr>
        <w:jc w:val="both"/>
        <w:ind w:left="400" w:right="60"/>
        <w:spacing w:after="0" w:line="269" w:lineRule="auto"/>
        <w:rPr>
          <w:sz w:val="20"/>
          <w:szCs w:val="20"/>
          <w:color w:val="auto"/>
        </w:rPr>
      </w:pPr>
      <w:r>
        <w:rPr>
          <w:rFonts w:ascii="Arial" w:cs="Arial" w:eastAsia="Arial" w:hAnsi="Arial"/>
          <w:sz w:val="15"/>
          <w:szCs w:val="15"/>
          <w:color w:val="auto"/>
        </w:rPr>
        <w:t>We have adopted a written policy for approval of transactions and arrangements between the Company and “Related Persons,” which include our current and recent former directors, director nominees, current and recent former executive officers, greater than five percent stockholders, and immediate family members of any of the foregoing, where the amount involved exceeds, or may be expected to exceed, $120,000.</w:t>
      </w:r>
    </w:p>
    <w:p>
      <w:pPr>
        <w:spacing w:after="0" w:line="61" w:lineRule="exact"/>
        <w:rPr>
          <w:sz w:val="20"/>
          <w:szCs w:val="20"/>
          <w:color w:val="auto"/>
        </w:rPr>
      </w:pPr>
    </w:p>
    <w:p>
      <w:pPr>
        <w:ind w:left="400" w:right="200"/>
        <w:spacing w:after="0" w:line="254" w:lineRule="auto"/>
        <w:rPr>
          <w:sz w:val="20"/>
          <w:szCs w:val="20"/>
          <w:color w:val="auto"/>
        </w:rPr>
      </w:pPr>
      <w:r>
        <w:rPr>
          <w:rFonts w:ascii="Arial" w:cs="Arial" w:eastAsia="Arial" w:hAnsi="Arial"/>
          <w:sz w:val="15"/>
          <w:szCs w:val="15"/>
          <w:color w:val="auto"/>
        </w:rPr>
        <w:t>The policy provides that the Nominating and Corporate Governance Committee will conduct a reasonable prior review of, and oversee, all transactions subject to the policy for potential conflicts of interest and will prohibit a transaction if it determines it to be inconsistent with the interest of the Company and its shareholders. The Nominating and Corporate Governance Committee also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the Company than terms generally available to an unaffiliated third party under similar circumstances and the materiality of the related person’s interest in the transaction. The policy provides that transactions subject to the policy must be approved in advance, but if approval is required but not reasonably feasible, then the transaction will be considered and, if determined to be appropriate, ratified at the Nominating and Corporate Governance Committee’s next regularly scheduled meeting.</w:t>
      </w:r>
    </w:p>
    <w:p>
      <w:pPr>
        <w:spacing w:after="0" w:line="257" w:lineRule="exact"/>
        <w:rPr>
          <w:sz w:val="20"/>
          <w:szCs w:val="20"/>
          <w:color w:val="auto"/>
        </w:rPr>
      </w:pPr>
    </w:p>
    <w:p>
      <w:pPr>
        <w:ind w:left="400" w:right="60"/>
        <w:spacing w:after="0" w:line="257" w:lineRule="auto"/>
        <w:rPr>
          <w:sz w:val="20"/>
          <w:szCs w:val="20"/>
          <w:color w:val="auto"/>
        </w:rPr>
      </w:pPr>
      <w:r>
        <w:rPr>
          <w:rFonts w:ascii="Arial" w:cs="Arial" w:eastAsia="Arial" w:hAnsi="Arial"/>
          <w:sz w:val="15"/>
          <w:szCs w:val="15"/>
          <w:color w:val="auto"/>
        </w:rPr>
        <w:t>No director, officer or associate of the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 If a transaction consists of a change to an existing transaction, the transaction will be evaluated on the basis of the terms of the overall transaction, arrangement or relationship so modified.</w:t>
      </w:r>
    </w:p>
    <w:p>
      <w:pPr>
        <w:spacing w:after="0" w:line="71" w:lineRule="exact"/>
        <w:rPr>
          <w:sz w:val="20"/>
          <w:szCs w:val="20"/>
          <w:color w:val="auto"/>
        </w:rPr>
      </w:pPr>
    </w:p>
    <w:p>
      <w:pPr>
        <w:jc w:val="both"/>
        <w:ind w:left="400" w:right="260"/>
        <w:spacing w:after="0" w:line="269" w:lineRule="auto"/>
        <w:rPr>
          <w:sz w:val="20"/>
          <w:szCs w:val="20"/>
          <w:color w:val="auto"/>
        </w:rPr>
      </w:pPr>
      <w:r>
        <w:rPr>
          <w:rFonts w:ascii="Arial" w:cs="Arial" w:eastAsia="Arial" w:hAnsi="Arial"/>
          <w:sz w:val="15"/>
          <w:szCs w:val="15"/>
          <w:color w:val="auto"/>
        </w:rPr>
        <w:t>The Nominating and Corporate Governance Committee has pre-approved under the policy certain transactions with related persons that meet specific criteria. A summary of certain new transactions we enter into that were pre-approved under the policy is required to be provided to the Nominating and Corporate Governance Committee at its regularly scheduled meetings. Pre-approved transactions are limited to:</w:t>
      </w:r>
    </w:p>
    <w:p>
      <w:pPr>
        <w:spacing w:after="0" w:line="74" w:lineRule="exact"/>
        <w:rPr>
          <w:sz w:val="20"/>
          <w:szCs w:val="20"/>
          <w:color w:val="auto"/>
        </w:rPr>
      </w:pPr>
    </w:p>
    <w:p>
      <w:pPr>
        <w:ind w:left="600" w:right="280" w:hanging="206"/>
        <w:spacing w:after="0" w:line="289" w:lineRule="auto"/>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ordinary course sales of vacation ownership, fractional or similar ownership interests with specified maximum dollar thresholds at prices that are no lower than those available under Company-wide employee discount programs;</w:t>
      </w:r>
    </w:p>
    <w:p>
      <w:pPr>
        <w:spacing w:after="0" w:line="58" w:lineRule="exact"/>
        <w:rPr>
          <w:rFonts w:ascii="Arial" w:cs="Arial" w:eastAsia="Arial" w:hAnsi="Arial"/>
          <w:sz w:val="15"/>
          <w:szCs w:val="15"/>
          <w:color w:val="004987"/>
        </w:rPr>
      </w:pPr>
    </w:p>
    <w:p>
      <w:pPr>
        <w:ind w:left="600" w:right="260" w:hanging="206"/>
        <w:spacing w:after="0" w:line="289" w:lineRule="auto"/>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spacing w:after="0" w:line="58" w:lineRule="exact"/>
        <w:rPr>
          <w:rFonts w:ascii="Arial" w:cs="Arial" w:eastAsia="Arial" w:hAnsi="Arial"/>
          <w:sz w:val="15"/>
          <w:szCs w:val="15"/>
          <w:color w:val="004987"/>
        </w:rPr>
      </w:pPr>
    </w:p>
    <w:p>
      <w:pPr>
        <w:ind w:left="600" w:right="680" w:hanging="206"/>
        <w:spacing w:after="0" w:line="289" w:lineRule="auto"/>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certain transactions with other companies and certain charitable contributions that satisfy the independence criteria under both our Corporate Governance Policies and the NYSE Listing Standards;</w:t>
      </w:r>
    </w:p>
    <w:p>
      <w:pPr>
        <w:spacing w:after="0" w:line="58" w:lineRule="exact"/>
        <w:rPr>
          <w:rFonts w:ascii="Arial" w:cs="Arial" w:eastAsia="Arial" w:hAnsi="Arial"/>
          <w:sz w:val="15"/>
          <w:szCs w:val="15"/>
          <w:color w:val="004987"/>
        </w:rPr>
      </w:pPr>
    </w:p>
    <w:p>
      <w:pPr>
        <w:ind w:left="600" w:hanging="206"/>
        <w:spacing w:after="0"/>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certain transactions with Marriott International in the ordinary course of business;</w:t>
      </w:r>
    </w:p>
    <w:p>
      <w:pPr>
        <w:spacing w:after="0" w:line="122" w:lineRule="exact"/>
        <w:rPr>
          <w:rFonts w:ascii="Arial" w:cs="Arial" w:eastAsia="Arial" w:hAnsi="Arial"/>
          <w:sz w:val="15"/>
          <w:szCs w:val="15"/>
          <w:color w:val="004987"/>
        </w:rPr>
      </w:pPr>
    </w:p>
    <w:p>
      <w:pPr>
        <w:ind w:left="600" w:right="400" w:hanging="206"/>
        <w:spacing w:after="0" w:line="289" w:lineRule="auto"/>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transactions where the related party’s interest arises solely from ownership of our common stock and all holders of our common stock receive the same benefit on a pro rata basis;</w:t>
      </w:r>
    </w:p>
    <w:p>
      <w:pPr>
        <w:spacing w:after="0" w:line="58" w:lineRule="exact"/>
        <w:rPr>
          <w:rFonts w:ascii="Arial" w:cs="Arial" w:eastAsia="Arial" w:hAnsi="Arial"/>
          <w:sz w:val="15"/>
          <w:szCs w:val="15"/>
          <w:color w:val="004987"/>
        </w:rPr>
      </w:pPr>
    </w:p>
    <w:p>
      <w:pPr>
        <w:ind w:left="600" w:right="20" w:hanging="206"/>
        <w:spacing w:after="0" w:line="255" w:lineRule="auto"/>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certain transactions involving the employment of a Related Person by the Company or one of its subsidiaries where the amount of annual compensation involved (including salary and incentive awards) is or is expected to be less than $120,000 upon initial hire, provided that such transaction is approved by at least two members of the Corporate Growth Committee (an internal management committee whose members include our President, Executive Vice President and Chief Financial Officer, Executive Vice President and General Counsel, and other executive officers) who do not have any direct or indirect interest in the transaction determine that the terms and amount of such compensation (including salary and incentive awards) are commensurate with the Related Person’s qualifications and responsibilities and with the compensation of other employees holding similar positions; after initial hire, any promotion of or special award granted to such Related Person shall be submitted to the Governance Committee for approval in accordance with the policy;</w:t>
      </w:r>
    </w:p>
    <w:p>
      <w:pPr>
        <w:spacing w:after="0" w:line="268" w:lineRule="exact"/>
        <w:rPr>
          <w:rFonts w:ascii="Arial" w:cs="Arial" w:eastAsia="Arial" w:hAnsi="Arial"/>
          <w:sz w:val="15"/>
          <w:szCs w:val="15"/>
          <w:color w:val="004987"/>
        </w:rPr>
      </w:pPr>
    </w:p>
    <w:p>
      <w:pPr>
        <w:ind w:left="600" w:hanging="206"/>
        <w:spacing w:after="0"/>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transactions where the rates or charges involved are determined by competitive bids, or fixed in conformity with law or governmental authority; and</w:t>
      </w:r>
    </w:p>
    <w:p>
      <w:pPr>
        <w:spacing w:after="0" w:line="122" w:lineRule="exact"/>
        <w:rPr>
          <w:rFonts w:ascii="Arial" w:cs="Arial" w:eastAsia="Arial" w:hAnsi="Arial"/>
          <w:sz w:val="15"/>
          <w:szCs w:val="15"/>
          <w:color w:val="004987"/>
        </w:rPr>
      </w:pPr>
    </w:p>
    <w:p>
      <w:pPr>
        <w:ind w:left="600" w:hanging="206"/>
        <w:spacing w:after="0"/>
        <w:tabs>
          <w:tab w:leader="none" w:pos="600" w:val="left"/>
        </w:tabs>
        <w:numPr>
          <w:ilvl w:val="0"/>
          <w:numId w:val="109"/>
        </w:numPr>
        <w:rPr>
          <w:rFonts w:ascii="Arial" w:cs="Arial" w:eastAsia="Arial" w:hAnsi="Arial"/>
          <w:sz w:val="15"/>
          <w:szCs w:val="15"/>
          <w:color w:val="004987"/>
        </w:rPr>
      </w:pPr>
      <w:r>
        <w:rPr>
          <w:rFonts w:ascii="Arial" w:cs="Arial" w:eastAsia="Arial" w:hAnsi="Arial"/>
          <w:sz w:val="15"/>
          <w:szCs w:val="15"/>
          <w:color w:val="auto"/>
        </w:rPr>
        <w:t>transactions involving banking-related services such as transfer agent, registrar, trustee under a trust indenture or similar services.</w:t>
      </w:r>
    </w:p>
    <w:p>
      <w:pPr>
        <w:spacing w:after="0" w:line="30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DELINQUENT SECTION 16(a) FILINGS</w:t>
      </w:r>
    </w:p>
    <w:p>
      <w:pPr>
        <w:spacing w:after="0" w:line="106" w:lineRule="exact"/>
        <w:rPr>
          <w:sz w:val="20"/>
          <w:szCs w:val="20"/>
          <w:color w:val="auto"/>
        </w:rPr>
      </w:pPr>
    </w:p>
    <w:p>
      <w:pPr>
        <w:ind w:left="400" w:right="20"/>
        <w:spacing w:after="0" w:line="256" w:lineRule="auto"/>
        <w:rPr>
          <w:sz w:val="20"/>
          <w:szCs w:val="20"/>
          <w:color w:val="auto"/>
        </w:rPr>
      </w:pPr>
      <w:r>
        <w:rPr>
          <w:rFonts w:ascii="Arial" w:cs="Arial" w:eastAsia="Arial" w:hAnsi="Arial"/>
          <w:sz w:val="15"/>
          <w:szCs w:val="15"/>
          <w:color w:val="auto"/>
        </w:rPr>
        <w:t>Section 16(a) of the Securities Exchange Act of 1934, as amended (the “Exchange Act”), requires the Company’s directors, executive officers and holders of more than 10% of the Company’s common stock to file with the Securities and Exchange Commission initial reports of ownership and reports of changes in ownership of common stock and other equity securities of the Company. To our knowledge, based solely on a review of copies of Forms 3, 4 and 5 and any amendments thereto filed with the Securities and Exchange Commission and stockholder reports from our transfer agent and written representations that no other reports were required, during the fiscal year ended December 31, 2021 our officers, directors and 10% or more stockholders complied with all Section 16(a) filing requirements applicable to them except that: one Form 4 for Mr. Terry and Ms. Tucker’s Form 3 were not filed on time due to administrative error.</w:t>
      </w:r>
    </w:p>
    <w:p>
      <w:pPr>
        <w:sectPr>
          <w:pgSz w:w="11900" w:h="16838" w:orient="portrait"/>
          <w:cols w:equalWidth="0" w:num="1">
            <w:col w:w="10860"/>
          </w:cols>
          <w:pgMar w:left="320" w:top="440" w:right="719" w:bottom="1440" w:gutter="0" w:footer="0" w:header="0"/>
        </w:sectPr>
      </w:pPr>
    </w:p>
    <w:p>
      <w:pPr>
        <w:spacing w:after="0" w:line="293" w:lineRule="exact"/>
        <w:rPr>
          <w:sz w:val="20"/>
          <w:szCs w:val="20"/>
          <w:color w:val="auto"/>
        </w:rPr>
      </w:pPr>
    </w:p>
    <w:p>
      <w:pPr>
        <w:ind w:left="400"/>
        <w:spacing w:after="0"/>
        <w:tabs>
          <w:tab w:leader="none" w:pos="48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Transactions with Related Persons</w:t>
      </w:r>
      <w:r>
        <w:rPr>
          <w:sz w:val="20"/>
          <w:szCs w:val="20"/>
          <w:color w:val="auto"/>
        </w:rPr>
        <w:tab/>
      </w:r>
      <w:r>
        <w:rPr>
          <w:rFonts w:ascii="Arial" w:cs="Arial" w:eastAsia="Arial" w:hAnsi="Arial"/>
          <w:sz w:val="10"/>
          <w:szCs w:val="10"/>
          <w:b w:val="1"/>
          <w:bCs w:val="1"/>
          <w:color w:val="00498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type w:val="continuous"/>
        </w:sectPr>
      </w:pPr>
    </w:p>
    <w:bookmarkStart w:id="54" w:name="page55"/>
    <w:bookmarkEnd w:id="5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8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CERTAIN RELATIONSHIPS AND POTENTIAL CONFLICTS OF INTEREST</w:t>
      </w:r>
    </w:p>
    <w:p>
      <w:pPr>
        <w:spacing w:after="0" w:line="106" w:lineRule="exact"/>
        <w:rPr>
          <w:sz w:val="20"/>
          <w:szCs w:val="20"/>
          <w:color w:val="auto"/>
        </w:rPr>
      </w:pPr>
    </w:p>
    <w:p>
      <w:pPr>
        <w:ind w:left="400" w:right="100"/>
        <w:spacing w:after="0" w:line="259" w:lineRule="auto"/>
        <w:rPr>
          <w:sz w:val="20"/>
          <w:szCs w:val="20"/>
          <w:color w:val="auto"/>
        </w:rPr>
      </w:pPr>
      <w:r>
        <w:rPr>
          <w:rFonts w:ascii="Arial" w:cs="Arial" w:eastAsia="Arial" w:hAnsi="Arial"/>
          <w:sz w:val="15"/>
          <w:szCs w:val="15"/>
          <w:color w:val="auto"/>
        </w:rPr>
        <w:t>Since the Spin-Off, we have employed Scott Weisz, son of Stephen P. Weisz, our Chief Executive Officer. Scott Weisz is employed as Senior Vice President, Global IRM (Inventory &amp; Revenue Management) and Vacation Ownership, a position he has held since August 21, 2021. In 2021, he received compensation from the Company in the aggregate amount of $470,289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69" w:lineRule="exact"/>
        <w:rPr>
          <w:sz w:val="20"/>
          <w:szCs w:val="20"/>
          <w:color w:val="auto"/>
        </w:rPr>
      </w:pPr>
    </w:p>
    <w:p>
      <w:pPr>
        <w:ind w:left="400" w:right="80"/>
        <w:spacing w:after="0" w:line="257" w:lineRule="auto"/>
        <w:rPr>
          <w:sz w:val="20"/>
          <w:szCs w:val="20"/>
          <w:color w:val="auto"/>
        </w:rPr>
      </w:pPr>
      <w:r>
        <w:rPr>
          <w:rFonts w:ascii="Arial" w:cs="Arial" w:eastAsia="Arial" w:hAnsi="Arial"/>
          <w:sz w:val="15"/>
          <w:szCs w:val="15"/>
          <w:color w:val="auto"/>
        </w:rPr>
        <w:t>As described in our Annual Report on Form 10-K, The Ritz-Carlton Hotel Company manages the on-site operations for The Ritz-Carlton Destination Club and The Ritz-Carlton Residences properties in our portfolio under separate management agreements with us. Theodorus Schavemaker, who is the son-in-law of Stephen P. Weisz, our Chief Executive Officer, has been employed by The Ritz-Carlton Hotel Company since October 2021 as the Vice President of Club Operations. In this capacity, Mr. Schavemaker directly oversees on-site hospitality management by The Ritz-Carlton Hotel Company of The Ritz-Carlton Destination Club and The Ritz-Carlton Residences properties in our portfolio. In 2021, he received compensation from The Ritz-Carlton Hotel Company in the aggregate amount of $270,623. We have no involvement in establishing his compensation.</w:t>
      </w:r>
    </w:p>
    <w:p>
      <w:pPr>
        <w:spacing w:after="0" w:line="71" w:lineRule="exact"/>
        <w:rPr>
          <w:sz w:val="20"/>
          <w:szCs w:val="20"/>
          <w:color w:val="auto"/>
        </w:rPr>
      </w:pPr>
    </w:p>
    <w:p>
      <w:pPr>
        <w:ind w:left="400" w:right="60"/>
        <w:spacing w:after="0" w:line="259" w:lineRule="auto"/>
        <w:rPr>
          <w:sz w:val="20"/>
          <w:szCs w:val="20"/>
          <w:color w:val="auto"/>
        </w:rPr>
      </w:pPr>
      <w:r>
        <w:rPr>
          <w:rFonts w:ascii="Arial" w:cs="Arial" w:eastAsia="Arial" w:hAnsi="Arial"/>
          <w:sz w:val="15"/>
          <w:szCs w:val="15"/>
          <w:color w:val="auto"/>
        </w:rPr>
        <w:t>Since the acquisition of ILG, we have employed David Marbert, son of Jeanette Marbert, our President, Exchange &amp; Third-Party Management. David Marbert is employed as Director, Corporate &amp; Development Finance, a position he has held since January 1, 2019. In 2021, he received compensation from the Company in the aggregate amount of $125,932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107" w:lineRule="exact"/>
        <w:rPr>
          <w:sz w:val="20"/>
          <w:szCs w:val="20"/>
          <w:color w:val="auto"/>
        </w:rPr>
      </w:pPr>
    </w:p>
    <w:p>
      <w:pPr>
        <w:ind w:left="400"/>
        <w:spacing w:after="0"/>
        <w:tabs>
          <w:tab w:leader="none" w:pos="4820" w:val="left"/>
          <w:tab w:leader="none" w:pos="7720" w:val="left"/>
        </w:tabs>
        <w:rPr>
          <w:sz w:val="20"/>
          <w:szCs w:val="20"/>
          <w:color w:val="auto"/>
        </w:rPr>
      </w:pPr>
      <w:r>
        <w:rPr>
          <w:rFonts w:ascii="Arial" w:cs="Arial" w:eastAsia="Arial" w:hAnsi="Arial"/>
          <w:sz w:val="10"/>
          <w:szCs w:val="10"/>
          <w:b w:val="1"/>
          <w:bCs w:val="1"/>
          <w:color w:val="004987"/>
        </w:rPr>
        <w:t>50</w:t>
      </w:r>
      <w:r>
        <w:rPr>
          <w:sz w:val="20"/>
          <w:szCs w:val="20"/>
          <w:color w:val="auto"/>
        </w:rPr>
        <w:tab/>
      </w:r>
      <w:r>
        <w:rPr>
          <w:rFonts w:ascii="Arial" w:cs="Arial" w:eastAsia="Arial" w:hAnsi="Arial"/>
          <w:sz w:val="10"/>
          <w:szCs w:val="10"/>
          <w:color w:val="auto"/>
        </w:rPr>
        <w:t>Transactions with Related Persons</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5" w:name="page56"/>
    <w:bookmarkEnd w:id="5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right="800"/>
        <w:spacing w:after="0" w:line="260" w:lineRule="auto"/>
        <w:rPr>
          <w:sz w:val="20"/>
          <w:szCs w:val="20"/>
          <w:color w:val="auto"/>
        </w:rPr>
      </w:pPr>
      <w:r>
        <w:rPr>
          <w:rFonts w:ascii="Arial" w:cs="Arial" w:eastAsia="Arial" w:hAnsi="Arial"/>
          <w:sz w:val="51"/>
          <w:szCs w:val="51"/>
          <w:b w:val="1"/>
          <w:bCs w:val="1"/>
          <w:color w:val="auto"/>
        </w:rPr>
        <w:t>STOCKHOLDER PROPOSALS AND NOMINATIONS FOR DIRECTORS FOR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-1174750</wp:posOffset>
            </wp:positionV>
            <wp:extent cx="81280" cy="1155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280" cy="1155700"/>
                    </a:xfrm>
                    <a:prstGeom prst="rect">
                      <a:avLst/>
                    </a:prstGeom>
                    <a:noFill/>
                  </pic:spPr>
                </pic:pic>
              </a:graphicData>
            </a:graphic>
          </wp:anchor>
        </w:drawing>
      </w:r>
    </w:p>
    <w:p>
      <w:pPr>
        <w:spacing w:after="0" w:line="347" w:lineRule="exact"/>
        <w:rPr>
          <w:sz w:val="20"/>
          <w:szCs w:val="20"/>
          <w:color w:val="auto"/>
        </w:rPr>
      </w:pPr>
    </w:p>
    <w:p>
      <w:pPr>
        <w:ind w:left="400" w:right="20"/>
        <w:spacing w:after="0" w:line="259" w:lineRule="auto"/>
        <w:rPr>
          <w:sz w:val="20"/>
          <w:szCs w:val="20"/>
          <w:color w:val="auto"/>
        </w:rPr>
      </w:pPr>
      <w:r>
        <w:rPr>
          <w:rFonts w:ascii="Arial" w:cs="Arial" w:eastAsia="Arial" w:hAnsi="Arial"/>
          <w:sz w:val="15"/>
          <w:szCs w:val="15"/>
          <w:color w:val="auto"/>
        </w:rPr>
        <w:t>Under Rule 14a-8, any stockholder proposals intended to be presented at the Company’s 2023 Annual Meeting of Stockholders (the “2023 Annual Meeting”) must be received by the Company at 9002 San Marco Court, Orlando, Florida 32819, Attn: Corporate Secretary, on or before December 1, 2022, to be eligible for inclusion in our Proxy Statement related to our 2023 Annual Meeting of Stockholders. Any such proposal will be subject to the requirement of the proxy rules adopted under the Exchange Act, and as with any stockholder proposal (regardless of whether such proposal is included in the Company’s proxy materials), our Restated Certificate of Incorporation and our Restated Bylaws and Delaware law.</w:t>
      </w:r>
    </w:p>
    <w:p>
      <w:pPr>
        <w:spacing w:after="0" w:line="69" w:lineRule="exact"/>
        <w:rPr>
          <w:sz w:val="20"/>
          <w:szCs w:val="20"/>
          <w:color w:val="auto"/>
        </w:rPr>
      </w:pPr>
    </w:p>
    <w:p>
      <w:pPr>
        <w:ind w:left="400"/>
        <w:spacing w:after="0" w:line="255" w:lineRule="auto"/>
        <w:rPr>
          <w:sz w:val="20"/>
          <w:szCs w:val="20"/>
          <w:color w:val="auto"/>
        </w:rPr>
      </w:pPr>
      <w:r>
        <w:rPr>
          <w:rFonts w:ascii="Arial" w:cs="Arial" w:eastAsia="Arial" w:hAnsi="Arial"/>
          <w:sz w:val="15"/>
          <w:szCs w:val="15"/>
          <w:color w:val="auto"/>
        </w:rPr>
        <w:t>For proposals or director nominations to be considered for presentation at our next annual meeting, but not for inclusion in our Proxy Statement for that meeting, proposals must be delivered to the Company’s Corporate Secretary at its principal executive office not later than the close of business on the 90th day nor earlier than the close of business on the 120th day prior to the first anniversary of the preceding year’s annual meeting. For the 2023 Annual Meeting, such nominations or proposals must be delivered to the Corporate Secretary no later than the close of business on February 12, 2023 nor earlier than the close of business on January 13, 2023. In the event that the date of the Company’s annual meeting is more than 30 days before or more than 70 days after the first anniversary of the preceding year’s annual meeting, then, to be timely, such stockholder’s notice must be submitted in writing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w:t>
      </w:r>
    </w:p>
    <w:p>
      <w:pPr>
        <w:spacing w:after="0" w:line="200" w:lineRule="exact"/>
        <w:rPr>
          <w:sz w:val="20"/>
          <w:szCs w:val="20"/>
          <w:color w:val="auto"/>
        </w:rPr>
      </w:pPr>
    </w:p>
    <w:p>
      <w:pPr>
        <w:spacing w:after="0" w:line="202" w:lineRule="exact"/>
        <w:rPr>
          <w:sz w:val="20"/>
          <w:szCs w:val="20"/>
          <w:color w:val="auto"/>
        </w:rPr>
      </w:pPr>
    </w:p>
    <w:p>
      <w:pPr>
        <w:ind w:left="860"/>
        <w:spacing w:after="0"/>
        <w:rPr>
          <w:sz w:val="20"/>
          <w:szCs w:val="20"/>
          <w:color w:val="auto"/>
        </w:rPr>
      </w:pPr>
      <w:r>
        <w:rPr>
          <w:rFonts w:ascii="Arial" w:cs="Arial" w:eastAsia="Arial" w:hAnsi="Arial"/>
          <w:sz w:val="51"/>
          <w:szCs w:val="51"/>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-337185</wp:posOffset>
            </wp:positionV>
            <wp:extent cx="81280" cy="423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280" cy="4235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00" w:right="160"/>
        <w:spacing w:after="0" w:line="259" w:lineRule="auto"/>
        <w:rPr>
          <w:sz w:val="20"/>
          <w:szCs w:val="20"/>
          <w:color w:val="auto"/>
        </w:rPr>
      </w:pPr>
      <w:r>
        <w:rPr>
          <w:rFonts w:ascii="Arial" w:cs="Arial" w:eastAsia="Arial" w:hAnsi="Arial"/>
          <w:sz w:val="15"/>
          <w:szCs w:val="15"/>
          <w:color w:val="auto"/>
        </w:rPr>
        <w:t>This Proxy is solicited on behalf of the Board of Directors. The Company will bear all expenses in connection with the Annual Meeting and this proxy solicitation. Proxies may be solicited by certain of our directors, officers and employees, without additional compensation, in person, by telephone, by mail, telegram, facsimile, or other electronic or other means. Broadridge Financial Services, Inc. will request that brokerage houses, banks and other custodians forward the proxy materials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69" w:lineRule="exact"/>
        <w:rPr>
          <w:sz w:val="20"/>
          <w:szCs w:val="20"/>
          <w:color w:val="auto"/>
        </w:rPr>
      </w:pPr>
    </w:p>
    <w:p>
      <w:pPr>
        <w:ind w:left="400"/>
        <w:spacing w:after="0" w:line="253" w:lineRule="auto"/>
        <w:rPr>
          <w:sz w:val="20"/>
          <w:szCs w:val="20"/>
          <w:color w:val="auto"/>
        </w:rPr>
      </w:pPr>
      <w:r>
        <w:rPr>
          <w:rFonts w:ascii="Arial" w:cs="Arial" w:eastAsia="Arial" w:hAnsi="Arial"/>
          <w:sz w:val="15"/>
          <w:szCs w:val="15"/>
          <w:color w:val="auto"/>
        </w:rPr>
        <w:t>If you and other residents at your mailing address own shares of common stock in street name, your broker or bank may have sent you a notice that your household will receive only one Notice Regarding the Availability of Proxy Materials or set of proxy materials for each company in which you hold stock through that broker or bank unless you respond with contrary instructions. This practice, known as “householding,” is designed to reduce our printing and postage costs. If you did not respond, the broker or bank will send only one copy of the notice regarding the availability of proxy materials to your address. You may revoke your consent to householding at any time by contacting Broadridge Financial Services, Inc. either by calling 1-866-540-7095 or by writing to Broadridge Householding Department, 51 Mercedes Way, Edgewood, New York 11717. In any event, if you did not receive an individual copy of the Notice Regarding the Availability of Proxy Materials, or if you wish to receive individual copies of the Notice Regarding the Availability of Proxy Materials or our proxy materials for future meetings, we will promptly send a copy to you if you write to Marriott Vacations Worldwide Corporation, 9002 San Marco Court, Orlando, Florida, 32819, Attention: Investor Relations or call Investor Relations at 1-407-206-6000. If you and other residents at your mailing address are registered stockholders and you receive more than one copy of the Notice Regarding the Availability of Proxy Materials, but you wish to receive only one copy, you must request, in writing, that the Company eliminate these duplicate mailings. To request the elimination of duplicate copies, please write to Computershare, P.O. Box 505000, Louisville, Kentucky, 40233-5000.</w:t>
      </w:r>
    </w:p>
    <w:p>
      <w:pPr>
        <w:spacing w:after="0" w:line="72" w:lineRule="exact"/>
        <w:rPr>
          <w:sz w:val="20"/>
          <w:szCs w:val="20"/>
          <w:color w:val="auto"/>
        </w:rPr>
      </w:pPr>
    </w:p>
    <w:p>
      <w:pPr>
        <w:ind w:left="400" w:right="200"/>
        <w:spacing w:after="0" w:line="267" w:lineRule="auto"/>
        <w:rPr>
          <w:sz w:val="20"/>
          <w:szCs w:val="20"/>
          <w:color w:val="auto"/>
        </w:rPr>
      </w:pPr>
      <w:r>
        <w:rPr>
          <w:rFonts w:ascii="Arial" w:cs="Arial" w:eastAsia="Arial" w:hAnsi="Arial"/>
          <w:sz w:val="15"/>
          <w:szCs w:val="15"/>
          <w:b w:val="1"/>
          <w:bCs w:val="1"/>
          <w:color w:val="auto"/>
        </w:rPr>
        <w:t>Any stockholder who would like a copy of our 2021 Annual Report on Form 10-K may obtain one, without charge, by addressing a request to the Corporate Secretary, Marriott Vacations Worldwide Corporation, 9002 San Marco Court, Orlando, Florida, 32819. The Company’s copying costs will be charged if copies of exhibits to the Form 10-K are requested. You may also obtain a copy of the Form 10-K, including exhibits, from the investor relations portion of our website (www.marriottvacationsworldwide.com) by clicking on “Financial Information”.</w:t>
      </w:r>
    </w:p>
    <w:p>
      <w:pPr>
        <w:spacing w:after="0" w:line="92" w:lineRule="exact"/>
        <w:rPr>
          <w:sz w:val="20"/>
          <w:szCs w:val="20"/>
          <w:color w:val="auto"/>
        </w:rPr>
      </w:pPr>
    </w:p>
    <w:p>
      <w:pPr>
        <w:ind w:left="400"/>
        <w:spacing w:after="0"/>
        <w:tabs>
          <w:tab w:leader="none" w:pos="4120" w:val="left"/>
          <w:tab w:leader="none" w:pos="10720" w:val="left"/>
        </w:tabs>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r>
        <w:rPr>
          <w:sz w:val="20"/>
          <w:szCs w:val="20"/>
          <w:color w:val="auto"/>
        </w:rPr>
        <w:tab/>
      </w:r>
      <w:r>
        <w:rPr>
          <w:rFonts w:ascii="Arial" w:cs="Arial" w:eastAsia="Arial" w:hAnsi="Arial"/>
          <w:sz w:val="10"/>
          <w:szCs w:val="10"/>
          <w:color w:val="auto"/>
        </w:rPr>
        <w:t>Stockholder Proposals and Nominations for Directors for the 2023 Annual Meeting</w:t>
      </w:r>
      <w:r>
        <w:rPr>
          <w:sz w:val="20"/>
          <w:szCs w:val="20"/>
          <w:color w:val="auto"/>
        </w:rPr>
        <w:tab/>
      </w:r>
      <w:r>
        <w:rPr>
          <w:rFonts w:ascii="Arial" w:cs="Arial" w:eastAsia="Arial" w:hAnsi="Arial"/>
          <w:sz w:val="10"/>
          <w:szCs w:val="10"/>
          <w:b w:val="1"/>
          <w:bCs w:val="1"/>
          <w:color w:val="00498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6" w:name="page57"/>
    <w:bookmarkEnd w:id="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57" w:lineRule="exact"/>
        <w:rPr>
          <w:sz w:val="20"/>
          <w:szCs w:val="20"/>
          <w:color w:val="auto"/>
        </w:rPr>
      </w:pPr>
    </w:p>
    <w:p>
      <w:pPr>
        <w:ind w:left="860"/>
        <w:spacing w:after="0"/>
        <w:rPr>
          <w:sz w:val="20"/>
          <w:szCs w:val="20"/>
          <w:color w:val="auto"/>
        </w:rPr>
      </w:pPr>
      <w:r>
        <w:rPr>
          <w:rFonts w:ascii="Arial" w:cs="Arial" w:eastAsia="Arial" w:hAnsi="Arial"/>
          <w:sz w:val="51"/>
          <w:szCs w:val="51"/>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-337185</wp:posOffset>
            </wp:positionV>
            <wp:extent cx="81280" cy="423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280" cy="4235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MARRIOTT VACATIONS WORLDWIDE CORPORATION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Reconciliation of Non-GAAP Measures to GAAP Measures (Unaudited)</w:t>
      </w:r>
    </w:p>
    <w:p>
      <w:pPr>
        <w:spacing w:after="0" w:line="98" w:lineRule="exact"/>
        <w:rPr>
          <w:sz w:val="20"/>
          <w:szCs w:val="20"/>
          <w:color w:val="auto"/>
        </w:rPr>
      </w:pPr>
    </w:p>
    <w:p>
      <w:pPr>
        <w:ind w:left="400"/>
        <w:spacing w:after="0" w:line="255" w:lineRule="auto"/>
        <w:rPr>
          <w:sz w:val="20"/>
          <w:szCs w:val="20"/>
          <w:color w:val="auto"/>
        </w:rPr>
      </w:pPr>
      <w:r>
        <w:rPr>
          <w:rFonts w:ascii="Arial" w:cs="Arial" w:eastAsia="Arial" w:hAnsi="Arial"/>
          <w:sz w:val="15"/>
          <w:szCs w:val="15"/>
          <w:color w:val="auto"/>
        </w:rPr>
        <w:t>In this Proxy Statement, we present adjusted net income attributable to common shareholders, adjusted Diluted Earnings per Share, EBITDA, Adjusted EBITDA, and adjusted free cash flow, financial measures that are not prescribed by GAAP. The tables below reconcile these non-GAAP financial measures to the most directly comparable GAAP financial measure. We evaluate and present these non-GAAP financial measures for the reasons described below. Further, we evaluate Adjusted EBITDA in particular as a financial objective with respect to which amounts payable under the Bonus Plan may be earned by our named executive officers. Please be aware that these non-financial measures have limitations and should not be considered in isolation or as a substitute for net income or any other comparable performance measure calculated in accordance with GAAP. In addition, other companies in our industry may calculate these non-GAAP financial measures differently than we do or may not calculate them at all, limiting their usefulness as a comparative measure.</w:t>
      </w:r>
    </w:p>
    <w:p>
      <w:pPr>
        <w:spacing w:after="0" w:line="256" w:lineRule="exact"/>
        <w:rPr>
          <w:sz w:val="20"/>
          <w:szCs w:val="20"/>
          <w:color w:val="auto"/>
        </w:rPr>
      </w:pPr>
    </w:p>
    <w:p>
      <w:pPr>
        <w:ind w:left="400" w:right="20"/>
        <w:spacing w:after="0" w:line="252" w:lineRule="auto"/>
        <w:rPr>
          <w:sz w:val="20"/>
          <w:szCs w:val="20"/>
          <w:color w:val="auto"/>
        </w:rPr>
      </w:pPr>
      <w:r>
        <w:rPr>
          <w:rFonts w:ascii="Arial" w:cs="Arial" w:eastAsia="Arial" w:hAnsi="Arial"/>
          <w:sz w:val="15"/>
          <w:szCs w:val="15"/>
          <w:color w:val="auto"/>
        </w:rPr>
        <w:t>EBITDA is defined as earnings, or net income or loss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75" w:lineRule="exact"/>
        <w:rPr>
          <w:sz w:val="20"/>
          <w:szCs w:val="20"/>
          <w:color w:val="auto"/>
        </w:rPr>
      </w:pPr>
    </w:p>
    <w:p>
      <w:pPr>
        <w:ind w:left="400" w:right="140"/>
        <w:spacing w:after="0" w:line="263" w:lineRule="auto"/>
        <w:rPr>
          <w:sz w:val="20"/>
          <w:szCs w:val="20"/>
          <w:color w:val="auto"/>
        </w:rPr>
      </w:pPr>
      <w:r>
        <w:rPr>
          <w:rFonts w:ascii="Arial" w:cs="Arial" w:eastAsia="Arial" w:hAnsi="Arial"/>
          <w:sz w:val="15"/>
          <w:szCs w:val="15"/>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004987"/>
              </w:rPr>
              <w:t>($ in millions, except per share amounts)</w:t>
            </w:r>
          </w:p>
        </w:tc>
        <w:tc>
          <w:tcPr>
            <w:tcW w:w="3660" w:type="dxa"/>
            <w:vAlign w:val="bottom"/>
          </w:tcPr>
          <w:p>
            <w:pPr>
              <w:spacing w:after="0"/>
              <w:rPr>
                <w:sz w:val="14"/>
                <w:szCs w:val="14"/>
                <w:color w:val="auto"/>
              </w:rPr>
            </w:pPr>
          </w:p>
        </w:tc>
        <w:tc>
          <w:tcPr>
            <w:tcW w:w="180" w:type="dxa"/>
            <w:vAlign w:val="bottom"/>
            <w:tcBorders>
              <w:bottom w:val="single" w:sz="8" w:color="004987"/>
            </w:tcBorders>
          </w:tcPr>
          <w:p>
            <w:pPr>
              <w:spacing w:after="0"/>
              <w:rPr>
                <w:sz w:val="14"/>
                <w:szCs w:val="14"/>
                <w:color w:val="auto"/>
              </w:rPr>
            </w:pPr>
          </w:p>
        </w:tc>
        <w:tc>
          <w:tcPr>
            <w:tcW w:w="1160" w:type="dxa"/>
            <w:vAlign w:val="bottom"/>
            <w:tcBorders>
              <w:bottom w:val="single" w:sz="8" w:color="004987"/>
            </w:tcBorders>
            <w:gridSpan w:val="3"/>
          </w:tcPr>
          <w:p>
            <w:pPr>
              <w:jc w:val="right"/>
              <w:spacing w:after="0"/>
              <w:rPr>
                <w:sz w:val="20"/>
                <w:szCs w:val="20"/>
                <w:color w:val="auto"/>
              </w:rPr>
            </w:pPr>
            <w:r>
              <w:rPr>
                <w:rFonts w:ascii="Arial" w:cs="Arial" w:eastAsia="Arial" w:hAnsi="Arial"/>
                <w:sz w:val="14"/>
                <w:szCs w:val="14"/>
                <w:b w:val="1"/>
                <w:bCs w:val="1"/>
                <w:color w:val="004987"/>
              </w:rPr>
              <w:t>Fiscal Years</w:t>
            </w:r>
          </w:p>
        </w:tc>
        <w:tc>
          <w:tcPr>
            <w:tcW w:w="540" w:type="dxa"/>
            <w:vAlign w:val="bottom"/>
            <w:tcBorders>
              <w:bottom w:val="single" w:sz="8" w:color="004987"/>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920" w:type="dxa"/>
            <w:vAlign w:val="bottom"/>
            <w:tcBorders>
              <w:bottom w:val="single" w:sz="8" w:color="004987"/>
            </w:tcBorders>
            <w:gridSpan w:val="2"/>
            <w:vMerge w:val="continue"/>
          </w:tcPr>
          <w:p>
            <w:pPr>
              <w:spacing w:after="0"/>
              <w:rPr>
                <w:sz w:val="12"/>
                <w:szCs w:val="12"/>
                <w:color w:val="auto"/>
              </w:rPr>
            </w:pPr>
          </w:p>
        </w:tc>
        <w:tc>
          <w:tcPr>
            <w:tcW w:w="3660" w:type="dxa"/>
            <w:vAlign w:val="bottom"/>
            <w:tcBorders>
              <w:bottom w:val="single" w:sz="8" w:color="004987"/>
            </w:tcBorders>
          </w:tcPr>
          <w:p>
            <w:pPr>
              <w:spacing w:after="0"/>
              <w:rPr>
                <w:sz w:val="12"/>
                <w:szCs w:val="12"/>
                <w:color w:val="auto"/>
              </w:rPr>
            </w:pPr>
          </w:p>
        </w:tc>
        <w:tc>
          <w:tcPr>
            <w:tcW w:w="640" w:type="dxa"/>
            <w:vAlign w:val="bottom"/>
            <w:tcBorders>
              <w:bottom w:val="single" w:sz="8" w:color="004987"/>
            </w:tcBorders>
            <w:gridSpan w:val="2"/>
          </w:tcPr>
          <w:p>
            <w:pPr>
              <w:jc w:val="right"/>
              <w:ind w:right="124"/>
              <w:spacing w:after="0" w:line="147" w:lineRule="exact"/>
              <w:rPr>
                <w:sz w:val="20"/>
                <w:szCs w:val="20"/>
                <w:color w:val="auto"/>
              </w:rPr>
            </w:pPr>
            <w:r>
              <w:rPr>
                <w:rFonts w:ascii="Arial" w:cs="Arial" w:eastAsia="Arial" w:hAnsi="Arial"/>
                <w:sz w:val="14"/>
                <w:szCs w:val="14"/>
                <w:b w:val="1"/>
                <w:bCs w:val="1"/>
                <w:color w:val="004987"/>
              </w:rPr>
              <w:t>2021</w:t>
            </w:r>
          </w:p>
        </w:tc>
        <w:tc>
          <w:tcPr>
            <w:tcW w:w="700" w:type="dxa"/>
            <w:vAlign w:val="bottom"/>
            <w:tcBorders>
              <w:bottom w:val="single" w:sz="8" w:color="004987"/>
            </w:tcBorders>
            <w:gridSpan w:val="2"/>
          </w:tcPr>
          <w:p>
            <w:pPr>
              <w:jc w:val="right"/>
              <w:ind w:right="183"/>
              <w:spacing w:after="0" w:line="147" w:lineRule="exact"/>
              <w:rPr>
                <w:sz w:val="20"/>
                <w:szCs w:val="20"/>
                <w:color w:val="auto"/>
              </w:rPr>
            </w:pPr>
            <w:r>
              <w:rPr>
                <w:rFonts w:ascii="Arial" w:cs="Arial" w:eastAsia="Arial" w:hAnsi="Arial"/>
                <w:sz w:val="14"/>
                <w:szCs w:val="14"/>
                <w:b w:val="1"/>
                <w:bCs w:val="1"/>
                <w:color w:val="004987"/>
              </w:rPr>
              <w:t>2020</w:t>
            </w:r>
          </w:p>
        </w:tc>
        <w:tc>
          <w:tcPr>
            <w:tcW w:w="540" w:type="dxa"/>
            <w:vAlign w:val="bottom"/>
            <w:tcBorders>
              <w:bottom w:val="single" w:sz="8" w:color="004987"/>
            </w:tcBorders>
          </w:tcPr>
          <w:p>
            <w:pPr>
              <w:jc w:val="right"/>
              <w:ind w:right="85"/>
              <w:spacing w:after="0" w:line="147" w:lineRule="exact"/>
              <w:rPr>
                <w:sz w:val="20"/>
                <w:szCs w:val="20"/>
                <w:color w:val="auto"/>
              </w:rPr>
            </w:pPr>
            <w:r>
              <w:rPr>
                <w:rFonts w:ascii="Arial" w:cs="Arial" w:eastAsia="Arial" w:hAnsi="Arial"/>
                <w:sz w:val="14"/>
                <w:szCs w:val="14"/>
                <w:b w:val="1"/>
                <w:bCs w:val="1"/>
                <w:color w:val="004987"/>
              </w:rPr>
              <w:t>2019</w:t>
            </w:r>
          </w:p>
        </w:tc>
        <w:tc>
          <w:tcPr>
            <w:tcW w:w="0" w:type="dxa"/>
            <w:vAlign w:val="bottom"/>
          </w:tcPr>
          <w:p>
            <w:pPr>
              <w:spacing w:after="0"/>
              <w:rPr>
                <w:sz w:val="1"/>
                <w:szCs w:val="1"/>
                <w:color w:val="auto"/>
              </w:rPr>
            </w:pPr>
          </w:p>
        </w:tc>
      </w:tr>
      <w:tr>
        <w:trPr>
          <w:trHeight w:val="160"/>
        </w:trPr>
        <w:tc>
          <w:tcPr>
            <w:tcW w:w="4920" w:type="dxa"/>
            <w:vAlign w:val="bottom"/>
            <w:gridSpan w:val="2"/>
          </w:tcPr>
          <w:p>
            <w:pPr>
              <w:spacing w:after="0" w:line="160" w:lineRule="exact"/>
              <w:rPr>
                <w:sz w:val="20"/>
                <w:szCs w:val="20"/>
                <w:color w:val="auto"/>
              </w:rPr>
            </w:pPr>
            <w:r>
              <w:rPr>
                <w:rFonts w:ascii="Arial" w:cs="Arial" w:eastAsia="Arial" w:hAnsi="Arial"/>
                <w:sz w:val="15"/>
                <w:szCs w:val="15"/>
                <w:color w:val="auto"/>
              </w:rPr>
              <w:t>Net income (loss) attributable to common shareholders</w:t>
            </w:r>
          </w:p>
        </w:tc>
        <w:tc>
          <w:tcPr>
            <w:tcW w:w="3660" w:type="dxa"/>
            <w:vAlign w:val="bottom"/>
          </w:tcPr>
          <w:p>
            <w:pPr>
              <w:spacing w:after="0"/>
              <w:rPr>
                <w:sz w:val="13"/>
                <w:szCs w:val="13"/>
                <w:color w:val="auto"/>
              </w:rPr>
            </w:pPr>
          </w:p>
        </w:tc>
        <w:tc>
          <w:tcPr>
            <w:tcW w:w="1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64"/>
              <w:spacing w:after="0" w:line="160" w:lineRule="exact"/>
              <w:rPr>
                <w:sz w:val="20"/>
                <w:szCs w:val="20"/>
                <w:color w:val="auto"/>
              </w:rPr>
            </w:pPr>
            <w:r>
              <w:rPr>
                <w:rFonts w:ascii="Arial" w:cs="Arial" w:eastAsia="Arial" w:hAnsi="Arial"/>
                <w:sz w:val="15"/>
                <w:szCs w:val="15"/>
                <w:color w:val="auto"/>
              </w:rPr>
              <w:t>49</w:t>
            </w:r>
          </w:p>
        </w:tc>
        <w:tc>
          <w:tcPr>
            <w:tcW w:w="16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540" w:type="dxa"/>
            <w:vAlign w:val="bottom"/>
          </w:tcPr>
          <w:p>
            <w:pPr>
              <w:jc w:val="right"/>
              <w:ind w:right="63"/>
              <w:spacing w:after="0" w:line="160" w:lineRule="exact"/>
              <w:rPr>
                <w:sz w:val="20"/>
                <w:szCs w:val="20"/>
                <w:color w:val="auto"/>
              </w:rPr>
            </w:pPr>
            <w:r>
              <w:rPr>
                <w:rFonts w:ascii="Arial" w:cs="Arial" w:eastAsia="Arial" w:hAnsi="Arial"/>
                <w:sz w:val="15"/>
                <w:szCs w:val="15"/>
                <w:color w:val="auto"/>
              </w:rPr>
              <w:t>(275)</w:t>
            </w:r>
          </w:p>
        </w:tc>
        <w:tc>
          <w:tcPr>
            <w:tcW w:w="540" w:type="dxa"/>
            <w:vAlign w:val="bottom"/>
          </w:tcPr>
          <w:p>
            <w:pPr>
              <w:jc w:val="right"/>
              <w:ind w:right="25"/>
              <w:spacing w:after="0" w:line="160" w:lineRule="exact"/>
              <w:rPr>
                <w:sz w:val="20"/>
                <w:szCs w:val="20"/>
                <w:color w:val="auto"/>
              </w:rPr>
            </w:pPr>
            <w:r>
              <w:rPr>
                <w:rFonts w:ascii="Arial" w:cs="Arial" w:eastAsia="Arial" w:hAnsi="Arial"/>
                <w:sz w:val="15"/>
                <w:szCs w:val="15"/>
                <w:color w:val="auto"/>
              </w:rPr>
              <w:t>$ 138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Provision for (benefit from) income taxes</w:t>
            </w:r>
          </w:p>
        </w:tc>
        <w:tc>
          <w:tcPr>
            <w:tcW w:w="3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74</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(84)</w:t>
            </w:r>
          </w:p>
        </w:tc>
        <w:tc>
          <w:tcPr>
            <w:tcW w:w="5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tcPr>
          <w:p>
            <w:pPr>
              <w:spacing w:after="0" w:line="160" w:lineRule="exact"/>
              <w:rPr>
                <w:sz w:val="20"/>
                <w:szCs w:val="20"/>
                <w:color w:val="auto"/>
              </w:rPr>
            </w:pPr>
            <w:r>
              <w:rPr>
                <w:rFonts w:ascii="Arial" w:cs="Arial" w:eastAsia="Arial" w:hAnsi="Arial"/>
                <w:sz w:val="15"/>
                <w:szCs w:val="15"/>
                <w:color w:val="auto"/>
              </w:rPr>
              <w:t>Income (loss) before income taxes attributable to common shareholders</w:t>
            </w: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64"/>
              <w:spacing w:after="0" w:line="160" w:lineRule="exact"/>
              <w:rPr>
                <w:sz w:val="20"/>
                <w:szCs w:val="20"/>
                <w:color w:val="auto"/>
              </w:rPr>
            </w:pPr>
            <w:r>
              <w:rPr>
                <w:rFonts w:ascii="Arial" w:cs="Arial" w:eastAsia="Arial" w:hAnsi="Arial"/>
                <w:sz w:val="15"/>
                <w:szCs w:val="15"/>
                <w:color w:val="auto"/>
              </w:rPr>
              <w:t>123</w:t>
            </w:r>
          </w:p>
        </w:tc>
        <w:tc>
          <w:tcPr>
            <w:tcW w:w="160" w:type="dxa"/>
            <w:vAlign w:val="bottom"/>
          </w:tcPr>
          <w:p>
            <w:pPr>
              <w:spacing w:after="0"/>
              <w:rPr>
                <w:sz w:val="13"/>
                <w:szCs w:val="13"/>
                <w:color w:val="auto"/>
              </w:rPr>
            </w:pPr>
          </w:p>
        </w:tc>
        <w:tc>
          <w:tcPr>
            <w:tcW w:w="540" w:type="dxa"/>
            <w:vAlign w:val="bottom"/>
          </w:tcPr>
          <w:p>
            <w:pPr>
              <w:jc w:val="right"/>
              <w:ind w:right="63"/>
              <w:spacing w:after="0" w:line="160" w:lineRule="exact"/>
              <w:rPr>
                <w:sz w:val="20"/>
                <w:szCs w:val="20"/>
                <w:color w:val="auto"/>
              </w:rPr>
            </w:pPr>
            <w:r>
              <w:rPr>
                <w:rFonts w:ascii="Arial" w:cs="Arial" w:eastAsia="Arial" w:hAnsi="Arial"/>
                <w:sz w:val="15"/>
                <w:szCs w:val="15"/>
                <w:color w:val="auto"/>
              </w:rPr>
              <w:t>(359)</w:t>
            </w:r>
          </w:p>
        </w:tc>
        <w:tc>
          <w:tcPr>
            <w:tcW w:w="540" w:type="dxa"/>
            <w:vAlign w:val="bottom"/>
          </w:tcPr>
          <w:p>
            <w:pPr>
              <w:jc w:val="right"/>
              <w:ind w:right="25"/>
              <w:spacing w:after="0" w:line="160" w:lineRule="exact"/>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79"/>
        </w:trPr>
        <w:tc>
          <w:tcPr>
            <w:tcW w:w="4920" w:type="dxa"/>
            <w:vAlign w:val="bottom"/>
            <w:gridSpan w:val="2"/>
          </w:tcPr>
          <w:p>
            <w:pPr>
              <w:spacing w:after="0"/>
              <w:rPr>
                <w:sz w:val="20"/>
                <w:szCs w:val="20"/>
                <w:color w:val="auto"/>
              </w:rPr>
            </w:pPr>
            <w:r>
              <w:rPr>
                <w:rFonts w:ascii="Arial" w:cs="Arial" w:eastAsia="Arial" w:hAnsi="Arial"/>
                <w:sz w:val="15"/>
                <w:szCs w:val="15"/>
                <w:color w:val="auto"/>
              </w:rPr>
              <w:t>Certain items:</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Litigation charges</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6</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Restructuring</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Losses (gains) and other expense (income), net</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51</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26</w:t>
            </w:r>
          </w:p>
        </w:tc>
        <w:tc>
          <w:tcPr>
            <w:tcW w:w="54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Transaction and integration costs</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110</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66</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Impairment charges</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100</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Purchase price adjustments</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61</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5"/>
                <w:szCs w:val="15"/>
                <w:color w:val="auto"/>
              </w:rPr>
              <w:t>COVID-19 related adjustments</w:t>
            </w: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Arial" w:cs="Arial" w:eastAsia="Arial" w:hAnsi="Arial"/>
                <w:sz w:val="15"/>
                <w:szCs w:val="15"/>
                <w:color w:val="auto"/>
              </w:rPr>
              <w:t>77</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Other</w:t>
            </w:r>
          </w:p>
        </w:tc>
        <w:tc>
          <w:tcPr>
            <w:tcW w:w="3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w:t>
            </w:r>
          </w:p>
        </w:tc>
        <w:tc>
          <w:tcPr>
            <w:tcW w:w="5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tcPr>
          <w:p>
            <w:pPr>
              <w:spacing w:after="0" w:line="160" w:lineRule="exact"/>
              <w:rPr>
                <w:sz w:val="20"/>
                <w:szCs w:val="20"/>
                <w:color w:val="auto"/>
              </w:rPr>
            </w:pPr>
            <w:r>
              <w:rPr>
                <w:rFonts w:ascii="Arial" w:cs="Arial" w:eastAsia="Arial" w:hAnsi="Arial"/>
                <w:sz w:val="15"/>
                <w:szCs w:val="15"/>
                <w:color w:val="auto"/>
              </w:rPr>
              <w:t>Adjusted pretax income (loss)</w:t>
            </w: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64"/>
              <w:spacing w:after="0" w:line="160" w:lineRule="exact"/>
              <w:rPr>
                <w:sz w:val="20"/>
                <w:szCs w:val="20"/>
                <w:color w:val="auto"/>
              </w:rPr>
            </w:pPr>
            <w:r>
              <w:rPr>
                <w:rFonts w:ascii="Arial" w:cs="Arial" w:eastAsia="Arial" w:hAnsi="Arial"/>
                <w:sz w:val="15"/>
                <w:szCs w:val="15"/>
                <w:color w:val="auto"/>
              </w:rPr>
              <w:t>296</w:t>
            </w:r>
          </w:p>
        </w:tc>
        <w:tc>
          <w:tcPr>
            <w:tcW w:w="160" w:type="dxa"/>
            <w:vAlign w:val="bottom"/>
          </w:tcPr>
          <w:p>
            <w:pPr>
              <w:spacing w:after="0"/>
              <w:rPr>
                <w:sz w:val="13"/>
                <w:szCs w:val="13"/>
                <w:color w:val="auto"/>
              </w:rPr>
            </w:pPr>
          </w:p>
        </w:tc>
        <w:tc>
          <w:tcPr>
            <w:tcW w:w="540" w:type="dxa"/>
            <w:vAlign w:val="bottom"/>
          </w:tcPr>
          <w:p>
            <w:pPr>
              <w:jc w:val="right"/>
              <w:ind w:right="63"/>
              <w:spacing w:after="0" w:line="160" w:lineRule="exact"/>
              <w:rPr>
                <w:sz w:val="20"/>
                <w:szCs w:val="20"/>
                <w:color w:val="auto"/>
              </w:rPr>
            </w:pPr>
            <w:r>
              <w:rPr>
                <w:rFonts w:ascii="Arial" w:cs="Arial" w:eastAsia="Arial" w:hAnsi="Arial"/>
                <w:sz w:val="15"/>
                <w:szCs w:val="15"/>
                <w:color w:val="auto"/>
              </w:rPr>
              <w:t>(18)</w:t>
            </w:r>
          </w:p>
        </w:tc>
        <w:tc>
          <w:tcPr>
            <w:tcW w:w="540" w:type="dxa"/>
            <w:vAlign w:val="bottom"/>
          </w:tcPr>
          <w:p>
            <w:pPr>
              <w:jc w:val="right"/>
              <w:ind w:right="25"/>
              <w:spacing w:after="0" w:line="160" w:lineRule="exact"/>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Provision for income taxes</w:t>
            </w:r>
          </w:p>
        </w:tc>
        <w:tc>
          <w:tcPr>
            <w:tcW w:w="3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(106)</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72"/>
        </w:trPr>
        <w:tc>
          <w:tcPr>
            <w:tcW w:w="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net income (loss) attributable to common shareholders</w:t>
            </w:r>
          </w:p>
        </w:tc>
        <w:tc>
          <w:tcPr>
            <w:tcW w:w="3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w:t>
            </w:r>
          </w:p>
        </w:tc>
        <w:tc>
          <w:tcPr>
            <w:tcW w:w="5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$ 348</w:t>
            </w:r>
          </w:p>
        </w:tc>
        <w:tc>
          <w:tcPr>
            <w:tcW w:w="0" w:type="dxa"/>
            <w:vAlign w:val="bottom"/>
          </w:tcPr>
          <w:p>
            <w:pPr>
              <w:spacing w:after="0"/>
              <w:rPr>
                <w:sz w:val="1"/>
                <w:szCs w:val="1"/>
                <w:color w:val="auto"/>
              </w:rPr>
            </w:pPr>
          </w:p>
        </w:tc>
      </w:tr>
      <w:tr>
        <w:trPr>
          <w:trHeight w:val="160"/>
        </w:trPr>
        <w:tc>
          <w:tcPr>
            <w:tcW w:w="4920" w:type="dxa"/>
            <w:vAlign w:val="bottom"/>
            <w:gridSpan w:val="2"/>
          </w:tcPr>
          <w:p>
            <w:pPr>
              <w:spacing w:after="0" w:line="160" w:lineRule="exact"/>
              <w:rPr>
                <w:sz w:val="20"/>
                <w:szCs w:val="20"/>
                <w:color w:val="auto"/>
              </w:rPr>
            </w:pPr>
            <w:r>
              <w:rPr>
                <w:rFonts w:ascii="Arial" w:cs="Arial" w:eastAsia="Arial" w:hAnsi="Arial"/>
                <w:sz w:val="15"/>
                <w:szCs w:val="15"/>
                <w:color w:val="auto"/>
              </w:rPr>
              <w:t>Diluted shares</w:t>
            </w:r>
          </w:p>
        </w:tc>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64"/>
              <w:spacing w:after="0" w:line="160" w:lineRule="exact"/>
              <w:rPr>
                <w:sz w:val="20"/>
                <w:szCs w:val="20"/>
                <w:color w:val="auto"/>
              </w:rPr>
            </w:pPr>
            <w:r>
              <w:rPr>
                <w:rFonts w:ascii="Arial" w:cs="Arial" w:eastAsia="Arial" w:hAnsi="Arial"/>
                <w:sz w:val="15"/>
                <w:szCs w:val="15"/>
                <w:color w:val="auto"/>
              </w:rPr>
              <w:t>43.3</w:t>
            </w:r>
          </w:p>
        </w:tc>
        <w:tc>
          <w:tcPr>
            <w:tcW w:w="160" w:type="dxa"/>
            <w:vAlign w:val="bottom"/>
          </w:tcPr>
          <w:p>
            <w:pPr>
              <w:spacing w:after="0"/>
              <w:rPr>
                <w:sz w:val="13"/>
                <w:szCs w:val="13"/>
                <w:color w:val="auto"/>
              </w:rPr>
            </w:pPr>
          </w:p>
        </w:tc>
        <w:tc>
          <w:tcPr>
            <w:tcW w:w="540" w:type="dxa"/>
            <w:vAlign w:val="bottom"/>
          </w:tcPr>
          <w:p>
            <w:pPr>
              <w:jc w:val="right"/>
              <w:ind w:right="103"/>
              <w:spacing w:after="0" w:line="160" w:lineRule="exact"/>
              <w:rPr>
                <w:sz w:val="20"/>
                <w:szCs w:val="20"/>
                <w:color w:val="auto"/>
              </w:rPr>
            </w:pPr>
            <w:r>
              <w:rPr>
                <w:rFonts w:ascii="Arial" w:cs="Arial" w:eastAsia="Arial" w:hAnsi="Arial"/>
                <w:sz w:val="15"/>
                <w:szCs w:val="15"/>
                <w:color w:val="auto"/>
              </w:rPr>
              <w:t>41.3</w:t>
            </w:r>
          </w:p>
        </w:tc>
        <w:tc>
          <w:tcPr>
            <w:tcW w:w="540" w:type="dxa"/>
            <w:vAlign w:val="bottom"/>
          </w:tcPr>
          <w:p>
            <w:pPr>
              <w:jc w:val="right"/>
              <w:ind w:right="25"/>
              <w:spacing w:after="0" w:line="160" w:lineRule="exact"/>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201"/>
        </w:trPr>
        <w:tc>
          <w:tcPr>
            <w:tcW w:w="4920" w:type="dxa"/>
            <w:vAlign w:val="bottom"/>
            <w:gridSpan w:val="2"/>
          </w:tcPr>
          <w:p>
            <w:pPr>
              <w:spacing w:after="0"/>
              <w:rPr>
                <w:sz w:val="20"/>
                <w:szCs w:val="20"/>
                <w:color w:val="auto"/>
              </w:rPr>
            </w:pPr>
            <w:r>
              <w:rPr>
                <w:rFonts w:ascii="Arial" w:cs="Arial" w:eastAsia="Arial" w:hAnsi="Arial"/>
                <w:sz w:val="15"/>
                <w:szCs w:val="15"/>
                <w:color w:val="auto"/>
              </w:rPr>
              <w:t>Adjusted earnings (loss) per share - Diluted</w:t>
            </w:r>
          </w:p>
        </w:tc>
        <w:tc>
          <w:tcPr>
            <w:tcW w:w="36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4.40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3"/>
              <w:spacing w:after="0"/>
              <w:rPr>
                <w:sz w:val="20"/>
                <w:szCs w:val="20"/>
                <w:color w:val="auto"/>
              </w:rPr>
            </w:pPr>
            <w:r>
              <w:rPr>
                <w:rFonts w:ascii="Arial" w:cs="Arial" w:eastAsia="Arial" w:hAnsi="Arial"/>
                <w:sz w:val="15"/>
                <w:szCs w:val="15"/>
                <w:color w:val="auto"/>
                <w:w w:val="96"/>
              </w:rPr>
              <w:t>(0.45)</w:t>
            </w:r>
          </w:p>
        </w:tc>
        <w:tc>
          <w:tcPr>
            <w:tcW w:w="540" w:type="dxa"/>
            <w:vAlign w:val="bottom"/>
          </w:tcPr>
          <w:p>
            <w:pPr>
              <w:jc w:val="right"/>
              <w:ind w:right="25"/>
              <w:spacing w:after="0"/>
              <w:rPr>
                <w:sz w:val="20"/>
                <w:szCs w:val="20"/>
                <w:color w:val="auto"/>
              </w:rPr>
            </w:pPr>
            <w:r>
              <w:rPr>
                <w:rFonts w:ascii="Arial" w:cs="Arial" w:eastAsia="Arial" w:hAnsi="Arial"/>
                <w:sz w:val="15"/>
                <w:szCs w:val="15"/>
                <w:color w:val="auto"/>
              </w:rPr>
              <w:t>$ 7.81</w:t>
            </w:r>
          </w:p>
        </w:tc>
        <w:tc>
          <w:tcPr>
            <w:tcW w:w="0" w:type="dxa"/>
            <w:vAlign w:val="bottom"/>
          </w:tcPr>
          <w:p>
            <w:pPr>
              <w:spacing w:after="0"/>
              <w:rPr>
                <w:sz w:val="1"/>
                <w:szCs w:val="1"/>
                <w:color w:val="auto"/>
              </w:rPr>
            </w:pPr>
          </w:p>
        </w:tc>
      </w:tr>
      <w:tr>
        <w:trPr>
          <w:trHeight w:val="247"/>
        </w:trPr>
        <w:tc>
          <w:tcPr>
            <w:tcW w:w="4920" w:type="dxa"/>
            <w:vAlign w:val="bottom"/>
            <w:tcBorders>
              <w:bottom w:val="single" w:sz="8" w:color="004987"/>
            </w:tcBorders>
            <w:gridSpan w:val="2"/>
          </w:tcPr>
          <w:p>
            <w:pPr>
              <w:spacing w:after="0"/>
              <w:rPr>
                <w:sz w:val="20"/>
                <w:szCs w:val="20"/>
                <w:color w:val="auto"/>
              </w:rPr>
            </w:pPr>
            <w:r>
              <w:rPr>
                <w:rFonts w:ascii="Arial" w:cs="Arial" w:eastAsia="Arial" w:hAnsi="Arial"/>
                <w:sz w:val="10"/>
                <w:szCs w:val="10"/>
                <w:b w:val="1"/>
                <w:bCs w:val="1"/>
                <w:color w:val="004987"/>
              </w:rPr>
              <w:t xml:space="preserve">MARRIOTT VACATIONS WORLDWIDE </w:t>
            </w:r>
            <w:r>
              <w:rPr>
                <w:rFonts w:ascii="Arial" w:cs="Arial" w:eastAsia="Arial" w:hAnsi="Arial"/>
                <w:sz w:val="10"/>
                <w:szCs w:val="10"/>
                <w:color w:val="000000"/>
              </w:rPr>
              <w:t>2022 PROXY STATEMENT</w:t>
            </w:r>
          </w:p>
        </w:tc>
        <w:tc>
          <w:tcPr>
            <w:tcW w:w="3660" w:type="dxa"/>
            <w:vAlign w:val="bottom"/>
            <w:tcBorders>
              <w:bottom w:val="single" w:sz="8" w:color="004987"/>
            </w:tcBorders>
          </w:tcPr>
          <w:p>
            <w:pPr>
              <w:ind w:left="60"/>
              <w:spacing w:after="0"/>
              <w:rPr>
                <w:sz w:val="20"/>
                <w:szCs w:val="20"/>
                <w:color w:val="auto"/>
              </w:rPr>
            </w:pPr>
            <w:r>
              <w:rPr>
                <w:rFonts w:ascii="Arial" w:cs="Arial" w:eastAsia="Arial" w:hAnsi="Arial"/>
                <w:sz w:val="10"/>
                <w:szCs w:val="10"/>
                <w:color w:val="auto"/>
              </w:rPr>
              <w:t>Appendix A</w:t>
            </w:r>
          </w:p>
        </w:tc>
        <w:tc>
          <w:tcPr>
            <w:tcW w:w="180" w:type="dxa"/>
            <w:vAlign w:val="bottom"/>
            <w:tcBorders>
              <w:bottom w:val="single" w:sz="8" w:color="004987"/>
            </w:tcBorders>
          </w:tcPr>
          <w:p>
            <w:pPr>
              <w:spacing w:after="0"/>
              <w:rPr>
                <w:sz w:val="21"/>
                <w:szCs w:val="21"/>
                <w:color w:val="auto"/>
              </w:rPr>
            </w:pPr>
          </w:p>
        </w:tc>
        <w:tc>
          <w:tcPr>
            <w:tcW w:w="460" w:type="dxa"/>
            <w:vAlign w:val="bottom"/>
            <w:tcBorders>
              <w:bottom w:val="single" w:sz="8" w:color="004987"/>
            </w:tcBorders>
          </w:tcPr>
          <w:p>
            <w:pPr>
              <w:spacing w:after="0"/>
              <w:rPr>
                <w:sz w:val="21"/>
                <w:szCs w:val="21"/>
                <w:color w:val="auto"/>
              </w:rPr>
            </w:pPr>
          </w:p>
        </w:tc>
        <w:tc>
          <w:tcPr>
            <w:tcW w:w="160" w:type="dxa"/>
            <w:vAlign w:val="bottom"/>
            <w:tcBorders>
              <w:bottom w:val="single" w:sz="8" w:color="004987"/>
            </w:tcBorders>
          </w:tcPr>
          <w:p>
            <w:pPr>
              <w:spacing w:after="0"/>
              <w:rPr>
                <w:sz w:val="21"/>
                <w:szCs w:val="21"/>
                <w:color w:val="auto"/>
              </w:rPr>
            </w:pPr>
          </w:p>
        </w:tc>
        <w:tc>
          <w:tcPr>
            <w:tcW w:w="540" w:type="dxa"/>
            <w:vAlign w:val="bottom"/>
            <w:tcBorders>
              <w:bottom w:val="single" w:sz="8" w:color="004987"/>
            </w:tcBorders>
          </w:tcPr>
          <w:p>
            <w:pPr>
              <w:spacing w:after="0"/>
              <w:rPr>
                <w:sz w:val="21"/>
                <w:szCs w:val="21"/>
                <w:color w:val="auto"/>
              </w:rPr>
            </w:pPr>
          </w:p>
        </w:tc>
        <w:tc>
          <w:tcPr>
            <w:tcW w:w="540" w:type="dxa"/>
            <w:vAlign w:val="bottom"/>
            <w:tcBorders>
              <w:bottom w:val="single" w:sz="8" w:color="004987"/>
            </w:tcBorders>
          </w:tcPr>
          <w:p>
            <w:pPr>
              <w:jc w:val="right"/>
              <w:spacing w:after="0"/>
              <w:rPr>
                <w:sz w:val="20"/>
                <w:szCs w:val="20"/>
                <w:color w:val="auto"/>
              </w:rPr>
            </w:pPr>
            <w:r>
              <w:rPr>
                <w:rFonts w:ascii="Arial" w:cs="Arial" w:eastAsia="Arial" w:hAnsi="Arial"/>
                <w:sz w:val="10"/>
                <w:szCs w:val="10"/>
                <w:b w:val="1"/>
                <w:bCs w:val="1"/>
                <w:color w:val="004987"/>
              </w:rPr>
              <w:t>A-1</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57" w:name="page58"/>
    <w:bookmarkEnd w:id="5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302" w:lineRule="exact"/>
        <w:rPr>
          <w:sz w:val="20"/>
          <w:szCs w:val="20"/>
          <w:color w:val="auto"/>
        </w:rPr>
      </w:pPr>
    </w:p>
    <w:tbl>
      <w:tblPr>
        <w:tblLayout w:type="fixed"/>
        <w:tblInd w:w="400" w:type="dxa"/>
        <w:tblCellMar>
          <w:top w:w="0" w:type="dxa"/>
          <w:left w:w="0" w:type="dxa"/>
          <w:bottom w:w="0" w:type="dxa"/>
          <w:right w:w="0" w:type="dxa"/>
        </w:tblCellMar>
      </w:tblPr>
      <w:tr>
        <w:trPr>
          <w:trHeight w:val="163"/>
        </w:trPr>
        <w:tc>
          <w:tcPr>
            <w:tcW w:w="8540" w:type="dxa"/>
            <w:vAlign w:val="bottom"/>
            <w:gridSpan w:val="2"/>
            <w:vMerge w:val="restart"/>
          </w:tcPr>
          <w:p>
            <w:pPr>
              <w:spacing w:after="0"/>
              <w:rPr>
                <w:sz w:val="20"/>
                <w:szCs w:val="20"/>
                <w:color w:val="auto"/>
              </w:rPr>
            </w:pPr>
            <w:r>
              <w:rPr>
                <w:rFonts w:ascii="Arial" w:cs="Arial" w:eastAsia="Arial" w:hAnsi="Arial"/>
                <w:sz w:val="14"/>
                <w:szCs w:val="14"/>
                <w:b w:val="1"/>
                <w:bCs w:val="1"/>
                <w:color w:val="004987"/>
              </w:rPr>
              <w:t>($ in millions)</w:t>
            </w:r>
          </w:p>
        </w:tc>
        <w:tc>
          <w:tcPr>
            <w:tcW w:w="120" w:type="dxa"/>
            <w:vAlign w:val="bottom"/>
          </w:tcPr>
          <w:p>
            <w:pPr>
              <w:spacing w:after="0"/>
              <w:rPr>
                <w:sz w:val="14"/>
                <w:szCs w:val="14"/>
                <w:color w:val="auto"/>
              </w:rPr>
            </w:pPr>
          </w:p>
        </w:tc>
        <w:tc>
          <w:tcPr>
            <w:tcW w:w="500" w:type="dxa"/>
            <w:vAlign w:val="bottom"/>
            <w:tcBorders>
              <w:bottom w:val="single" w:sz="8" w:color="004987"/>
            </w:tcBorders>
          </w:tcPr>
          <w:p>
            <w:pPr>
              <w:spacing w:after="0"/>
              <w:rPr>
                <w:sz w:val="14"/>
                <w:szCs w:val="14"/>
                <w:color w:val="auto"/>
              </w:rPr>
            </w:pPr>
          </w:p>
        </w:tc>
        <w:tc>
          <w:tcPr>
            <w:tcW w:w="840" w:type="dxa"/>
            <w:vAlign w:val="bottom"/>
            <w:tcBorders>
              <w:bottom w:val="single" w:sz="8" w:color="004987"/>
            </w:tcBorders>
            <w:gridSpan w:val="2"/>
          </w:tcPr>
          <w:p>
            <w:pPr>
              <w:jc w:val="right"/>
              <w:spacing w:after="0"/>
              <w:rPr>
                <w:sz w:val="20"/>
                <w:szCs w:val="20"/>
                <w:color w:val="auto"/>
              </w:rPr>
            </w:pPr>
            <w:r>
              <w:rPr>
                <w:rFonts w:ascii="Arial" w:cs="Arial" w:eastAsia="Arial" w:hAnsi="Arial"/>
                <w:sz w:val="14"/>
                <w:szCs w:val="14"/>
                <w:b w:val="1"/>
                <w:bCs w:val="1"/>
                <w:color w:val="004987"/>
                <w:w w:val="97"/>
              </w:rPr>
              <w:t>Fiscal Years</w:t>
            </w:r>
          </w:p>
        </w:tc>
        <w:tc>
          <w:tcPr>
            <w:tcW w:w="460" w:type="dxa"/>
            <w:vAlign w:val="bottom"/>
            <w:tcBorders>
              <w:bottom w:val="single" w:sz="8" w:color="004987"/>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540" w:type="dxa"/>
            <w:vAlign w:val="bottom"/>
            <w:tcBorders>
              <w:bottom w:val="single" w:sz="8" w:color="004987"/>
            </w:tcBorders>
            <w:gridSpan w:val="2"/>
            <w:vMerge w:val="continue"/>
          </w:tcPr>
          <w:p>
            <w:pPr>
              <w:spacing w:after="0"/>
              <w:rPr>
                <w:sz w:val="12"/>
                <w:szCs w:val="12"/>
                <w:color w:val="auto"/>
              </w:rPr>
            </w:pPr>
          </w:p>
        </w:tc>
        <w:tc>
          <w:tcPr>
            <w:tcW w:w="120" w:type="dxa"/>
            <w:vAlign w:val="bottom"/>
            <w:tcBorders>
              <w:bottom w:val="single" w:sz="8" w:color="004987"/>
            </w:tcBorders>
          </w:tcPr>
          <w:p>
            <w:pPr>
              <w:spacing w:after="0"/>
              <w:rPr>
                <w:sz w:val="12"/>
                <w:szCs w:val="12"/>
                <w:color w:val="auto"/>
              </w:rPr>
            </w:pPr>
          </w:p>
        </w:tc>
        <w:tc>
          <w:tcPr>
            <w:tcW w:w="500" w:type="dxa"/>
            <w:vAlign w:val="bottom"/>
            <w:tcBorders>
              <w:bottom w:val="single" w:sz="8" w:color="004987"/>
            </w:tcBorders>
          </w:tcPr>
          <w:p>
            <w:pPr>
              <w:jc w:val="right"/>
              <w:spacing w:after="0" w:line="147" w:lineRule="exact"/>
              <w:rPr>
                <w:sz w:val="20"/>
                <w:szCs w:val="20"/>
                <w:color w:val="auto"/>
              </w:rPr>
            </w:pPr>
            <w:r>
              <w:rPr>
                <w:rFonts w:ascii="Arial" w:cs="Arial" w:eastAsia="Arial" w:hAnsi="Arial"/>
                <w:sz w:val="14"/>
                <w:szCs w:val="14"/>
                <w:b w:val="1"/>
                <w:bCs w:val="1"/>
                <w:color w:val="004987"/>
              </w:rPr>
              <w:t>2021</w:t>
            </w:r>
          </w:p>
        </w:tc>
        <w:tc>
          <w:tcPr>
            <w:tcW w:w="660" w:type="dxa"/>
            <w:vAlign w:val="bottom"/>
            <w:tcBorders>
              <w:bottom w:val="single" w:sz="8" w:color="004987"/>
            </w:tcBorders>
          </w:tcPr>
          <w:p>
            <w:pPr>
              <w:jc w:val="right"/>
              <w:ind w:right="84"/>
              <w:spacing w:after="0" w:line="147" w:lineRule="exact"/>
              <w:rPr>
                <w:sz w:val="20"/>
                <w:szCs w:val="20"/>
                <w:color w:val="auto"/>
              </w:rPr>
            </w:pPr>
            <w:r>
              <w:rPr>
                <w:rFonts w:ascii="Arial" w:cs="Arial" w:eastAsia="Arial" w:hAnsi="Arial"/>
                <w:sz w:val="14"/>
                <w:szCs w:val="14"/>
                <w:b w:val="1"/>
                <w:bCs w:val="1"/>
                <w:color w:val="004987"/>
              </w:rPr>
              <w:t>2020</w:t>
            </w:r>
          </w:p>
        </w:tc>
        <w:tc>
          <w:tcPr>
            <w:tcW w:w="180" w:type="dxa"/>
            <w:vAlign w:val="bottom"/>
            <w:tcBorders>
              <w:bottom w:val="single" w:sz="8" w:color="004987"/>
            </w:tcBorders>
          </w:tcPr>
          <w:p>
            <w:pPr>
              <w:spacing w:after="0"/>
              <w:rPr>
                <w:sz w:val="12"/>
                <w:szCs w:val="12"/>
                <w:color w:val="auto"/>
              </w:rPr>
            </w:pPr>
          </w:p>
        </w:tc>
        <w:tc>
          <w:tcPr>
            <w:tcW w:w="460" w:type="dxa"/>
            <w:vAlign w:val="bottom"/>
            <w:tcBorders>
              <w:bottom w:val="single" w:sz="8" w:color="004987"/>
            </w:tcBorders>
          </w:tcPr>
          <w:p>
            <w:pPr>
              <w:jc w:val="right"/>
              <w:ind w:right="64"/>
              <w:spacing w:after="0" w:line="147" w:lineRule="exact"/>
              <w:rPr>
                <w:sz w:val="20"/>
                <w:szCs w:val="20"/>
                <w:color w:val="auto"/>
              </w:rPr>
            </w:pPr>
            <w:r>
              <w:rPr>
                <w:rFonts w:ascii="Arial" w:cs="Arial" w:eastAsia="Arial" w:hAnsi="Arial"/>
                <w:sz w:val="14"/>
                <w:szCs w:val="14"/>
                <w:b w:val="1"/>
                <w:bCs w:val="1"/>
                <w:color w:val="004987"/>
                <w:w w:val="96"/>
              </w:rPr>
              <w:t>2019</w:t>
            </w:r>
          </w:p>
        </w:tc>
        <w:tc>
          <w:tcPr>
            <w:tcW w:w="0" w:type="dxa"/>
            <w:vAlign w:val="bottom"/>
          </w:tcPr>
          <w:p>
            <w:pPr>
              <w:spacing w:after="0"/>
              <w:rPr>
                <w:sz w:val="1"/>
                <w:szCs w:val="1"/>
                <w:color w:val="auto"/>
              </w:rPr>
            </w:pPr>
          </w:p>
        </w:tc>
      </w:tr>
      <w:tr>
        <w:trPr>
          <w:trHeight w:val="160"/>
        </w:trPr>
        <w:tc>
          <w:tcPr>
            <w:tcW w:w="8540" w:type="dxa"/>
            <w:vAlign w:val="bottom"/>
            <w:gridSpan w:val="2"/>
          </w:tcPr>
          <w:p>
            <w:pPr>
              <w:spacing w:after="0" w:line="160" w:lineRule="exact"/>
              <w:rPr>
                <w:sz w:val="20"/>
                <w:szCs w:val="20"/>
                <w:color w:val="auto"/>
              </w:rPr>
            </w:pPr>
            <w:r>
              <w:rPr>
                <w:rFonts w:ascii="Arial" w:cs="Arial" w:eastAsia="Arial" w:hAnsi="Arial"/>
                <w:sz w:val="15"/>
                <w:szCs w:val="15"/>
                <w:color w:val="auto"/>
              </w:rPr>
              <w:t>Net income (loss) attributable to common shareholders</w:t>
            </w:r>
          </w:p>
        </w:tc>
        <w:tc>
          <w:tcPr>
            <w:tcW w:w="6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  49</w:t>
            </w:r>
          </w:p>
        </w:tc>
        <w:tc>
          <w:tcPr>
            <w:tcW w:w="660" w:type="dxa"/>
            <w:vAlign w:val="bottom"/>
          </w:tcPr>
          <w:p>
            <w:pPr>
              <w:jc w:val="right"/>
              <w:spacing w:after="0" w:line="160" w:lineRule="exact"/>
              <w:rPr>
                <w:sz w:val="20"/>
                <w:szCs w:val="20"/>
                <w:color w:val="auto"/>
              </w:rPr>
            </w:pPr>
            <w:r>
              <w:rPr>
                <w:rFonts w:ascii="Arial" w:cs="Arial" w:eastAsia="Arial" w:hAnsi="Arial"/>
                <w:sz w:val="15"/>
                <w:szCs w:val="15"/>
                <w:color w:val="auto"/>
              </w:rPr>
              <w:t>$(275)</w:t>
            </w:r>
          </w:p>
        </w:tc>
        <w:tc>
          <w:tcPr>
            <w:tcW w:w="1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164</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150</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Tax provision (benefit)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74</w:t>
            </w:r>
          </w:p>
        </w:tc>
        <w:tc>
          <w:tcPr>
            <w:tcW w:w="660" w:type="dxa"/>
            <w:vAlign w:val="bottom"/>
          </w:tcPr>
          <w:p>
            <w:pPr>
              <w:jc w:val="right"/>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92"/>
        </w:trPr>
        <w:tc>
          <w:tcPr>
            <w:tcW w:w="854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146</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123</w:t>
            </w: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rPr>
              <w:t>EBITDA</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rPr>
              <w:t>433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w:t>
            </w:r>
          </w:p>
        </w:tc>
        <w:tc>
          <w:tcPr>
            <w:tcW w:w="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520" w:type="dxa"/>
            <w:vAlign w:val="bottom"/>
          </w:tcPr>
          <w:p>
            <w:pPr>
              <w:spacing w:after="0" w:line="160" w:lineRule="exact"/>
              <w:rPr>
                <w:sz w:val="20"/>
                <w:szCs w:val="20"/>
                <w:color w:val="auto"/>
              </w:rPr>
            </w:pPr>
            <w:r>
              <w:rPr>
                <w:rFonts w:ascii="Arial" w:cs="Arial" w:eastAsia="Arial" w:hAnsi="Arial"/>
                <w:sz w:val="15"/>
                <w:szCs w:val="15"/>
                <w:color w:val="auto"/>
              </w:rPr>
              <w:t>Share-based compensation</w:t>
            </w:r>
          </w:p>
        </w:tc>
        <w:tc>
          <w:tcPr>
            <w:tcW w:w="620" w:type="dxa"/>
            <w:vAlign w:val="bottom"/>
            <w:gridSpan w:val="2"/>
          </w:tcPr>
          <w:p>
            <w:pPr>
              <w:jc w:val="right"/>
              <w:spacing w:after="0" w:line="160" w:lineRule="exact"/>
              <w:rPr>
                <w:sz w:val="20"/>
                <w:szCs w:val="20"/>
                <w:color w:val="auto"/>
              </w:rPr>
            </w:pPr>
            <w:r>
              <w:rPr>
                <w:rFonts w:ascii="Arial" w:cs="Arial" w:eastAsia="Arial" w:hAnsi="Arial"/>
                <w:sz w:val="15"/>
                <w:szCs w:val="15"/>
                <w:color w:val="auto"/>
              </w:rPr>
              <w:t>51</w:t>
            </w:r>
          </w:p>
        </w:tc>
        <w:tc>
          <w:tcPr>
            <w:tcW w:w="660" w:type="dxa"/>
            <w:vAlign w:val="bottom"/>
          </w:tcPr>
          <w:p>
            <w:pPr>
              <w:jc w:val="right"/>
              <w:ind w:right="24"/>
              <w:spacing w:after="0" w:line="160" w:lineRule="exact"/>
              <w:rPr>
                <w:sz w:val="20"/>
                <w:szCs w:val="20"/>
                <w:color w:val="auto"/>
              </w:rPr>
            </w:pPr>
            <w:r>
              <w:rPr>
                <w:rFonts w:ascii="Arial" w:cs="Arial" w:eastAsia="Arial" w:hAnsi="Arial"/>
                <w:sz w:val="15"/>
                <w:szCs w:val="15"/>
                <w:color w:val="auto"/>
              </w:rPr>
              <w:t>37</w:t>
            </w:r>
          </w:p>
        </w:tc>
        <w:tc>
          <w:tcPr>
            <w:tcW w:w="18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2"/>
        </w:trPr>
        <w:tc>
          <w:tcPr>
            <w:tcW w:w="8540" w:type="dxa"/>
            <w:vAlign w:val="bottom"/>
            <w:gridSpan w:val="2"/>
          </w:tcPr>
          <w:p>
            <w:pPr>
              <w:spacing w:after="0"/>
              <w:rPr>
                <w:sz w:val="20"/>
                <w:szCs w:val="20"/>
                <w:color w:val="auto"/>
              </w:rPr>
            </w:pPr>
            <w:r>
              <w:rPr>
                <w:rFonts w:ascii="Arial" w:cs="Arial" w:eastAsia="Arial" w:hAnsi="Arial"/>
                <w:sz w:val="15"/>
                <w:szCs w:val="15"/>
                <w:color w:val="auto"/>
              </w:rPr>
              <w:t>Certain items</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173</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284</w:t>
            </w: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20" w:type="dxa"/>
            <w:vAlign w:val="bottom"/>
            <w:tcBorders>
              <w:top w:val="single" w:sz="8" w:color="auto"/>
              <w:bottom w:val="single" w:sz="8" w:color="004987"/>
            </w:tcBorders>
          </w:tcPr>
          <w:p>
            <w:pPr>
              <w:ind w:left="120"/>
              <w:spacing w:after="0"/>
              <w:rPr>
                <w:sz w:val="20"/>
                <w:szCs w:val="20"/>
                <w:color w:val="auto"/>
              </w:rPr>
            </w:pPr>
            <w:r>
              <w:rPr>
                <w:rFonts w:ascii="Arial" w:cs="Arial" w:eastAsia="Arial" w:hAnsi="Arial"/>
                <w:sz w:val="15"/>
                <w:szCs w:val="15"/>
                <w:color w:val="auto"/>
              </w:rPr>
              <w:t>Adjusted EBITDA</w:t>
            </w:r>
          </w:p>
        </w:tc>
        <w:tc>
          <w:tcPr>
            <w:tcW w:w="620" w:type="dxa"/>
            <w:vAlign w:val="bottom"/>
            <w:tcBorders>
              <w:top w:val="single" w:sz="8" w:color="auto"/>
              <w:bottom w:val="single" w:sz="8" w:color="004987"/>
            </w:tcBorders>
            <w:gridSpan w:val="2"/>
          </w:tcPr>
          <w:p>
            <w:pPr>
              <w:jc w:val="right"/>
              <w:spacing w:after="0"/>
              <w:rPr>
                <w:sz w:val="20"/>
                <w:szCs w:val="20"/>
                <w:color w:val="auto"/>
              </w:rPr>
            </w:pPr>
            <w:r>
              <w:rPr>
                <w:rFonts w:ascii="Arial" w:cs="Arial" w:eastAsia="Arial" w:hAnsi="Arial"/>
                <w:sz w:val="15"/>
                <w:szCs w:val="15"/>
                <w:color w:val="auto"/>
              </w:rPr>
              <w:t>$ 657</w:t>
            </w:r>
          </w:p>
        </w:tc>
        <w:tc>
          <w:tcPr>
            <w:tcW w:w="660" w:type="dxa"/>
            <w:vAlign w:val="bottom"/>
            <w:tcBorders>
              <w:top w:val="single" w:sz="8" w:color="auto"/>
              <w:bottom w:val="single" w:sz="8" w:color="004987"/>
            </w:tcBorders>
          </w:tcPr>
          <w:p>
            <w:pPr>
              <w:jc w:val="right"/>
              <w:ind w:right="24"/>
              <w:spacing w:after="0"/>
              <w:rPr>
                <w:sz w:val="20"/>
                <w:szCs w:val="20"/>
                <w:color w:val="auto"/>
              </w:rPr>
            </w:pPr>
            <w:r>
              <w:rPr>
                <w:rFonts w:ascii="Arial" w:cs="Arial" w:eastAsia="Arial" w:hAnsi="Arial"/>
                <w:sz w:val="15"/>
                <w:szCs w:val="15"/>
                <w:color w:val="auto"/>
              </w:rPr>
              <w:t>$ 235</w:t>
            </w:r>
          </w:p>
        </w:tc>
        <w:tc>
          <w:tcPr>
            <w:tcW w:w="180" w:type="dxa"/>
            <w:vAlign w:val="bottom"/>
            <w:tcBorders>
              <w:top w:val="single" w:sz="8" w:color="auto"/>
              <w:bottom w:val="single" w:sz="8" w:color="004987"/>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bottom w:val="single" w:sz="8" w:color="004987"/>
            </w:tcBorders>
          </w:tcPr>
          <w:p>
            <w:pPr>
              <w:jc w:val="right"/>
              <w:spacing w:after="0"/>
              <w:rPr>
                <w:sz w:val="20"/>
                <w:szCs w:val="20"/>
                <w:color w:val="auto"/>
              </w:rPr>
            </w:pPr>
            <w:r>
              <w:rPr>
                <w:rFonts w:ascii="Arial" w:cs="Arial" w:eastAsia="Arial" w:hAnsi="Arial"/>
                <w:sz w:val="15"/>
                <w:szCs w:val="15"/>
                <w:color w:val="auto"/>
              </w:rPr>
              <w:t>758</w:t>
            </w:r>
          </w:p>
        </w:tc>
        <w:tc>
          <w:tcPr>
            <w:tcW w:w="0" w:type="dxa"/>
            <w:vAlign w:val="bottom"/>
          </w:tcPr>
          <w:p>
            <w:pPr>
              <w:spacing w:after="0"/>
              <w:rPr>
                <w:sz w:val="1"/>
                <w:szCs w:val="1"/>
                <w:color w:val="auto"/>
              </w:rPr>
            </w:pPr>
          </w:p>
        </w:tc>
      </w:tr>
      <w:tr>
        <w:trPr>
          <w:trHeight w:val="377"/>
        </w:trPr>
        <w:tc>
          <w:tcPr>
            <w:tcW w:w="8540" w:type="dxa"/>
            <w:vAlign w:val="bottom"/>
            <w:gridSpan w:val="2"/>
            <w:vMerge w:val="restart"/>
          </w:tcPr>
          <w:p>
            <w:pPr>
              <w:spacing w:after="0"/>
              <w:rPr>
                <w:sz w:val="20"/>
                <w:szCs w:val="20"/>
                <w:color w:val="auto"/>
              </w:rPr>
            </w:pPr>
            <w:r>
              <w:rPr>
                <w:rFonts w:ascii="Arial" w:cs="Arial" w:eastAsia="Arial" w:hAnsi="Arial"/>
                <w:sz w:val="14"/>
                <w:szCs w:val="14"/>
                <w:b w:val="1"/>
                <w:bCs w:val="1"/>
                <w:color w:val="004987"/>
              </w:rPr>
              <w:t>($ in millions)</w:t>
            </w:r>
          </w:p>
        </w:tc>
        <w:tc>
          <w:tcPr>
            <w:tcW w:w="120" w:type="dxa"/>
            <w:vAlign w:val="bottom"/>
            <w:tcBorders>
              <w:bottom w:val="single" w:sz="8" w:color="004987"/>
            </w:tcBorders>
          </w:tcPr>
          <w:p>
            <w:pPr>
              <w:spacing w:after="0"/>
              <w:rPr>
                <w:sz w:val="24"/>
                <w:szCs w:val="24"/>
                <w:color w:val="auto"/>
              </w:rPr>
            </w:pPr>
          </w:p>
        </w:tc>
        <w:tc>
          <w:tcPr>
            <w:tcW w:w="1340" w:type="dxa"/>
            <w:vAlign w:val="bottom"/>
            <w:tcBorders>
              <w:bottom w:val="single" w:sz="8" w:color="004987"/>
            </w:tcBorders>
            <w:gridSpan w:val="3"/>
          </w:tcPr>
          <w:p>
            <w:pPr>
              <w:jc w:val="right"/>
              <w:ind w:right="45"/>
              <w:spacing w:after="0"/>
              <w:rPr>
                <w:sz w:val="20"/>
                <w:szCs w:val="20"/>
                <w:color w:val="auto"/>
              </w:rPr>
            </w:pPr>
            <w:r>
              <w:rPr>
                <w:rFonts w:ascii="Arial" w:cs="Arial" w:eastAsia="Arial" w:hAnsi="Arial"/>
                <w:sz w:val="14"/>
                <w:szCs w:val="14"/>
                <w:b w:val="1"/>
                <w:bCs w:val="1"/>
                <w:color w:val="004987"/>
              </w:rPr>
              <w:t>Fiscal Years</w:t>
            </w:r>
          </w:p>
        </w:tc>
        <w:tc>
          <w:tcPr>
            <w:tcW w:w="460" w:type="dxa"/>
            <w:vAlign w:val="bottom"/>
            <w:tcBorders>
              <w:bottom w:val="single" w:sz="8" w:color="004987"/>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540" w:type="dxa"/>
            <w:vAlign w:val="bottom"/>
            <w:tcBorders>
              <w:bottom w:val="single" w:sz="8" w:color="004987"/>
            </w:tcBorders>
            <w:gridSpan w:val="2"/>
            <w:vMerge w:val="continue"/>
          </w:tcPr>
          <w:p>
            <w:pPr>
              <w:spacing w:after="0"/>
              <w:rPr>
                <w:sz w:val="12"/>
                <w:szCs w:val="12"/>
                <w:color w:val="auto"/>
              </w:rPr>
            </w:pPr>
          </w:p>
        </w:tc>
        <w:tc>
          <w:tcPr>
            <w:tcW w:w="620" w:type="dxa"/>
            <w:vAlign w:val="bottom"/>
            <w:tcBorders>
              <w:bottom w:val="single" w:sz="8" w:color="004987"/>
            </w:tcBorders>
            <w:gridSpan w:val="2"/>
          </w:tcPr>
          <w:p>
            <w:pPr>
              <w:jc w:val="right"/>
              <w:ind w:right="89"/>
              <w:spacing w:after="0" w:line="147" w:lineRule="exact"/>
              <w:rPr>
                <w:sz w:val="20"/>
                <w:szCs w:val="20"/>
                <w:color w:val="auto"/>
              </w:rPr>
            </w:pPr>
            <w:r>
              <w:rPr>
                <w:rFonts w:ascii="Arial" w:cs="Arial" w:eastAsia="Arial" w:hAnsi="Arial"/>
                <w:sz w:val="14"/>
                <w:szCs w:val="14"/>
                <w:b w:val="1"/>
                <w:bCs w:val="1"/>
                <w:color w:val="004987"/>
              </w:rPr>
              <w:t>2021</w:t>
            </w:r>
          </w:p>
        </w:tc>
        <w:tc>
          <w:tcPr>
            <w:tcW w:w="660" w:type="dxa"/>
            <w:vAlign w:val="bottom"/>
            <w:tcBorders>
              <w:bottom w:val="single" w:sz="8" w:color="004987"/>
            </w:tcBorders>
          </w:tcPr>
          <w:p>
            <w:pPr>
              <w:jc w:val="right"/>
              <w:ind w:right="144"/>
              <w:spacing w:after="0" w:line="147" w:lineRule="exact"/>
              <w:rPr>
                <w:sz w:val="20"/>
                <w:szCs w:val="20"/>
                <w:color w:val="auto"/>
              </w:rPr>
            </w:pPr>
            <w:r>
              <w:rPr>
                <w:rFonts w:ascii="Arial" w:cs="Arial" w:eastAsia="Arial" w:hAnsi="Arial"/>
                <w:sz w:val="14"/>
                <w:szCs w:val="14"/>
                <w:b w:val="1"/>
                <w:bCs w:val="1"/>
                <w:color w:val="004987"/>
              </w:rPr>
              <w:t>2020</w:t>
            </w:r>
          </w:p>
        </w:tc>
        <w:tc>
          <w:tcPr>
            <w:tcW w:w="640" w:type="dxa"/>
            <w:vAlign w:val="bottom"/>
            <w:tcBorders>
              <w:bottom w:val="single" w:sz="8" w:color="004987"/>
            </w:tcBorders>
            <w:gridSpan w:val="2"/>
          </w:tcPr>
          <w:p>
            <w:pPr>
              <w:jc w:val="right"/>
              <w:ind w:right="124"/>
              <w:spacing w:after="0" w:line="147" w:lineRule="exact"/>
              <w:rPr>
                <w:sz w:val="20"/>
                <w:szCs w:val="20"/>
                <w:color w:val="auto"/>
              </w:rPr>
            </w:pPr>
            <w:r>
              <w:rPr>
                <w:rFonts w:ascii="Arial" w:cs="Arial" w:eastAsia="Arial" w:hAnsi="Arial"/>
                <w:sz w:val="14"/>
                <w:szCs w:val="14"/>
                <w:b w:val="1"/>
                <w:bCs w:val="1"/>
                <w:color w:val="004987"/>
              </w:rPr>
              <w:t>2019</w:t>
            </w:r>
          </w:p>
        </w:tc>
        <w:tc>
          <w:tcPr>
            <w:tcW w:w="0" w:type="dxa"/>
            <w:vAlign w:val="bottom"/>
          </w:tcPr>
          <w:p>
            <w:pPr>
              <w:spacing w:after="0"/>
              <w:rPr>
                <w:sz w:val="1"/>
                <w:szCs w:val="1"/>
                <w:color w:val="auto"/>
              </w:rPr>
            </w:pPr>
          </w:p>
        </w:tc>
      </w:tr>
      <w:tr>
        <w:trPr>
          <w:trHeight w:val="160"/>
        </w:trPr>
        <w:tc>
          <w:tcPr>
            <w:tcW w:w="8540" w:type="dxa"/>
            <w:vAlign w:val="bottom"/>
            <w:gridSpan w:val="2"/>
          </w:tcPr>
          <w:p>
            <w:pPr>
              <w:spacing w:after="0" w:line="160" w:lineRule="exact"/>
              <w:rPr>
                <w:sz w:val="20"/>
                <w:szCs w:val="20"/>
                <w:color w:val="auto"/>
              </w:rPr>
            </w:pPr>
            <w:r>
              <w:rPr>
                <w:rFonts w:ascii="Arial" w:cs="Arial" w:eastAsia="Arial" w:hAnsi="Arial"/>
                <w:sz w:val="15"/>
                <w:szCs w:val="15"/>
                <w:color w:val="auto"/>
              </w:rPr>
              <w:t>Net cash provided by operating activities</w:t>
            </w:r>
          </w:p>
        </w:tc>
        <w:tc>
          <w:tcPr>
            <w:tcW w:w="620" w:type="dxa"/>
            <w:vAlign w:val="bottom"/>
            <w:gridSpan w:val="2"/>
          </w:tcPr>
          <w:p>
            <w:pPr>
              <w:jc w:val="right"/>
              <w:ind w:right="49"/>
              <w:spacing w:after="0" w:line="160" w:lineRule="exact"/>
              <w:rPr>
                <w:sz w:val="20"/>
                <w:szCs w:val="20"/>
                <w:color w:val="auto"/>
              </w:rPr>
            </w:pPr>
            <w:r>
              <w:rPr>
                <w:rFonts w:ascii="Arial" w:cs="Arial" w:eastAsia="Arial" w:hAnsi="Arial"/>
                <w:sz w:val="15"/>
                <w:szCs w:val="15"/>
                <w:color w:val="auto"/>
              </w:rPr>
              <w:t>$ 343</w:t>
            </w:r>
          </w:p>
        </w:tc>
        <w:tc>
          <w:tcPr>
            <w:tcW w:w="660" w:type="dxa"/>
            <w:vAlign w:val="bottom"/>
          </w:tcPr>
          <w:p>
            <w:pPr>
              <w:jc w:val="right"/>
              <w:ind w:right="84"/>
              <w:spacing w:after="0" w:line="160" w:lineRule="exact"/>
              <w:rPr>
                <w:sz w:val="20"/>
                <w:szCs w:val="20"/>
                <w:color w:val="auto"/>
              </w:rPr>
            </w:pPr>
            <w:r>
              <w:rPr>
                <w:rFonts w:ascii="Arial" w:cs="Arial" w:eastAsia="Arial" w:hAnsi="Arial"/>
                <w:sz w:val="15"/>
                <w:szCs w:val="15"/>
                <w:color w:val="auto"/>
              </w:rPr>
              <w:t>$ 299</w:t>
            </w:r>
          </w:p>
        </w:tc>
        <w:tc>
          <w:tcPr>
            <w:tcW w:w="1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460" w:type="dxa"/>
            <w:vAlign w:val="bottom"/>
          </w:tcPr>
          <w:p>
            <w:pPr>
              <w:jc w:val="right"/>
              <w:ind w:right="24"/>
              <w:spacing w:after="0" w:line="160" w:lineRule="exact"/>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Capital expenditures for property and equipment (excluding inventory)</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(47)</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(41)</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Borrowings from securitization transactions</w:t>
            </w:r>
          </w:p>
        </w:tc>
        <w:tc>
          <w:tcPr>
            <w:tcW w:w="620" w:type="dxa"/>
            <w:vAlign w:val="bottom"/>
            <w:gridSpan w:val="2"/>
          </w:tcPr>
          <w:p>
            <w:pPr>
              <w:jc w:val="right"/>
              <w:ind w:right="49"/>
              <w:spacing w:after="0"/>
              <w:rPr>
                <w:sz w:val="20"/>
                <w:szCs w:val="20"/>
                <w:color w:val="auto"/>
              </w:rPr>
            </w:pPr>
            <w:r>
              <w:rPr>
                <w:rFonts w:ascii="Arial" w:cs="Arial" w:eastAsia="Arial" w:hAnsi="Arial"/>
                <w:sz w:val="15"/>
                <w:szCs w:val="15"/>
                <w:color w:val="auto"/>
              </w:rPr>
              <w:t>957</w:t>
            </w:r>
          </w:p>
        </w:tc>
        <w:tc>
          <w:tcPr>
            <w:tcW w:w="660" w:type="dxa"/>
            <w:vAlign w:val="bottom"/>
          </w:tcPr>
          <w:p>
            <w:pPr>
              <w:jc w:val="right"/>
              <w:ind w:right="84"/>
              <w:spacing w:after="0"/>
              <w:rPr>
                <w:sz w:val="20"/>
                <w:szCs w:val="20"/>
                <w:color w:val="auto"/>
              </w:rPr>
            </w:pPr>
            <w:r>
              <w:rPr>
                <w:rFonts w:ascii="Arial" w:cs="Arial" w:eastAsia="Arial" w:hAnsi="Arial"/>
                <w:sz w:val="15"/>
                <w:szCs w:val="15"/>
                <w:color w:val="auto"/>
              </w:rPr>
              <w:t>690</w:t>
            </w:r>
          </w:p>
        </w:tc>
        <w:tc>
          <w:tcPr>
            <w:tcW w:w="640" w:type="dxa"/>
            <w:vAlign w:val="bottom"/>
            <w:gridSpan w:val="2"/>
          </w:tcPr>
          <w:p>
            <w:pPr>
              <w:jc w:val="right"/>
              <w:ind w:right="24"/>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Repayment of debt related to securitizations</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(868)</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(960)</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(880)</w:t>
            </w:r>
          </w:p>
        </w:tc>
        <w:tc>
          <w:tcPr>
            <w:tcW w:w="0" w:type="dxa"/>
            <w:vAlign w:val="bottom"/>
          </w:tcPr>
          <w:p>
            <w:pPr>
              <w:spacing w:after="0"/>
              <w:rPr>
                <w:sz w:val="1"/>
                <w:szCs w:val="1"/>
                <w:color w:val="auto"/>
              </w:rPr>
            </w:pPr>
          </w:p>
        </w:tc>
      </w:tr>
      <w:tr>
        <w:trPr>
          <w:trHeight w:val="192"/>
        </w:trPr>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Securitized debt issuance costs</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(13)</w:t>
            </w:r>
          </w:p>
        </w:tc>
        <w:tc>
          <w:tcPr>
            <w:tcW w:w="6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8540" w:type="dxa"/>
            <w:vAlign w:val="bottom"/>
            <w:gridSpan w:val="2"/>
          </w:tcPr>
          <w:p>
            <w:pPr>
              <w:spacing w:after="0" w:line="160" w:lineRule="exact"/>
              <w:rPr>
                <w:sz w:val="20"/>
                <w:szCs w:val="20"/>
                <w:color w:val="auto"/>
              </w:rPr>
            </w:pPr>
            <w:r>
              <w:rPr>
                <w:rFonts w:ascii="Arial" w:cs="Arial" w:eastAsia="Arial" w:hAnsi="Arial"/>
                <w:sz w:val="15"/>
                <w:szCs w:val="15"/>
                <w:color w:val="auto"/>
              </w:rPr>
              <w:t>Free cash flow</w:t>
            </w:r>
          </w:p>
        </w:tc>
        <w:tc>
          <w:tcPr>
            <w:tcW w:w="620" w:type="dxa"/>
            <w:vAlign w:val="bottom"/>
            <w:gridSpan w:val="2"/>
          </w:tcPr>
          <w:p>
            <w:pPr>
              <w:jc w:val="right"/>
              <w:ind w:right="49"/>
              <w:spacing w:after="0" w:line="160" w:lineRule="exact"/>
              <w:rPr>
                <w:sz w:val="20"/>
                <w:szCs w:val="20"/>
                <w:color w:val="auto"/>
              </w:rPr>
            </w:pPr>
            <w:r>
              <w:rPr>
                <w:rFonts w:ascii="Arial" w:cs="Arial" w:eastAsia="Arial" w:hAnsi="Arial"/>
                <w:sz w:val="15"/>
                <w:szCs w:val="15"/>
                <w:color w:val="auto"/>
              </w:rPr>
              <w:t>372</w:t>
            </w:r>
          </w:p>
        </w:tc>
        <w:tc>
          <w:tcPr>
            <w:tcW w:w="660" w:type="dxa"/>
            <w:vAlign w:val="bottom"/>
          </w:tcPr>
          <w:p>
            <w:pPr>
              <w:jc w:val="right"/>
              <w:ind w:right="24"/>
              <w:spacing w:after="0" w:line="160" w:lineRule="exact"/>
              <w:rPr>
                <w:sz w:val="20"/>
                <w:szCs w:val="20"/>
                <w:color w:val="auto"/>
              </w:rPr>
            </w:pPr>
            <w:r>
              <w:rPr>
                <w:rFonts w:ascii="Arial" w:cs="Arial" w:eastAsia="Arial" w:hAnsi="Arial"/>
                <w:sz w:val="15"/>
                <w:szCs w:val="15"/>
                <w:color w:val="auto"/>
              </w:rPr>
              <w:t>(12)</w:t>
            </w:r>
          </w:p>
        </w:tc>
        <w:tc>
          <w:tcPr>
            <w:tcW w:w="180" w:type="dxa"/>
            <w:vAlign w:val="bottom"/>
          </w:tcPr>
          <w:p>
            <w:pPr>
              <w:spacing w:after="0"/>
              <w:rPr>
                <w:sz w:val="13"/>
                <w:szCs w:val="13"/>
                <w:color w:val="auto"/>
              </w:rPr>
            </w:pPr>
          </w:p>
        </w:tc>
        <w:tc>
          <w:tcPr>
            <w:tcW w:w="460" w:type="dxa"/>
            <w:vAlign w:val="bottom"/>
          </w:tcPr>
          <w:p>
            <w:pPr>
              <w:jc w:val="right"/>
              <w:ind w:right="24"/>
              <w:spacing w:after="0" w:line="160" w:lineRule="exact"/>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Adjustments: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20" w:type="dxa"/>
            <w:vAlign w:val="bottom"/>
          </w:tcPr>
          <w:p>
            <w:pPr>
              <w:ind w:left="120"/>
              <w:spacing w:after="0"/>
              <w:rPr>
                <w:sz w:val="20"/>
                <w:szCs w:val="20"/>
                <w:color w:val="auto"/>
              </w:rPr>
            </w:pPr>
            <w:r>
              <w:rPr>
                <w:rFonts w:ascii="Arial" w:cs="Arial" w:eastAsia="Arial" w:hAnsi="Arial"/>
                <w:sz w:val="15"/>
                <w:szCs w:val="15"/>
                <w:color w:val="auto"/>
              </w:rPr>
              <w:t>Inventory/other payments associated with capital efficient inventory arrangements, offset by timing of tax payments</w:t>
            </w:r>
          </w:p>
        </w:tc>
        <w:tc>
          <w:tcPr>
            <w:tcW w:w="1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20" w:type="dxa"/>
            <w:vAlign w:val="bottom"/>
          </w:tcPr>
          <w:p>
            <w:pPr>
              <w:ind w:left="120"/>
              <w:spacing w:after="0"/>
              <w:rPr>
                <w:sz w:val="20"/>
                <w:szCs w:val="20"/>
                <w:color w:val="auto"/>
              </w:rPr>
            </w:pPr>
            <w:r>
              <w:rPr>
                <w:rFonts w:ascii="Arial" w:cs="Arial" w:eastAsia="Arial" w:hAnsi="Arial"/>
                <w:sz w:val="15"/>
                <w:szCs w:val="15"/>
                <w:color w:val="auto"/>
              </w:rPr>
              <w:t>Certain items (transaction, litigation, other costs)</w:t>
            </w:r>
          </w:p>
        </w:tc>
        <w:tc>
          <w:tcPr>
            <w:tcW w:w="620" w:type="dxa"/>
            <w:vAlign w:val="bottom"/>
            <w:gridSpan w:val="2"/>
          </w:tcPr>
          <w:p>
            <w:pPr>
              <w:jc w:val="right"/>
              <w:ind w:right="49"/>
              <w:spacing w:after="0"/>
              <w:rPr>
                <w:sz w:val="20"/>
                <w:szCs w:val="20"/>
                <w:color w:val="auto"/>
              </w:rPr>
            </w:pPr>
            <w:r>
              <w:rPr>
                <w:rFonts w:ascii="Arial" w:cs="Arial" w:eastAsia="Arial" w:hAnsi="Arial"/>
                <w:sz w:val="15"/>
                <w:szCs w:val="15"/>
                <w:color w:val="auto"/>
              </w:rPr>
              <w:t>70</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(21)</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520" w:type="dxa"/>
            <w:vAlign w:val="bottom"/>
          </w:tcPr>
          <w:p>
            <w:pPr>
              <w:ind w:left="120"/>
              <w:spacing w:after="0"/>
              <w:rPr>
                <w:sz w:val="20"/>
                <w:szCs w:val="20"/>
                <w:color w:val="auto"/>
              </w:rPr>
            </w:pPr>
            <w:r>
              <w:rPr>
                <w:rFonts w:ascii="Arial" w:cs="Arial" w:eastAsia="Arial" w:hAnsi="Arial"/>
                <w:sz w:val="15"/>
                <w:szCs w:val="15"/>
                <w:color w:val="auto"/>
              </w:rPr>
              <w:t>Decrease (increase) in restricted cash</w:t>
            </w:r>
          </w:p>
        </w:tc>
        <w:tc>
          <w:tcPr>
            <w:tcW w:w="620" w:type="dxa"/>
            <w:vAlign w:val="bottom"/>
            <w:gridSpan w:val="2"/>
          </w:tcPr>
          <w:p>
            <w:pPr>
              <w:jc w:val="right"/>
              <w:ind w:right="49"/>
              <w:spacing w:after="0"/>
              <w:rPr>
                <w:sz w:val="20"/>
                <w:szCs w:val="20"/>
                <w:color w:val="auto"/>
              </w:rPr>
            </w:pPr>
            <w:r>
              <w:rPr>
                <w:rFonts w:ascii="Arial" w:cs="Arial" w:eastAsia="Arial" w:hAnsi="Arial"/>
                <w:sz w:val="15"/>
                <w:szCs w:val="15"/>
                <w:color w:val="auto"/>
              </w:rPr>
              <w:t>7</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(54)</w:t>
            </w:r>
          </w:p>
        </w:tc>
        <w:tc>
          <w:tcPr>
            <w:tcW w:w="1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79"/>
        </w:trPr>
        <w:tc>
          <w:tcPr>
            <w:tcW w:w="8540" w:type="dxa"/>
            <w:vAlign w:val="bottom"/>
            <w:gridSpan w:val="2"/>
          </w:tcPr>
          <w:p>
            <w:pPr>
              <w:spacing w:after="0"/>
              <w:rPr>
                <w:sz w:val="20"/>
                <w:szCs w:val="20"/>
                <w:color w:val="auto"/>
              </w:rPr>
            </w:pPr>
            <w:r>
              <w:rPr>
                <w:rFonts w:ascii="Arial" w:cs="Arial" w:eastAsia="Arial" w:hAnsi="Arial"/>
                <w:sz w:val="15"/>
                <w:szCs w:val="15"/>
                <w:color w:val="auto"/>
              </w:rPr>
              <w:t>Net change in borrowing available from the securitization of eligible vacation ownership notes receivable through the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warehouse facility</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(32)</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2"/>
        </w:trPr>
        <w:tc>
          <w:tcPr>
            <w:tcW w:w="20" w:type="dxa"/>
            <w:vAlign w:val="bottom"/>
            <w:tcBorders>
              <w:bottom w:val="single" w:sz="8" w:color="004987"/>
            </w:tcBorders>
          </w:tcPr>
          <w:p>
            <w:pPr>
              <w:spacing w:after="0"/>
              <w:rPr>
                <w:sz w:val="14"/>
                <w:szCs w:val="14"/>
                <w:color w:val="auto"/>
              </w:rPr>
            </w:pPr>
          </w:p>
        </w:tc>
        <w:tc>
          <w:tcPr>
            <w:tcW w:w="8520" w:type="dxa"/>
            <w:vAlign w:val="bottom"/>
            <w:tcBorders>
              <w:bottom w:val="single" w:sz="8" w:color="004987"/>
            </w:tcBorders>
          </w:tcPr>
          <w:p>
            <w:pPr>
              <w:spacing w:after="0"/>
              <w:rPr>
                <w:sz w:val="20"/>
                <w:szCs w:val="20"/>
                <w:color w:val="auto"/>
              </w:rPr>
            </w:pPr>
            <w:r>
              <w:rPr>
                <w:rFonts w:ascii="Arial" w:cs="Arial" w:eastAsia="Arial" w:hAnsi="Arial"/>
                <w:sz w:val="15"/>
                <w:szCs w:val="15"/>
                <w:color w:val="auto"/>
              </w:rPr>
              <w:t>Adjusted free cash flow</w:t>
            </w:r>
          </w:p>
        </w:tc>
        <w:tc>
          <w:tcPr>
            <w:tcW w:w="620" w:type="dxa"/>
            <w:vAlign w:val="bottom"/>
            <w:tcBorders>
              <w:bottom w:val="single" w:sz="8" w:color="004987"/>
            </w:tcBorders>
            <w:gridSpan w:val="2"/>
          </w:tcPr>
          <w:p>
            <w:pPr>
              <w:jc w:val="right"/>
              <w:ind w:right="49"/>
              <w:spacing w:after="0"/>
              <w:rPr>
                <w:sz w:val="20"/>
                <w:szCs w:val="20"/>
                <w:color w:val="auto"/>
              </w:rPr>
            </w:pPr>
            <w:r>
              <w:rPr>
                <w:rFonts w:ascii="Arial" w:cs="Arial" w:eastAsia="Arial" w:hAnsi="Arial"/>
                <w:sz w:val="15"/>
                <w:szCs w:val="15"/>
                <w:color w:val="auto"/>
              </w:rPr>
              <w:t>$ 417</w:t>
            </w:r>
          </w:p>
        </w:tc>
        <w:tc>
          <w:tcPr>
            <w:tcW w:w="660" w:type="dxa"/>
            <w:vAlign w:val="bottom"/>
            <w:tcBorders>
              <w:bottom w:val="single" w:sz="8" w:color="004987"/>
            </w:tcBorders>
          </w:tcPr>
          <w:p>
            <w:pPr>
              <w:jc w:val="right"/>
              <w:ind w:right="24"/>
              <w:spacing w:after="0"/>
              <w:rPr>
                <w:sz w:val="20"/>
                <w:szCs w:val="20"/>
                <w:color w:val="auto"/>
              </w:rPr>
            </w:pPr>
            <w:r>
              <w:rPr>
                <w:rFonts w:ascii="Arial" w:cs="Arial" w:eastAsia="Arial" w:hAnsi="Arial"/>
                <w:sz w:val="15"/>
                <w:szCs w:val="15"/>
                <w:color w:val="auto"/>
              </w:rPr>
              <w:t>$(136)</w:t>
            </w:r>
          </w:p>
        </w:tc>
        <w:tc>
          <w:tcPr>
            <w:tcW w:w="180" w:type="dxa"/>
            <w:vAlign w:val="bottom"/>
            <w:tcBorders>
              <w:bottom w:val="single" w:sz="8" w:color="004987"/>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004987"/>
            </w:tcBorders>
          </w:tcPr>
          <w:p>
            <w:pPr>
              <w:jc w:val="right"/>
              <w:ind w:right="24"/>
              <w:spacing w:after="0"/>
              <w:rPr>
                <w:sz w:val="20"/>
                <w:szCs w:val="20"/>
                <w:color w:val="auto"/>
              </w:rPr>
            </w:pPr>
            <w:r>
              <w:rPr>
                <w:rFonts w:ascii="Arial" w:cs="Arial" w:eastAsia="Arial" w:hAnsi="Arial"/>
                <w:sz w:val="15"/>
                <w:szCs w:val="15"/>
                <w:color w:val="auto"/>
              </w:rPr>
              <w:t>464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right="60"/>
        <w:spacing w:after="0" w:line="252" w:lineRule="auto"/>
        <w:rPr>
          <w:sz w:val="20"/>
          <w:szCs w:val="20"/>
          <w:color w:val="auto"/>
        </w:rPr>
      </w:pPr>
      <w:r>
        <w:rPr>
          <w:rFonts w:ascii="Arial" w:cs="Arial" w:eastAsia="Arial" w:hAnsi="Arial"/>
          <w:sz w:val="15"/>
          <w:szCs w:val="15"/>
          <w:color w:val="auto"/>
        </w:rPr>
        <w:t>Certain items for 2021 consisted of $110 million of transaction and integration costs (including $93 million of ILG Acquisition and integration related costs, $16 million of Welk Acquisition related costs, and $1 million of other transaction costs), $51 million of losses and other expense (including $55 million related to the early redemption of our $750 million aggregate principal amount of 6.500% Senior Unsecured Notes due 2026 and a portion of our $250 million aggregate principal amount of 6.125% Senior Secured Notes due 2025, and $3 million of miscellaneous other losses and other expenses, partially offset by $7 million related to a true-up to a Marriott International indemnification receivable upon settlement (the true-up to the offsetting accrual is included in the (Provision for) benefit from income taxes line)), $10 million of litigation charges, $10 million of purchase accounting adjustments, and</w:t>
      </w:r>
    </w:p>
    <w:p>
      <w:pPr>
        <w:spacing w:after="0" w:line="4" w:lineRule="exact"/>
        <w:rPr>
          <w:sz w:val="20"/>
          <w:szCs w:val="20"/>
          <w:color w:val="auto"/>
        </w:rPr>
      </w:pPr>
    </w:p>
    <w:p>
      <w:pPr>
        <w:ind w:left="400" w:right="80"/>
        <w:spacing w:after="0" w:line="270" w:lineRule="auto"/>
        <w:rPr>
          <w:sz w:val="20"/>
          <w:szCs w:val="20"/>
          <w:color w:val="auto"/>
        </w:rPr>
      </w:pPr>
      <w:r>
        <w:rPr>
          <w:rFonts w:ascii="Arial" w:cs="Arial" w:eastAsia="Arial" w:hAnsi="Arial"/>
          <w:sz w:val="15"/>
          <w:szCs w:val="15"/>
          <w:color w:val="auto"/>
        </w:rPr>
        <w:t>$3 million of impairment charges, partially offset by $8 million to eliminate the impact of certain Consolidated Property Owners’ Associations, $2 million of activity related to the accrual for health and welfare costs for furloughed associates, and $1 million of miscellaneous other adjustments.</w:t>
      </w:r>
    </w:p>
    <w:p>
      <w:pPr>
        <w:spacing w:after="0" w:line="162" w:lineRule="exact"/>
        <w:rPr>
          <w:sz w:val="20"/>
          <w:szCs w:val="20"/>
          <w:color w:val="auto"/>
        </w:rPr>
      </w:pPr>
    </w:p>
    <w:p>
      <w:pPr>
        <w:ind w:left="400" w:right="480"/>
        <w:spacing w:after="0" w:line="259" w:lineRule="auto"/>
        <w:rPr>
          <w:sz w:val="20"/>
          <w:szCs w:val="20"/>
          <w:color w:val="auto"/>
        </w:rPr>
      </w:pPr>
      <w:r>
        <w:rPr>
          <w:rFonts w:ascii="Arial" w:cs="Arial" w:eastAsia="Arial" w:hAnsi="Arial"/>
          <w:sz w:val="15"/>
          <w:szCs w:val="15"/>
          <w:color w:val="auto"/>
        </w:rPr>
        <w:t>Certain items for 2020 consisted of $100 million of impairment charges, $62 million of ILG Acquisition related costs, $57 million of other charges (including $50 million related to the net sales reserve adjustment, $2 million related to an accrual for the health and welfare costs for furloughed associates, $4 million related to the charge for VAT penalties and interest (see offset included in indemnification below) and $1 million of other miscellaneous charges), $26 million of losses and other expense, $25 million of restructuring costs, $4 million of purchase accounting adjustments, $6 million of litigation charges, and $4 million of transaction costs related to our capital efficient inventory arrangements.</w:t>
      </w:r>
    </w:p>
    <w:p>
      <w:pPr>
        <w:spacing w:after="0" w:line="172" w:lineRule="exact"/>
        <w:rPr>
          <w:sz w:val="20"/>
          <w:szCs w:val="20"/>
          <w:color w:val="auto"/>
        </w:rPr>
      </w:pPr>
    </w:p>
    <w:p>
      <w:pPr>
        <w:ind w:left="400" w:right="20"/>
        <w:spacing w:after="0" w:line="256" w:lineRule="auto"/>
        <w:rPr>
          <w:sz w:val="20"/>
          <w:szCs w:val="20"/>
          <w:color w:val="auto"/>
        </w:rPr>
      </w:pPr>
      <w:r>
        <w:rPr>
          <w:rFonts w:ascii="Arial" w:cs="Arial" w:eastAsia="Arial" w:hAnsi="Arial"/>
          <w:sz w:val="15"/>
          <w:szCs w:val="15"/>
          <w:color w:val="auto"/>
        </w:rPr>
        <w:t>The $26 million of losses and other expense included $32 million related to a true-up to a Marriott International indemnification receivable upon settlement (the true-up to the offsetting accrual is included in the Benefit (provision) for income taxes line), $11 million related to foreign currency translation losses, and a $5 million loss related to the disposition of a formerly consolidated subsidiary, partially offset by $6 million of gains and other income related to the disposition of excess land parcels in Orlando, Florida and Steamboat Springs, Colorado, a $6 million receivable related to indemnification from Marriott International for certain VAT charges, $4 million related to net insurance proceeds from the final settlement of Legacy-MVW business interruption insurance claims arising from a prior year hurricane, $3 million related to other insurance proceeds, and $3 million of miscellaneous gains and other income.</w:t>
      </w:r>
    </w:p>
    <w:p>
      <w:pPr>
        <w:spacing w:after="0" w:line="358" w:lineRule="exact"/>
        <w:rPr>
          <w:sz w:val="20"/>
          <w:szCs w:val="20"/>
          <w:color w:val="auto"/>
        </w:rPr>
      </w:pPr>
    </w:p>
    <w:p>
      <w:pPr>
        <w:ind w:left="400" w:right="100"/>
        <w:spacing w:after="0" w:line="269" w:lineRule="auto"/>
        <w:rPr>
          <w:sz w:val="20"/>
          <w:szCs w:val="20"/>
          <w:color w:val="auto"/>
        </w:rPr>
      </w:pPr>
      <w:r>
        <w:rPr>
          <w:rFonts w:ascii="Arial" w:cs="Arial" w:eastAsia="Arial" w:hAnsi="Arial"/>
          <w:sz w:val="15"/>
          <w:szCs w:val="15"/>
          <w:color w:val="auto"/>
        </w:rPr>
        <w:t>Certain items for 2019 consisted of $119 million of acquisition-related costs (including $118 million of ILG Acquisition related costs and $1 million of other acquisition costs), $99 million of asset impairment charges, $17 million of unfavorable purchase price adjustments, $7 million of litigation charges, and $1 million of other severance costs, partially offset by $16 million of miscellaneous gains and other income.</w:t>
      </w:r>
    </w:p>
    <w:p>
      <w:pPr>
        <w:spacing w:after="0" w:line="99" w:lineRule="exact"/>
        <w:rPr>
          <w:sz w:val="20"/>
          <w:szCs w:val="20"/>
          <w:color w:val="auto"/>
        </w:rPr>
      </w:pPr>
    </w:p>
    <w:p>
      <w:pPr>
        <w:ind w:left="400"/>
        <w:spacing w:after="0"/>
        <w:tabs>
          <w:tab w:leader="none" w:pos="5360" w:val="left"/>
          <w:tab w:leader="none" w:pos="7720" w:val="left"/>
        </w:tabs>
        <w:rPr>
          <w:sz w:val="20"/>
          <w:szCs w:val="20"/>
          <w:color w:val="auto"/>
        </w:rPr>
      </w:pPr>
      <w:r>
        <w:rPr>
          <w:rFonts w:ascii="Arial" w:cs="Arial" w:eastAsia="Arial" w:hAnsi="Arial"/>
          <w:sz w:val="10"/>
          <w:szCs w:val="10"/>
          <w:b w:val="1"/>
          <w:bCs w:val="1"/>
          <w:color w:val="004987"/>
        </w:rPr>
        <w:t>A-2</w:t>
      </w:r>
      <w:r>
        <w:rPr>
          <w:sz w:val="20"/>
          <w:szCs w:val="20"/>
          <w:color w:val="auto"/>
        </w:rPr>
        <w:tab/>
      </w:r>
      <w:r>
        <w:rPr>
          <w:rFonts w:ascii="Arial" w:cs="Arial" w:eastAsia="Arial" w:hAnsi="Arial"/>
          <w:sz w:val="10"/>
          <w:szCs w:val="10"/>
          <w:color w:val="auto"/>
        </w:rPr>
        <w:t>Appendix A</w:t>
      </w:r>
      <w:r>
        <w:rPr>
          <w:sz w:val="20"/>
          <w:szCs w:val="20"/>
          <w:color w:val="auto"/>
        </w:rPr>
        <w:tab/>
      </w:r>
      <w:r>
        <w:rPr>
          <w:rFonts w:ascii="Arial" w:cs="Arial" w:eastAsia="Arial" w:hAnsi="Arial"/>
          <w:sz w:val="10"/>
          <w:szCs w:val="10"/>
          <w:color w:val="auto"/>
        </w:rPr>
        <w:t xml:space="preserve">2022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8255</wp:posOffset>
            </wp:positionV>
            <wp:extent cx="66427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bookmarkStart w:id="58" w:name="page59"/>
    <w:bookmarkEnd w:id="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205105</wp:posOffset>
            </wp:positionV>
            <wp:extent cx="6438900" cy="86372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38900" cy="8637270"/>
                    </a:xfrm>
                    <a:prstGeom prst="rect">
                      <a:avLst/>
                    </a:prstGeom>
                    <a:noFill/>
                  </pic:spPr>
                </pic:pic>
              </a:graphicData>
            </a:graphic>
          </wp:anchor>
        </w:drawing>
      </w:r>
    </w:p>
    <w:p>
      <w:pPr>
        <w:sectPr>
          <w:pgSz w:w="11900" w:h="16838" w:orient="portrait"/>
          <w:cols w:equalWidth="0" w:num="1">
            <w:col w:w="10139"/>
          </w:cols>
          <w:pgMar w:left="320" w:top="440" w:right="144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r>
      <w:hyperlink w:anchor="page5">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205105</wp:posOffset>
            </wp:positionV>
            <wp:extent cx="6471920" cy="86372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71920" cy="8637270"/>
                    </a:xfrm>
                    <a:prstGeom prst="rect">
                      <a:avLst/>
                    </a:prstGeom>
                    <a:noFill/>
                  </pic:spPr>
                </pic:pic>
              </a:graphicData>
            </a:graphic>
          </wp:anchor>
        </w:drawing>
      </w:r>
    </w:p>
    <w:sectPr>
      <w:pgSz w:w="11900" w:h="16838" w:orient="portrait"/>
      <w:cols w:equalWidth="0" w:num="1">
        <w:col w:w="10139"/>
      </w:cols>
      <w:pgMar w:left="320" w:top="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bullet"/>
      <w:start w:val="1"/>
    </w:lvl>
  </w:abstractNum>
  <w:abstractNum w:abstractNumId="5">
    <w:nsid w:val="180115BE"/>
    <w:multiLevelType w:val="hybridMultilevel"/>
    <w:lvl w:ilvl="0">
      <w:lvlJc w:val="left"/>
      <w:lvlText w:val="4"/>
      <w:numFmt w:val="bullet"/>
      <w:start w:val="1"/>
    </w:lvl>
  </w:abstractNum>
  <w:abstractNum w:abstractNumId="6">
    <w:nsid w:val="235BA861"/>
    <w:multiLevelType w:val="hybridMultilevel"/>
    <w:lvl w:ilvl="0">
      <w:lvlJc w:val="left"/>
      <w:lvlText w:val="7"/>
      <w:numFmt w:val="bullet"/>
      <w:start w:val="1"/>
    </w:lvl>
  </w:abstractNum>
  <w:abstractNum w:abstractNumId="7">
    <w:nsid w:val="47398C89"/>
    <w:multiLevelType w:val="hybridMultilevel"/>
    <w:lvl w:ilvl="0">
      <w:lvlJc w:val="left"/>
      <w:lvlText w:val="7"/>
      <w:numFmt w:val="bullet"/>
      <w:start w:val="1"/>
    </w:lvl>
  </w:abstractNum>
  <w:abstractNum w:abstractNumId="8">
    <w:nsid w:val="354FE9F9"/>
    <w:multiLevelType w:val="hybridMultilevel"/>
    <w:lvl w:ilvl="0">
      <w:lvlJc w:val="left"/>
      <w:lvlText w:val="8"/>
      <w:numFmt w:val="bullet"/>
      <w:start w:val="1"/>
    </w:lvl>
  </w:abstractNum>
  <w:abstractNum w:abstractNumId="9">
    <w:nsid w:val="15B5AF5C"/>
    <w:multiLevelType w:val="hybridMultilevel"/>
    <w:lvl w:ilvl="0">
      <w:lvlJc w:val="left"/>
      <w:lvlText w:val="9"/>
      <w:numFmt w:val="bullet"/>
      <w:start w:val="1"/>
    </w:lvl>
  </w:abstractNum>
  <w:abstractNum w:abstractNumId="10">
    <w:nsid w:val="741226BB"/>
    <w:multiLevelType w:val="hybridMultilevel"/>
    <w:lvl w:ilvl="0">
      <w:lvlJc w:val="left"/>
      <w:lvlText w:val="9"/>
      <w:numFmt w:val="bullet"/>
      <w:start w:val="1"/>
    </w:lvl>
  </w:abstractNum>
  <w:abstractNum w:abstractNumId="11">
    <w:nsid w:val="D34B6A8"/>
    <w:multiLevelType w:val="hybridMultilevel"/>
    <w:lvl w:ilvl="0">
      <w:lvlJc w:val="left"/>
      <w:lvlText w:val="%1"/>
      <w:numFmt w:val="decimal"/>
      <w:start w:val="11"/>
    </w:lvl>
  </w:abstractNum>
  <w:abstractNum w:abstractNumId="12">
    <w:nsid w:val="10233C99"/>
    <w:multiLevelType w:val="hybridMultilevel"/>
    <w:lvl w:ilvl="0">
      <w:lvlJc w:val="left"/>
      <w:lvlText w:val="%1"/>
      <w:numFmt w:val="decimal"/>
      <w:start w:val="15"/>
    </w:lvl>
  </w:abstractNum>
  <w:abstractNum w:abstractNumId="13">
    <w:nsid w:val="3F6AB60F"/>
    <w:multiLevelType w:val="hybridMultilevel"/>
    <w:lvl w:ilvl="0">
      <w:lvlJc w:val="left"/>
      <w:lvlText w:val="%1"/>
      <w:numFmt w:val="decimal"/>
      <w:start w:val="16"/>
    </w:lvl>
  </w:abstractNum>
  <w:abstractNum w:abstractNumId="14">
    <w:nsid w:val="61574095"/>
    <w:multiLevelType w:val="hybridMultilevel"/>
    <w:lvl w:ilvl="0">
      <w:lvlJc w:val="left"/>
      <w:lvlText w:val="%1"/>
      <w:numFmt w:val="decimal"/>
      <w:start w:val="18"/>
    </w:lvl>
  </w:abstractNum>
  <w:abstractNum w:abstractNumId="15">
    <w:nsid w:val="7E0C57B1"/>
    <w:multiLevelType w:val="hybridMultilevel"/>
    <w:lvl w:ilvl="0">
      <w:lvlJc w:val="left"/>
      <w:lvlText w:val="%1"/>
      <w:numFmt w:val="decimal"/>
      <w:start w:val="21"/>
    </w:lvl>
  </w:abstractNum>
  <w:abstractNum w:abstractNumId="16">
    <w:nsid w:val="77AE35EB"/>
    <w:multiLevelType w:val="hybridMultilevel"/>
    <w:lvl w:ilvl="0">
      <w:lvlJc w:val="left"/>
      <w:lvlText w:val="%1"/>
      <w:numFmt w:val="decimal"/>
      <w:start w:val="23"/>
    </w:lvl>
  </w:abstractNum>
  <w:abstractNum w:abstractNumId="17">
    <w:nsid w:val="579BE4F1"/>
    <w:multiLevelType w:val="hybridMultilevel"/>
    <w:lvl w:ilvl="0">
      <w:lvlJc w:val="left"/>
      <w:lvlText w:val="%1"/>
      <w:numFmt w:val="decimal"/>
      <w:start w:val="47"/>
    </w:lvl>
  </w:abstractNum>
  <w:abstractNum w:abstractNumId="18">
    <w:nsid w:val="310C50B3"/>
    <w:multiLevelType w:val="hybridMultilevel"/>
    <w:lvl w:ilvl="0">
      <w:lvlJc w:val="left"/>
      <w:lvlText w:val="%1"/>
      <w:numFmt w:val="decimal"/>
      <w:start w:val="49"/>
    </w:lvl>
  </w:abstractNum>
  <w:abstractNum w:abstractNumId="19">
    <w:nsid w:val="5FF87E05"/>
    <w:multiLevelType w:val="hybridMultilevel"/>
    <w:lvl w:ilvl="0">
      <w:lvlJc w:val="left"/>
      <w:lvlText w:val="%1"/>
      <w:numFmt w:val="decimal"/>
      <w:start w:val="51"/>
    </w:lvl>
  </w:abstractNum>
  <w:abstractNum w:abstractNumId="20">
    <w:nsid w:val="2F305DEF"/>
    <w:multiLevelType w:val="hybridMultilevel"/>
    <w:lvl w:ilvl="0">
      <w:lvlJc w:val="left"/>
      <w:lvlText w:val="%1"/>
      <w:numFmt w:val="decimal"/>
      <w:start w:val="5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lvl w:ilvl="1">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1"/>
      <w:numFmt w:val="bullet"/>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1"/>
      <w:numFmt w:val="bullet"/>
      <w:start w:val="1"/>
    </w:lvl>
  </w:abstractNum>
  <w:abstractNum w:abstractNumId="45">
    <w:nsid w:val="42963E5A"/>
    <w:multiLevelType w:val="hybridMultilevel"/>
    <w:lvl w:ilvl="0">
      <w:lvlJc w:val="left"/>
      <w:lvlText w:val="1"/>
      <w:numFmt w:val="bullet"/>
      <w:start w:val="1"/>
    </w:lvl>
  </w:abstractNum>
  <w:abstractNum w:abstractNumId="46">
    <w:nsid w:val="A0382C5"/>
    <w:multiLevelType w:val="hybridMultilevel"/>
    <w:lvl w:ilvl="0">
      <w:lvlJc w:val="left"/>
      <w:lvlText w:val="1"/>
      <w:numFmt w:val="bullet"/>
      <w:start w:val="1"/>
    </w:lvl>
  </w:abstractNum>
  <w:abstractNum w:abstractNumId="47">
    <w:nsid w:val="8F2B15E"/>
    <w:multiLevelType w:val="hybridMultilevel"/>
    <w:lvl w:ilvl="0">
      <w:lvlJc w:val="left"/>
      <w:lvlText w:val="1"/>
      <w:numFmt w:val="bullet"/>
      <w:start w:val="1"/>
    </w:lvl>
  </w:abstractNum>
  <w:abstractNum w:abstractNumId="48">
    <w:nsid w:val="1A32234B"/>
    <w:multiLevelType w:val="hybridMultilevel"/>
    <w:lvl w:ilvl="0">
      <w:lvlJc w:val="left"/>
      <w:lvlText w:val="1"/>
      <w:numFmt w:val="bullet"/>
      <w:start w:val="1"/>
    </w:lvl>
  </w:abstractNum>
  <w:abstractNum w:abstractNumId="49">
    <w:nsid w:val="3B0FD379"/>
    <w:multiLevelType w:val="hybridMultilevel"/>
    <w:lvl w:ilvl="0">
      <w:lvlJc w:val="left"/>
      <w:lvlText w:val="2"/>
      <w:numFmt w:val="bullet"/>
      <w:start w:val="1"/>
    </w:lvl>
  </w:abstractNum>
  <w:abstractNum w:abstractNumId="50">
    <w:nsid w:val="68EB2F63"/>
    <w:multiLevelType w:val="hybridMultilevel"/>
    <w:lvl w:ilvl="0">
      <w:lvlJc w:val="left"/>
      <w:lvlText w:val="3"/>
      <w:numFmt w:val="bullet"/>
      <w:start w:val="1"/>
    </w:lvl>
  </w:abstractNum>
  <w:abstractNum w:abstractNumId="51">
    <w:nsid w:val="4962813B"/>
    <w:multiLevelType w:val="hybridMultilevel"/>
    <w:lvl w:ilvl="0">
      <w:lvlJc w:val="left"/>
      <w:lvlText w:val="4"/>
      <w:numFmt w:val="bullet"/>
      <w:start w:val="1"/>
    </w:lvl>
  </w:abstractNum>
  <w:abstractNum w:abstractNumId="52">
    <w:nsid w:val="60B6DF70"/>
    <w:multiLevelType w:val="hybridMultilevel"/>
    <w:lvl w:ilvl="0">
      <w:lvlJc w:val="left"/>
      <w:lvlText w:val="5"/>
      <w:numFmt w:val="bullet"/>
      <w:start w:val="1"/>
    </w:lvl>
  </w:abstractNum>
  <w:abstractNum w:abstractNumId="53">
    <w:nsid w:val="6A5EE64"/>
    <w:multiLevelType w:val="hybridMultilevel"/>
    <w:lvl w:ilvl="0">
      <w:lvlJc w:val="left"/>
      <w:lvlText w:val="1"/>
      <w:numFmt w:val="bullet"/>
      <w:start w:val="1"/>
    </w:lvl>
  </w:abstractNum>
  <w:abstractNum w:abstractNumId="54">
    <w:nsid w:val="14330624"/>
    <w:multiLevelType w:val="hybridMultilevel"/>
    <w:lvl w:ilvl="0">
      <w:lvlJc w:val="left"/>
      <w:lvlText w:val="2"/>
      <w:numFmt w:val="bullet"/>
      <w:start w:val="1"/>
    </w:lvl>
  </w:abstractNum>
  <w:abstractNum w:abstractNumId="55">
    <w:nsid w:val="7FFFCA11"/>
    <w:multiLevelType w:val="hybridMultilevel"/>
    <w:lvl w:ilvl="0">
      <w:lvlJc w:val="left"/>
      <w:lvlText w:val="3"/>
      <w:numFmt w:val="bullet"/>
      <w:start w:val="1"/>
    </w:lvl>
  </w:abstractNum>
  <w:abstractNum w:abstractNumId="56">
    <w:nsid w:val="1A27709E"/>
    <w:multiLevelType w:val="hybridMultilevel"/>
    <w:lvl w:ilvl="0">
      <w:lvlJc w:val="left"/>
      <w:lvlText w:val="4"/>
      <w:numFmt w:val="bullet"/>
      <w:start w:val="1"/>
    </w:lvl>
  </w:abstractNum>
  <w:abstractNum w:abstractNumId="57">
    <w:nsid w:val="71EA1109"/>
    <w:multiLevelType w:val="hybridMultilevel"/>
    <w:lvl w:ilvl="0">
      <w:lvlJc w:val="left"/>
      <w:lvlText w:val="5"/>
      <w:numFmt w:val="bullet"/>
      <w:start w:val="1"/>
    </w:lvl>
  </w:abstractNum>
  <w:abstractNum w:abstractNumId="58">
    <w:nsid w:val="100F59DC"/>
    <w:multiLevelType w:val="hybridMultilevel"/>
    <w:lvl w:ilvl="0">
      <w:lvlJc w:val="left"/>
      <w:lvlText w:val="6"/>
      <w:numFmt w:val="bullet"/>
      <w:start w:val="1"/>
    </w:lvl>
  </w:abstractNum>
  <w:abstractNum w:abstractNumId="59">
    <w:nsid w:val="7FB7E0AA"/>
    <w:multiLevelType w:val="hybridMultilevel"/>
    <w:lvl w:ilvl="0">
      <w:lvlJc w:val="left"/>
      <w:lvlText w:val="1"/>
      <w:numFmt w:val="bullet"/>
      <w:start w:val="1"/>
    </w:lvl>
  </w:abstractNum>
  <w:abstractNum w:abstractNumId="60">
    <w:nsid w:val="6EB5BD4"/>
    <w:multiLevelType w:val="hybridMultilevel"/>
    <w:lvl w:ilvl="0">
      <w:lvlJc w:val="left"/>
      <w:lvlText w:val="2"/>
      <w:numFmt w:val="bullet"/>
      <w:start w:val="1"/>
    </w:lvl>
  </w:abstractNum>
  <w:abstractNum w:abstractNumId="61">
    <w:nsid w:val="6F6DD9AC"/>
    <w:multiLevelType w:val="hybridMultilevel"/>
    <w:lvl w:ilvl="0">
      <w:lvlJc w:val="left"/>
      <w:lvlText w:val="3"/>
      <w:numFmt w:val="bullet"/>
      <w:start w:val="1"/>
    </w:lvl>
  </w:abstractNum>
  <w:abstractNum w:abstractNumId="62">
    <w:nsid w:val="94211F2"/>
    <w:multiLevelType w:val="hybridMultilevel"/>
    <w:lvl w:ilvl="0">
      <w:lvlJc w:val="left"/>
      <w:lvlText w:val="4"/>
      <w:numFmt w:val="bullet"/>
      <w:start w:val="1"/>
    </w:lvl>
  </w:abstractNum>
  <w:abstractNum w:abstractNumId="63">
    <w:nsid w:val="885E1B"/>
    <w:multiLevelType w:val="hybridMultilevel"/>
    <w:lvl w:ilvl="0">
      <w:lvlJc w:val="left"/>
      <w:lvlText w:val="5"/>
      <w:numFmt w:val="bullet"/>
      <w:start w:val="1"/>
    </w:lvl>
  </w:abstractNum>
  <w:abstractNum w:abstractNumId="64">
    <w:nsid w:val="76272110"/>
    <w:multiLevelType w:val="hybridMultilevel"/>
    <w:lvl w:ilvl="0">
      <w:lvlJc w:val="left"/>
      <w:lvlText w:val="1"/>
      <w:numFmt w:val="bullet"/>
      <w:start w:val="1"/>
    </w:lvl>
  </w:abstractNum>
  <w:abstractNum w:abstractNumId="65">
    <w:nsid w:val="4C04A8AF"/>
    <w:multiLevelType w:val="hybridMultilevel"/>
    <w:lvl w:ilvl="0">
      <w:lvlJc w:val="left"/>
      <w:lvlText w:val="2"/>
      <w:numFmt w:val="bullet"/>
      <w:start w:val="1"/>
    </w:lvl>
  </w:abstractNum>
  <w:abstractNum w:abstractNumId="66">
    <w:nsid w:val="1716703B"/>
    <w:multiLevelType w:val="hybridMultilevel"/>
    <w:lvl w:ilvl="0">
      <w:lvlJc w:val="left"/>
      <w:lvlText w:val="3"/>
      <w:numFmt w:val="bullet"/>
      <w:start w:val="1"/>
    </w:lvl>
  </w:abstractNum>
  <w:abstractNum w:abstractNumId="67">
    <w:nsid w:val="14E17E33"/>
    <w:multiLevelType w:val="hybridMultilevel"/>
    <w:lvl w:ilvl="0">
      <w:lvlJc w:val="left"/>
      <w:lvlText w:val="4"/>
      <w:numFmt w:val="bullet"/>
      <w:start w:val="1"/>
    </w:lvl>
  </w:abstractNum>
  <w:abstractNum w:abstractNumId="68">
    <w:nsid w:val="3222E7CD"/>
    <w:multiLevelType w:val="hybridMultilevel"/>
    <w:lvl w:ilvl="0">
      <w:lvlJc w:val="left"/>
      <w:lvlText w:val="5"/>
      <w:numFmt w:val="bullet"/>
      <w:start w:val="1"/>
    </w:lvl>
  </w:abstractNum>
  <w:abstractNum w:abstractNumId="69">
    <w:nsid w:val="74DE0EE3"/>
    <w:multiLevelType w:val="hybridMultilevel"/>
    <w:lvl w:ilvl="0">
      <w:lvlJc w:val="left"/>
      <w:lvlText w:val="6"/>
      <w:numFmt w:val="bullet"/>
      <w:start w:val="1"/>
    </w:lvl>
  </w:abstractNum>
  <w:abstractNum w:abstractNumId="70">
    <w:nsid w:val="68EBC550"/>
    <w:multiLevelType w:val="hybridMultilevel"/>
    <w:lvl w:ilvl="0">
      <w:lvlJc w:val="left"/>
      <w:lvlText w:val="7"/>
      <w:numFmt w:val="bullet"/>
      <w:start w:val="1"/>
    </w:lvl>
  </w:abstractNum>
  <w:abstractNum w:abstractNumId="71">
    <w:nsid w:val="2DF6D648"/>
    <w:multiLevelType w:val="hybridMultilevel"/>
    <w:lvl w:ilvl="0">
      <w:lvlJc w:val="left"/>
      <w:lvlText w:val="8"/>
      <w:numFmt w:val="bullet"/>
      <w:start w:val="1"/>
    </w:lvl>
  </w:abstractNum>
  <w:abstractNum w:abstractNumId="72">
    <w:nsid w:val="46B7D447"/>
    <w:multiLevelType w:val="hybridMultilevel"/>
    <w:lvl w:ilvl="0">
      <w:lvlJc w:val="left"/>
      <w:lvlText w:val="1"/>
      <w:numFmt w:val="bullet"/>
      <w:start w:val="1"/>
    </w:lvl>
  </w:abstractNum>
  <w:abstractNum w:abstractNumId="73">
    <w:nsid w:val="4A2AC315"/>
    <w:multiLevelType w:val="hybridMultilevel"/>
    <w:lvl w:ilvl="0">
      <w:lvlJc w:val="left"/>
      <w:lvlText w:val="2"/>
      <w:numFmt w:val="bullet"/>
      <w:start w:val="1"/>
    </w:lvl>
  </w:abstractNum>
  <w:abstractNum w:abstractNumId="74">
    <w:nsid w:val="39EE015C"/>
    <w:multiLevelType w:val="hybridMultilevel"/>
    <w:lvl w:ilvl="0">
      <w:lvlJc w:val="left"/>
      <w:lvlText w:val="3"/>
      <w:numFmt w:val="bullet"/>
      <w:start w:val="1"/>
    </w:lvl>
  </w:abstractNum>
  <w:abstractNum w:abstractNumId="75">
    <w:nsid w:val="57FC4FBB"/>
    <w:multiLevelType w:val="hybridMultilevel"/>
    <w:lvl w:ilvl="0">
      <w:lvlJc w:val="left"/>
      <w:lvlText w:val="4"/>
      <w:numFmt w:val="bullet"/>
      <w:start w:val="1"/>
    </w:lvl>
  </w:abstractNum>
  <w:abstractNum w:abstractNumId="76">
    <w:nsid w:val="CC1016F"/>
    <w:multiLevelType w:val="hybridMultilevel"/>
    <w:lvl w:ilvl="0">
      <w:lvlJc w:val="left"/>
      <w:lvlText w:val="5"/>
      <w:numFmt w:val="bullet"/>
      <w:start w:val="1"/>
    </w:lvl>
  </w:abstractNum>
  <w:abstractNum w:abstractNumId="77">
    <w:nsid w:val="43F18422"/>
    <w:multiLevelType w:val="hybridMultilevel"/>
    <w:lvl w:ilvl="0">
      <w:lvlJc w:val="left"/>
      <w:lvlText w:val="6"/>
      <w:numFmt w:val="bullet"/>
      <w:start w:val="1"/>
    </w:lvl>
  </w:abstractNum>
  <w:abstractNum w:abstractNumId="78">
    <w:nsid w:val="60EF0119"/>
    <w:multiLevelType w:val="hybridMultilevel"/>
    <w:lvl w:ilvl="0">
      <w:lvlJc w:val="left"/>
      <w:lvlText w:val="7"/>
      <w:numFmt w:val="bullet"/>
      <w:start w:val="1"/>
    </w:lvl>
  </w:abstractNum>
  <w:abstractNum w:abstractNumId="79">
    <w:nsid w:val="26F324BA"/>
    <w:multiLevelType w:val="hybridMultilevel"/>
    <w:lvl w:ilvl="0">
      <w:lvlJc w:val="left"/>
      <w:lvlText w:val="8"/>
      <w:numFmt w:val="bullet"/>
      <w:start w:val="1"/>
    </w:lvl>
  </w:abstractNum>
  <w:abstractNum w:abstractNumId="80">
    <w:nsid w:val="7F01579B"/>
    <w:multiLevelType w:val="hybridMultilevel"/>
    <w:lvl w:ilvl="0">
      <w:lvlJc w:val="left"/>
      <w:lvlText w:val="9"/>
      <w:numFmt w:val="bullet"/>
      <w:start w:val="1"/>
    </w:lvl>
  </w:abstractNum>
  <w:abstractNum w:abstractNumId="81">
    <w:nsid w:val="49DA307D"/>
    <w:multiLevelType w:val="hybridMultilevel"/>
    <w:lvl w:ilvl="0">
      <w:lvlJc w:val="left"/>
      <w:lvlText w:val="1"/>
      <w:numFmt w:val="bullet"/>
      <w:start w:val="1"/>
    </w:lvl>
  </w:abstractNum>
  <w:abstractNum w:abstractNumId="82">
    <w:nsid w:val="7055A5F5"/>
    <w:multiLevelType w:val="hybridMultilevel"/>
    <w:lvl w:ilvl="0">
      <w:lvlJc w:val="left"/>
      <w:lvlText w:val="2"/>
      <w:numFmt w:val="bullet"/>
      <w:start w:val="1"/>
    </w:lvl>
  </w:abstractNum>
  <w:abstractNum w:abstractNumId="83">
    <w:nsid w:val="5FB8370B"/>
    <w:multiLevelType w:val="hybridMultilevel"/>
    <w:lvl w:ilvl="0">
      <w:lvlJc w:val="left"/>
      <w:lvlText w:val="3"/>
      <w:numFmt w:val="bullet"/>
      <w:start w:val="1"/>
    </w:lvl>
  </w:abstractNum>
  <w:abstractNum w:abstractNumId="84">
    <w:nsid w:val="50801EE1"/>
    <w:multiLevelType w:val="hybridMultilevel"/>
    <w:lvl w:ilvl="0">
      <w:lvlJc w:val="left"/>
      <w:lvlText w:val="4"/>
      <w:numFmt w:val="bullet"/>
      <w:start w:val="1"/>
    </w:lvl>
  </w:abstractNum>
  <w:abstractNum w:abstractNumId="85">
    <w:nsid w:val="488AC1A"/>
    <w:multiLevelType w:val="hybridMultilevel"/>
    <w:lvl w:ilvl="0">
      <w:lvlJc w:val="left"/>
      <w:lvlText w:val="5"/>
      <w:numFmt w:val="bullet"/>
      <w:start w:val="1"/>
    </w:lvl>
  </w:abstractNum>
  <w:abstractNum w:abstractNumId="86">
    <w:nsid w:val="5FB8011C"/>
    <w:multiLevelType w:val="hybridMultilevel"/>
    <w:lvl w:ilvl="0">
      <w:lvlJc w:val="left"/>
      <w:lvlText w:val="6"/>
      <w:numFmt w:val="bullet"/>
      <w:start w:val="1"/>
    </w:lvl>
  </w:abstractNum>
  <w:abstractNum w:abstractNumId="87">
    <w:nsid w:val="6AA78F7F"/>
    <w:multiLevelType w:val="hybridMultilevel"/>
    <w:lvl w:ilvl="0">
      <w:lvlJc w:val="left"/>
      <w:lvlText w:val="7"/>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1"/>
      <w:numFmt w:val="bullet"/>
      <w:start w:val="1"/>
    </w:lvl>
  </w:abstractNum>
  <w:abstractNum w:abstractNumId="91">
    <w:nsid w:val="7D5E18F8"/>
    <w:multiLevelType w:val="hybridMultilevel"/>
    <w:lvl w:ilvl="0">
      <w:lvlJc w:val="left"/>
      <w:lvlText w:val="2"/>
      <w:numFmt w:val="bullet"/>
      <w:start w:val="1"/>
    </w:lvl>
  </w:abstractNum>
  <w:abstractNum w:abstractNumId="92">
    <w:nsid w:val="5F3534A4"/>
    <w:multiLevelType w:val="hybridMultilevel"/>
    <w:lvl w:ilvl="0">
      <w:lvlJc w:val="left"/>
      <w:lvlText w:val="3"/>
      <w:numFmt w:val="bullet"/>
      <w:start w:val="1"/>
    </w:lvl>
  </w:abstractNum>
  <w:abstractNum w:abstractNumId="93">
    <w:nsid w:val="73A1821B"/>
    <w:multiLevelType w:val="hybridMultilevel"/>
    <w:lvl w:ilvl="0">
      <w:lvlJc w:val="left"/>
      <w:lvlText w:val="4"/>
      <w:numFmt w:val="bullet"/>
      <w:start w:val="1"/>
    </w:lvl>
  </w:abstractNum>
  <w:abstractNum w:abstractNumId="94">
    <w:nsid w:val="7DE67713"/>
    <w:multiLevelType w:val="hybridMultilevel"/>
    <w:lvl w:ilvl="0">
      <w:lvlJc w:val="left"/>
      <w:lvlText w:val="1"/>
      <w:numFmt w:val="bullet"/>
      <w:start w:val="1"/>
    </w:lvl>
  </w:abstractNum>
  <w:abstractNum w:abstractNumId="95">
    <w:nsid w:val="555C55B5"/>
    <w:multiLevelType w:val="hybridMultilevel"/>
    <w:lvl w:ilvl="0">
      <w:lvlJc w:val="left"/>
      <w:lvlText w:val="2"/>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1"/>
      <w:numFmt w:val="bullet"/>
      <w:start w:val="1"/>
    </w:lvl>
  </w:abstractNum>
  <w:abstractNum w:abstractNumId="99">
    <w:nsid w:val="71C91298"/>
    <w:multiLevelType w:val="hybridMultilevel"/>
    <w:lvl w:ilvl="0">
      <w:lvlJc w:val="left"/>
      <w:lvlText w:val="2"/>
      <w:numFmt w:val="bullet"/>
      <w:start w:val="1"/>
    </w:lvl>
  </w:abstractNum>
  <w:abstractNum w:abstractNumId="100">
    <w:nsid w:val="9DAF632"/>
    <w:multiLevelType w:val="hybridMultilevel"/>
    <w:lvl w:ilvl="0">
      <w:lvlJc w:val="left"/>
      <w:lvlText w:val="3"/>
      <w:numFmt w:val="bullet"/>
      <w:start w:val="1"/>
    </w:lvl>
  </w:abstractNum>
  <w:abstractNum w:abstractNumId="101">
    <w:nsid w:val="53299938"/>
    <w:multiLevelType w:val="hybridMultilevel"/>
    <w:lvl w:ilvl="0">
      <w:lvlJc w:val="left"/>
      <w:lvlText w:val="4"/>
      <w:numFmt w:val="bullet"/>
      <w:start w:val="1"/>
    </w:lvl>
  </w:abstractNum>
  <w:abstractNum w:abstractNumId="102">
    <w:nsid w:val="1FBFE8E0"/>
    <w:multiLevelType w:val="hybridMultilevel"/>
    <w:lvl w:ilvl="0">
      <w:lvlJc w:val="left"/>
      <w:lvlText w:val="5"/>
      <w:numFmt w:val="bullet"/>
      <w:start w:val="1"/>
    </w:lvl>
  </w:abstractNum>
  <w:abstractNum w:abstractNumId="103">
    <w:nsid w:val="5092CA79"/>
    <w:multiLevelType w:val="hybridMultilevel"/>
    <w:lvl w:ilvl="0">
      <w:lvlJc w:val="left"/>
      <w:lvlText w:val="6"/>
      <w:numFmt w:val="bullet"/>
      <w:start w:val="1"/>
    </w:lvl>
  </w:abstractNum>
  <w:abstractNum w:abstractNumId="104">
    <w:nsid w:val="1D545C4D"/>
    <w:multiLevelType w:val="hybridMultilevel"/>
    <w:lvl w:ilvl="0">
      <w:lvlJc w:val="left"/>
      <w:lvlText w:val="7"/>
      <w:numFmt w:val="bullet"/>
      <w:start w:val="1"/>
    </w:lvl>
  </w:abstractNum>
  <w:abstractNum w:abstractNumId="105">
    <w:nsid w:val="59ADEA3D"/>
    <w:multiLevelType w:val="hybridMultilevel"/>
    <w:lvl w:ilvl="0">
      <w:lvlJc w:val="left"/>
      <w:lvlText w:val="8"/>
      <w:numFmt w:val="bullet"/>
      <w:start w:val="1"/>
    </w:lvl>
  </w:abstractNum>
  <w:abstractNum w:abstractNumId="106">
    <w:nsid w:val="288F1A34"/>
    <w:multiLevelType w:val="hybridMultilevel"/>
    <w:lvl w:ilvl="0">
      <w:lvlJc w:val="left"/>
      <w:lvlText w:val="9"/>
      <w:numFmt w:val="bullet"/>
      <w:start w:val="1"/>
    </w:lvl>
  </w:abstractNum>
  <w:abstractNum w:abstractNumId="107">
    <w:nsid w:val="2A155DBC"/>
    <w:multiLevelType w:val="hybridMultilevel"/>
    <w:lvl w:ilvl="0">
      <w:lvlJc w:val="left"/>
      <w:lvlText w:val="%1"/>
      <w:numFmt w:val="decimal"/>
      <w:start w:val="10"/>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2022-03-31T10:56:33Z</dcterms:created>
  <dcterms:modified xsi:type="dcterms:W3CDTF">2022-03-31T10:56:33Z</dcterms:modified>
</cp:coreProperties>
</file>