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73025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12, 2014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45-2598330</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6649 Westwood Blvd.</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6"/>
              </w:rPr>
              <w:t>Orlando, FL</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32821</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380" w:type="dxa"/>
            <w:vAlign w:val="bottom"/>
          </w:tcPr>
          <w:p>
            <w:pPr>
              <w:spacing w:after="0"/>
              <w:rPr>
                <w:sz w:val="24"/>
                <w:szCs w:val="24"/>
                <w:color w:val="auto"/>
              </w:rPr>
            </w:pPr>
          </w:p>
        </w:tc>
        <w:tc>
          <w:tcPr>
            <w:tcW w:w="5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(407) 206-6000</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24"/>
        </w:trPr>
        <w:tc>
          <w:tcPr>
            <w:tcW w:w="7520" w:type="dxa"/>
            <w:vAlign w:val="bottom"/>
            <w:gridSpan w:val="2"/>
          </w:tcPr>
          <w:p>
            <w:pPr>
              <w:jc w:val="center"/>
              <w:ind w:left="420"/>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67945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3"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5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60"/>
            <w:col w:w="600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5">
            <w:col w:w="8640" w:space="180"/>
            <w:col w:w="260" w:space="80"/>
            <w:col w:w="160" w:space="180"/>
            <w:col w:w="220" w:space="140"/>
            <w:col w:w="156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number of shares outstanding of the issuer’s common stock, par value $0.01 per share, as of October 10, 2014 was 32,611,649.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3660" w:type="dxa"/>
            <w:vAlign w:val="bottom"/>
            <w:gridSpan w:val="1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6000" w:type="dxa"/>
            <w:vAlign w:val="bottom"/>
            <w:gridSpan w:val="6"/>
            <w:vMerge w:val="restart"/>
          </w:tcPr>
          <w:p>
            <w:pPr>
              <w:spacing w:after="0"/>
              <w:rPr>
                <w:sz w:val="24"/>
                <w:szCs w:val="24"/>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3660" w:type="dxa"/>
            <w:vAlign w:val="bottom"/>
            <w:tcBorders>
              <w:bottom w:val="single" w:sz="8" w:color="0000EE"/>
            </w:tcBorders>
            <w:gridSpan w:val="14"/>
            <w:vMerge w:val="continue"/>
          </w:tcPr>
          <w:p>
            <w:pPr>
              <w:spacing w:after="0"/>
              <w:rPr>
                <w:sz w:val="13"/>
                <w:szCs w:val="13"/>
                <w:color w:val="auto"/>
              </w:rPr>
            </w:pPr>
          </w:p>
        </w:tc>
        <w:tc>
          <w:tcPr>
            <w:tcW w:w="6000" w:type="dxa"/>
            <w:vAlign w:val="bottom"/>
            <w:gridSpan w:val="6"/>
            <w:vMerge w:val="continue"/>
          </w:tcPr>
          <w:p>
            <w:pPr>
              <w:spacing w:after="0"/>
              <w:rPr>
                <w:sz w:val="13"/>
                <w:szCs w:val="13"/>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140" w:type="dxa"/>
            <w:vAlign w:val="bottom"/>
            <w:gridSpan w:val="14"/>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Statements of Income</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Interim Consolidated Statements of Comprehensive Income</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Interim Consolidated Balance Sheets</w:t>
              </w:r>
            </w:hyperlink>
          </w:p>
        </w:tc>
        <w:tc>
          <w:tcPr>
            <w:tcW w:w="1640" w:type="dxa"/>
            <w:vAlign w:val="bottom"/>
            <w:tcBorders>
              <w:top w:val="single" w:sz="8" w:color="0000EE"/>
            </w:tcBorders>
            <w:gridSpan w:val="5"/>
          </w:tcPr>
          <w:p>
            <w:pPr>
              <w:spacing w:after="0"/>
              <w:rPr>
                <w:sz w:val="17"/>
                <w:szCs w:val="17"/>
                <w:color w:val="auto"/>
              </w:rPr>
            </w:pPr>
          </w:p>
        </w:tc>
        <w:tc>
          <w:tcPr>
            <w:tcW w:w="5340" w:type="dxa"/>
            <w:vAlign w:val="bottom"/>
            <w:gridSpan w:val="4"/>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Interim Consolidated Statements of Cash Flows</w:t>
              </w:r>
            </w:hyperlink>
          </w:p>
        </w:tc>
        <w:tc>
          <w:tcPr>
            <w:tcW w:w="6200" w:type="dxa"/>
            <w:vAlign w:val="bottom"/>
            <w:gridSpan w:val="7"/>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7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Consolidated Financial Statements</w:t>
              </w:r>
            </w:hyperlink>
          </w:p>
        </w:tc>
        <w:tc>
          <w:tcPr>
            <w:tcW w:w="5920" w:type="dxa"/>
            <w:vAlign w:val="bottom"/>
            <w:gridSpan w:val="5"/>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66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20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Controls and Procedures</w:t>
              </w:r>
            </w:hyperlink>
          </w:p>
        </w:tc>
        <w:tc>
          <w:tcPr>
            <w:tcW w:w="7860" w:type="dxa"/>
            <w:vAlign w:val="bottom"/>
            <w:gridSpan w:val="12"/>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b w:val="1"/>
                <w:bCs w:val="1"/>
                <w:color w:val="auto"/>
              </w:rPr>
              <w:t>Part II.</w:t>
            </w:r>
          </w:p>
        </w:tc>
        <w:tc>
          <w:tcPr>
            <w:tcW w:w="9660" w:type="dxa"/>
            <w:vAlign w:val="bottom"/>
            <w:gridSpan w:val="20"/>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OTHER INFORMATION</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7640" w:type="dxa"/>
            <w:vAlign w:val="bottom"/>
            <w:gridSpan w:val="11"/>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8320" w:type="dxa"/>
            <w:vAlign w:val="bottom"/>
            <w:gridSpan w:val="15"/>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Unregistered Sales of Equity Securities and Use of Proceeds</w:t>
              </w:r>
            </w:hyperlink>
          </w:p>
        </w:tc>
        <w:tc>
          <w:tcPr>
            <w:tcW w:w="5300" w:type="dxa"/>
            <w:vAlign w:val="bottom"/>
            <w:gridSpan w:val="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Defaults Upon Senior Securities</w:t>
              </w:r>
            </w:hyperlink>
          </w:p>
        </w:tc>
        <w:tc>
          <w:tcPr>
            <w:tcW w:w="7320" w:type="dxa"/>
            <w:vAlign w:val="bottom"/>
            <w:gridSpan w:val="10"/>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Mine Safety Disclosures</w:t>
              </w:r>
            </w:hyperlink>
          </w:p>
        </w:tc>
        <w:tc>
          <w:tcPr>
            <w:tcW w:w="7880" w:type="dxa"/>
            <w:vAlign w:val="bottom"/>
            <w:gridSpan w:val="1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66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8340" w:type="dxa"/>
            <w:vAlign w:val="bottom"/>
            <w:gridSpan w:val="16"/>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1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gridSpan w:val="5"/>
          </w:tcPr>
          <w:p>
            <w:pPr>
              <w:ind w:left="58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September 6, 2013</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September 12, 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September 6, 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156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453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18"/>
                <w:szCs w:val="18"/>
                <w:color w:val="auto"/>
              </w:rPr>
            </w:pP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Rental</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1,225</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Pr>
          <w:p>
            <w:pPr>
              <w:spacing w:after="0"/>
              <w:rPr>
                <w:sz w:val="18"/>
                <w:szCs w:val="18"/>
                <w:color w:val="auto"/>
              </w:rPr>
            </w:pP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Marketing and sales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tcPr>
          <w:p>
            <w:pPr>
              <w:spacing w:after="0"/>
              <w:rPr>
                <w:sz w:val="18"/>
                <w:szCs w:val="18"/>
                <w:color w:val="auto"/>
              </w:rPr>
            </w:pP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Financing</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18"/>
                <w:szCs w:val="18"/>
                <w:color w:val="auto"/>
              </w:rPr>
            </w:pP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Litigation settlement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Organizational and separation related</w:t>
            </w:r>
          </w:p>
        </w:tc>
        <w:tc>
          <w:tcPr>
            <w:tcW w:w="140" w:type="dxa"/>
            <w:vAlign w:val="bottom"/>
          </w:tcPr>
          <w:p>
            <w:pPr>
              <w:spacing w:after="0"/>
              <w:rPr>
                <w:sz w:val="18"/>
                <w:szCs w:val="18"/>
                <w:color w:val="auto"/>
              </w:rPr>
            </w:pP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Consumer financing interest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Royalty fee</w:t>
            </w:r>
          </w:p>
        </w:tc>
        <w:tc>
          <w:tcPr>
            <w:tcW w:w="140" w:type="dxa"/>
            <w:vAlign w:val="bottom"/>
          </w:tcPr>
          <w:p>
            <w:pPr>
              <w:spacing w:after="0"/>
              <w:rPr>
                <w:sz w:val="18"/>
                <w:szCs w:val="18"/>
                <w:color w:val="auto"/>
              </w:rPr>
            </w:pP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1,086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520"/>
              <w:spacing w:after="0"/>
              <w:rPr>
                <w:sz w:val="20"/>
                <w:szCs w:val="20"/>
                <w:color w:val="auto"/>
              </w:rPr>
            </w:pPr>
            <w:r>
              <w:rPr>
                <w:rFonts w:ascii="Arial" w:cs="Arial" w:eastAsia="Arial" w:hAnsi="Arial"/>
                <w:sz w:val="18"/>
                <w:szCs w:val="18"/>
                <w:color w:val="auto"/>
              </w:rPr>
              <w:t>Gains and other income</w:t>
            </w:r>
          </w:p>
        </w:tc>
        <w:tc>
          <w:tcPr>
            <w:tcW w:w="140" w:type="dxa"/>
            <w:vAlign w:val="bottom"/>
          </w:tcPr>
          <w:p>
            <w:pPr>
              <w:spacing w:after="0"/>
              <w:rPr>
                <w:sz w:val="19"/>
                <w:szCs w:val="19"/>
                <w:color w:val="auto"/>
              </w:rPr>
            </w:pP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Pr>
          <w:p>
            <w:pPr>
              <w:spacing w:after="0"/>
              <w:rPr>
                <w:sz w:val="19"/>
                <w:szCs w:val="19"/>
                <w:color w:val="auto"/>
              </w:rPr>
            </w:pP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180" w:type="dxa"/>
            <w:vAlign w:val="bottom"/>
            <w:gridSpan w:val="2"/>
          </w:tcPr>
          <w:p>
            <w:pPr>
              <w:spacing w:after="0"/>
              <w:rPr>
                <w:sz w:val="20"/>
                <w:szCs w:val="20"/>
                <w:color w:val="auto"/>
              </w:rPr>
            </w:pPr>
            <w:r>
              <w:rPr>
                <w:rFonts w:ascii="Arial" w:cs="Arial" w:eastAsia="Arial" w:hAnsi="Arial"/>
                <w:sz w:val="18"/>
                <w:szCs w:val="18"/>
                <w:color w:val="auto"/>
              </w:rPr>
              <w:t>Shares used in computing basic earnings per share</w:t>
            </w:r>
          </w:p>
        </w:tc>
        <w:tc>
          <w:tcPr>
            <w:tcW w:w="1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0.75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180" w:type="dxa"/>
            <w:vAlign w:val="bottom"/>
            <w:gridSpan w:val="2"/>
          </w:tcPr>
          <w:p>
            <w:pPr>
              <w:spacing w:after="0"/>
              <w:rPr>
                <w:sz w:val="20"/>
                <w:szCs w:val="20"/>
                <w:color w:val="auto"/>
              </w:rPr>
            </w:pPr>
            <w:r>
              <w:rPr>
                <w:rFonts w:ascii="Arial" w:cs="Arial" w:eastAsia="Arial" w:hAnsi="Arial"/>
                <w:sz w:val="18"/>
                <w:szCs w:val="18"/>
                <w:color w:val="auto"/>
              </w:rPr>
              <w:t>Shares used in computing diluted earnings per share</w:t>
            </w:r>
          </w:p>
        </w:tc>
        <w:tc>
          <w:tcPr>
            <w:tcW w:w="1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Thirty-Six Weeks Ended</w:t>
            </w: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1"/>
              </w:rPr>
              <w:t>September 6, 2013</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September 12, 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September 6, 2013</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Total other comprehensive loss, net of tax</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91"/>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3,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12, 2014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146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$36 and $34 from VIEs, respectively)</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Accounts and contracts receivable, net (including $3 and $5 from VIEs, respectively)</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net (including $580 and $719 from VIEs, respectively)</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2,347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Advance deposits</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$2 and $1 from VIEs, respectively)</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$534 and $674 from VIEs, respectively)</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8)</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Preferred stock — $.01 par value; 2,000,000 shares authorized; none issued or outstanding</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 $.01 par value; 100,000,000 shares authorized; 35,961,779 and 35,637,765 shares issued,</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Treasury stock — at cost; 2,963,020 and 505,023 shares, respectively</w:t>
            </w:r>
          </w:p>
        </w:tc>
        <w:tc>
          <w:tcPr>
            <w:tcW w:w="18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5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1,130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2,347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Thirty-Six Weeks Ended</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20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September 6, 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5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ACTIVITIES</w:t>
            </w: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80</w:t>
            </w:r>
          </w:p>
        </w:tc>
        <w:tc>
          <w:tcPr>
            <w:tcW w:w="840" w:type="dxa"/>
            <w:vAlign w:val="bottom"/>
            <w:gridSpan w:val="2"/>
          </w:tcPr>
          <w:p>
            <w:pPr>
              <w:jc w:val="right"/>
              <w:ind w:right="488"/>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Depreciation</w:t>
            </w: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Provision for loan losses</w:t>
            </w: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Share-based compensation</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Impairment charges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Gain on disposal of property and equipment, net</w:t>
            </w:r>
          </w:p>
        </w:tc>
        <w:tc>
          <w:tcPr>
            <w:tcW w:w="36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change in assets and liabilities: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960"/>
              <w:spacing w:after="0"/>
              <w:rPr>
                <w:sz w:val="20"/>
                <w:szCs w:val="20"/>
                <w:color w:val="auto"/>
              </w:rPr>
            </w:pPr>
            <w:r>
              <w:rPr>
                <w:rFonts w:ascii="Arial" w:cs="Arial" w:eastAsia="Arial" w:hAnsi="Arial"/>
                <w:sz w:val="16"/>
                <w:szCs w:val="16"/>
                <w:color w:val="auto"/>
              </w:rPr>
              <w:t>Accounts and contracts receivable</w:t>
            </w:r>
          </w:p>
        </w:tc>
        <w:tc>
          <w:tcPr>
            <w:tcW w:w="36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Notes receivable originations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0"/>
              </w:rPr>
              <w:t>(166)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960"/>
              <w:spacing w:after="0"/>
              <w:rPr>
                <w:sz w:val="20"/>
                <w:szCs w:val="20"/>
                <w:color w:val="auto"/>
              </w:rPr>
            </w:pPr>
            <w:r>
              <w:rPr>
                <w:rFonts w:ascii="Arial" w:cs="Arial" w:eastAsia="Arial" w:hAnsi="Arial"/>
                <w:sz w:val="16"/>
                <w:szCs w:val="16"/>
                <w:color w:val="auto"/>
              </w:rPr>
              <w:t>Notes receivable collections</w:t>
            </w: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204</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96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payable, advance deposits and accrued liabilities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(66)</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960"/>
              <w:spacing w:after="0"/>
              <w:rPr>
                <w:sz w:val="20"/>
                <w:szCs w:val="20"/>
                <w:color w:val="auto"/>
              </w:rPr>
            </w:pPr>
            <w:r>
              <w:rPr>
                <w:rFonts w:ascii="Arial" w:cs="Arial" w:eastAsia="Arial" w:hAnsi="Arial"/>
                <w:sz w:val="16"/>
                <w:szCs w:val="16"/>
                <w:color w:val="auto"/>
              </w:rPr>
              <w:t>Liability for Marriott Rewards customer loyalty program</w:t>
            </w:r>
          </w:p>
        </w:tc>
        <w:tc>
          <w:tcPr>
            <w:tcW w:w="36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960"/>
              <w:spacing w:after="0"/>
              <w:rPr>
                <w:sz w:val="20"/>
                <w:szCs w:val="20"/>
                <w:color w:val="auto"/>
              </w:rPr>
            </w:pPr>
            <w:r>
              <w:rPr>
                <w:rFonts w:ascii="Arial" w:cs="Arial" w:eastAsia="Arial" w:hAnsi="Arial"/>
                <w:sz w:val="16"/>
                <w:szCs w:val="16"/>
                <w:color w:val="auto"/>
              </w:rPr>
              <w:t>Payroll and benefit liabilities</w:t>
            </w:r>
          </w:p>
        </w:tc>
        <w:tc>
          <w:tcPr>
            <w:tcW w:w="36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Deferred compensation liability</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ind w:left="96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206</w:t>
            </w:r>
          </w:p>
        </w:tc>
        <w:tc>
          <w:tcPr>
            <w:tcW w:w="2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20" w:type="dxa"/>
            <w:vAlign w:val="bottom"/>
            <w:gridSpan w:val="2"/>
          </w:tcPr>
          <w:p>
            <w:pPr>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Capital expenditures for property and equipment (excluding inventory)</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Decrease in restricted cash</w:t>
            </w: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Dispositions, net</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Borrowings from securitization transactions</w:t>
            </w: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Repayment of debt related to securitization transactions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90"/>
              </w:rPr>
              <w:t>(288)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Borrowings on Revolving Corporate Credit Facility</w:t>
            </w: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Repayments on Revolving Corporate Credit Facility</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Debt issuance costs</w:t>
            </w:r>
          </w:p>
        </w:tc>
        <w:tc>
          <w:tcPr>
            <w:tcW w:w="36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Repurchase of common stock</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rPr>
              <w:t>Proceeds from stock option exercises</w:t>
            </w: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Payment of withholding taxes on vesting of restricted stock units</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(305)</w:t>
            </w: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Effect of changes in exchange rates on cash and cash equivalents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tcPr>
          <w:p>
            <w:pPr>
              <w:spacing w:after="0"/>
              <w:rPr>
                <w:sz w:val="20"/>
                <w:szCs w:val="20"/>
                <w:color w:val="auto"/>
              </w:rPr>
            </w:pPr>
            <w:r>
              <w:rPr>
                <w:rFonts w:ascii="Arial" w:cs="Arial" w:eastAsia="Arial" w:hAnsi="Arial"/>
                <w:sz w:val="16"/>
                <w:szCs w:val="16"/>
                <w:color w:val="auto"/>
              </w:rPr>
              <w:t>(DECREASE) INCREASE IN CASH AND CASH EQUIVALENTS</w:t>
            </w:r>
          </w:p>
        </w:tc>
        <w:tc>
          <w:tcPr>
            <w:tcW w:w="36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520" w:type="dxa"/>
            <w:vAlign w:val="bottom"/>
            <w:gridSpan w:val="2"/>
          </w:tcPr>
          <w:p>
            <w:pPr>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146</w:t>
            </w:r>
          </w:p>
        </w:tc>
        <w:tc>
          <w:tcPr>
            <w:tcW w:w="840" w:type="dxa"/>
            <w:vAlign w:val="bottom"/>
            <w:gridSpan w:val="2"/>
          </w:tcPr>
          <w:p>
            <w:pPr>
              <w:jc w:val="right"/>
              <w:ind w:right="488"/>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39"/>
              <w:spacing w:after="0"/>
              <w:rPr>
                <w:sz w:val="20"/>
                <w:szCs w:val="20"/>
                <w:color w:val="auto"/>
              </w:rPr>
            </w:pPr>
            <w:r>
              <w:rPr>
                <w:rFonts w:ascii="Arial" w:cs="Arial" w:eastAsia="Arial" w:hAnsi="Arial"/>
                <w:sz w:val="16"/>
                <w:szCs w:val="16"/>
                <w:color w:val="auto"/>
              </w:rPr>
              <w:t>288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vMerge w:val="restart"/>
          </w:tcPr>
          <w:p>
            <w:pPr>
              <w:spacing w:after="0"/>
              <w:rPr>
                <w:sz w:val="22"/>
                <w:szCs w:val="22"/>
                <w:color w:val="auto"/>
              </w:rPr>
            </w:pPr>
          </w:p>
        </w:tc>
        <w:tc>
          <w:tcPr>
            <w:tcW w:w="8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NON-CASH FINANCING ACTIVITIES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00" w:type="dxa"/>
            <w:vAlign w:val="bottom"/>
          </w:tcPr>
          <w:p>
            <w:pPr>
              <w:ind w:left="480"/>
              <w:spacing w:after="0"/>
              <w:rPr>
                <w:sz w:val="20"/>
                <w:szCs w:val="20"/>
                <w:color w:val="auto"/>
              </w:rPr>
            </w:pPr>
            <w:r>
              <w:rPr>
                <w:rFonts w:ascii="Arial" w:cs="Arial" w:eastAsia="Arial" w:hAnsi="Arial"/>
                <w:sz w:val="16"/>
                <w:szCs w:val="16"/>
                <w:color w:val="auto"/>
                <w:w w:val="96"/>
              </w:rPr>
              <w:t>Non-cash reduction of Additional paid-in capital for decrease in Deferred tax liabilities distributed to Marriott Vacations</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00" w:type="dxa"/>
            <w:vAlign w:val="bottom"/>
          </w:tcPr>
          <w:p>
            <w:pPr>
              <w:ind w:left="640"/>
              <w:spacing w:after="0"/>
              <w:rPr>
                <w:sz w:val="20"/>
                <w:szCs w:val="20"/>
                <w:color w:val="auto"/>
              </w:rPr>
            </w:pPr>
            <w:r>
              <w:rPr>
                <w:rFonts w:ascii="Arial" w:cs="Arial" w:eastAsia="Arial" w:hAnsi="Arial"/>
                <w:sz w:val="16"/>
                <w:szCs w:val="16"/>
                <w:color w:val="auto"/>
              </w:rPr>
              <w:t>Worldwide at Spin-Off</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840" w:type="dxa"/>
            <w:vAlign w:val="bottom"/>
            <w:gridSpan w:val="2"/>
          </w:tcPr>
          <w:p>
            <w:pPr>
              <w:jc w:val="right"/>
              <w:ind w:right="488"/>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5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generally provides on-site management for Ritz-Carlton branded properties.</w:t>
      </w:r>
    </w:p>
    <w:p>
      <w:pPr>
        <w:spacing w:after="0" w:line="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business is grouped into three reportable segments: North America, Europe and Asia Pacific. As of September 12, 2014, we operated 62 properties in the United States and nine other countries and territories. We generate most of our revenues from four primary sources: selling vacation ownership products; managing our resorts; financing consumer purchases; and renting vacation ownership inventory.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15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On November 21, 2011, the spin-off of Marriott Vacations Worldwide from Marriott International (the “Spin-Off”) was completed. As a result of the Spin-Off, we became an independent public company, and our common stock is listed on the New York Stock Exchange under the symbol “VAC.” Following the Spin-Off, we and Marriott International have operated independently, and neither company has any ownership interest in the other.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58" w:lineRule="exact"/>
        <w:rPr>
          <w:sz w:val="20"/>
          <w:szCs w:val="20"/>
          <w:color w:val="auto"/>
        </w:rPr>
      </w:pPr>
    </w:p>
    <w:p>
      <w:pPr>
        <w:jc w:val="both"/>
        <w:ind w:right="300" w:firstLine="456"/>
        <w:spacing w:after="0" w:line="288" w:lineRule="auto"/>
        <w:rPr>
          <w:sz w:val="20"/>
          <w:szCs w:val="20"/>
          <w:color w:val="auto"/>
        </w:rPr>
      </w:pPr>
      <w:r>
        <w:rPr>
          <w:rFonts w:ascii="Arial" w:cs="Arial" w:eastAsia="Arial" w:hAnsi="Arial"/>
          <w:sz w:val="16"/>
          <w:szCs w:val="16"/>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w:t>
      </w:r>
    </w:p>
    <w:p>
      <w:pPr>
        <w:ind w:right="260"/>
        <w:spacing w:after="0" w:line="255" w:lineRule="auto"/>
        <w:rPr>
          <w:sz w:val="20"/>
          <w:szCs w:val="20"/>
          <w:color w:val="auto"/>
        </w:rPr>
      </w:pPr>
      <w:r>
        <w:rPr>
          <w:rFonts w:ascii="Arial" w:cs="Arial" w:eastAsia="Arial" w:hAnsi="Arial"/>
          <w:sz w:val="18"/>
          <w:szCs w:val="18"/>
          <w:color w:val="auto"/>
        </w:rPr>
        <w:t>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order to make this report easier to read, we refer throughout to (i) our Interim Consolidated Financial Statements as our “Financial Statements,”</w:t>
      </w:r>
    </w:p>
    <w:p>
      <w:pPr>
        <w:spacing w:after="0" w:line="35" w:lineRule="exact"/>
        <w:rPr>
          <w:sz w:val="20"/>
          <w:szCs w:val="20"/>
          <w:color w:val="auto"/>
        </w:rPr>
      </w:pPr>
    </w:p>
    <w:p>
      <w:pPr>
        <w:jc w:val="both"/>
        <w:ind w:right="300" w:firstLine="8"/>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w:t>
      </w:r>
    </w:p>
    <w:p>
      <w:pPr>
        <w:spacing w:after="0" w:line="12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otherwise specified, each reference to a particular quarter in these Financial Statements means the twelve weeks ended on the date shown in the following table, rather than the corresponding calendar quarter:</w:t>
      </w:r>
    </w:p>
    <w:p>
      <w:pPr>
        <w:spacing w:after="0" w:line="68" w:lineRule="exact"/>
        <w:rPr>
          <w:sz w:val="20"/>
          <w:szCs w:val="20"/>
          <w:color w:val="auto"/>
        </w:rPr>
      </w:pPr>
    </w:p>
    <w:tbl>
      <w:tblPr>
        <w:tblLayout w:type="fixed"/>
        <w:tblInd w:w="2980" w:type="dxa"/>
        <w:tblCellMar>
          <w:top w:w="0" w:type="dxa"/>
          <w:left w:w="0" w:type="dxa"/>
          <w:bottom w:w="0" w:type="dxa"/>
          <w:right w:w="0" w:type="dxa"/>
        </w:tblCellMar>
      </w:tblPr>
      <w:tr>
        <w:trPr>
          <w:trHeight w:val="185"/>
        </w:trPr>
        <w:tc>
          <w:tcPr>
            <w:tcW w:w="2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Fiscal Year</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6"/>
              </w:rPr>
              <w:t>Quarter-End Date</w:t>
            </w:r>
          </w:p>
        </w:tc>
      </w:tr>
      <w:tr>
        <w:trPr>
          <w:trHeight w:val="195"/>
        </w:trPr>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2014 Third Quarter</w:t>
            </w:r>
          </w:p>
        </w:tc>
        <w:tc>
          <w:tcPr>
            <w:tcW w:w="140" w:type="dxa"/>
            <w:vAlign w:val="bottom"/>
          </w:tcPr>
          <w:p>
            <w:pPr>
              <w:spacing w:after="0"/>
              <w:rPr>
                <w:sz w:val="16"/>
                <w:szCs w:val="16"/>
                <w:color w:val="auto"/>
              </w:rPr>
            </w:pPr>
          </w:p>
        </w:tc>
        <w:tc>
          <w:tcPr>
            <w:tcW w:w="2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September 12, 2014</w:t>
            </w:r>
          </w:p>
        </w:tc>
      </w:tr>
      <w:tr>
        <w:trPr>
          <w:trHeight w:val="216"/>
        </w:trPr>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2014 Second Quarter</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June 20, 2014</w:t>
            </w:r>
          </w:p>
        </w:tc>
      </w:tr>
      <w:tr>
        <w:trPr>
          <w:trHeight w:val="216"/>
        </w:trPr>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2014 First Quarter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28, 2014</w:t>
            </w:r>
          </w:p>
        </w:tc>
      </w:tr>
      <w:tr>
        <w:trPr>
          <w:trHeight w:val="216"/>
        </w:trPr>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2013 Third Quarter</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September 6, 2013</w:t>
            </w:r>
          </w:p>
        </w:tc>
      </w:tr>
      <w:tr>
        <w:trPr>
          <w:trHeight w:val="216"/>
        </w:trPr>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2013 Second Quarter</w:t>
            </w:r>
          </w:p>
        </w:tc>
        <w:tc>
          <w:tcPr>
            <w:tcW w:w="2720" w:type="dxa"/>
            <w:vAlign w:val="bottom"/>
          </w:tcPr>
          <w:p>
            <w:pPr>
              <w:jc w:val="center"/>
              <w:spacing w:after="0"/>
              <w:rPr>
                <w:sz w:val="20"/>
                <w:szCs w:val="20"/>
                <w:color w:val="auto"/>
              </w:rPr>
            </w:pPr>
            <w:r>
              <w:rPr>
                <w:rFonts w:ascii="Arial" w:cs="Arial" w:eastAsia="Arial" w:hAnsi="Arial"/>
                <w:sz w:val="18"/>
                <w:szCs w:val="18"/>
                <w:color w:val="auto"/>
                <w:w w:val="87"/>
              </w:rPr>
              <w:t>June 14, 2013</w:t>
            </w:r>
          </w:p>
        </w:tc>
      </w:tr>
      <w:tr>
        <w:trPr>
          <w:trHeight w:val="230"/>
        </w:trPr>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2013 First Quarter</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March 22, 2013</w:t>
            </w:r>
          </w:p>
        </w:tc>
      </w:tr>
    </w:tbl>
    <w:p>
      <w:pPr>
        <w:spacing w:after="0" w:line="16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114"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Financial Statements in conjunction with the consolidated financial statements and notes to those consolidated financial statements included in our Annual Report on Form 10-K for the fiscal year ended January 3, 2014.</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liability, self-insured medical plan reserves, equity-based compensation, income taxes, loss contingencies and exit and disposal activities reserves. Accordingly, actual amounts may differ from these estimated amounts.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reclassified certain prior year amounts to conform to our 2014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58"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u w:val="single" w:color="auto"/>
          <w:color w:val="auto"/>
        </w:rPr>
        <w:t>Accounting Standards Update No. 2013-11 – “</w:t>
      </w:r>
      <w:r>
        <w:rPr>
          <w:rFonts w:ascii="Arial" w:cs="Arial" w:eastAsia="Arial" w:hAnsi="Arial"/>
          <w:sz w:val="18"/>
          <w:szCs w:val="18"/>
          <w:i w:val="1"/>
          <w:iCs w:val="1"/>
          <w:u w:val="single" w:color="auto"/>
          <w:color w:val="auto"/>
        </w:rPr>
        <w:t>Presentation of an Unrecognized Tax Benefit When a Net Operating Loss Carryforward, a Similar Tax</w:t>
      </w:r>
      <w:r>
        <w:rPr>
          <w:rFonts w:ascii="Arial" w:cs="Arial" w:eastAsia="Arial" w:hAnsi="Arial"/>
          <w:sz w:val="18"/>
          <w:szCs w:val="18"/>
          <w:u w:val="single" w:color="auto"/>
          <w:color w:val="auto"/>
        </w:rPr>
        <w:t xml:space="preserve"> </w:t>
      </w:r>
      <w:r>
        <w:rPr>
          <w:rFonts w:ascii="Arial" w:cs="Arial" w:eastAsia="Arial" w:hAnsi="Arial"/>
          <w:sz w:val="18"/>
          <w:szCs w:val="18"/>
          <w:i w:val="1"/>
          <w:iCs w:val="1"/>
          <w:u w:val="single" w:color="auto"/>
          <w:color w:val="auto"/>
        </w:rPr>
        <w:t>Loss, or a Tax Credit Carryforward Exists</w:t>
      </w:r>
      <w:r>
        <w:rPr>
          <w:rFonts w:ascii="Arial" w:cs="Arial" w:eastAsia="Arial" w:hAnsi="Arial"/>
          <w:sz w:val="18"/>
          <w:szCs w:val="18"/>
          <w:u w:val="single" w:color="auto"/>
          <w:color w:val="auto"/>
        </w:rPr>
        <w:t>” (“ASU No. 2013-11”)</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ASU No. 2013-11, which we adopted in the first quarter of 2014, provides financial statement presentation guidance on whether an unrecognized tax benefit must be presented as either a reduction to a deferred tax asset or separately as a liability. Our adoption of this update did not have a material impact on our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Accounting Standards Update No. 2014-08 – “</w:t>
      </w:r>
      <w:r>
        <w:rPr>
          <w:rFonts w:ascii="Arial" w:cs="Arial" w:eastAsia="Arial" w:hAnsi="Arial"/>
          <w:sz w:val="17"/>
          <w:szCs w:val="17"/>
          <w:i w:val="1"/>
          <w:iCs w:val="1"/>
          <w:u w:val="single" w:color="auto"/>
          <w:color w:val="auto"/>
        </w:rPr>
        <w:t>Presentation of Financial Statements (Topic 205) and Property, Plant, and Equipment (Topic 360):</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Reporting Discontinued Operations and Disclosures of Disposals of Components of an Entity</w:t>
      </w:r>
      <w:r>
        <w:rPr>
          <w:rFonts w:ascii="Arial" w:cs="Arial" w:eastAsia="Arial" w:hAnsi="Arial"/>
          <w:sz w:val="18"/>
          <w:szCs w:val="18"/>
          <w:u w:val="single" w:color="auto"/>
          <w:color w:val="auto"/>
        </w:rPr>
        <w:t>” (“ASU No. 2014-08”)</w:t>
      </w:r>
    </w:p>
    <w:p>
      <w:pPr>
        <w:spacing w:after="0" w:line="10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ASU No. 2014-08, which we adopted in the first quarter of 2014, raises the threshold for a disposal to qualify as a discontinued operation and requires new disclosures of both discontinued operations and certain other disposals that do not meet the definition of a discontinued operation. ASU No. 2014-08 is effective for annual periods beginning after December 15, 2014, and interim periods within annual periods beginning on or after December 15, 2015, with early adoption permitted. Our adoption of this update did not have a material impact on our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Accounting Standards Update No. 2014-09 – “</w:t>
      </w:r>
      <w:r>
        <w:rPr>
          <w:rFonts w:ascii="Arial" w:cs="Arial" w:eastAsia="Arial" w:hAnsi="Arial"/>
          <w:sz w:val="18"/>
          <w:szCs w:val="18"/>
          <w:i w:val="1"/>
          <w:iCs w:val="1"/>
          <w:u w:val="single" w:color="auto"/>
          <w:color w:val="auto"/>
        </w:rPr>
        <w:t>Revenue from Contracts with Customers (Topic 606)</w:t>
      </w:r>
      <w:r>
        <w:rPr>
          <w:rFonts w:ascii="Arial" w:cs="Arial" w:eastAsia="Arial" w:hAnsi="Arial"/>
          <w:sz w:val="18"/>
          <w:szCs w:val="18"/>
          <w:u w:val="single" w:color="auto"/>
          <w:color w:val="auto"/>
        </w:rPr>
        <w:t>” (“ASU No. 2014-09”)</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May 2014, the Financial Accounting Standards Board issued ASU No. 2014-09, which specifies how and when to recognize revenue and requires informative, relevant disclosures. ASU 2014-09 will be effective for financial statements issued for the first interim period within annual reporting periods beginning after December 15, 2016, and does not permit early adoption. We will adopt ASU 2014-09 in the first quarter of 2017 and are currently evaluating the impact it will have on our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4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file U.S. consolidated federal and state tax returns, as well as separate tax filings for non-U.S. jurisdictions. We entered into a Tax Sharing and Indemnification Agreement with Marriott International, effective November 21, 2011 (as subsequently amended, the “Tax Sharing and Indemnification Agreement”), which governs the allocation of responsibility for federal, state, local and foreign income and other taxes related to taxable periods prior to and subsequent to the Spin-Off between Marriott International and Marriott Vacations Worldwide. Under this agreement,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as set forth in the agreement, and each will indemnify and hold harmless the other from and against the taxes so allocated. During the thirty-six weeks ended September 12, 2014, we increased our Deferred tax liabilities by $2 million for adjustments to the Deferred tax liabilities at the time of the Spin-Off with a corresponding reduction to Additional paid-in-capital.</w:t>
      </w:r>
    </w:p>
    <w:p>
      <w:pPr>
        <w:spacing w:after="0" w:line="13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total unrecognized tax benefit balance that, if recognized, would impact our effective tax rate was less than $1 million at both September 12, 2014 and January 3, 2014.</w:t>
      </w:r>
    </w:p>
    <w:p>
      <w:pPr>
        <w:spacing w:after="0" w:line="103"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We have joined in the Marriott International U.S. federal tax consolidated filing for periods up to the date of the Spin-Off. The IRS has examined Marriott International’s federal income tax returns, and it has settled all issues related to the timeshare business for the tax years through the Spin-Off. Although we do not anticipate that a significant impact to our unrecognized tax benefit balance will occur during the next fiscal year as a result of audits by other tax jurisdictions, the amount of our liability for unrecognized tax benefits could change as a result of these audits. Pursuant to the Tax Sharing and Indemnification Agreement, Marriott International is liable and shall pay the relevant tax authority for all taxes related to our taxable income prior to the Spin-Off. Our tax years subsequent to the Spin-Off are subject to examination by relevant tax authorities.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22"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4"/>
                <w:szCs w:val="14"/>
                <w:color w:val="auto"/>
              </w:rPr>
            </w:pPr>
          </w:p>
        </w:tc>
        <w:tc>
          <w:tcPr>
            <w:tcW w:w="136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September 12, 2014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 2014</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580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xml:space="preserve">Eligible for securitization </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r>
      <w:tr>
        <w:trPr>
          <w:trHeight w:val="223"/>
        </w:trPr>
        <w:tc>
          <w:tcPr>
            <w:tcW w:w="5560" w:type="dxa"/>
            <w:vAlign w:val="bottom"/>
          </w:tcPr>
          <w:p>
            <w:pPr>
              <w:ind w:left="540"/>
              <w:spacing w:after="0"/>
              <w:rPr>
                <w:sz w:val="20"/>
                <w:szCs w:val="20"/>
                <w:color w:val="auto"/>
              </w:rPr>
            </w:pPr>
            <w:r>
              <w:rPr>
                <w:rFonts w:ascii="Arial" w:cs="Arial" w:eastAsia="Arial" w:hAnsi="Arial"/>
                <w:sz w:val="18"/>
                <w:szCs w:val="18"/>
                <w:color w:val="auto"/>
              </w:rPr>
              <w:t xml:space="preserve">Not eligible for securitization </w:t>
            </w:r>
            <w:r>
              <w:rPr>
                <w:rFonts w:ascii="Arial" w:cs="Arial" w:eastAsia="Arial" w:hAnsi="Arial"/>
                <w:sz w:val="15"/>
                <w:szCs w:val="15"/>
                <w:color w:val="auto"/>
              </w:rPr>
              <w:t>(1)</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r>
      <w:tr>
        <w:trPr>
          <w:trHeight w:val="216"/>
        </w:trPr>
        <w:tc>
          <w:tcPr>
            <w:tcW w:w="5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Subtotal</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18"/>
                <w:szCs w:val="18"/>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912</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970</w:t>
            </w:r>
          </w:p>
        </w:tc>
        <w:tc>
          <w:tcPr>
            <w:tcW w:w="6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43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8"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8"/>
          <w:szCs w:val="18"/>
          <w:color w:val="auto"/>
        </w:rPr>
        <w:t>Refer to Footnote No. 4, “Financial Instruments,” for discussion of eligibility of our vacation ownership notes receivable.</w:t>
      </w:r>
    </w:p>
    <w:p>
      <w:pPr>
        <w:spacing w:after="0" w:line="18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securitized and non-securitized vacation ownership notes receivable:</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Non-Securitized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Securitized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152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Notes Receivable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Notes Receivable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1520" w:type="dxa"/>
            <w:vAlign w:val="bottom"/>
          </w:tcPr>
          <w:p>
            <w:pPr>
              <w:jc w:val="right"/>
              <w:ind w:right="154"/>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520" w:type="dxa"/>
            <w:vAlign w:val="bottom"/>
          </w:tcPr>
          <w:p>
            <w:pPr>
              <w:jc w:val="right"/>
              <w:ind w:right="154"/>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12, 2014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w w:val="92"/>
              </w:rPr>
              <w:t>Weighted average stated interest rate at September 12, 2014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454"/>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434"/>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ind w:left="3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 at September 12, 2014</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0.0% to 19.5%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 to 19.5%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0.0% to 19.5%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on our Statements of Income in the Financing revenues caption. The following table summarizes interest income associated with vacation ownership notes receivable:</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4"/>
          </w:tcPr>
          <w:p>
            <w:pPr>
              <w:jc w:val="right"/>
              <w:ind w:right="478"/>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w w:val="95"/>
              </w:rPr>
              <w:t>September 6,</w:t>
            </w: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w w:val="95"/>
              </w:rPr>
              <w:t>September 6,</w:t>
            </w:r>
          </w:p>
        </w:tc>
        <w:tc>
          <w:tcPr>
            <w:tcW w:w="60" w:type="dxa"/>
            <w:vAlign w:val="bottom"/>
          </w:tcPr>
          <w:p>
            <w:pPr>
              <w:spacing w:after="0"/>
              <w:rPr>
                <w:sz w:val="10"/>
                <w:szCs w:val="10"/>
                <w:color w:val="auto"/>
              </w:rPr>
            </w:pPr>
          </w:p>
        </w:tc>
      </w:tr>
      <w:tr>
        <w:trPr>
          <w:trHeight w:val="171"/>
        </w:trPr>
        <w:tc>
          <w:tcPr>
            <w:tcW w:w="5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4"/>
                <w:szCs w:val="14"/>
                <w:color w:val="auto"/>
              </w:rPr>
            </w:pPr>
          </w:p>
        </w:tc>
        <w:tc>
          <w:tcPr>
            <w:tcW w:w="1040" w:type="dxa"/>
            <w:vAlign w:val="bottom"/>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18"/>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18"/>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Interest income associated with vacation ownership notes receivable —</w:t>
            </w: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securitized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w w:val="95"/>
              </w:rPr>
              <w:t>Interest income associated with vacation ownership notes receivable —</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non-securitized</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1"/>
              </w:rPr>
              <w:t>Total interest income associated with vacation ownership notes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related to our vacation ownership notes receivable reserve for the thirty-six weeks ended September 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9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jc w:val="center"/>
              <w:ind w:right="272"/>
              <w:spacing w:after="0"/>
              <w:rPr>
                <w:sz w:val="20"/>
                <w:szCs w:val="20"/>
                <w:color w:val="auto"/>
              </w:rPr>
            </w:pPr>
            <w:r>
              <w:rPr>
                <w:rFonts w:ascii="Arial" w:cs="Arial" w:eastAsia="Arial" w:hAnsi="Arial"/>
                <w:sz w:val="14"/>
                <w:szCs w:val="14"/>
                <w:b w:val="1"/>
                <w:bCs w:val="1"/>
                <w:color w:val="auto"/>
                <w:w w:val="93"/>
              </w:rPr>
              <w:t>Non-Securitized</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center"/>
              <w:ind w:right="372"/>
              <w:spacing w:after="0"/>
              <w:rPr>
                <w:sz w:val="20"/>
                <w:szCs w:val="20"/>
                <w:color w:val="auto"/>
              </w:rPr>
            </w:pPr>
            <w:r>
              <w:rPr>
                <w:rFonts w:ascii="Arial" w:cs="Arial" w:eastAsia="Arial" w:hAnsi="Arial"/>
                <w:sz w:val="14"/>
                <w:szCs w:val="14"/>
                <w:b w:val="1"/>
                <w:bCs w:val="1"/>
                <w:color w:val="auto"/>
                <w:w w:val="90"/>
              </w:rPr>
              <w:t>Securitized</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40" w:type="dxa"/>
            <w:vAlign w:val="bottom"/>
          </w:tcPr>
          <w:p>
            <w:pPr>
              <w:spacing w:after="0"/>
              <w:rPr>
                <w:sz w:val="12"/>
                <w:szCs w:val="12"/>
                <w:color w:val="auto"/>
              </w:rPr>
            </w:pPr>
          </w:p>
        </w:tc>
        <w:tc>
          <w:tcPr>
            <w:tcW w:w="1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Notes Receivable Reserve</w:t>
            </w:r>
          </w:p>
        </w:tc>
        <w:tc>
          <w:tcPr>
            <w:tcW w:w="14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Notes Receivable Reserve</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 2014</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52</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80" w:type="dxa"/>
            <w:vAlign w:val="bottom"/>
          </w:tcPr>
          <w:p>
            <w:pPr>
              <w:spacing w:after="0"/>
              <w:rPr>
                <w:sz w:val="18"/>
                <w:szCs w:val="18"/>
                <w:color w:val="auto"/>
              </w:rPr>
            </w:pP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 xml:space="preserve">Clean-up calls </w:t>
            </w:r>
            <w:r>
              <w:rPr>
                <w:rFonts w:ascii="Arial" w:cs="Arial" w:eastAsia="Arial" w:hAnsi="Arial"/>
                <w:sz w:val="15"/>
                <w:szCs w:val="15"/>
                <w:color w:val="auto"/>
              </w:rPr>
              <w:t>(1)</w:t>
            </w:r>
          </w:p>
        </w:tc>
        <w:tc>
          <w:tcPr>
            <w:tcW w:w="380" w:type="dxa"/>
            <w:vAlign w:val="bottom"/>
          </w:tcPr>
          <w:p>
            <w:pPr>
              <w:spacing w:after="0"/>
              <w:rPr>
                <w:sz w:val="18"/>
                <w:szCs w:val="18"/>
                <w:color w:val="auto"/>
              </w:rPr>
            </w:pPr>
          </w:p>
        </w:tc>
        <w:tc>
          <w:tcPr>
            <w:tcW w:w="1480" w:type="dxa"/>
            <w:vAlign w:val="bottom"/>
          </w:tcPr>
          <w:p>
            <w:pPr>
              <w:jc w:val="right"/>
              <w:ind w:right="17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Defaulted vacation ownership notes receivable</w:t>
            </w: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 xml:space="preserve">repurchase activity </w:t>
            </w:r>
            <w:r>
              <w:rPr>
                <w:rFonts w:ascii="Arial" w:cs="Arial" w:eastAsia="Arial" w:hAnsi="Arial"/>
                <w:sz w:val="15"/>
                <w:szCs w:val="15"/>
                <w:color w:val="auto"/>
              </w:rPr>
              <w:t>(2)</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12, 2014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83</w:t>
            </w:r>
          </w:p>
        </w:tc>
        <w:tc>
          <w:tcPr>
            <w:tcW w:w="6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41</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43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8" w:lineRule="exact"/>
        <w:rPr>
          <w:sz w:val="20"/>
          <w:szCs w:val="20"/>
          <w:color w:val="auto"/>
        </w:rPr>
      </w:pPr>
    </w:p>
    <w:p>
      <w:pPr>
        <w:ind w:left="580" w:right="600" w:hanging="572"/>
        <w:spacing w:after="0" w:line="277"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75" w:lineRule="exact"/>
        <w:rPr>
          <w:rFonts w:ascii="Arial" w:cs="Arial" w:eastAsia="Arial" w:hAnsi="Arial"/>
          <w:sz w:val="15"/>
          <w:szCs w:val="15"/>
          <w:color w:val="auto"/>
        </w:rPr>
      </w:pPr>
    </w:p>
    <w:p>
      <w:pPr>
        <w:ind w:left="580" w:right="60" w:hanging="572"/>
        <w:spacing w:after="0" w:line="308"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7"/>
          <w:szCs w:val="17"/>
          <w:color w:val="auto"/>
        </w:rPr>
        <w:t>Decrease in securitized vacation ownership notes receivable reserve and increase in non-securitized vacation ownership notes receivable reserve was attributable to the transfer of the reserve when we voluntarily repurchased the securitized vacation ownership notes receivable.</w:t>
      </w:r>
    </w:p>
    <w:p>
      <w:pPr>
        <w:spacing w:after="0" w:line="3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Although we consider loans to owners to be past due if we do not receive payment within 30 days after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Europe or Asia Pacific, when revocation is complete. For both non-securitized and securitized vacation ownership notes receivable, we estimated average remaining default rates of 6.94 percent and 7.13 percent as of September 12, 2014 and January 3, 2014, respectively. A 0.5 percentage point increase in the estimated default rate would have resulted in an increase in our allowance for loan losses of $5 million as of both September 12, 2014 and January 3, 2014.</w:t>
      </w:r>
    </w:p>
    <w:p>
      <w:pPr>
        <w:spacing w:after="0" w:line="5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5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Non-Securitized</w:t>
            </w:r>
          </w:p>
        </w:tc>
        <w:tc>
          <w:tcPr>
            <w:tcW w:w="2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Securitized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4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22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Notes Receivable</w:t>
            </w: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Notes Receivable</w:t>
            </w:r>
          </w:p>
        </w:tc>
        <w:tc>
          <w:tcPr>
            <w:tcW w:w="2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Investment in vacation ownership notes receivable on non-accrual status at September 12, 2014</w:t>
            </w: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w w:val="98"/>
              </w:rPr>
              <w:t>Investment in vacation ownership notes receivable on non-accrual status at January 3, 2014</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Average investment in vacation ownership notes receivable on non-accrual status during the thirty-</w:t>
            </w: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six weeks ended September 12, 2014</w:t>
            </w:r>
          </w:p>
        </w:tc>
        <w:tc>
          <w:tcPr>
            <w:tcW w:w="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20" w:type="dxa"/>
            <w:vAlign w:val="bottom"/>
          </w:tcPr>
          <w:p>
            <w:pPr>
              <w:spacing w:after="0" w:line="201" w:lineRule="exact"/>
              <w:rPr>
                <w:sz w:val="20"/>
                <w:szCs w:val="20"/>
                <w:color w:val="auto"/>
              </w:rPr>
            </w:pPr>
            <w:r>
              <w:rPr>
                <w:rFonts w:ascii="Arial" w:cs="Arial" w:eastAsia="Arial" w:hAnsi="Arial"/>
                <w:sz w:val="18"/>
                <w:szCs w:val="18"/>
                <w:color w:val="auto"/>
                <w:w w:val="91"/>
              </w:rPr>
              <w:t>Average investment in vacation ownership notes receivable on non-accrual status during the thirty-</w:t>
            </w: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180"/>
              <w:spacing w:after="0"/>
              <w:rPr>
                <w:sz w:val="20"/>
                <w:szCs w:val="20"/>
                <w:color w:val="auto"/>
              </w:rPr>
            </w:pPr>
            <w:r>
              <w:rPr>
                <w:rFonts w:ascii="Arial" w:cs="Arial" w:eastAsia="Arial" w:hAnsi="Arial"/>
                <w:sz w:val="18"/>
                <w:szCs w:val="18"/>
                <w:color w:val="auto"/>
              </w:rPr>
              <w:t>six weeks ended September 6, 2013</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0"/>
                <w:szCs w:val="20"/>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2014:</w:t>
      </w:r>
    </w:p>
    <w:p>
      <w:pPr>
        <w:spacing w:after="0" w:line="12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Non-Securitized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Securitized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Notes Receivable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Notes Receivable</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31 – 90 days past due</w:t>
            </w:r>
          </w:p>
        </w:tc>
        <w:tc>
          <w:tcPr>
            <w:tcW w:w="1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91 – 150 days past due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36"/>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36"/>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 past due</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36"/>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136"/>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17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700" w:type="dxa"/>
            <w:vAlign w:val="bottom"/>
            <w:vMerge w:val="restart"/>
          </w:tcPr>
          <w:p>
            <w:pPr>
              <w:jc w:val="right"/>
              <w:ind w:right="41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January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9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Non-Securitized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16"/>
              <w:spacing w:after="0"/>
              <w:rPr>
                <w:sz w:val="20"/>
                <w:szCs w:val="20"/>
                <w:color w:val="auto"/>
              </w:rPr>
            </w:pPr>
            <w:r>
              <w:rPr>
                <w:rFonts w:ascii="Arial" w:cs="Arial" w:eastAsia="Arial" w:hAnsi="Arial"/>
                <w:sz w:val="14"/>
                <w:szCs w:val="14"/>
                <w:b w:val="1"/>
                <w:bCs w:val="1"/>
                <w:color w:val="auto"/>
                <w:w w:val="90"/>
              </w:rPr>
              <w:t>Securitized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Notes Receivable</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Notes Receivable</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31</w:t>
            </w:r>
          </w:p>
        </w:tc>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562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the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and Accrued liabilities, which had fair values approximating their carrying amounts due to the short maturities and liquidity of these instruments.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At September 12, 2014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5"/>
          </w:tcPr>
          <w:p>
            <w:pPr>
              <w:ind w:left="300"/>
              <w:spacing w:after="0"/>
              <w:rPr>
                <w:sz w:val="20"/>
                <w:szCs w:val="20"/>
                <w:color w:val="auto"/>
              </w:rPr>
            </w:pPr>
            <w:r>
              <w:rPr>
                <w:rFonts w:ascii="Arial" w:cs="Arial" w:eastAsia="Arial" w:hAnsi="Arial"/>
                <w:sz w:val="14"/>
                <w:szCs w:val="14"/>
                <w:b w:val="1"/>
                <w:bCs w:val="1"/>
                <w:color w:val="auto"/>
              </w:rPr>
              <w:t>At January 3,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54"/>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35"/>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Vacation ownership notes receivable — non-securitized</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970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4"/>
            <w:vMerge w:val="restart"/>
          </w:tcPr>
          <w:p>
            <w:pPr>
              <w:spacing w:after="0"/>
              <w:rPr>
                <w:sz w:val="20"/>
                <w:szCs w:val="20"/>
                <w:color w:val="auto"/>
              </w:rPr>
            </w:pPr>
            <w:r>
              <w:rPr>
                <w:rFonts w:ascii="Arial" w:cs="Arial" w:eastAsia="Arial" w:hAnsi="Arial"/>
                <w:sz w:val="18"/>
                <w:szCs w:val="18"/>
                <w:color w:val="auto"/>
                <w:w w:val="98"/>
              </w:rPr>
              <w:t>Non-recourse debt associated with vacation ownership notes receivable securitizations</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840" w:type="dxa"/>
            <w:vAlign w:val="bottom"/>
            <w:gridSpan w:val="4"/>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debt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80" w:type="dxa"/>
            <w:vAlign w:val="bottom"/>
            <w:gridSpan w:val="2"/>
          </w:tcPr>
          <w:p>
            <w:pPr>
              <w:spacing w:after="0"/>
              <w:rPr>
                <w:sz w:val="20"/>
                <w:szCs w:val="20"/>
                <w:color w:val="auto"/>
              </w:rPr>
            </w:pPr>
            <w:r>
              <w:rPr>
                <w:rFonts w:ascii="Arial" w:cs="Arial" w:eastAsia="Arial" w:hAnsi="Arial"/>
                <w:sz w:val="15"/>
                <w:szCs w:val="15"/>
                <w:color w:val="auto"/>
              </w:rPr>
              <w:t>(1)</w:t>
            </w:r>
          </w:p>
        </w:tc>
        <w:tc>
          <w:tcPr>
            <w:tcW w:w="6460" w:type="dxa"/>
            <w:vAlign w:val="bottom"/>
            <w:gridSpan w:val="2"/>
          </w:tcPr>
          <w:p>
            <w:pPr>
              <w:ind w:left="200"/>
              <w:spacing w:after="0"/>
              <w:rPr>
                <w:sz w:val="20"/>
                <w:szCs w:val="20"/>
                <w:color w:val="auto"/>
              </w:rPr>
            </w:pPr>
            <w:r>
              <w:rPr>
                <w:rFonts w:ascii="Arial" w:cs="Arial" w:eastAsia="Arial" w:hAnsi="Arial"/>
                <w:sz w:val="18"/>
                <w:szCs w:val="18"/>
                <w:color w:val="auto"/>
              </w:rPr>
              <w:t>Fair value of financial instruments has been determined using Level 3 inputs.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7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right"/>
              <w:ind w:right="198"/>
              <w:spacing w:after="0"/>
              <w:rPr>
                <w:sz w:val="20"/>
                <w:szCs w:val="20"/>
                <w:color w:val="auto"/>
              </w:rPr>
            </w:pPr>
            <w:r>
              <w:rPr>
                <w:rFonts w:ascii="Arial" w:cs="Arial" w:eastAsia="Arial" w:hAnsi="Arial"/>
                <w:sz w:val="14"/>
                <w:szCs w:val="14"/>
                <w:b w:val="1"/>
                <w:bCs w:val="1"/>
                <w:color w:val="auto"/>
              </w:rPr>
              <w:t>At September 12, 2014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ind w:left="240"/>
              <w:spacing w:after="0"/>
              <w:rPr>
                <w:sz w:val="20"/>
                <w:szCs w:val="20"/>
                <w:color w:val="auto"/>
              </w:rPr>
            </w:pPr>
            <w:r>
              <w:rPr>
                <w:rFonts w:ascii="Arial" w:cs="Arial" w:eastAsia="Arial" w:hAnsi="Arial"/>
                <w:sz w:val="14"/>
                <w:szCs w:val="14"/>
                <w:b w:val="1"/>
                <w:bCs w:val="1"/>
                <w:color w:val="auto"/>
              </w:rPr>
              <w:t>At January 3, 2014</w:t>
            </w:r>
          </w:p>
        </w:tc>
      </w:tr>
      <w:tr>
        <w:trPr>
          <w:trHeight w:val="119"/>
        </w:trPr>
        <w:tc>
          <w:tcPr>
            <w:tcW w:w="5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20"/>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78"/>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40"/>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r>
      <w:tr>
        <w:trPr>
          <w:trHeight w:val="171"/>
        </w:trPr>
        <w:tc>
          <w:tcPr>
            <w:tcW w:w="57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38"/>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 eligible for securitization</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Vacation ownership notes receivable — not eligible for securitization</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 — non-securitized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determine the carrying value of the future redemption obligation of our liability for the Marriott Rewards customer loyalty program based on statistical formulas that project the timing of future redemption of Marriott Rewards Points based on historical levels, including estimates of the number of Marriott Rewards Points that will eventually be redeemed and the “breakage” for points that will never be redeemed. We estimate the fair value of the future redemption obligation by adjusting the contractual discount rate to an estimate of that of a market participant with similar nonperformance risk.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estimate the fair value of our other liabilities that are financial instruments using expected future payments discounted at risk-adjusted rates. These liabilities represent guarantee costs and reserves and other structured payments. The carrying values of our financial instruments within Other liabilities approximate their fair values.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DISPOSITIONS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the following disposition transactions in furtherance of our initiative to dispose of excess undeveloped and partially developed land.</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third quarter of 2014, we entered into a purchase and sale agreement to dispose of undeveloped and partially developed land, an operating golf course, spa and clubhouse and related facilities, at The Abaco Club on Winding Bay (“The Abaco Club”) in the Bahamas. The transaction contemplated by the purchase and sale agreement is subject to a number of closing conditions, and we cannot be certain that the transaction will be completed in a timely manner, or at all. If the transaction is completed as contemplated by the purchase and sale agreement, we will account for the sale under the full accrual method in accordance with the guidance on accounting for sales of real estate. See Footnote No. 8, “Contingencies and Commitments,” for additional discussion of this pending transaction.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During the second quarter of 2014, we completed the sale of a parcel of undeveloped land on Singer Island, Florida for gross cash proceeds of $11 million. We accounted for the sale under the full accrual method in accordance with the guidance on accounting for sales of real estate and recorded a gain of less than $1 million, which is included in the Gains and other income line on the Statement of Income for the thirty-six weeks ended September 12, 2014.</w:t>
      </w:r>
    </w:p>
    <w:p>
      <w:pPr>
        <w:spacing w:after="0" w:line="3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During the second quarter of 2014, we entered into a purchase and sale agreement to dispose of undeveloped and partially developed land, an operating golf course and related assets, in Kauai, Hawaii for $60 million in gross cash proceeds. The transaction contemplated by the purchase and sale agreement is subject to a number of closing conditions, and we cannot be certain that the transaction will be completed in a timely manner, or at all. If the transaction is completed as contemplated by the purchase and sale agreement, we will account for the sale under the full accrual method in accordance with the guidance on accounting for sales of real estate.</w:t>
      </w:r>
    </w:p>
    <w:p>
      <w:pPr>
        <w:spacing w:after="0" w:line="8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first quarter of 2014, we disposed of a golf course and adjacent undeveloped land in Orlando, Florida for $24 million in gross cash proceeds. As a condition of the sale, we will continue to operate the golf course until the end of the first quarter of 2015 at our own risk. We will utilize the performance of services method to record a gain from the sale, which we estimate will be between $2 million to $3 million over the period during which we will operate the golf course, of which approximately $2 million is included in the Gains and other income line on the Statement of Income for the thirty-six weeks ended September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8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table below illustrates the reconciliation of the earnings and number of shares used in our calculation of basic and diluted earnings per share.</w:t>
      </w:r>
    </w:p>
    <w:p>
      <w:pPr>
        <w:spacing w:after="0" w:line="93"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Thirty-Six Weeks Ended</w:t>
            </w:r>
          </w:p>
        </w:tc>
        <w:tc>
          <w:tcPr>
            <w:tcW w:w="100" w:type="dxa"/>
            <w:vAlign w:val="bottom"/>
          </w:tcPr>
          <w:p>
            <w:pPr>
              <w:spacing w:after="0"/>
              <w:rPr>
                <w:sz w:val="14"/>
                <w:szCs w:val="14"/>
                <w:color w:val="auto"/>
              </w:rPr>
            </w:pPr>
          </w:p>
        </w:tc>
      </w:tr>
      <w:tr>
        <w:trPr>
          <w:trHeight w:val="160"/>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54"/>
              <w:spacing w:after="0" w:line="160" w:lineRule="exact"/>
              <w:rPr>
                <w:sz w:val="20"/>
                <w:szCs w:val="20"/>
                <w:color w:val="auto"/>
              </w:rPr>
            </w:pPr>
            <w:r>
              <w:rPr>
                <w:rFonts w:ascii="Arial" w:cs="Arial" w:eastAsia="Arial" w:hAnsi="Arial"/>
                <w:sz w:val="14"/>
                <w:szCs w:val="14"/>
                <w:b w:val="1"/>
                <w:bCs w:val="1"/>
                <w:color w:val="auto"/>
                <w:w w:val="93"/>
              </w:rPr>
              <w:t>September 12,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73"/>
              <w:spacing w:after="0" w:line="160" w:lineRule="exact"/>
              <w:rPr>
                <w:sz w:val="20"/>
                <w:szCs w:val="20"/>
                <w:color w:val="auto"/>
              </w:rPr>
            </w:pPr>
            <w:r>
              <w:rPr>
                <w:rFonts w:ascii="Arial" w:cs="Arial" w:eastAsia="Arial" w:hAnsi="Arial"/>
                <w:sz w:val="14"/>
                <w:szCs w:val="14"/>
                <w:b w:val="1"/>
                <w:bCs w:val="1"/>
                <w:color w:val="auto"/>
                <w:w w:val="93"/>
              </w:rPr>
              <w:t>September 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54"/>
              <w:spacing w:after="0" w:line="160" w:lineRule="exact"/>
              <w:rPr>
                <w:sz w:val="20"/>
                <w:szCs w:val="20"/>
                <w:color w:val="auto"/>
              </w:rPr>
            </w:pPr>
            <w:r>
              <w:rPr>
                <w:rFonts w:ascii="Arial" w:cs="Arial" w:eastAsia="Arial" w:hAnsi="Arial"/>
                <w:sz w:val="14"/>
                <w:szCs w:val="14"/>
                <w:b w:val="1"/>
                <w:bCs w:val="1"/>
                <w:color w:val="auto"/>
                <w:w w:val="93"/>
              </w:rPr>
              <w:t>September 12,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September 6,</w:t>
            </w:r>
          </w:p>
        </w:tc>
      </w:tr>
      <w:tr>
        <w:trPr>
          <w:trHeight w:val="185"/>
        </w:trPr>
        <w:tc>
          <w:tcPr>
            <w:tcW w:w="51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12"/>
                <w:szCs w:val="12"/>
                <w:b w:val="1"/>
                <w:bCs w:val="1"/>
                <w:color w:val="auto"/>
              </w:rPr>
              <w:t>(1)</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2"/>
                <w:szCs w:val="12"/>
                <w:b w:val="1"/>
                <w:bCs w:val="1"/>
                <w:color w:val="auto"/>
              </w:rPr>
              <w:t>(2)</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12"/>
                <w:szCs w:val="12"/>
                <w:b w:val="1"/>
                <w:bCs w:val="1"/>
                <w:color w:val="auto"/>
              </w:rPr>
              <w:t>(1)</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2"/>
                <w:szCs w:val="12"/>
                <w:b w:val="1"/>
                <w:bCs w:val="1"/>
                <w:color w:val="auto"/>
              </w:rPr>
              <w:t>(2)</w:t>
            </w:r>
          </w:p>
        </w:tc>
        <w:tc>
          <w:tcPr>
            <w:tcW w:w="100" w:type="dxa"/>
            <w:vAlign w:val="bottom"/>
            <w:tcBorders>
              <w:bottom w:val="single" w:sz="8" w:color="CCEEFF"/>
            </w:tcBorders>
          </w:tcPr>
          <w:p>
            <w:pPr>
              <w:spacing w:after="0"/>
              <w:rPr>
                <w:sz w:val="16"/>
                <w:szCs w:val="16"/>
                <w:color w:val="auto"/>
              </w:rPr>
            </w:pP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Computation of Basic Earnings Per Share</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Diluted Earnings Per Share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360"/>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options and SARs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r>
      <w:tr>
        <w:trPr>
          <w:trHeight w:val="223"/>
        </w:trPr>
        <w:tc>
          <w:tcPr>
            <w:tcW w:w="514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Shares for diluted earnings per share</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121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68" w:lineRule="exact"/>
        <w:rPr>
          <w:sz w:val="20"/>
          <w:szCs w:val="20"/>
          <w:color w:val="auto"/>
        </w:rPr>
      </w:pPr>
    </w:p>
    <w:p>
      <w:pPr>
        <w:ind w:left="460" w:right="80" w:hanging="452"/>
        <w:spacing w:after="0" w:line="312"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The computations of diluted earnings per share exclude approximately 179,000 shares of common stock, the maximum number of shares issuable as of September 12, 2014 upon the vesting of certain performance-based awards that have not already been included in the calculation, because the performance conditions required for the shares subject to such awards to vest were not achieved by the end of the reporting period.</w:t>
      </w:r>
    </w:p>
    <w:p>
      <w:pPr>
        <w:spacing w:after="0" w:line="52" w:lineRule="exact"/>
        <w:rPr>
          <w:rFonts w:ascii="Arial" w:cs="Arial" w:eastAsia="Arial" w:hAnsi="Arial"/>
          <w:sz w:val="14"/>
          <w:szCs w:val="14"/>
          <w:color w:val="auto"/>
        </w:rPr>
      </w:pPr>
    </w:p>
    <w:p>
      <w:pPr>
        <w:ind w:left="460" w:right="80" w:hanging="452"/>
        <w:spacing w:after="0" w:line="264"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computations of diluted earnings per share exclude approximately 229,000 shares of common stock, the maximum number of shares issuable as of September 6, 2013 upon the vesting of certain performance-based awards, because the performance conditions required for the shares subject to such awards to vest were not achieved by the end of the reporting period.</w:t>
      </w:r>
    </w:p>
    <w:p>
      <w:pPr>
        <w:spacing w:after="0" w:line="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For the twelve and thirty-six week periods ended September 12, 2014 and September 6, 2013, we have not excluded any shares underlying stock options or stock appreciation rights (“SARs”) that may be settled in shares of common stock from our calculation of diluted earnings per share as no exercise prices were greater than the average market prices for the applicable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At September 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At January 3,</w:t>
            </w:r>
          </w:p>
        </w:tc>
      </w:tr>
      <w:tr>
        <w:trPr>
          <w:trHeight w:val="171"/>
        </w:trPr>
        <w:tc>
          <w:tcPr>
            <w:tcW w:w="6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Finished goods </w:t>
            </w:r>
            <w:r>
              <w:rPr>
                <w:rFonts w:ascii="Arial" w:cs="Arial" w:eastAsia="Arial" w:hAnsi="Arial"/>
                <w:sz w:val="15"/>
                <w:szCs w:val="15"/>
                <w:color w:val="auto"/>
              </w:rPr>
              <w:t>(1)</w:t>
            </w: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 xml:space="preserve">Work-in-progress </w:t>
            </w:r>
            <w:r>
              <w:rPr>
                <w:rFonts w:ascii="Arial" w:cs="Arial" w:eastAsia="Arial" w:hAnsi="Arial"/>
                <w:sz w:val="15"/>
                <w:szCs w:val="15"/>
                <w:color w:val="auto"/>
              </w:rPr>
              <w:t>(2)</w:t>
            </w:r>
          </w:p>
        </w:tc>
        <w:tc>
          <w:tcPr>
            <w:tcW w:w="28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Land and infrastructure </w:t>
            </w:r>
            <w:r>
              <w:rPr>
                <w:rFonts w:ascii="Arial" w:cs="Arial" w:eastAsia="Arial" w:hAnsi="Arial"/>
                <w:sz w:val="15"/>
                <w:szCs w:val="15"/>
                <w:color w:val="auto"/>
              </w:rPr>
              <w:t>(3)</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Arial" w:cs="Arial" w:eastAsia="Arial" w:hAnsi="Arial"/>
                <w:sz w:val="18"/>
                <w:szCs w:val="18"/>
                <w:color w:val="auto"/>
              </w:rPr>
              <w:t>Real estate inventory</w:t>
            </w:r>
          </w:p>
        </w:tc>
        <w:tc>
          <w:tcPr>
            <w:tcW w:w="28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864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retail inventory</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870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340" w:hanging="452"/>
        <w:spacing w:after="0" w:line="258"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vacation ownership products under active construction for which a certificate of occupancy has not been received.</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sales centers that are expected to be converted into vacation ownership products to be sold in the future.</w:t>
      </w:r>
    </w:p>
    <w:p>
      <w:pPr>
        <w:spacing w:after="0" w:line="103" w:lineRule="exact"/>
        <w:rPr>
          <w:sz w:val="20"/>
          <w:szCs w:val="20"/>
          <w:color w:val="auto"/>
        </w:rPr>
      </w:pPr>
    </w:p>
    <w:p>
      <w:pPr>
        <w:ind w:right="700" w:firstLine="456"/>
        <w:spacing w:after="0" w:line="308" w:lineRule="auto"/>
        <w:rPr>
          <w:sz w:val="20"/>
          <w:szCs w:val="20"/>
          <w:color w:val="auto"/>
        </w:rPr>
      </w:pPr>
      <w:r>
        <w:rPr>
          <w:rFonts w:ascii="Arial" w:cs="Arial" w:eastAsia="Arial" w:hAnsi="Arial"/>
          <w:sz w:val="17"/>
          <w:szCs w:val="17"/>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 of vacation ownership products for the North America and Asia Pacific segments. The terms of these guarantees generally require us to fund if the purchaser fails to pay under the term of its note payable. Prior to the Spin-Off, Marriott International guaranteed our performance under these arrangements, and following the Spin-Off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North America segment. We are entitled to recover any funding to third-party lenders related to these guarantees through reacquisition and resale of the financed vacation ownership product. Our commitments under these guarantees expire as notes mature or are repaid. The terms of the underlying notes extend to 2022.</w:t>
      </w:r>
    </w:p>
    <w:p>
      <w:pPr>
        <w:spacing w:after="0" w:line="8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shows the maximum potential amount of future fundings for financing guarantees where we are the primary obligor and the carrying amount of the liability for expected future fundings.</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Maximum Potential</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Liability for Expected</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Future Fundings</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Amount of Future Fundings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At September 12, 2014</w:t>
            </w:r>
          </w:p>
        </w:tc>
        <w:tc>
          <w:tcPr>
            <w:tcW w:w="0" w:type="dxa"/>
            <w:vAlign w:val="bottom"/>
          </w:tcPr>
          <w:p>
            <w:pPr>
              <w:spacing w:after="0"/>
              <w:rPr>
                <w:sz w:val="1"/>
                <w:szCs w:val="1"/>
                <w:color w:val="auto"/>
              </w:rPr>
            </w:pPr>
          </w:p>
        </w:tc>
      </w:tr>
      <w:tr>
        <w:trPr>
          <w:trHeight w:val="171"/>
        </w:trPr>
        <w:tc>
          <w:tcPr>
            <w:tcW w:w="5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5"/>
              </w:rPr>
              <w:t>At September 12, 2014</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Asia Pacific</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7"/>
              <w:spacing w:after="0"/>
              <w:rPr>
                <w:sz w:val="20"/>
                <w:szCs w:val="20"/>
                <w:color w:val="auto"/>
              </w:rPr>
            </w:pPr>
            <w:r>
              <w:rPr>
                <w:rFonts w:ascii="Arial" w:cs="Arial" w:eastAsia="Arial" w:hAnsi="Arial"/>
                <w:sz w:val="18"/>
                <w:szCs w:val="18"/>
                <w:color w:val="auto"/>
              </w:rPr>
              <w:t>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Total guarantees where we are the primary obligor</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included our liability of less than $1 million for expected future fundings for guarantees on our Balance Sheet at September 12, 2014 in the Other caption within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guarantees we describe in the preceding paragraphs, as of September 12, 2014, we had the following commitments outstanding:</w:t>
      </w:r>
    </w:p>
    <w:p>
      <w:pPr>
        <w:spacing w:after="0" w:line="154" w:lineRule="exact"/>
        <w:rPr>
          <w:sz w:val="20"/>
          <w:szCs w:val="20"/>
          <w:color w:val="auto"/>
        </w:rPr>
      </w:pPr>
    </w:p>
    <w:p>
      <w:pPr>
        <w:ind w:left="900" w:right="20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$39 million, of which we expect $3 million, $13 million, $8 million, $6 million, $3 million and $6 million will be paid in 2014, 2015, 2016, 2017, 2018 and thereafter, respectively.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Commitments to subsidize vacation ownership associations were $3 million, which we expect will be paid in 2014.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Surety bonds issued as of September 12, 2014 totaled $76 million, the majority of which were requested by federal, state or local governments to secure payment of obligations related to our operations.</w:t>
      </w:r>
    </w:p>
    <w:p>
      <w:pPr>
        <w:spacing w:after="0" w:line="62"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As of September 12, 2014, we had $3 million of letters of credit outstanding under our $200 million revolving credit facility (as amended, the “Revolving Corporate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In 2012, we agreed to settle two lawsuits in which certain of our subsidiaries were defendants. The plaintiffs in the lawsuits, residential unit owners at The Ritz-Carlton Club and Residences, San Francisco (the “RCC San Francisco”), a project within our North America segment, questioned the adequacy of disclosures made prior to 2008, when our business was part of Marriott International, regarding bonds issued for that project under California’s Mello-Roos Community Facilities Act of 1982 (the “Mello-Roos Act”) and their payment obligations with respect to such bonds. In 2013, we agreed to settle a third lawsuit in which another residential unit owner at the RCC San Francisco had asserted similar claims. As a result of these settlements, in 2013 we reversed $1 million of the $41 million previously recognized expense recorded in 2012 in connection with these matters.</w:t>
      </w:r>
    </w:p>
    <w:p>
      <w:pPr>
        <w:spacing w:after="0" w:line="7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On December 21, 2012, Jon Benner, an owner of fractional interests in the RCC San Francisco, filed suit in Superior Court for the State of California, County of San Francisco against us and certain of our subsidiaries on behalf of a putative class consisting of all owners of fractional interests at the RCC San Francisco who allegedly did not receive proper notice of their payment obligations under the Mello-Roos Act. The plaintiff alleges that the disclosures made about bonds issued for the project under this Act and the payment obligations of fractional interest purchasers with respect to such bonds were inadequate, and this and other alleged statutory violations constitute intentional and negligent misrepresentation, fraud and fraudulent concealment. The relief sought includes damages in an unspecified amount, rescission of the purchases, restitution and disgorgement of profits. Thomas Wanless and Matthew Jenner, owners of another fractional interest at the RCC San Francisco, filed a complaint in San Francisco Superior Court on October 15, 2013, that contains similar allegations and seeks similar relief. The Wanless complaint has been consolidated with the Benner action and with a similar action previously filed by fractional interest owner Elisabeth Gani. These three lawsuits are distinct from the other lawsuits described above relating to the RCC San Francisco because the disclosure process for the sale of fractional interests differs from that applicable to the sale of whole-ownership units. On September 5, 2014, we reached an agreement in principle to settle the Benner action, which agreement is subject to Court approval because the case is a putative class action. As a result of the agreement in principle, we recorded a charge of $3 million, which is included in the Litigation settlement line on the Statements of Income for the twelve and thirty-six weeks ended September 12, 2014. Court approval of the settlement of the Benner action would not affect the Gani and Wanless cases because none of the plaintiffs in those actions are members of the stipulated Benner class. We dispute the material allegations of the Gani and Wanless complaints and intend to defend against these actions vigorously. Given the early stages of the Gani and Wanless actions and the inherent uncertainties of litigation, we cannot estimate a range of the potential liability, if any, at this time.</w:t>
      </w:r>
    </w:p>
    <w:p>
      <w:pPr>
        <w:spacing w:after="0" w:line="70"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On December 11, 2012, Steven B. Hoyt and Bradley A. Hoyt, purchasers of fractional interests in two of The Ritz-Carlton Destination Club projects, filed suit in the United States District Court for the District of Minnesota against us, certain of our subsidiaries and The Ritz-Carlton Hotel Company on behalf of a putative class consisting of all purchasers of fractional interests at The Ritz-Carlton Destination Club projects. The plaintiffs allege that program changes beginning in 2009 caused an actionable decrease in the value of the fractional interests purchased. The relief sought includes declaratory and injunctive relief, damages in an unspecified amount, rescission of the purchases, restitution, disgorgement of profits, interest and attorneys’ fees. In response to our motion to dismiss the original complaint, plaintiffs filed an amended complaint. In response, we filed a renewed motion to dismiss. On February 7, 2014, the court issued an order granting that motion in part and denying it in part. We continue to dispute the material allegations remaining in the amended complaint and intend to continue to defend against this action vigorously. Given the early stages of the action and the inherent uncertainties of litigation, we cannot estimate a range of the potential liability, if any, at this time.</w:t>
      </w:r>
    </w:p>
    <w:p>
      <w:pPr>
        <w:spacing w:after="0" w:line="7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January 30, 2013, Krishna and Sherrie Narayan and other owners of 12 residential units at the resort formerly known as The Ritz-Carlton Residences, Kapalua Bay (“Kapalua Bay”) were granted leave by the Court to file, and subsequently did file,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this action vigorously. On August 23, 2013, the Hawaii Intermediate Court of Appeals reversed the Maui Circuit Court’s denial of our motion to compel arbitration of the claims asserted by plaintiffs. The Circuit Court subsequently granted our renewed motion to compel arbitration and referred the matter to arbitration. The Hawaii Supreme Court thereafter agreed to review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decision of the Intermediate Court of Appeals and heard oral argument in the case on April 3, 2014, but has not yet taken any action to affirm or reverse that decision. Given the inherent uncertainties of litigation, we cannot estimate a range of the potential liability, if any, at this time. In the second quarter of 2014, we recorded a nominal charge as a result of the agreement by owners of two residential units to release their claims in this action.</w:t>
      </w:r>
    </w:p>
    <w:p>
      <w:pPr>
        <w:spacing w:after="0" w:line="3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fourth quarter of 2013, we reached an agreement with several parties involved in Kapalua Bay, including the foreclosure purchasers of the unsold interests in the project, other entities that have equity investments in the Joint Venture, the Kapalua Bay Association, and the Kapalua Bay Vacation Owners Association (the fractional owners’ association), to mutually settle pending and threatened claims relating to the project (the “Kapalua Bay Settlement”). In connection with the Kapalua Bay Settlement, owners of 132 of the 177 developer-sold fractional interests (including owners of two fractional interests who were plaintiffs in the Charles action described below) provided full releases to us and other parties associated with the project. In addition, one residential owner provided a full release to us and other parties associated with the project. As a result, we recorded a charge of $8 million in 2013, which was partially offset by $7 million of income recorded for partial repayment of our previously fully reserved receivables due from the Joint Venture. Both were included in Impairment charges on equity investment on the consolidated statement of operations for the year ended January 3, 2014.</w:t>
      </w:r>
    </w:p>
    <w:p>
      <w:pPr>
        <w:spacing w:after="0" w:line="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On June 19, 2013, Earl C. and Patricia A. Charles, owners of a fractional interest at Kapalua Bay, together with owners of 38 other fractional interests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amended complaint supersedes a prior complaint that was not served on any defendant.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and the parties are currently engaged in arbitration. We dispute the material allegations in the amended complaint and in the statement of claim filed in the arbitration, and intend to defend against this action vigorously. Given the early stages of the action and the inherent uncertainties of litigation and arbitration, we cannot estimate a range of the potential liability, if any, at this time. Additionally, owners of two fractional interests have since agreed to release their claims in this action in connection with the Kapalua Bay Settlement described above.</w:t>
      </w:r>
    </w:p>
    <w:p>
      <w:pPr>
        <w:spacing w:after="0" w:line="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On June 28, 2013, owners of 35 residences and lots at The Abaco Club filed a complaint in Orange County, Florida Circuit Court against us, one of our subsidiaries, certain subsidiaries of Marriott International and the resort’s owners’ association, alleging that the defendants failed to maintain the golf course, golf clubhouse, roads, water supply system, and other facilities and equipment in a manner commensurate with a five-star luxury resort, and certain deficiencies in the quality of services provided at the resort. Plaintiffs also allege that the defendants failed to honor an obligation to extend a right of first offer to club owners in connection with plans to sell the club property. Plaintiffs allege statutory and common law claims for breach of contract, breach of fiduciary duty, and fraud and seek compensatory and punitive damages. We have filed a motion to dismiss the complaint. We dispute the material allegations in this complaint and intend to defend against this action vigorously. In April 2014, this action was abated for a period after we entered into a non-binding letter of intent to dispose of undeveloped and partially developed land, an operating golf course, spa and clubhouse and related facilities at The Abaco Club to an entity to be comprised of certain members of The Abaco Club, including certain of the plaintiffs, and others. See Footnote No. 5, “Dispositions,” for information regarding the purchase and sale agreement subsequently executed by the parties to the letter of intent. Although the abatement period provided by the letter of intent has elapsed, the civil action remains inactive. The transaction contemplated by the purchase and sale agreement is subject to a number of closing conditions, and we cannot be certain that the transaction will be completed in a timely manner, or at all. If the transaction is completed as contemplated by the purchase and sale agreement, we could incur a non-cash loss of up to $25 million, and all claims asserted against us in this matter would be dismissed with prejudice.</w:t>
      </w:r>
    </w:p>
    <w:p>
      <w:pPr>
        <w:spacing w:after="0" w:line="7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On March 27, 2014, Salvatore DeSantis, an owner of a one-week vacation ownership interest at Marriott’s Harbour Lake, a project within our North America segment, filed a complaint in Orange County, Florida, Circuit Court against us and certain of our subsidiaries on behalf of himself and a putative class consisting of all owners of weeks-based Marriott Vacation Club vacation ownership interests on June 20, 2010, the date of the launch of our North America points-based program, Marriott Vacation Club Destinations </w:t>
      </w:r>
      <w:r>
        <w:rPr>
          <w:rFonts w:ascii="Arial" w:cs="Arial" w:eastAsia="Arial" w:hAnsi="Arial"/>
          <w:sz w:val="14"/>
          <w:szCs w:val="14"/>
          <w:color w:val="auto"/>
        </w:rPr>
        <w:t>™</w:t>
      </w:r>
      <w:r>
        <w:rPr>
          <w:rFonts w:ascii="Arial" w:cs="Arial" w:eastAsia="Arial" w:hAnsi="Arial"/>
          <w:sz w:val="17"/>
          <w:szCs w:val="17"/>
          <w:color w:val="auto"/>
        </w:rPr>
        <w:t xml:space="preserve"> (“MVCD”). The plaintiff alleges that the introduction of the MVCD program caused an actionable decrease in the value of his vacation ownership interest. The relief sought includes compensatory and exemplary damages, restitution, injunctive relief, interest and attorneys’ fees pursuant to the Florida Unfair and Deceptive Trade Practices Act and common-law theories of breach of contract and breach of an implied covenant of good faith and fair dealing. We removed the matter to the United States District Court for the Middle District of Florida. On May 30, 2014, we filed a motion to dismiss. In response, plaintiffs filed an amended complaint, to which we responded by filing a renewed motion to dismiss on July 31, 2014, which motion is currently pending before the Court. We dispute the material allegations in this complaint and intend to defend against this action vigorously. Given the early stages of the action and the inherent uncertainties of litigation, we cannot estimate a range of the potential liability, if any, at this time.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On May 20, 2014, we received notices of intent to initiate litigation or arbitration from: Michael and Marla Flynn, owners of weeks-based Marriott Vacation Club vacation ownership products at two of our resorts in Hawaii; two owners of such products at one of our resorts in California; and William Sterman, an owner of such products at one of our resorts in Massachusetts. The claimants, all of whom are represented by a single law firm, make allegations similar to those alleged by Mr. DeSantis discussed above that the introduction of the MVCD program caused an actionable decrease in the value of their vacation ownership interests. The claimants stated that, if a satisfactory resolution of their concerns cannot be achieved, they would pursue their claims through litigation or arbitration, each on behalf of a putative class consisting of themselves and all others similarly situated. The notices indicated that the relief that would be sought would include compensatory and exemplary damages, restitution, injunctive relief, interest and attorneys’ fees pursuant to applicable timeshare and unfair trade practices acts and common-law theories of breach of contract and breach of an implied covenant of good faith and fair dealing. The Flynns and Mr. Sterman filed claims based on the allegations listed above with the American Arbitration Association on August 6, 2014, and August 19, 2014, respectively. We filed answering statements in each proceeding, and initiated declaratory judgment actions in the United States District Courts of Hawaii and the Middle District of Florida against the Flynns and Mr. Sterman, respectively, seeking to enjoin the arbitration proceedings. We dispute the material allegations in the arbitration claims, as well as the allegations in the notice from the California owners, and intend to defend against them vigorously. Given the early stages of the arbitration proceedings and the related litigation, we cannot estimate a range of potential liability, if any, at this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estimate the cash outflow associated with completing the phases of our existing portfolio of vacation ownership projects currently under development will be approximately $19 million, of which $9 million is included within liabilities on our Balance Sheet at September 12, 2014. This estimate is based on our current development plans, which remain subject to change, and we expect the phases currently under development will be completed by 2017.</w:t>
      </w:r>
    </w:p>
    <w:p>
      <w:pPr>
        <w:spacing w:after="0" w:line="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second quarter of 2014, we agreed to settle a dispute with a service provider relating to services provided to us prior to 2011. In connection with the settlement, we received a one-time payment of $8 million after the end of the second quarter from the service provider, which no longer provides services to us. We recorded a gain of $8 million as a result of the settlement, which is included in the Litigation settlement line on the Statement of Income for the thirty-six weeks ended September 12,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 on our debt balances: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At September 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At January 3,</w:t>
            </w:r>
          </w:p>
        </w:tc>
      </w:tr>
      <w:tr>
        <w:trPr>
          <w:trHeight w:val="171"/>
        </w:trPr>
        <w:tc>
          <w:tcPr>
            <w:tcW w:w="69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r>
      <w:tr>
        <w:trPr>
          <w:trHeight w:val="182"/>
        </w:trPr>
        <w:tc>
          <w:tcPr>
            <w:tcW w:w="6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Vacation ownership notes receivable securitizations, interest rates ranging from 2.2% to</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7.2% (weighted average interest rate of 3.5%) </w:t>
            </w:r>
            <w:r>
              <w:rPr>
                <w:rFonts w:ascii="Arial" w:cs="Arial" w:eastAsia="Arial" w:hAnsi="Arial"/>
                <w:sz w:val="15"/>
                <w:szCs w:val="15"/>
                <w:color w:val="auto"/>
              </w:rPr>
              <w:t>(1)</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20"/>
                <w:szCs w:val="20"/>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r>
      <w:tr>
        <w:trPr>
          <w:trHeight w:val="216"/>
        </w:trPr>
        <w:tc>
          <w:tcPr>
            <w:tcW w:w="690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678</w:t>
            </w:r>
          </w:p>
        </w:tc>
        <w:tc>
          <w:tcPr>
            <w:tcW w:w="60" w:type="dxa"/>
            <w:vAlign w:val="bottom"/>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Interest rates are as of September 12, 2014.</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See Footnote No. 13, “Variable Interest Entities,” for a discussion of the collateral for the non-recourse debt associated with the securitized vacation ownership notes receivable and our non-recourse warehouse credit facility (the “Warehouse Credit Facility”). All of our other debt was, and to the extent currently outstanding is, recourse to us but unsecured. As of the end of the third quarter of 2014, the Warehouse Credit Facility was scheduled to terminate on September 5, 2015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See Footnote No. 16, “Subsequent Events,” for a discussion of the renewal of the Warehouse Credit Facility, pursuant to which, among other things, the termination date was changed to September 15, 2016. We generally expect to securitize our vacation ownership notes receivable, including any vacation ownership notes receivable held in the Warehouse Credit Facility, in the ABS market once a year.</w:t>
      </w:r>
    </w:p>
    <w:p>
      <w:pPr>
        <w:spacing w:after="0" w:line="5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During the second quarter of 2014, we completed the securitization of a pool of $24 million of primarily highly-seasoned vacation ownership notes receivable that we had previously classified as not being eligible for securitization. In connection with the securitization, investors purchased in a private placement $23 million in vacation ownership loan backed notes from the Kyuka Owner Trust 2014-A (the “2014-A Trust”) with a per annum interest rate of 6.25 percent. We received gross cash proceeds of $23 million, before transaction expenses and required reserves. In addition, we received a subordinated residual interest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2014-A Trust through which we expect to realize the remaining value of the securitized loans over time. Of the $23 million, less than $1 million was used to pay transaction expenses and fund required reserves. The remainder will be used for general corporate purposes. We accounted for the securitization as a secured borrowing and therefore did not recognize a gain or loss as a result of this transaction. The securitized loans had previously been classified as not being eligible for securitization using criteria applicable to then current securitization transactions in the ABS market because they did not meet certain representation criteria required in such securitizations, or because of other factors that may have reflected investor demand in a securitization transaction. See Footnote No. 16, “Subsequent Events,” for information on a securitization transaction completed subsequent to the end of the third quarter of 2014.</w:t>
      </w:r>
    </w:p>
    <w:p>
      <w:pPr>
        <w:spacing w:after="0" w:line="5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no cash borrowings were outstanding as of September 12, 2014 under our Revolving Corporate Credit Facility, any amounts that are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most of our entities that are organized in the U.S.), in each case including inventory, subject to certain exceptions.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Vacation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3"/>
              </w:rPr>
              <w:t>Ownership</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Notes Receivable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6"/>
              </w:rPr>
              <w:t>Other Debt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4"/>
                <w:szCs w:val="14"/>
                <w:color w:val="auto"/>
              </w:rPr>
            </w:pPr>
          </w:p>
        </w:tc>
        <w:tc>
          <w:tcPr>
            <w:tcW w:w="124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 xml:space="preserve">Securitizations </w:t>
            </w:r>
            <w:r>
              <w:rPr>
                <w:rFonts w:ascii="Arial" w:cs="Arial" w:eastAsia="Arial" w:hAnsi="Arial"/>
                <w:sz w:val="12"/>
                <w:szCs w:val="12"/>
                <w:color w:val="auto"/>
                <w:w w:val="93"/>
              </w:rPr>
              <w:t>(1)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line="142" w:lineRule="exact"/>
              <w:rPr>
                <w:sz w:val="20"/>
                <w:szCs w:val="20"/>
                <w:color w:val="auto"/>
              </w:rPr>
            </w:pPr>
            <w:r>
              <w:rPr>
                <w:rFonts w:ascii="Arial" w:cs="Arial" w:eastAsia="Arial" w:hAnsi="Arial"/>
                <w:sz w:val="14"/>
                <w:szCs w:val="14"/>
                <w:b w:val="1"/>
                <w:bCs w:val="1"/>
                <w:color w:val="auto"/>
              </w:rPr>
              <w:t>Debt Principal Payments Year</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Balance at September 12, 2014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debt associated with our vacation ownership notes receivable securitizations is non-recourse to us.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3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paid cash for interest, net of amounts capitalized, of $19 million in the thirty-six weeks ended September 12, 2014 and $26 million in the thirty-six weeks ended September 6,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thirty-six weeks ended September 12, 2014, and as of September 12, 2014, no pools failed to perform within the established parameters. As of September 12, 2014, we had 7 securitized vacation ownership notes receivable pools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September 10, 2014, we amended and restated the Revolving Corporate Credit Facility. The amendment and restatement resulted in, among other things, an extension of the final maturity of the lenders’ commitments from November 21, 2016 to September 10, 2019, a decrease in the interest margin on borrowings, lower commitment fees on unused availability and additional flexibility on determining whether to pledge certain collateral. Terms of the Revolving Corporate Credit Facility as amended and restated are described below.</w:t>
      </w:r>
    </w:p>
    <w:p>
      <w:pPr>
        <w:spacing w:after="0" w:line="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Revolving Corporate Credit Facility has a borrowing capacity of $200 million, including a letter of credit sub-facility of $100 million, and provides support for our business, including ongoing liquidity and letters of credit. Borrowings under the Revolving Corporate Credit Facility generally bear interest at a floating rate at the Eurodollar rate plus an applicable margin that varies from 1.625 percent to 3.125 percent depending on our credit rating. In addition, we pay a commitment fee on the unused availability under the Revolving Corporate Credit Agreement at a rate that varies from 20 basis points per annum to 50 basis points per annum.</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Revolving Corporate Credit Facility contains affirmative and negative covenants and representations and warranties customary for financings of this type. In addition, the Revolving Corporate Credit Facility contains financial covenants, including covenants requiring us to maintain (1) a minimum consolidated tangible net worth (as defined in the Revolving Corporate Credit Facility); (2) a maximum ratio of consolidated total debt to consolidated adjusted EBITDA (as defined in the Revolving Corporate Credit Facility) of 5.25 to 1; (3) a minimum consolidated adjusted EBITDA to interest expense ratio of not less than 3 to 1 and a ratio of our borrowing base amount (as defined in the Revolving Corporate Credit Facility) to the sum of (i) total extensions of credit under the Revolving Corporate Credit Facility and (ii) the excess (if any) of all unrealized losses over all unrealized profits of certain swap agreements of at least 1.25 to 1.</w:t>
      </w:r>
    </w:p>
    <w:p>
      <w:pPr>
        <w:spacing w:after="0" w:line="8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Revolving Corporate Credit Facility is guaranteed by Marriott Vacations Worldwide and by each of our direct and indirect, existing and future, domestic subsidiaries (excluding certain bankruptcy remote special purpose subsidiaries), and is secured by a perfected first priority security interest in substantially all of our assets and the assets of the guarantors, subject to certain exceptions. As of September 12, 2014, we were in compliance with the requirements of applicable financial and operating covenants.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MANDATORILY REDEEMABLE PREFERRED STOCK OF CONSOLIDATED SUBSIDIARY</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if we do not elect to redeem the preferred stock,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(i.e., beginning in October 2016) at par. The Series A preferred stock has an aggregate liquidation preference of $40 million plus any accrued and unpaid dividends and an additional premium if liquidation occurs during the first five years after the issuance of the preferred stock. As of September 12, 2014,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Marriott Vacations Worldwide has 100,000,000 authorized shares of common stock, par value of $.01 per share. At September 12, 2014, there were 35,961,779 shares of Marriott Vacations Worldwide common stock issued, of which 32,998,759 shares were outstanding and 2,963,020 shares were held as treasury stock. At January 3, 2014, there were 35,637,765 shares of Marriott Vacations Worldwide common stock issued, of which 35,132,742 shares were outstanding and 505,023 shares were held as treasury stock.</w:t>
      </w:r>
    </w:p>
    <w:p>
      <w:pPr>
        <w:spacing w:after="0" w:line="79"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Marriott Vacations Worldwide has 2,000,000 authorized shares of preferred stock, par value of $.01 per share, none of which were issued or outstanding as of September 12, 2014 or January 3, 2014.</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changes in shareholders’ equity during the thirty-six weeks ended September 12, 2014:</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Treasury Stock</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1"/>
        </w:trPr>
        <w:tc>
          <w:tcPr>
            <w:tcW w:w="4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 2014</w:t>
            </w:r>
          </w:p>
        </w:tc>
        <w:tc>
          <w:tcPr>
            <w:tcW w:w="34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Amounts related to share-based compensation</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to reclassification of Marriott International</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to Additional paid-in capital</w:t>
            </w:r>
            <w:r>
              <w:rPr>
                <w:rFonts w:ascii="Arial" w:cs="Arial" w:eastAsia="Arial" w:hAnsi="Arial"/>
                <w:sz w:val="15"/>
                <w:szCs w:val="15"/>
                <w:color w:val="auto"/>
              </w:rPr>
              <w:t>(1)</w:t>
            </w: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12, 2014</w:t>
            </w:r>
          </w:p>
        </w:tc>
        <w:tc>
          <w:tcPr>
            <w:tcW w:w="3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1,109</w:t>
            </w:r>
          </w:p>
        </w:tc>
        <w:tc>
          <w:tcPr>
            <w:tcW w:w="3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162</w:t>
            </w:r>
          </w:p>
        </w:tc>
        <w:tc>
          <w:tcPr>
            <w:tcW w:w="4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436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8" w:lineRule="exact"/>
        <w:rPr>
          <w:sz w:val="20"/>
          <w:szCs w:val="20"/>
          <w:color w:val="auto"/>
        </w:rPr>
      </w:pPr>
    </w:p>
    <w:p>
      <w:pPr>
        <w:jc w:val="center"/>
        <w:ind w:left="5620" w:right="760" w:hanging="5612"/>
        <w:spacing w:after="0" w:line="449" w:lineRule="auto"/>
        <w:tabs>
          <w:tab w:leader="none" w:pos="450" w:val="left"/>
        </w:tabs>
        <w:numPr>
          <w:ilvl w:val="0"/>
          <w:numId w:val="11"/>
        </w:numPr>
        <w:rPr>
          <w:rFonts w:ascii="Arial" w:cs="Arial" w:eastAsia="Arial" w:hAnsi="Arial"/>
          <w:sz w:val="15"/>
          <w:szCs w:val="15"/>
          <w:color w:val="auto"/>
        </w:rPr>
      </w:pPr>
      <w:r>
        <w:rPr>
          <w:rFonts w:ascii="Arial" w:cs="Arial" w:eastAsia="Arial" w:hAnsi="Arial"/>
          <w:sz w:val="18"/>
          <w:szCs w:val="18"/>
          <w:color w:val="auto"/>
        </w:rPr>
        <w:t>Consists of an adjustment to Deferred tax liabilities for changes in the valuation of Marriott Vacations Worldwide at the time of the Spin-Off. 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October 8, 2013, our Board of Directors authorized a share repurchase program under which we may purchase up to 3,500,000 shares of our common stock prior to March 28, 2015.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share repurchase activity under our current share repurchase program for the thirty-six weeks ended September 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9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r>
      <w:tr>
        <w:trPr>
          <w:trHeight w:val="149"/>
        </w:trPr>
        <w:tc>
          <w:tcPr>
            <w:tcW w:w="59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Price Paid</w:t>
            </w:r>
          </w:p>
        </w:tc>
      </w:tr>
      <w:tr>
        <w:trPr>
          <w:trHeight w:val="171"/>
        </w:trPr>
        <w:tc>
          <w:tcPr>
            <w:tcW w:w="59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Repurchased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per Share</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3, 2014</w:t>
            </w:r>
          </w:p>
        </w:tc>
        <w:tc>
          <w:tcPr>
            <w:tcW w:w="12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505,023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For the thirty-six weeks ended September 12, 2014</w:t>
            </w: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2,457,997</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6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12, 2014</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2,963,020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60" w:type="dxa"/>
            <w:vAlign w:val="bottom"/>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September 11, 2014, pursuant to our share repurchase program, we entered into an agreement with a financial institution to repurchase $25 million of our common stock under an accelerated share repurchase program. Upon completion of the program, subsequent to the end of the third quarter of 2014, the financial institution had delivered 401,291 shares of common stock, which are not included in the table above. See Footnote No. 16, “Subsequent Events” for additional information on our share repurchase program.</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A total of 6 million shares were authorized for issuance under the Marriott Vacations Worldwide Corporation Stock and Cash Incentive Plan (the “Marriott Vacations Worldwide Stock Plan”). As of September 12, 2014, approximately 2 million shares were available for grants under the Marriott Vacations Worldwide Stock Plan.</w:t>
      </w:r>
    </w:p>
    <w:p>
      <w:pPr>
        <w:spacing w:after="0" w:line="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share-based awards with service-only vesting conditions, we measure compensation expense related to share-based payment transactions with our employees and non-employee directors at fair value on the grant date. With respect to our employees, we recognize this expense on the Statements of Income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w:t>
      </w:r>
    </w:p>
    <w:p>
      <w:pPr>
        <w:spacing w:after="0" w:line="8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$3 million for each of the twelve weeks ended September 12, 2014 and September 6, 2013, and $9 million and $8 million for the thirty-six weeks ended September 12, 2014 and September 6, 2013, respectively. Our deferred compensation liability related to unvested awards held by our employees totaled $16 million and $13 million at September 12, 2014 and January 3, 2014,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granted 163,685 RSUs, exclusive of RSUs with performance vesting conditions, to our employees and non-employee directors during the thirty-six weeks ended September 12, 2014. RSUs issued to our employees generally vest over four years in annual installments commencing one year after the date of grant. RSUs issued to our non-employee directors vest on the date of grant. RSUs granted during the thirty-six weeks ended September 12, 2014 had a weighted average grant-date fair value of $52.51.</w:t>
      </w:r>
    </w:p>
    <w:p>
      <w:pPr>
        <w:spacing w:after="0" w:line="79"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During the thirty-six weeks ended September 12, 2014, we granted RSUs with performance vesting conditions to members of management. The number of RSUs earned, if any, will be determined following the end of a three-year performance period based upon our cumulative achievement over that period of specific quantitative operating financial measures. The maximum number of RSUs that may be earned under the RSUs with performance-based vesting criteria granted during the thirty-six weeks ended September 12, 2014 is approximately 62,000.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(“SARs”)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granted 57,906 SARs to members of management during the thirty-six weeks ended September 12, 2014. These SARs had a weighted average grant-date fair value of $27.98 and an exercise price of $52.09. SARs generally expire ten years after the date of grant and both vest and may be exercised in cumulative installments of one quarter of the grant at the end of each of the first four years following the date of grant.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For SARs granted under the Marriott Vacations Worldwide Stock Plan during the thirty-six weeks ended September 12, 2014,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expected annual dividend per share was $0 based on our expected dividend rate.</w:t>
      </w:r>
    </w:p>
    <w:p>
      <w:pPr>
        <w:spacing w:after="0" w:line="8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 outlines the assumptions used to estimate the fair value of grants during the thirty-six weeks ended September 12, 2014, all of which were issued in the first quarter of 2014:</w:t>
      </w:r>
    </w:p>
    <w:p>
      <w:pPr>
        <w:spacing w:after="0" w:line="9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Dividend yield</w:t>
            </w:r>
          </w:p>
        </w:tc>
        <w:tc>
          <w:tcPr>
            <w:tcW w:w="33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300" w:type="dxa"/>
            <w:vAlign w:val="bottom"/>
          </w:tcPr>
          <w:p>
            <w:pPr>
              <w:jc w:val="right"/>
              <w:ind w:right="130"/>
              <w:spacing w:after="0"/>
              <w:rPr>
                <w:sz w:val="20"/>
                <w:szCs w:val="20"/>
                <w:color w:val="auto"/>
              </w:rPr>
            </w:pPr>
            <w:r>
              <w:rPr>
                <w:rFonts w:ascii="Arial" w:cs="Arial" w:eastAsia="Arial" w:hAnsi="Arial"/>
                <w:sz w:val="18"/>
                <w:szCs w:val="18"/>
                <w:color w:val="auto"/>
              </w:rPr>
              <w:t>6.25</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issued by the special purpose entities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September 12, 2014:</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Vacation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2"/>
              </w:rPr>
              <w:t>Warehouse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Ownership</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Notes Receivable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8"/>
              </w:rPr>
              <w:t>Credit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Securitizations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5"/>
              <w:spacing w:after="0"/>
              <w:rPr>
                <w:sz w:val="20"/>
                <w:szCs w:val="20"/>
                <w:color w:val="auto"/>
              </w:rPr>
            </w:pPr>
            <w:r>
              <w:rPr>
                <w:rFonts w:ascii="Arial" w:cs="Arial" w:eastAsia="Arial" w:hAnsi="Arial"/>
                <w:sz w:val="14"/>
                <w:szCs w:val="14"/>
                <w:b w:val="1"/>
                <w:bCs w:val="1"/>
                <w:color w:val="auto"/>
                <w:w w:val="95"/>
              </w:rPr>
              <w:t>Facility</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Vacation ownership notes receivable, net of reserves</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twelve weeks ended September 12, 2014:</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Vacation</w:t>
            </w: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Warehouse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Ownership</w:t>
            </w: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Notes Receivable</w:t>
            </w: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Credit</w:t>
            </w:r>
          </w:p>
        </w:tc>
        <w:tc>
          <w:tcPr>
            <w:tcW w:w="20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Securitizations</w:t>
            </w:r>
          </w:p>
        </w:tc>
        <w:tc>
          <w:tcPr>
            <w:tcW w:w="18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Facility</w:t>
            </w:r>
          </w:p>
        </w:tc>
        <w:tc>
          <w:tcPr>
            <w:tcW w:w="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thirty-six weeks ended September 12, 2014:</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Vacation</w:t>
            </w: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Warehouse</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Ownership</w:t>
            </w: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Notes Receivable</w:t>
            </w: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Credit</w:t>
            </w:r>
          </w:p>
        </w:tc>
        <w:tc>
          <w:tcPr>
            <w:tcW w:w="20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Securitizations</w:t>
            </w:r>
          </w:p>
        </w:tc>
        <w:tc>
          <w:tcPr>
            <w:tcW w:w="18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Facility</w:t>
            </w:r>
          </w:p>
        </w:tc>
        <w:tc>
          <w:tcPr>
            <w:tcW w:w="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 during the thirty-six weeks ended September 12, 2014 and September 6, 2013:</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Thirty-Six Weeks Ended</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12, 2014</w:t>
            </w:r>
          </w:p>
        </w:tc>
        <w:tc>
          <w:tcPr>
            <w:tcW w:w="140" w:type="dxa"/>
            <w:vAlign w:val="bottom"/>
          </w:tcPr>
          <w:p>
            <w:pPr>
              <w:spacing w:after="0"/>
              <w:rPr>
                <w:sz w:val="17"/>
                <w:szCs w:val="17"/>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6,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w:t>
            </w:r>
          </w:p>
        </w:tc>
        <w:tc>
          <w:tcPr>
            <w:tcW w:w="4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82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receipts</w:t>
            </w:r>
          </w:p>
        </w:tc>
        <w:tc>
          <w:tcPr>
            <w:tcW w:w="4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Reserve release</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52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Principal to investors</w:t>
            </w:r>
          </w:p>
        </w:tc>
        <w:tc>
          <w:tcPr>
            <w:tcW w:w="4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5"/>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Voluntary clean-up call</w:t>
            </w:r>
          </w:p>
        </w:tc>
        <w:tc>
          <w:tcPr>
            <w:tcW w:w="4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Interest to investors</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5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(194)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w:t>
            </w:r>
          </w:p>
        </w:tc>
        <w:tc>
          <w:tcPr>
            <w:tcW w:w="4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c>
          <w:tcPr>
            <w:tcW w:w="8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jc w:val="right"/>
              <w:ind w:right="2230"/>
              <w:spacing w:after="0"/>
              <w:rPr>
                <w:sz w:val="20"/>
                <w:szCs w:val="20"/>
                <w:color w:val="auto"/>
              </w:rPr>
            </w:pPr>
            <w:r>
              <w:rPr>
                <w:rFonts w:ascii="Arial" w:cs="Arial" w:eastAsia="Arial" w:hAnsi="Arial"/>
                <w:sz w:val="18"/>
                <w:szCs w:val="18"/>
                <w:color w:val="auto"/>
              </w:rPr>
              <w:t>20</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cash flows between us and the Warehouse Credit Facility variable interest entity during the thirty-six weeks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12, 2014 and September 6, 2013:</w:t>
      </w:r>
    </w:p>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Pr>
          <w:p>
            <w:pPr>
              <w:spacing w:after="0"/>
              <w:rPr>
                <w:sz w:val="14"/>
                <w:szCs w:val="14"/>
                <w:color w:val="auto"/>
              </w:rPr>
            </w:pPr>
          </w:p>
        </w:tc>
        <w:tc>
          <w:tcPr>
            <w:tcW w:w="24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7740" w:type="dxa"/>
            <w:vAlign w:val="bottom"/>
            <w:gridSpan w:val="2"/>
            <w:vMerge w:val="continue"/>
          </w:tcPr>
          <w:p>
            <w:pPr>
              <w:spacing w:after="0"/>
              <w:rPr>
                <w:sz w:val="12"/>
                <w:szCs w:val="12"/>
                <w:color w:val="auto"/>
              </w:rPr>
            </w:pPr>
          </w:p>
        </w:tc>
        <w:tc>
          <w:tcPr>
            <w:tcW w:w="12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3"/>
              </w:rPr>
              <w:t>September 12, 2014</w:t>
            </w: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September 6, 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3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Interest receipts</w:t>
            </w:r>
          </w:p>
        </w:tc>
        <w:tc>
          <w:tcPr>
            <w:tcW w:w="36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Reserve release</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Principal to investors</w:t>
            </w:r>
          </w:p>
        </w:tc>
        <w:tc>
          <w:tcPr>
            <w:tcW w:w="36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Repayment of Warehouse Credit Facility</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Interest to investors</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Net Cash Flows</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entities that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an equity investment in the Joint Venture, a variable interest entity that previously developed and marketed vacation ownership and residential products in Hawaii. We concluded that the Joint Venture is a variable interest entity because the equity investment at risk is not sufficient to permit it to finance its activities without additional support from other venture parties. We determined that we are not the primary beneficiary of the Joint Venture, as power to direct the activities that most significantly impact its economic performance is shared among the variable interest holders and, therefore, we do not consolidate the Joint Venture. In 2009, we fully impaired our equity investment in the Joint Venture and in certain notes receivable due from the Joint Venture. In 2010, the continued application of equity losses to our investment in the remaining outstanding notes receivable balance reduced its carrying value to zero. In addition, the Joint Venture was unable to pay promissory notes that matured on December 31, 2010 and August 1, 2011. Subsequently, the lenders issued a notice of default to the Joint Venture. The lenders initiated foreclosure proceedings with respect to unsold interests in the project. A foreclosure auction was held and, on January 31, 2013, a bid was accepted and confirmed. The sale was completed, and on June 13, 2013, we received $7 million of cash as a partial repayment of our previously fully reserved receivables due from the Joint Venture. As a result of the Kapalua Bay Settlement discussed in Footnote No. 8, “Contingencies and Commitments,” the Joint Venture’s obligations with respect to the remaining receivables were terminated.</w:t>
      </w:r>
    </w:p>
    <w:p>
      <w:pPr>
        <w:spacing w:after="0" w:line="6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gave notice of breach or termination of various agreements, including management agreements with the owners’ associations at the project, marketing and sales agreements with the Joint Venture, and other agreements pursuant to which we provided services to the Joint Venture and, as we were unable to reach agreement with the owners’ associations with respect to our continued provision of services, termination of these agreements was effective on December 31, 2012. At September 12, 2014, we have an accrual of $8 million for potential future funding obligations, representing our remaining expected exposure to loss related to our involvement with the Joint Venture exclusive of any future costs that may be incurred pursuant to outstanding litigation matters, including those discussed in Footnote No. 8, “Contingencies and 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ORGANIZATIONAL AND SEPARATION RELATED CHARGES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Subsequent to the Spin-Off, Marriott International continued to provide us with certain information technology, payroll, human resources and other administrative services pursuant to transition services agreements, most of which we had ceased using as of the end of 2013. In connection with our continued organizational and separation related activities, we have incurred certain expenses to complete our separation 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We expect these efforts to be substantially completed by the end of 2015. Organizational and separation related charges as reflected on our Statements of Income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were $1 million and $4 million for the twelve weeks ended September 12, 2014 and September 6, 2013, respectively, and $3 million and $7 million for the thirty-six weeks ended September 12, 2014 and September 6, 2013, respectively. In addition, $2 million and $4 million of additional separation related charges were capitalized to Property and equipment on our Balance Sheets during the thirty-six weeks ended September 12, 2014 and September 6, 2013,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29" w:lineRule="exact"/>
        <w:rPr>
          <w:sz w:val="20"/>
          <w:szCs w:val="20"/>
          <w:color w:val="auto"/>
        </w:rPr>
      </w:pPr>
    </w:p>
    <w:p>
      <w:pPr>
        <w:ind w:left="900" w:right="100" w:hanging="446"/>
        <w:spacing w:after="0" w:line="31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52" w:lineRule="exact"/>
        <w:rPr>
          <w:rFonts w:ascii="Arial" w:cs="Arial" w:eastAsia="Arial" w:hAnsi="Arial"/>
          <w:sz w:val="16"/>
          <w:szCs w:val="16"/>
          <w:color w:val="auto"/>
        </w:rPr>
      </w:pPr>
    </w:p>
    <w:p>
      <w:pPr>
        <w:ind w:left="900" w:right="280" w:hanging="446"/>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our Europe segment, we develop, market, sell and manage vacation ownership products in several locations in Europe. We are focusing on selling our existing projects and managing existing resorts. We do not have any current plans for new development in this segment.</w:t>
      </w:r>
    </w:p>
    <w:p>
      <w:pPr>
        <w:spacing w:after="0" w:line="29" w:lineRule="exact"/>
        <w:rPr>
          <w:rFonts w:ascii="Arial" w:cs="Arial" w:eastAsia="Arial" w:hAnsi="Arial"/>
          <w:sz w:val="16"/>
          <w:szCs w:val="16"/>
          <w:color w:val="auto"/>
        </w:rPr>
      </w:pPr>
    </w:p>
    <w:p>
      <w:pPr>
        <w:ind w:left="900" w:hanging="446"/>
        <w:spacing w:after="0" w:line="308"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our Asia Pacific segment, we develop, market, sell and manage the Marriott Vacation Club, Asia Pacific, a right-to-use points program that we specifically designed to appeal to the vacation preferences of the Asian market, as well as a weeks-based right-to-use product.</w:t>
      </w:r>
    </w:p>
    <w:p>
      <w:pPr>
        <w:spacing w:after="0" w:line="3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equity in earnings or losses, and other gains or losses that are not allocable to our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22"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Thirty-Six Weeks Ended</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47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September 12, 2014</w:t>
            </w:r>
          </w:p>
        </w:tc>
        <w:tc>
          <w:tcPr>
            <w:tcW w:w="20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September 6, 2013</w:t>
            </w:r>
            <w:r>
              <w:rPr>
                <w:rFonts w:ascii="Arial" w:cs="Arial" w:eastAsia="Arial" w:hAnsi="Arial"/>
                <w:sz w:val="12"/>
                <w:szCs w:val="12"/>
                <w:b w:val="1"/>
                <w:bCs w:val="1"/>
                <w:color w:val="auto"/>
                <w:w w:val="95"/>
              </w:rPr>
              <w:t>(1)</w:t>
            </w:r>
          </w:p>
        </w:tc>
        <w:tc>
          <w:tcPr>
            <w:tcW w:w="20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12, 2014</w:t>
            </w:r>
            <w:r>
              <w:rPr>
                <w:rFonts w:ascii="Arial" w:cs="Arial" w:eastAsia="Arial" w:hAnsi="Arial"/>
                <w:sz w:val="12"/>
                <w:szCs w:val="12"/>
                <w:b w:val="1"/>
                <w:bCs w:val="1"/>
                <w:color w:val="auto"/>
                <w:w w:val="96"/>
              </w:rPr>
              <w:t>(1)</w:t>
            </w:r>
          </w:p>
        </w:tc>
        <w:tc>
          <w:tcPr>
            <w:tcW w:w="160" w:type="dxa"/>
            <w:vAlign w:val="bottom"/>
          </w:tcPr>
          <w:p>
            <w:pPr>
              <w:spacing w:after="0"/>
              <w:rPr>
                <w:sz w:val="17"/>
                <w:szCs w:val="17"/>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6, 2013</w:t>
            </w:r>
            <w:r>
              <w:rPr>
                <w:rFonts w:ascii="Arial" w:cs="Arial" w:eastAsia="Arial" w:hAnsi="Arial"/>
                <w:sz w:val="12"/>
                <w:szCs w:val="12"/>
                <w:b w:val="1"/>
                <w:bCs w:val="1"/>
                <w:color w:val="auto"/>
              </w:rPr>
              <w:t>(1)</w:t>
            </w: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364</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365</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1,093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88"/>
              </w:rPr>
              <w:t>1,077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Europe</w:t>
            </w:r>
          </w:p>
        </w:tc>
        <w:tc>
          <w:tcPr>
            <w:tcW w:w="4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r>
      <w:tr>
        <w:trPr>
          <w:trHeight w:val="223"/>
        </w:trPr>
        <w:tc>
          <w:tcPr>
            <w:tcW w:w="4720" w:type="dxa"/>
            <w:vAlign w:val="bottom"/>
          </w:tcPr>
          <w:p>
            <w:pPr>
              <w:ind w:left="540"/>
              <w:spacing w:after="0"/>
              <w:rPr>
                <w:sz w:val="20"/>
                <w:szCs w:val="20"/>
                <w:color w:val="auto"/>
              </w:rPr>
            </w:pPr>
            <w:r>
              <w:rPr>
                <w:rFonts w:ascii="Arial" w:cs="Arial" w:eastAsia="Arial" w:hAnsi="Arial"/>
                <w:sz w:val="18"/>
                <w:szCs w:val="18"/>
                <w:color w:val="auto"/>
              </w:rPr>
              <w:t>Total segment revenues</w:t>
            </w:r>
          </w:p>
        </w:tc>
        <w:tc>
          <w:tcPr>
            <w:tcW w:w="46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273"/>
              <w:spacing w:after="0"/>
              <w:rPr>
                <w:sz w:val="20"/>
                <w:szCs w:val="20"/>
                <w:color w:val="auto"/>
              </w:rPr>
            </w:pPr>
            <w:r>
              <w:rPr>
                <w:rFonts w:ascii="Arial" w:cs="Arial" w:eastAsia="Arial" w:hAnsi="Arial"/>
                <w:sz w:val="18"/>
                <w:szCs w:val="18"/>
                <w:color w:val="auto"/>
              </w:rPr>
              <w:t>1,225</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88"/>
              </w:rPr>
              <w:t>1,223</w:t>
            </w:r>
          </w:p>
        </w:tc>
        <w:tc>
          <w:tcPr>
            <w:tcW w:w="60" w:type="dxa"/>
            <w:vAlign w:val="bottom"/>
          </w:tcPr>
          <w:p>
            <w:pPr>
              <w:spacing w:after="0"/>
              <w:rPr>
                <w:sz w:val="19"/>
                <w:szCs w:val="19"/>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8"/>
                <w:szCs w:val="18"/>
                <w:color w:val="auto"/>
              </w:rPr>
              <w:t>1,225</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88"/>
              </w:rPr>
              <w:t>1,223</w:t>
            </w:r>
          </w:p>
        </w:tc>
        <w:tc>
          <w:tcPr>
            <w:tcW w:w="6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259"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Europe and Asia Pacific segment revenues have been restated to correct certain immaterial prior period errors. For the thirty-six weeks ended September 12, 2014, $1 million of cost reimbursements related to the twelve weeks ended March 28, 2014 were reclassified from the Asia Pacific segment to the Europe segment. For the twelve and thirty-six weeks ended September 6, 2013, $2 million and $5 million of cost reimbursements were reclassified from the Asia Pacific segment to the Europe segment, respectively.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Twelve Weeks Ended</w:t>
            </w: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Thirty-Six Weeks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gridSpan w:val="3"/>
          </w:tcPr>
          <w:p>
            <w:pPr>
              <w:ind w:left="300"/>
              <w:spacing w:after="0"/>
              <w:rPr>
                <w:sz w:val="20"/>
                <w:szCs w:val="20"/>
                <w:color w:val="auto"/>
              </w:rPr>
            </w:pPr>
            <w:r>
              <w:rPr>
                <w:rFonts w:ascii="Arial" w:cs="Arial" w:eastAsia="Arial" w:hAnsi="Arial"/>
                <w:sz w:val="14"/>
                <w:szCs w:val="14"/>
                <w:b w:val="1"/>
                <w:bCs w:val="1"/>
                <w:i w:val="1"/>
                <w:iCs w:val="1"/>
                <w:color w:val="auto"/>
              </w:rPr>
              <w:t>($ in millions)</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September 12, 2014</w:t>
            </w:r>
          </w:p>
        </w:tc>
        <w:tc>
          <w:tcPr>
            <w:tcW w:w="20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6, 2013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September 12, 2014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6, 2013</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86</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87</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267</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5160" w:type="dxa"/>
            <w:vAlign w:val="bottom"/>
            <w:gridSpan w:val="2"/>
          </w:tcPr>
          <w:p>
            <w:pPr>
              <w:ind w:left="540"/>
              <w:spacing w:after="0"/>
              <w:rPr>
                <w:sz w:val="20"/>
                <w:szCs w:val="20"/>
                <w:color w:val="auto"/>
              </w:rPr>
            </w:pPr>
            <w:r>
              <w:rPr>
                <w:rFonts w:ascii="Arial" w:cs="Arial" w:eastAsia="Arial" w:hAnsi="Arial"/>
                <w:sz w:val="18"/>
                <w:szCs w:val="18"/>
                <w:color w:val="auto"/>
              </w:rPr>
              <w:t>Total segment financial results</w:t>
            </w:r>
          </w:p>
        </w:tc>
        <w:tc>
          <w:tcPr>
            <w:tcW w:w="420" w:type="dxa"/>
            <w:vAlign w:val="bottom"/>
          </w:tcPr>
          <w:p>
            <w:pPr>
              <w:spacing w:after="0"/>
              <w:rPr>
                <w:sz w:val="19"/>
                <w:szCs w:val="19"/>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(151)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w:t>
            </w:r>
          </w:p>
        </w:tc>
        <w:tc>
          <w:tcPr>
            <w:tcW w:w="660" w:type="dxa"/>
            <w:vAlign w:val="bottom"/>
            <w:gridSpan w:val="3"/>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80</w:t>
            </w:r>
          </w:p>
        </w:tc>
        <w:tc>
          <w:tcPr>
            <w:tcW w:w="680" w:type="dxa"/>
            <w:vAlign w:val="bottom"/>
            <w:tcBorders>
              <w:right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Assets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4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5160" w:type="dxa"/>
            <w:vAlign w:val="bottom"/>
            <w:gridSpan w:val="2"/>
          </w:tcPr>
          <w:p>
            <w:pPr>
              <w:ind w:left="840"/>
              <w:spacing w:after="0"/>
              <w:rPr>
                <w:sz w:val="20"/>
                <w:szCs w:val="20"/>
                <w:color w:val="auto"/>
              </w:rPr>
            </w:pPr>
            <w:r>
              <w:rPr>
                <w:rFonts w:ascii="Arial" w:cs="Arial" w:eastAsia="Arial" w:hAnsi="Arial"/>
                <w:sz w:val="14"/>
                <w:szCs w:val="14"/>
                <w:b w:val="1"/>
                <w:bCs w:val="1"/>
                <w:i w:val="1"/>
                <w:iCs w:val="1"/>
                <w:color w:val="auto"/>
              </w:rPr>
              <w:t>($ in millions)</w:t>
            </w:r>
          </w:p>
        </w:tc>
        <w:tc>
          <w:tcPr>
            <w:tcW w:w="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At September 12, 2014</w:t>
            </w:r>
          </w:p>
        </w:tc>
        <w:tc>
          <w:tcPr>
            <w:tcW w:w="140" w:type="dxa"/>
            <w:vAlign w:val="bottom"/>
          </w:tcPr>
          <w:p>
            <w:pPr>
              <w:spacing w:after="0"/>
              <w:rPr>
                <w:sz w:val="23"/>
                <w:szCs w:val="23"/>
                <w:color w:val="auto"/>
              </w:rPr>
            </w:pPr>
          </w:p>
        </w:tc>
        <w:tc>
          <w:tcPr>
            <w:tcW w:w="1540" w:type="dxa"/>
            <w:vAlign w:val="bottom"/>
            <w:gridSpan w:val="5"/>
          </w:tcPr>
          <w:p>
            <w:pPr>
              <w:ind w:left="60"/>
              <w:spacing w:after="0"/>
              <w:rPr>
                <w:sz w:val="20"/>
                <w:szCs w:val="20"/>
                <w:color w:val="auto"/>
              </w:rPr>
            </w:pPr>
            <w:r>
              <w:rPr>
                <w:rFonts w:ascii="Arial" w:cs="Arial" w:eastAsia="Arial" w:hAnsi="Arial"/>
                <w:sz w:val="14"/>
                <w:szCs w:val="14"/>
                <w:b w:val="1"/>
                <w:bCs w:val="1"/>
                <w:color w:val="auto"/>
              </w:rPr>
              <w:t>At January 3, 2014</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w w:val="88"/>
              </w:rPr>
              <w:t>1,966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right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8"/>
                <w:szCs w:val="18"/>
                <w:color w:val="auto"/>
                <w:w w:val="84"/>
              </w:rPr>
              <w:t>2,125</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3"/>
          </w:tcPr>
          <w:p>
            <w:pPr>
              <w:jc w:val="right"/>
              <w:ind w:right="159"/>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3"/>
          </w:tcPr>
          <w:p>
            <w:pPr>
              <w:jc w:val="right"/>
              <w:ind w:right="199"/>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300" w:type="dxa"/>
            <w:vAlign w:val="bottom"/>
          </w:tcPr>
          <w:p>
            <w:pPr>
              <w:ind w:left="520"/>
              <w:spacing w:after="0"/>
              <w:rPr>
                <w:sz w:val="20"/>
                <w:szCs w:val="20"/>
                <w:color w:val="auto"/>
              </w:rPr>
            </w:pPr>
            <w:r>
              <w:rPr>
                <w:rFonts w:ascii="Arial" w:cs="Arial" w:eastAsia="Arial" w:hAnsi="Arial"/>
                <w:sz w:val="18"/>
                <w:szCs w:val="18"/>
                <w:color w:val="auto"/>
              </w:rPr>
              <w:t>Total segment assets</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gridSpan w:val="3"/>
          </w:tcPr>
          <w:p>
            <w:pPr>
              <w:jc w:val="right"/>
              <w:ind w:right="159"/>
              <w:spacing w:after="0"/>
              <w:rPr>
                <w:sz w:val="20"/>
                <w:szCs w:val="20"/>
                <w:color w:val="auto"/>
              </w:rPr>
            </w:pPr>
            <w:r>
              <w:rPr>
                <w:rFonts w:ascii="Arial" w:cs="Arial" w:eastAsia="Arial" w:hAnsi="Arial"/>
                <w:sz w:val="18"/>
                <w:szCs w:val="18"/>
                <w:color w:val="auto"/>
                <w:w w:val="88"/>
              </w:rPr>
              <w:t>2,146</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gridSpan w:val="3"/>
          </w:tcPr>
          <w:p>
            <w:pPr>
              <w:jc w:val="right"/>
              <w:ind w:right="199"/>
              <w:spacing w:after="0"/>
              <w:rPr>
                <w:sz w:val="20"/>
                <w:szCs w:val="20"/>
                <w:color w:val="auto"/>
              </w:rPr>
            </w:pPr>
            <w:r>
              <w:rPr>
                <w:rFonts w:ascii="Arial" w:cs="Arial" w:eastAsia="Arial" w:hAnsi="Arial"/>
                <w:sz w:val="18"/>
                <w:szCs w:val="18"/>
                <w:color w:val="auto"/>
                <w:w w:val="84"/>
              </w:rPr>
              <w:t>2,312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gridSpan w:val="3"/>
            <w:shd w:val="clear" w:color="auto" w:fill="CCEEFF"/>
          </w:tcPr>
          <w:p>
            <w:pPr>
              <w:jc w:val="right"/>
              <w:ind w:right="199"/>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8"/>
                <w:szCs w:val="18"/>
                <w:color w:val="auto"/>
                <w:w w:val="88"/>
              </w:rPr>
              <w:t>2,347</w:t>
            </w: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8"/>
                <w:szCs w:val="18"/>
                <w:color w:val="auto"/>
                <w:w w:val="84"/>
              </w:rPr>
              <w:t>2,632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Renewal of Warehouse Credit Facility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September 15, 2014, we amended and restated the agreements associated with the Warehouse Credit Facility. As a result, the revolving period was extended to September 15, 2016, and borrowings under the Warehouse Credit Facility bear interest at a rate based on the one-month LIBOR and bank conduit commercial paper rates plus 1.0 percent per annum and are generally limited at any point to the sum of the products of the applicable advance rates and the eligible vacation ownership notes receivable at such time. Other terms of the Warehouse Credit Facility are substantially similar to those in effect prior to the amendment and restatement.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Completion of Securitization Transaction</w:t>
      </w:r>
    </w:p>
    <w:p>
      <w:pPr>
        <w:spacing w:after="0" w:line="11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On October 9, 2014, we completed a securitization of a pool of $250 million of vacation ownership notes receivable. Of such securitized loans, $205 million were purchased on October 9, 2014 by the MVW Owner Trust 2014-1 (the “2014-1 Trust”), and all or a portion of the remaining loans may be purchased by the 2014-1 Trust prior to February 16, 2015. In connection with the securitization, investors purchased in a private placement $240 million in vacation ownership loan backed notes (the “Notes”) from the 2014-1 Trust. Two classes of Notes were issued by the 2014-1 Trust: $216 million of Class A Notes and $24 million of Class B Notes. The Class A Notes have an interest rate of 2.25 percent and the Class B Notes have an interest rate of 2.70 percent, for an overall weighted average interest rate of 2.29 percent. Of the $240 million gross cash proceeds we received, $43 million will be held by the 2014-1 Trust until it purchases all or a portion of the remaining securitized loans or, if not used for such purpose, returned to the investors as a partial repayment of the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 Approval by the Board</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October 14, 2014, our Board of Directors approved the repurchase of up to an additional 3,400,000 shares of our common stock under our existing share repurchase program and extended the termination date of the program to March 26, 2016.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Declaration of Dividend</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October 14, 2014 our Board of Directors declared a quarterly dividend of $0.25 per share to be paid on November 12, 2014 to shareholders of record as of October 28, 2014.</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5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section of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November 21, 2011, Marriott International, Inc. (“Marriott International”) completed the spin-off of its vacation ownership division (the “Spin-Off”). As a result of the Spin-Off, we are an independent public company, and our common stock is listed on the New York Stock Exchange under the symbol “VAC.” Following the Spin-Off, we and Marriott International have operated independently, and neither company has any ownership interest in the other.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and Separation Related Efforts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Subsequent to the Spin-Off, Marriott International continued to provide us with certain information technology, payroll, human resources and other administrative services pursuant to transition services agreements, most of which we had ceased using as of the end of 2013. In connection with our continued organizational and separation related activities, we have incurred certain expenses to complete our separation 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We expect these efforts to be substantially completed in 2015.</w:t>
      </w:r>
    </w:p>
    <w:p>
      <w:pPr>
        <w:spacing w:after="0" w:line="85"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Organizational and separation related charges as reflected on our Statements of Income, were $1 million and $4 million for the twelve weeks ended September 12, 2014 and September 6, 2013, respectively, and $3 million and $7 million for the thirty-six weeks ended September 12, 2014 and September 6, 2013, respectively. In addition, $2 million and $4 million of additional separation related charges were capitalized to Property and equipment on our Balance Sheets during the thirty-six weeks ended September 12, 2014 and September 6, 2013, respectively.</w:t>
      </w:r>
    </w:p>
    <w:p>
      <w:pPr>
        <w:spacing w:after="0" w:line="6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expect to incur an additional $7 million to $9 million in connection with these organizational and separation related efforts by the end of 2015, of which we expect approximately $6 million to be capitalized and amortized over the useful lives of the assets purchased to establish and support the functions and organizations described above. Once completed, we expect these efforts will generate over $15 million of annualized savings. In addition to the $10 million of annualized savings achieved through the end of 2013, $3 million of incremental savings are reflected in our financial results for the thirty-six weeks ended September 12, 2014.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a subsidiary of Marriott International, generally provides on-site management for Ritz-Carlton branded properties. We are one of the world’s largest companies whose business is focused almost entirely on vacation ownership, based on number of owners, number of resorts and revenues.</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business is grouped into three reportable segments: North America, Europe and Asia Pacific. As of September 12, 2014, we operated 62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revenues from the sale of vacation ownership products when all of the following conditions exist:</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binding sales contract has been executed;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statutory rescission period has expired;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receivable is deemed collectible;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remainder of our obligations are substantially completed.</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within one to two years from the date of issuance. Sales incentives are only awarded if the sale is closed.</w:t>
      </w:r>
    </w:p>
    <w:p>
      <w:pPr>
        <w:spacing w:after="0" w:line="8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5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from vacation ownership purchases as a reduction of revenues from the sale of vacation ownership products at the time we recognize revenues from a sale.</w:t>
      </w:r>
    </w:p>
    <w:p>
      <w:pPr>
        <w:spacing w:after="0" w:line="73"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We report, on a supplemental basis, contract sales for each of our three segments. 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 We calculate volume per guest (“VPG”) by dividing contract sales, excluding fractional and residential sales, telesales and other sales that are not attributed to a tour at a sales location, by the number of tours in a given period. We believe that this operating metric is valuable in evaluating the effectiveness of our sales process as it combines the impact of average contract price with the number of touring guests who make a purchase.</w:t>
      </w:r>
    </w:p>
    <w:p>
      <w:pPr>
        <w:spacing w:after="0" w:line="7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revenues and costs in that period to those that would have been recorded historically if the revised estimates had been used. These true-ups, which we refer to as product cost true-ups, will have a positive or negative impact on our Statements of Income.</w:t>
      </w:r>
    </w:p>
    <w:p>
      <w:pPr>
        <w:spacing w:after="0" w:line="70"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and certain transaction-based fees from owners and other third parties, including our external exchange company, for services we provide.</w:t>
      </w:r>
    </w:p>
    <w:p>
      <w:pPr>
        <w:spacing w:after="0" w:line="39"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total costs to operate the resorts or a fixed fee arrangement. We earn these fees regardless of usage or occupancy.</w:t>
      </w:r>
    </w:p>
    <w:p>
      <w:pPr>
        <w:spacing w:after="0" w:line="39"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Resort management and other services expenses include costs to operate the food and beverage and other ancillary operations and overall customer support services, including reservations, and certain transaction based expenses relating to our external exchange company.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388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Thirty-Six Weeks Ended</w:t>
            </w:r>
          </w:p>
        </w:tc>
      </w:tr>
      <w:tr>
        <w:trPr>
          <w:trHeight w:val="142"/>
        </w:trPr>
        <w:tc>
          <w:tcPr>
            <w:tcW w:w="5020" w:type="dxa"/>
            <w:vAlign w:val="bottom"/>
          </w:tcPr>
          <w:p>
            <w:pPr>
              <w:spacing w:after="0"/>
              <w:rPr>
                <w:sz w:val="12"/>
                <w:szCs w:val="12"/>
                <w:color w:val="auto"/>
              </w:rPr>
            </w:pPr>
          </w:p>
        </w:tc>
        <w:tc>
          <w:tcPr>
            <w:tcW w:w="204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September 6, 2013</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FICO score</w:t>
            </w:r>
          </w:p>
        </w:tc>
        <w:tc>
          <w:tcPr>
            <w:tcW w:w="194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731</w:t>
            </w:r>
          </w:p>
        </w:tc>
      </w:tr>
    </w:tbl>
    <w:p>
      <w:pPr>
        <w:spacing w:after="0" w:line="20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pacing w:after="0" w:line="3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financing incentive programs, the percentage of customers choosing to finance their vacation ownership purchase with us (which we refer to as “financing propensity”) declined significantly through 2009 and has stabilized since then. As a result, we expect that interest income will continue to decline in the near term until new originations outpace the decline in principal of the existing vacation ownership notes receivable portfolio.</w:t>
      </w:r>
    </w:p>
    <w:p>
      <w:pPr>
        <w:spacing w:after="0" w:line="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mortgaged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defaults as a percentage of each year’s beginning gross vacation ownership notes receivable balance, were as follows:</w:t>
      </w:r>
    </w:p>
    <w:p>
      <w:pPr>
        <w:spacing w:after="0" w:line="85" w:lineRule="exact"/>
        <w:rPr>
          <w:sz w:val="20"/>
          <w:szCs w:val="20"/>
          <w:color w:val="auto"/>
        </w:rPr>
      </w:pPr>
    </w:p>
    <w:tbl>
      <w:tblPr>
        <w:tblLayout w:type="fixed"/>
        <w:tblInd w:w="126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38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Thirty-Six Weeks Ended</w:t>
            </w:r>
          </w:p>
        </w:tc>
      </w:tr>
      <w:tr>
        <w:trPr>
          <w:trHeight w:val="142"/>
        </w:trPr>
        <w:tc>
          <w:tcPr>
            <w:tcW w:w="5040" w:type="dxa"/>
            <w:vAlign w:val="bottom"/>
          </w:tcPr>
          <w:p>
            <w:pPr>
              <w:spacing w:after="0"/>
              <w:rPr>
                <w:sz w:val="12"/>
                <w:szCs w:val="12"/>
                <w:color w:val="auto"/>
              </w:rPr>
            </w:pPr>
          </w:p>
        </w:tc>
        <w:tc>
          <w:tcPr>
            <w:tcW w:w="20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September 6, 2013</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Historical default rates</w:t>
            </w:r>
          </w:p>
        </w:tc>
        <w:tc>
          <w:tcPr>
            <w:tcW w:w="1940" w:type="dxa"/>
            <w:vAlign w:val="bottom"/>
            <w:tcBorders>
              <w:top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rPr>
              <w:t>3.2%</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16"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Rental revenues are primarily the revenues we earn from renting this inventory. We also recognize rental revenue from the utilization of plus points under the Marriott Vacation Club Destinations </w:t>
      </w:r>
      <w:r>
        <w:rPr>
          <w:rFonts w:ascii="Arial" w:cs="Arial" w:eastAsia="Arial" w:hAnsi="Arial"/>
          <w:sz w:val="15"/>
          <w:szCs w:val="15"/>
          <w:color w:val="auto"/>
        </w:rPr>
        <w:t>TM</w:t>
      </w:r>
      <w:r>
        <w:rPr>
          <w:rFonts w:ascii="Arial" w:cs="Arial" w:eastAsia="Arial" w:hAnsi="Arial"/>
          <w:sz w:val="18"/>
          <w:szCs w:val="18"/>
          <w:color w:val="auto"/>
        </w:rPr>
        <w:t xml:space="preserve"> (“MVCD”) program when those points are redeemed for rental stays at one of our resorts or upon expiration of the points.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expenses include:</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to provide alternate usage options, including Marriott Rewards Points and offerings available as part of the Explorer Collection, for owners who elect to exchange their inventory;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the MVCD program.</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also record other revenues and expenses which are primarily comprised of settlement fees and expenses from the sale of vacation ownership products.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Consumer Financing Interest</w:t>
      </w:r>
    </w:p>
    <w:p>
      <w:pPr>
        <w:spacing w:after="0" w:line="11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VPG.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Rounding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and thirty-six weeks ended September 12, 2014 compared to the twelve and thirty-six weeks ended September 6, 2013.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24"/>
              <w:spacing w:after="0"/>
              <w:rPr>
                <w:sz w:val="20"/>
                <w:szCs w:val="20"/>
                <w:color w:val="auto"/>
              </w:rPr>
            </w:pPr>
            <w:r>
              <w:rPr>
                <w:rFonts w:ascii="Arial" w:cs="Arial" w:eastAsia="Arial" w:hAnsi="Arial"/>
                <w:sz w:val="14"/>
                <w:szCs w:val="14"/>
                <w:b w:val="1"/>
                <w:bCs w:val="1"/>
                <w:color w:val="auto"/>
              </w:rPr>
              <w:t>Twelve Weeks Ended</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231"/>
              <w:spacing w:after="0"/>
              <w:rPr>
                <w:sz w:val="20"/>
                <w:szCs w:val="20"/>
                <w:color w:val="auto"/>
              </w:rPr>
            </w:pPr>
            <w:r>
              <w:rPr>
                <w:rFonts w:ascii="Arial" w:cs="Arial" w:eastAsia="Arial" w:hAnsi="Arial"/>
                <w:sz w:val="14"/>
                <w:szCs w:val="14"/>
                <w:b w:val="1"/>
                <w:bCs w:val="1"/>
                <w:color w:val="auto"/>
                <w:w w:val="95"/>
              </w:rPr>
              <w:t>Thirty-Six Weeks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12,</w:t>
            </w:r>
          </w:p>
        </w:tc>
        <w:tc>
          <w:tcPr>
            <w:tcW w:w="60" w:type="dxa"/>
            <w:vAlign w:val="bottom"/>
          </w:tcPr>
          <w:p>
            <w:pPr>
              <w:spacing w:after="0"/>
              <w:rPr>
                <w:sz w:val="17"/>
                <w:szCs w:val="17"/>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6,</w:t>
            </w:r>
          </w:p>
        </w:tc>
        <w:tc>
          <w:tcPr>
            <w:tcW w:w="1180" w:type="dxa"/>
            <w:vAlign w:val="bottom"/>
            <w:gridSpan w:val="5"/>
          </w:tcPr>
          <w:p>
            <w:pPr>
              <w:ind w:left="60"/>
              <w:spacing w:after="0"/>
              <w:rPr>
                <w:sz w:val="20"/>
                <w:szCs w:val="20"/>
                <w:color w:val="auto"/>
              </w:rPr>
            </w:pPr>
            <w:r>
              <w:rPr>
                <w:rFonts w:ascii="Arial" w:cs="Arial" w:eastAsia="Arial" w:hAnsi="Arial"/>
                <w:sz w:val="14"/>
                <w:szCs w:val="14"/>
                <w:b w:val="1"/>
                <w:bCs w:val="1"/>
                <w:color w:val="auto"/>
              </w:rPr>
              <w:t>September 12,</w:t>
            </w:r>
          </w:p>
        </w:tc>
        <w:tc>
          <w:tcPr>
            <w:tcW w:w="10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September 6,</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7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Cost of vacation ownership products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sales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Resort management and other services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Rental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financing interest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Royalty fee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760" w:type="dxa"/>
            <w:vAlign w:val="bottom"/>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76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jc w:val="right"/>
              <w:ind w:right="424"/>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80" w:type="dxa"/>
            <w:vAlign w:val="bottom"/>
            <w:gridSpan w:val="3"/>
          </w:tcPr>
          <w:p>
            <w:pPr>
              <w:ind w:left="460"/>
              <w:spacing w:after="0"/>
              <w:rPr>
                <w:sz w:val="20"/>
                <w:szCs w:val="20"/>
                <w:color w:val="auto"/>
              </w:rPr>
            </w:pPr>
            <w:r>
              <w:rPr>
                <w:rFonts w:ascii="Arial" w:cs="Arial" w:eastAsia="Arial" w:hAnsi="Arial"/>
                <w:sz w:val="18"/>
                <w:szCs w:val="18"/>
                <w:i w:val="1"/>
                <w:iCs w:val="1"/>
                <w:color w:val="auto"/>
              </w:rPr>
              <w:t>Twelve Weeks Ended September 12, 2014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5"/>
          </w:tcPr>
          <w:p>
            <w:pPr>
              <w:jc w:val="right"/>
              <w:ind w:right="64"/>
              <w:spacing w:after="0"/>
              <w:rPr>
                <w:sz w:val="20"/>
                <w:szCs w:val="20"/>
                <w:color w:val="auto"/>
              </w:rPr>
            </w:pPr>
            <w:r>
              <w:rPr>
                <w:rFonts w:ascii="Arial" w:cs="Arial" w:eastAsia="Arial" w:hAnsi="Arial"/>
                <w:sz w:val="14"/>
                <w:szCs w:val="14"/>
                <w:b w:val="1"/>
                <w:bCs w:val="1"/>
                <w:color w:val="auto"/>
              </w:rPr>
              <w:t>Twelve Weeks Ended</w:t>
            </w: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380" w:type="dxa"/>
            <w:vAlign w:val="bottom"/>
            <w:gridSpan w:val="5"/>
          </w:tcPr>
          <w:p>
            <w:pPr>
              <w:ind w:left="180"/>
              <w:spacing w:after="0" w:line="119" w:lineRule="exact"/>
              <w:rPr>
                <w:sz w:val="20"/>
                <w:szCs w:val="20"/>
                <w:color w:val="auto"/>
              </w:rPr>
            </w:pPr>
            <w:r>
              <w:rPr>
                <w:rFonts w:ascii="Arial" w:cs="Arial" w:eastAsia="Arial" w:hAnsi="Arial"/>
                <w:sz w:val="13"/>
                <w:szCs w:val="13"/>
                <w:b w:val="1"/>
                <w:bCs w:val="1"/>
                <w:color w:val="auto"/>
              </w:rPr>
              <w:t>September 12,</w:t>
            </w:r>
          </w:p>
        </w:tc>
        <w:tc>
          <w:tcPr>
            <w:tcW w:w="60" w:type="dxa"/>
            <w:vAlign w:val="bottom"/>
          </w:tcPr>
          <w:p>
            <w:pPr>
              <w:spacing w:after="0"/>
              <w:rPr>
                <w:sz w:val="10"/>
                <w:szCs w:val="10"/>
                <w:color w:val="auto"/>
              </w:rPr>
            </w:pPr>
          </w:p>
        </w:tc>
        <w:tc>
          <w:tcPr>
            <w:tcW w:w="112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September 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4"/>
                <w:szCs w:val="14"/>
                <w:b w:val="1"/>
                <w:bCs w:val="1"/>
                <w:color w:val="auto"/>
                <w:w w:val="94"/>
              </w:rPr>
              <w:t>% Change</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80" w:type="dxa"/>
            <w:vAlign w:val="bottom"/>
            <w:gridSpan w:val="3"/>
          </w:tcPr>
          <w:p>
            <w:pPr>
              <w:ind w:left="5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51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Vacation ownership</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84"/>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151"/>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products</w:t>
            </w: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NM</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5140" w:type="dxa"/>
            <w:vAlign w:val="bottom"/>
            <w:gridSpan w:val="2"/>
          </w:tcPr>
          <w:p>
            <w:pPr>
              <w:ind w:left="340"/>
              <w:spacing w:after="0"/>
              <w:rPr>
                <w:sz w:val="20"/>
                <w:szCs w:val="20"/>
                <w:color w:val="auto"/>
              </w:rPr>
            </w:pPr>
            <w:r>
              <w:rPr>
                <w:rFonts w:ascii="Arial" w:cs="Arial" w:eastAsia="Arial" w:hAnsi="Arial"/>
                <w:sz w:val="18"/>
                <w:szCs w:val="18"/>
                <w:color w:val="auto"/>
              </w:rPr>
              <w:t>Total contract sales</w:t>
            </w: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48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151"/>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NM = not meaningful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$4 million increase in total contract sales was driven by $3 million of higher vacation ownership sales in our key North America segment, $2 million of higher contract sales in our Europe segment and $1 million of higher contract sales in our Asia Pacific segment, partially offset by $2 million of lower residential contract sales in our North America segment.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The increase in vacation ownership contract sales in our North America segment was driven by continued improvement at on-site sales locations, which resulted from a 7 percent increase in VPG to $3,477 in the twelve weeks ended September 12, 2014 from $3,252 in the prior year comparable period, partially offset by a 4 percent decline in the number of tours. Contract sales at off-site (non tour-based) sales locations were flat compared to the prior year comparable period. The increase in VPG was due to higher pricing and an increase in the average number of points purchased per contract as well as a nominal increase in closing efficiency. The decline in the number of tours continued to be driven by an increase in weeks-based owner utilization of the MVCD program, with owners taking advantage of the program’s flexibility to take vacations of shorter duration and exercise alternative usage options. This trend has reduced our existing owner tour flow because fewer owners are in our resorts, and their stays in our resorts are shorter, than in prior years. We implemented new programs aimed at generating existing owner tours and new marketing programs targeted toward first-time buyers, which we expect will increase tour flow in 2015.</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38"/>
              <w:spacing w:after="0"/>
              <w:rPr>
                <w:sz w:val="20"/>
                <w:szCs w:val="20"/>
                <w:color w:val="auto"/>
              </w:rPr>
            </w:pPr>
            <w:r>
              <w:rPr>
                <w:rFonts w:ascii="Arial" w:cs="Arial" w:eastAsia="Arial" w:hAnsi="Arial"/>
                <w:sz w:val="14"/>
                <w:szCs w:val="14"/>
                <w:b w:val="1"/>
                <w:bCs w:val="1"/>
                <w:color w:val="auto"/>
              </w:rPr>
              <w:t>Thirty-Six Weeks Ended</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77"/>
              <w:spacing w:after="0" w:line="119" w:lineRule="exact"/>
              <w:rPr>
                <w:sz w:val="20"/>
                <w:szCs w:val="20"/>
                <w:color w:val="auto"/>
              </w:rPr>
            </w:pPr>
            <w:r>
              <w:rPr>
                <w:rFonts w:ascii="Arial" w:cs="Arial" w:eastAsia="Arial" w:hAnsi="Arial"/>
                <w:sz w:val="13"/>
                <w:szCs w:val="13"/>
                <w:b w:val="1"/>
                <w:bCs w:val="1"/>
                <w:color w:val="auto"/>
              </w:rPr>
              <w:t>September 12,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720"/>
              <w:spacing w:after="0"/>
              <w:rPr>
                <w:sz w:val="20"/>
                <w:szCs w:val="20"/>
                <w:color w:val="auto"/>
              </w:rPr>
            </w:pPr>
            <w:r>
              <w:rPr>
                <w:rFonts w:ascii="Arial" w:cs="Arial" w:eastAsia="Arial" w:hAnsi="Arial"/>
                <w:sz w:val="18"/>
                <w:szCs w:val="18"/>
                <w:color w:val="auto"/>
              </w:rPr>
              <w:t>Vacation ownership</w:t>
            </w:r>
          </w:p>
        </w:tc>
        <w:tc>
          <w:tcPr>
            <w:tcW w:w="2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14</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Total contract sales</w:t>
            </w:r>
          </w:p>
        </w:tc>
        <w:tc>
          <w:tcPr>
            <w:tcW w:w="2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17</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$17 million increase in total contract sales was driven by $11 million of higher contract sales in our Europe segment, $5 million of higher vacation ownership contract sales in our key North America segment and $3 million of higher residential contract sales in our North America segment, partially offset by $2 million of lower contract sales in our Asia Pacific segment.</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increase in vacation ownership contract sales in our North America segment reflected a $9 million increase in sales at on-site sales locations, and a $4 million decline in sales at off-site (non tour-based) sales locations, due in part to the closure or downsizing of certain under-performing locations since the prior year comparable period. The increase in sales at on-site sales locations resulted from a 6 percent increase in VPG to $3,444 in the thirty-six weeks ended September 12, 2014 from $3,243 in the prior year comparable period, partially offset by a 4 percent decline in the number of tours. The increase in VPG was due to a 0.4 percentage point increase in closing efficiency and higher pricing. The decline in the number of tours continued to be driven by an increase in weeks-based owner utilization of the MVCD program, with owners taking advantage of the program’s flexibility to take vacations of shorter duration and exercise alternative usage options. This trend has reduced our existing owner tour flow because fewer owners are in our resorts, and their stays in our resorts are shorter, than in prior years. We implemented new programs aimed at generating existing owner tours and new marketing programs targeted toward first-time buyers, which we expect will increase tour flow in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75"/>
              <w:spacing w:after="0" w:line="119" w:lineRule="exact"/>
              <w:rPr>
                <w:sz w:val="20"/>
                <w:szCs w:val="20"/>
                <w:color w:val="auto"/>
              </w:rPr>
            </w:pPr>
            <w:r>
              <w:rPr>
                <w:rFonts w:ascii="Arial" w:cs="Arial" w:eastAsia="Arial" w:hAnsi="Arial"/>
                <w:sz w:val="13"/>
                <w:szCs w:val="13"/>
                <w:b w:val="1"/>
                <w:bCs w:val="1"/>
                <w:color w:val="auto"/>
              </w:rPr>
              <w:t>September 12,</w:t>
            </w:r>
          </w:p>
        </w:tc>
        <w:tc>
          <w:tcPr>
            <w:tcW w:w="180" w:type="dxa"/>
            <w:vAlign w:val="bottom"/>
          </w:tcPr>
          <w:p>
            <w:pPr>
              <w:spacing w:after="0"/>
              <w:rPr>
                <w:sz w:val="10"/>
                <w:szCs w:val="10"/>
                <w:color w:val="auto"/>
              </w:rPr>
            </w:pPr>
          </w:p>
        </w:tc>
        <w:tc>
          <w:tcPr>
            <w:tcW w:w="1080" w:type="dxa"/>
            <w:vAlign w:val="bottom"/>
            <w:gridSpan w:val="2"/>
          </w:tcPr>
          <w:p>
            <w:pPr>
              <w:jc w:val="right"/>
              <w:ind w:right="53"/>
              <w:spacing w:after="0" w:line="119" w:lineRule="exact"/>
              <w:rPr>
                <w:sz w:val="20"/>
                <w:szCs w:val="20"/>
                <w:color w:val="auto"/>
              </w:rPr>
            </w:pPr>
            <w:r>
              <w:rPr>
                <w:rFonts w:ascii="Arial" w:cs="Arial" w:eastAsia="Arial" w:hAnsi="Arial"/>
                <w:sz w:val="13"/>
                <w:szCs w:val="13"/>
                <w:b w:val="1"/>
                <w:bCs w:val="1"/>
                <w:color w:val="auto"/>
              </w:rPr>
              <w:t>September 6,</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0"/>
                <w:szCs w:val="10"/>
                <w:color w:val="auto"/>
              </w:rPr>
            </w:pP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9"/>
              </w:rPr>
              <w:t>(6)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left="353"/>
              <w:spacing w:after="0"/>
              <w:rPr>
                <w:sz w:val="20"/>
                <w:szCs w:val="20"/>
                <w:color w:val="auto"/>
              </w:rPr>
            </w:pPr>
            <w:r>
              <w:rPr>
                <w:rFonts w:ascii="Arial" w:cs="Arial" w:eastAsia="Arial" w:hAnsi="Arial"/>
                <w:sz w:val="18"/>
                <w:szCs w:val="18"/>
                <w:color w:val="auto"/>
                <w:w w:val="99"/>
              </w:rPr>
              <w:t>7</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w w:val="99"/>
              </w:rPr>
              <w:t>(2)</w:t>
            </w:r>
          </w:p>
        </w:tc>
        <w:tc>
          <w:tcPr>
            <w:tcW w:w="13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Development margin</w:t>
            </w:r>
          </w:p>
        </w:tc>
        <w:tc>
          <w:tcPr>
            <w:tcW w:w="2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9"/>
              </w:rPr>
              <w:t>(1)</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0.4 pts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decrease in revenues from the sale of vacation ownership products was due to $9 million of lower revenue reportability compared to the prior year comparable period and $2 million of higher sales incentives issued in the current period, partially offset by the $4 million increase in contract sales, net of sales reserve, and $1 million from lower vacation ownership notes receivable reserve activity due to a decrease in estimated default activity compared to the prior year comparable period. The $9 million of lower revenue reportability resulted from $4 million of lower revenue reportability in the twelve weeks ended September 12, 2014, compared to $5 million of higher revenue reportability in the prior year comparable period. Revenue reportability was higher in the prior year comparable quarter because the rescission period related to certain sales had expired, of which $2 million related to the impact of the extended rescission periods in our Europe segment, and certain sales made during that quarter or prior periods met the down payment requirement for revenue recognition purposes prior to the end of the period.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decrease in development margin reflected $4 million from lower revenue reportability year-over-year (of which $1 million related to the impact of the extended rescission periods in our Europe segment) and nearly $3 million of favorable product cost true-ups in the prior year comparable period, partially offset by a $5 million net increase in vacation ownership contract sales volume net of lower direct variable expenses (i.e., cost of vacation ownership products and marketing and sales) driven by $7 million from a favorable mix of lower cost real estate inventory being sold, partially offset by $2 million higher marketing and sales spending. The higher marketing and sales spending was due to costs incurred to generate more first-time buyer tours as well as inflationary cost increases. In addition, the development margin reflects the $1 million decrease in vacation ownership notes receivable reserve activity.</w:t>
      </w:r>
    </w:p>
    <w:p>
      <w:pPr>
        <w:spacing w:after="0" w:line="5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0.4 percentage point improvement in the development margin percentage reflected a nearly 5 percentage point increase due to a favorable mix of lower cost vacation ownership real estate inventory being sold in the twelve weeks ended September 12, 2014, partially offset by a 2 percentage point decrease due to lower revenue reportability year-over-year, a 1.5 percentage point decrease due to the higher favorable product cost true-up activity in the prior year period and a less than 1 percentage point decrease due to the higher marketing and sales spending.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49"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Thirty-Six Weeks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20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September 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18</w:t>
            </w:r>
          </w:p>
        </w:tc>
        <w:tc>
          <w:tcPr>
            <w:tcW w:w="100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Development margin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55"/>
              <w:spacing w:after="0"/>
              <w:rPr>
                <w:sz w:val="20"/>
                <w:szCs w:val="20"/>
                <w:color w:val="auto"/>
              </w:rPr>
            </w:pPr>
            <w:r>
              <w:rPr>
                <w:rFonts w:ascii="Arial" w:cs="Arial" w:eastAsia="Arial" w:hAnsi="Arial"/>
                <w:sz w:val="18"/>
                <w:szCs w:val="18"/>
                <w:color w:val="auto"/>
                <w:w w:val="90"/>
              </w:rPr>
              <w:t>21.4%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33"/>
              <w:spacing w:after="0"/>
              <w:rPr>
                <w:sz w:val="20"/>
                <w:szCs w:val="20"/>
                <w:color w:val="auto"/>
              </w:rPr>
            </w:pPr>
            <w:r>
              <w:rPr>
                <w:rFonts w:ascii="Arial" w:cs="Arial" w:eastAsia="Arial" w:hAnsi="Arial"/>
                <w:sz w:val="18"/>
                <w:szCs w:val="18"/>
                <w:color w:val="auto"/>
                <w:w w:val="90"/>
              </w:rPr>
              <w:t>20.3%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1.1 pts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decrease in revenues from the sale of vacation ownership products was due to $36 million of lower revenue reportability compared to the prior year comparable period and $3 million of higher sales incentives issued in the current period, partially offset by the $16 million increase in contract sales, net of sales reserve, and $4 million from lower vacation ownership notes receivable reserve activity due to a decrease in estimated default activity compared to the prior year comparable period. The $36 million of lower revenue reportability resulted from $8 million of lower revenue reportability in the thirty-six weeks ended September 12, 2014, compared to $28 million of higher revenue reportability in the prior year comparable period. Revenue reportability was higher in the prior year comparable quarter because the rescission period related to certain sales had expired, of which $20 million related to the impact of the extended rescission periods in our Europe segment.</w:t>
      </w:r>
    </w:p>
    <w:p>
      <w:pPr>
        <w:spacing w:after="0" w:line="7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increase in development margin reflected a $24 million net increase from higher contract sales volume net of lower direct variable expenses (i.e., cost of vacation ownership products and marketing and sales) driven mainly by $19 million from a favorable mix of lower cost real estate inventory being sold, $4 million from more efficient marketing and sales spending and less than $1 million from higher residential contract sales in the current period. In addition, the development margin reflected a $3 million impact from the decrease in vacation ownership notes receivable reserve activity and $2 million of severance related to the restructuring of sales locations in Europe in the prior year comparable period. These increases were partially offset by $20 million from lower revenue reportability year-over-year (of which $11 million related to the impact of the extended rescission periods in our Europe segment) and $7 million of lower favorable product cost true-ups ($2 million in the thirty-six weeks ended September 12, 2014 compared to $9 million in the prior year comparable period).</w:t>
      </w:r>
    </w:p>
    <w:p>
      <w:pPr>
        <w:spacing w:after="0" w:line="84"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1.1 percentage point improvement in the development margin percentage reflected a 4 percentage point increase due to a favorable mix of lower cost vacation ownership real estate inventory being sold in the thirty-six weeks ended September 12, 2014, a 1 percentage point increase due to increased efficiency in marketing and sales spending and a less than 1 percentage point increase from the lower vacation ownership notes receivable reserve activity. These increases were partially offset by a 3 percentage point decrease due to lower revenue reportability year-over-year and a 1.5 percentage point decrease due to the lower favorable product cost true-up activity year-over-year.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49"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2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20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September 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9"/>
              </w:rPr>
              <w:t>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274"/>
              <w:spacing w:after="0"/>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89"/>
              </w:rPr>
              <w:t>49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9"/>
              </w:rPr>
              <w:t>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274"/>
              <w:spacing w:after="0"/>
              <w:rPr>
                <w:sz w:val="20"/>
                <w:szCs w:val="20"/>
                <w:color w:val="auto"/>
              </w:rPr>
            </w:pPr>
            <w:r>
              <w:rPr>
                <w:rFonts w:ascii="Arial" w:cs="Arial" w:eastAsia="Arial" w:hAnsi="Arial"/>
                <w:sz w:val="18"/>
                <w:szCs w:val="18"/>
                <w:color w:val="auto"/>
                <w:w w:val="93"/>
              </w:rPr>
              <w:t>(44)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93"/>
              </w:rPr>
              <w:t>(45)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89"/>
              </w:rPr>
              <w:t>20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154"/>
              <w:spacing w:after="0"/>
              <w:rPr>
                <w:sz w:val="20"/>
                <w:szCs w:val="20"/>
                <w:color w:val="auto"/>
              </w:rPr>
            </w:pPr>
            <w:r>
              <w:rPr>
                <w:rFonts w:ascii="Arial" w:cs="Arial" w:eastAsia="Arial" w:hAnsi="Arial"/>
                <w:sz w:val="18"/>
                <w:szCs w:val="18"/>
                <w:color w:val="auto"/>
                <w:w w:val="90"/>
              </w:rPr>
              <w:t>33.0%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center"/>
              <w:ind w:right="133"/>
              <w:spacing w:after="0"/>
              <w:rPr>
                <w:sz w:val="20"/>
                <w:szCs w:val="20"/>
                <w:color w:val="auto"/>
              </w:rPr>
            </w:pPr>
            <w:r>
              <w:rPr>
                <w:rFonts w:ascii="Arial" w:cs="Arial" w:eastAsia="Arial" w:hAnsi="Arial"/>
                <w:sz w:val="18"/>
                <w:szCs w:val="18"/>
                <w:color w:val="auto"/>
                <w:w w:val="90"/>
              </w:rPr>
              <w:t>29.9%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w w:val="85"/>
              </w:rPr>
              <w:t>3.1 pts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increase in resort management and other services revenues was driven by $1 million of higher management fees, $2 million of higher fees from our third party exchange company and less than $1 million of additional annual club dues earned in connection with the MVCD program due to the cumulative increase in owners enrolled in the program. These increases were partially offset by a less than $1 million decline in ancillary revenues driven by the disposition of a golf course in Orlando, Florida during the first quarter of 2014.</w:t>
      </w:r>
    </w:p>
    <w:p>
      <w:pPr>
        <w:spacing w:after="0" w:line="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improvement in the resort management and other services margin reflected the increases in revenue as well as a $1 million decline in ancillary expenses driven by the disposition of a golf course in Orlando, Florida during the first quarter of 2014.</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Thirty-Six Weeks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180" w:type="dxa"/>
            <w:vAlign w:val="bottom"/>
            <w:gridSpan w:val="2"/>
          </w:tcPr>
          <w:p>
            <w:pPr>
              <w:jc w:val="right"/>
              <w:ind w:right="74"/>
              <w:spacing w:after="0" w:line="119" w:lineRule="exact"/>
              <w:rPr>
                <w:sz w:val="20"/>
                <w:szCs w:val="20"/>
                <w:color w:val="auto"/>
              </w:rPr>
            </w:pPr>
            <w:r>
              <w:rPr>
                <w:rFonts w:ascii="Arial" w:cs="Arial" w:eastAsia="Arial" w:hAnsi="Arial"/>
                <w:sz w:val="13"/>
                <w:szCs w:val="13"/>
                <w:b w:val="1"/>
                <w:bCs w:val="1"/>
                <w:color w:val="auto"/>
              </w:rPr>
              <w:t>September 12,</w:t>
            </w:r>
          </w:p>
        </w:tc>
        <w:tc>
          <w:tcPr>
            <w:tcW w:w="20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September 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ind w:right="173"/>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2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8"/>
              </w:rPr>
              <w:t>21%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center"/>
              <w:ind w:right="133"/>
              <w:spacing w:after="0"/>
              <w:rPr>
                <w:sz w:val="20"/>
                <w:szCs w:val="20"/>
                <w:color w:val="auto"/>
              </w:rPr>
            </w:pPr>
            <w:r>
              <w:rPr>
                <w:rFonts w:ascii="Arial" w:cs="Arial" w:eastAsia="Arial" w:hAnsi="Arial"/>
                <w:sz w:val="18"/>
                <w:szCs w:val="18"/>
                <w:color w:val="auto"/>
                <w:w w:val="90"/>
              </w:rPr>
              <w:t>28.4%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4.4 pts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increase in resort management and other services revenues was driven by $3 million of higher management fees, $2 million of additional annual club dues earned in connection with the MVCD program due to the cumulative increase in owners enrolled in the program, $2 million of higher fees from our third party exchange company, $1 million of higher resales commission and nearly $1 million of higher ancillary revenues. The increase in ancillary revenues included a $3 million increase in ancillary revenues from food and beverage and golf offerings at our resorts, partially offset by a $2 million decline due to the disposition of a golf course in Orlando, Florida during the first quarter of 2014.</w:t>
      </w:r>
    </w:p>
    <w:p>
      <w:pPr>
        <w:spacing w:after="0" w:line="8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improvement in the resort management and other services margin reflected the increases in revenue, as well as $1 million of lower customer service and MVCD program expenses and $1 million of lower other expenses in the thirty-six weeks ended September 12, 2014 compared to the prior year comparable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4"/>
                <w:szCs w:val="14"/>
                <w:b w:val="1"/>
                <w:bCs w:val="1"/>
                <w:color w:val="auto"/>
              </w:rPr>
              <w:t>Twelve Weeks Ended</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180" w:type="dxa"/>
            <w:vAlign w:val="bottom"/>
            <w:gridSpan w:val="2"/>
          </w:tcPr>
          <w:p>
            <w:pPr>
              <w:jc w:val="right"/>
              <w:ind w:right="74"/>
              <w:spacing w:after="0" w:line="119" w:lineRule="exact"/>
              <w:rPr>
                <w:sz w:val="20"/>
                <w:szCs w:val="20"/>
                <w:color w:val="auto"/>
              </w:rPr>
            </w:pPr>
            <w:r>
              <w:rPr>
                <w:rFonts w:ascii="Arial" w:cs="Arial" w:eastAsia="Arial" w:hAnsi="Arial"/>
                <w:sz w:val="13"/>
                <w:szCs w:val="13"/>
                <w:b w:val="1"/>
                <w:bCs w:val="1"/>
                <w:color w:val="auto"/>
              </w:rPr>
              <w:t>September 12,</w:t>
            </w:r>
          </w:p>
        </w:tc>
        <w:tc>
          <w:tcPr>
            <w:tcW w:w="180" w:type="dxa"/>
            <w:vAlign w:val="bottom"/>
          </w:tcPr>
          <w:p>
            <w:pPr>
              <w:spacing w:after="0"/>
              <w:rPr>
                <w:sz w:val="10"/>
                <w:szCs w:val="10"/>
                <w:color w:val="auto"/>
              </w:rPr>
            </w:pPr>
          </w:p>
        </w:tc>
        <w:tc>
          <w:tcPr>
            <w:tcW w:w="1100" w:type="dxa"/>
            <w:vAlign w:val="bottom"/>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September 6,</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4"/>
                <w:szCs w:val="14"/>
                <w:color w:val="auto"/>
              </w:rPr>
            </w:pPr>
          </w:p>
        </w:tc>
        <w:tc>
          <w:tcPr>
            <w:tcW w:w="880" w:type="dxa"/>
            <w:vAlign w:val="bottom"/>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980" w:type="dxa"/>
            <w:vAlign w:val="bottom"/>
            <w:gridSpan w:val="2"/>
          </w:tcPr>
          <w:p>
            <w:pPr>
              <w:ind w:left="580"/>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38"/>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Financing expenses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Financing margin</w:t>
            </w:r>
          </w:p>
        </w:tc>
        <w:tc>
          <w:tcPr>
            <w:tcW w:w="3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800" w:type="dxa"/>
            <w:vAlign w:val="bottom"/>
            <w:tcBorders>
              <w:bottom w:val="single" w:sz="8" w:color="auto"/>
            </w:tcBorders>
          </w:tcPr>
          <w:p>
            <w:pPr>
              <w:jc w:val="right"/>
              <w:ind w:right="538"/>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46%</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decrease in financing revenues was due to an $81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decline in financing margin reflects the lower financing revenues, partially offset by lower consumer financing interest expense due to lower outstanding debt balances of securitized vacation ownership notes receivable and associated interest costs as well as a lower average interest rate.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rPr>
              <w:t>Thirty-Six Weeks Ended</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180" w:type="dxa"/>
            <w:vAlign w:val="bottom"/>
            <w:gridSpan w:val="2"/>
          </w:tcPr>
          <w:p>
            <w:pPr>
              <w:jc w:val="right"/>
              <w:ind w:right="74"/>
              <w:spacing w:after="0" w:line="119" w:lineRule="exact"/>
              <w:rPr>
                <w:sz w:val="20"/>
                <w:szCs w:val="20"/>
                <w:color w:val="auto"/>
              </w:rPr>
            </w:pPr>
            <w:r>
              <w:rPr>
                <w:rFonts w:ascii="Arial" w:cs="Arial" w:eastAsia="Arial" w:hAnsi="Arial"/>
                <w:sz w:val="13"/>
                <w:szCs w:val="13"/>
                <w:b w:val="1"/>
                <w:bCs w:val="1"/>
                <w:color w:val="auto"/>
              </w:rPr>
              <w:t>September 12,</w:t>
            </w:r>
          </w:p>
        </w:tc>
        <w:tc>
          <w:tcPr>
            <w:tcW w:w="180" w:type="dxa"/>
            <w:vAlign w:val="bottom"/>
          </w:tcPr>
          <w:p>
            <w:pPr>
              <w:spacing w:after="0"/>
              <w:rPr>
                <w:sz w:val="10"/>
                <w:szCs w:val="10"/>
                <w:color w:val="auto"/>
              </w:rPr>
            </w:pPr>
          </w:p>
        </w:tc>
        <w:tc>
          <w:tcPr>
            <w:tcW w:w="1100" w:type="dxa"/>
            <w:vAlign w:val="bottom"/>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September 6,</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4"/>
                <w:szCs w:val="14"/>
                <w:color w:val="auto"/>
              </w:rPr>
            </w:pPr>
          </w:p>
        </w:tc>
        <w:tc>
          <w:tcPr>
            <w:tcW w:w="880" w:type="dxa"/>
            <w:vAlign w:val="bottom"/>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940" w:type="dxa"/>
            <w:vAlign w:val="bottom"/>
            <w:gridSpan w:val="2"/>
          </w:tcPr>
          <w:p>
            <w:pPr>
              <w:ind w:left="580"/>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Financing expenses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Financing margin</w:t>
            </w:r>
          </w:p>
        </w:tc>
        <w:tc>
          <w:tcPr>
            <w:tcW w:w="30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43%</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4"/>
              </w:rPr>
              <w:t>42%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decrease in financing revenues was due to an $88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decline in financing margin reflects the lower financing revenues, partially offset by lower consumer financing interest expense due to lower outstanding debt balances of securitized vacation ownership notes receivable and associated interest costs as well as a lower average interest rate.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160" w:type="dxa"/>
            <w:vAlign w:val="bottom"/>
            <w:gridSpan w:val="2"/>
          </w:tcPr>
          <w:p>
            <w:pPr>
              <w:jc w:val="right"/>
              <w:ind w:right="55"/>
              <w:spacing w:after="0" w:line="119" w:lineRule="exact"/>
              <w:rPr>
                <w:sz w:val="20"/>
                <w:szCs w:val="20"/>
                <w:color w:val="auto"/>
              </w:rPr>
            </w:pPr>
            <w:r>
              <w:rPr>
                <w:rFonts w:ascii="Arial" w:cs="Arial" w:eastAsia="Arial" w:hAnsi="Arial"/>
                <w:sz w:val="13"/>
                <w:szCs w:val="13"/>
                <w:b w:val="1"/>
                <w:bCs w:val="1"/>
                <w:color w:val="auto"/>
              </w:rPr>
              <w:t>September 12,</w:t>
            </w:r>
          </w:p>
        </w:tc>
        <w:tc>
          <w:tcPr>
            <w:tcW w:w="180" w:type="dxa"/>
            <w:vAlign w:val="bottom"/>
          </w:tcPr>
          <w:p>
            <w:pPr>
              <w:spacing w:after="0"/>
              <w:rPr>
                <w:sz w:val="10"/>
                <w:szCs w:val="10"/>
                <w:color w:val="auto"/>
              </w:rPr>
            </w:pP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240" w:type="dxa"/>
            <w:vAlign w:val="bottom"/>
          </w:tcPr>
          <w:p>
            <w:pPr>
              <w:spacing w:after="0"/>
              <w:rPr>
                <w:sz w:val="18"/>
                <w:szCs w:val="18"/>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24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Rental margin</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28%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3.7 pts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160" w:type="dxa"/>
            <w:vAlign w:val="bottom"/>
            <w:gridSpan w:val="2"/>
          </w:tcPr>
          <w:p>
            <w:pPr>
              <w:jc w:val="right"/>
              <w:ind w:right="55"/>
              <w:spacing w:after="0" w:line="119" w:lineRule="exact"/>
              <w:rPr>
                <w:sz w:val="20"/>
                <w:szCs w:val="20"/>
                <w:color w:val="auto"/>
              </w:rPr>
            </w:pPr>
            <w:r>
              <w:rPr>
                <w:rFonts w:ascii="Arial" w:cs="Arial" w:eastAsia="Arial" w:hAnsi="Arial"/>
                <w:sz w:val="13"/>
                <w:szCs w:val="13"/>
                <w:b w:val="1"/>
                <w:bCs w:val="1"/>
                <w:color w:val="auto"/>
              </w:rPr>
              <w:t>September 12,</w:t>
            </w:r>
          </w:p>
        </w:tc>
        <w:tc>
          <w:tcPr>
            <w:tcW w:w="180" w:type="dxa"/>
            <w:vAlign w:val="bottom"/>
          </w:tcPr>
          <w:p>
            <w:pPr>
              <w:spacing w:after="0"/>
              <w:rPr>
                <w:sz w:val="10"/>
                <w:szCs w:val="10"/>
                <w:color w:val="auto"/>
              </w:rPr>
            </w:pP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98"/>
              </w:rPr>
              <w:t>263,835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5"/>
              </w:rPr>
              <w:t>256,760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7,075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40" w:type="dxa"/>
            <w:vAlign w:val="bottom"/>
          </w:tcPr>
          <w:p>
            <w:pPr>
              <w:spacing w:after="0"/>
              <w:rPr>
                <w:sz w:val="18"/>
                <w:szCs w:val="18"/>
                <w:color w:val="auto"/>
              </w:rPr>
            </w:pP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$222.21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$221.71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w w:val="99"/>
              </w:rPr>
              <w:t>$ 0.50</w:t>
            </w:r>
          </w:p>
        </w:tc>
        <w:tc>
          <w:tcPr>
            <w:tcW w:w="2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91.2%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7"/>
              </w:rPr>
              <w:t>(1.5 pts)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Rental revenues were unchanged from the prior year comparable period and reflected $2 million of lower plus points revenue (which is recognized upon utilization of plus points for stays at our resorts or upon expiration of the points), partially offset by a company-wide 3 percent increase in transient keys rented ($2 million) which was driven by stronger consumer demand and a favorable mix of available inventory.</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increase in rental margin reflected $5 million of higher rental revenues net of direct variable expenses (such as housekeeping), expenses incurred due to owners choosing alternative usage options, and unsold maintenance fees, partially offset by the $2 million decline in plus points revenue resulting from the decline in new enrollments in the MVCD program by existing owners (due to the maturity of the MVCD program).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Thirty-Six Weeks Ended</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200" w:type="dxa"/>
            <w:vAlign w:val="bottom"/>
          </w:tcPr>
          <w:p>
            <w:pPr>
              <w:spacing w:after="0"/>
              <w:rPr>
                <w:sz w:val="10"/>
                <w:szCs w:val="10"/>
                <w:color w:val="auto"/>
              </w:rPr>
            </w:pPr>
          </w:p>
        </w:tc>
        <w:tc>
          <w:tcPr>
            <w:tcW w:w="11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September 6,</w:t>
            </w:r>
          </w:p>
        </w:tc>
        <w:tc>
          <w:tcPr>
            <w:tcW w:w="200" w:type="dxa"/>
            <w:vAlign w:val="bottom"/>
          </w:tcPr>
          <w:p>
            <w:pPr>
              <w:spacing w:after="0"/>
              <w:rPr>
                <w:sz w:val="10"/>
                <w:szCs w:val="10"/>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20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20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Rental margin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0.4 pts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Thirty-Six Weeks Ended</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200" w:type="dxa"/>
            <w:vAlign w:val="bottom"/>
          </w:tcPr>
          <w:p>
            <w:pPr>
              <w:spacing w:after="0"/>
              <w:rPr>
                <w:sz w:val="10"/>
                <w:szCs w:val="10"/>
                <w:color w:val="auto"/>
              </w:rPr>
            </w:pPr>
          </w:p>
        </w:tc>
        <w:tc>
          <w:tcPr>
            <w:tcW w:w="11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September 6,</w:t>
            </w:r>
          </w:p>
        </w:tc>
        <w:tc>
          <w:tcPr>
            <w:tcW w:w="200" w:type="dxa"/>
            <w:vAlign w:val="bottom"/>
          </w:tcPr>
          <w:p>
            <w:pPr>
              <w:spacing w:after="0"/>
              <w:rPr>
                <w:sz w:val="10"/>
                <w:szCs w:val="10"/>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92"/>
              </w:rPr>
              <w:t>793,903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9"/>
              </w:rPr>
              <w:t>776,005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17,898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00" w:type="dxa"/>
            <w:vAlign w:val="bottom"/>
          </w:tcPr>
          <w:p>
            <w:pPr>
              <w:spacing w:after="0"/>
              <w:rPr>
                <w:sz w:val="18"/>
                <w:szCs w:val="18"/>
                <w:color w:val="auto"/>
              </w:rPr>
            </w:pP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$214.99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3"/>
              <w:spacing w:after="0"/>
              <w:rPr>
                <w:sz w:val="20"/>
                <w:szCs w:val="20"/>
                <w:color w:val="auto"/>
              </w:rPr>
            </w:pPr>
            <w:r>
              <w:rPr>
                <w:rFonts w:ascii="Arial" w:cs="Arial" w:eastAsia="Arial" w:hAnsi="Arial"/>
                <w:sz w:val="18"/>
                <w:szCs w:val="18"/>
                <w:color w:val="auto"/>
                <w:w w:val="89"/>
              </w:rPr>
              <w:t>$212.10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2.89</w:t>
            </w:r>
          </w:p>
        </w:tc>
        <w:tc>
          <w:tcPr>
            <w:tcW w:w="1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55"/>
              <w:spacing w:after="0"/>
              <w:rPr>
                <w:sz w:val="20"/>
                <w:szCs w:val="20"/>
                <w:color w:val="auto"/>
              </w:rPr>
            </w:pPr>
            <w:r>
              <w:rPr>
                <w:rFonts w:ascii="Arial" w:cs="Arial" w:eastAsia="Arial" w:hAnsi="Arial"/>
                <w:sz w:val="18"/>
                <w:szCs w:val="18"/>
                <w:color w:val="auto"/>
                <w:w w:val="90"/>
              </w:rPr>
              <w:t>89.6%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90.2%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(0.6 pts)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11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decrease in rental revenues was due to $8 million of lower plus points revenue (which is recognized upon utilization of plus points for stays at our resorts or upon expiration of the points), partially offset by a company-wide 2 percent increase in transient keys rented ($4 million) and a company-wide 1 percent increase in average transient rate ($2 million), both of which were driven by stronger consumer demand and a favorable mix of available inventory.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increase in rental margin reflected $9 million of higher rental revenues net of direct variable expenses (such as housekeeping), expenses incurred due to owners choosing alternative usage options, and unsold maintenance fees, partially offset by the $8 million decline in plus points revenue resulting from the decline in new enrollments in the MVCD program by existing owners (due to the maturity of the MVCD program).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rPr>
              <w:t>Twelve Weeks Ended</w:t>
            </w: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1160" w:type="dxa"/>
            <w:vAlign w:val="bottom"/>
            <w:gridSpan w:val="2"/>
          </w:tcPr>
          <w:p>
            <w:pPr>
              <w:jc w:val="right"/>
              <w:ind w:right="57"/>
              <w:spacing w:after="0" w:line="119" w:lineRule="exact"/>
              <w:rPr>
                <w:sz w:val="20"/>
                <w:szCs w:val="20"/>
                <w:color w:val="auto"/>
              </w:rPr>
            </w:pPr>
            <w:r>
              <w:rPr>
                <w:rFonts w:ascii="Arial" w:cs="Arial" w:eastAsia="Arial" w:hAnsi="Arial"/>
                <w:sz w:val="13"/>
                <w:szCs w:val="13"/>
                <w:b w:val="1"/>
                <w:bCs w:val="1"/>
                <w:color w:val="auto"/>
              </w:rPr>
              <w:t>September 12,</w:t>
            </w:r>
          </w:p>
        </w:tc>
        <w:tc>
          <w:tcPr>
            <w:tcW w:w="160" w:type="dxa"/>
            <w:vAlign w:val="bottom"/>
          </w:tcPr>
          <w:p>
            <w:pPr>
              <w:spacing w:after="0"/>
              <w:rPr>
                <w:sz w:val="10"/>
                <w:szCs w:val="10"/>
                <w:color w:val="auto"/>
              </w:rPr>
            </w:pPr>
          </w:p>
        </w:tc>
        <w:tc>
          <w:tcPr>
            <w:tcW w:w="1100" w:type="dxa"/>
            <w:vAlign w:val="bottom"/>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September 6,</w:t>
            </w:r>
          </w:p>
        </w:tc>
        <w:tc>
          <w:tcPr>
            <w:tcW w:w="40" w:type="dxa"/>
            <w:vAlign w:val="bottom"/>
          </w:tcPr>
          <w:p>
            <w:pPr>
              <w:spacing w:after="0"/>
              <w:rPr>
                <w:sz w:val="10"/>
                <w:szCs w:val="10"/>
                <w:color w:val="auto"/>
              </w:rPr>
            </w:pPr>
          </w:p>
        </w:tc>
      </w:tr>
      <w:tr>
        <w:trPr>
          <w:trHeight w:val="171"/>
        </w:trPr>
        <w:tc>
          <w:tcPr>
            <w:tcW w:w="5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4"/>
                <w:szCs w:val="14"/>
                <w:color w:val="auto"/>
              </w:rPr>
            </w:pPr>
          </w:p>
        </w:tc>
        <w:tc>
          <w:tcPr>
            <w:tcW w:w="860" w:type="dxa"/>
            <w:vAlign w:val="bottom"/>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3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48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revenues net of expenses of $0 in the twelve weeks ended September 12, 2014 was unchanged from the prior year comparable period.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Thirty-Six Weeks Ended</w:t>
            </w: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1160" w:type="dxa"/>
            <w:vAlign w:val="bottom"/>
            <w:gridSpan w:val="2"/>
          </w:tcPr>
          <w:p>
            <w:pPr>
              <w:jc w:val="right"/>
              <w:ind w:right="57"/>
              <w:spacing w:after="0" w:line="119" w:lineRule="exact"/>
              <w:rPr>
                <w:sz w:val="20"/>
                <w:szCs w:val="20"/>
                <w:color w:val="auto"/>
              </w:rPr>
            </w:pPr>
            <w:r>
              <w:rPr>
                <w:rFonts w:ascii="Arial" w:cs="Arial" w:eastAsia="Arial" w:hAnsi="Arial"/>
                <w:sz w:val="13"/>
                <w:szCs w:val="13"/>
                <w:b w:val="1"/>
                <w:bCs w:val="1"/>
                <w:color w:val="auto"/>
              </w:rPr>
              <w:t>September 12,</w:t>
            </w:r>
          </w:p>
        </w:tc>
        <w:tc>
          <w:tcPr>
            <w:tcW w:w="160" w:type="dxa"/>
            <w:vAlign w:val="bottom"/>
          </w:tcPr>
          <w:p>
            <w:pPr>
              <w:spacing w:after="0"/>
              <w:rPr>
                <w:sz w:val="10"/>
                <w:szCs w:val="10"/>
                <w:color w:val="auto"/>
              </w:rPr>
            </w:pPr>
          </w:p>
        </w:tc>
        <w:tc>
          <w:tcPr>
            <w:tcW w:w="1100" w:type="dxa"/>
            <w:vAlign w:val="bottom"/>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September 6,</w:t>
            </w:r>
          </w:p>
        </w:tc>
        <w:tc>
          <w:tcPr>
            <w:tcW w:w="40" w:type="dxa"/>
            <w:vAlign w:val="bottom"/>
          </w:tcPr>
          <w:p>
            <w:pPr>
              <w:spacing w:after="0"/>
              <w:rPr>
                <w:sz w:val="10"/>
                <w:szCs w:val="10"/>
                <w:color w:val="auto"/>
              </w:rPr>
            </w:pPr>
          </w:p>
        </w:tc>
      </w:tr>
      <w:tr>
        <w:trPr>
          <w:trHeight w:val="171"/>
        </w:trPr>
        <w:tc>
          <w:tcPr>
            <w:tcW w:w="5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Pr>
          <w:p>
            <w:pPr>
              <w:spacing w:after="0"/>
              <w:rPr>
                <w:sz w:val="14"/>
                <w:szCs w:val="14"/>
                <w:color w:val="auto"/>
              </w:rPr>
            </w:pPr>
          </w:p>
        </w:tc>
        <w:tc>
          <w:tcPr>
            <w:tcW w:w="860" w:type="dxa"/>
            <w:vAlign w:val="bottom"/>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3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48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13</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48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Other revenues net of expenses was $1 million below the prior year comparable period due to a slight decline in other revenues in the thirty-six weeks ended September 12, 2014 compared to the prior year comparable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Cost reimbursements increased $7 million, or 8 percent, over the prior year comparable period, reflecting $5 million of higher costs and $2 million due to timing of expenses compared to the prior year comparable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Cost reimbursements increased $22 million, or 9 percent, over the prior year comparable period, reflecting $14 million of higher costs, $6 million due to timing of expenses compared to the prior year comparable period and $2 million due to additional managed unit weeks in the thirty-six weeks ended September 12,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General and administrative expenses decreased $1 million (from $23 million to $22 million) from the prior year comparable period due to $1 million of lower legal related expenses and $1 million of savings related to organizational and separation related efforts in the human resources, information technology and finance and accounting organizations, partially offset by $1 million of higher personnel related costs.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expenses increased $1 million (from $66 million to $67 million) over the prior year comparable period due to $2 million of higher personnel related costs and $1 million from the favorable resolution of an international tax (non-income tax) matter in the prior year comparable period, partially offset by $2 million of savings related to organizational and separation relation efforts in the human resources, information technology and finance and accounting organizations.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and Thirty-Six Weeks Ended September 12, 2014</w:t>
      </w:r>
    </w:p>
    <w:p>
      <w:pPr>
        <w:spacing w:after="0" w:line="117" w:lineRule="exact"/>
        <w:rPr>
          <w:sz w:val="20"/>
          <w:szCs w:val="20"/>
          <w:color w:val="auto"/>
        </w:rPr>
      </w:pPr>
    </w:p>
    <w:p>
      <w:pPr>
        <w:ind w:right="460" w:firstLine="456"/>
        <w:spacing w:after="0" w:line="279" w:lineRule="auto"/>
        <w:rPr>
          <w:sz w:val="20"/>
          <w:szCs w:val="20"/>
          <w:color w:val="auto"/>
        </w:rPr>
      </w:pPr>
      <w:r>
        <w:rPr>
          <w:rFonts w:ascii="Arial" w:cs="Arial" w:eastAsia="Arial" w:hAnsi="Arial"/>
          <w:sz w:val="17"/>
          <w:szCs w:val="17"/>
          <w:color w:val="auto"/>
        </w:rPr>
        <w:t>During the third quarter of 2014, an agreement in principle was reached to settle an action related to The Ritz-Carlton Club and Residences, San Francisco (the “RCC San Francisco”). As a result of the agreement in principle, we recorded a charge of $3 million, which is included in the Litigation settlement line on the Statements of Income for the twelve and thirty-six weeks ended September 12, 2014. See Footnote No. 8, “Contingencies and Commitments,” to our Financial Statements for further information related to this pending action.</w:t>
      </w:r>
    </w:p>
    <w:p>
      <w:pPr>
        <w:spacing w:after="0" w:line="6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During the second quarter of 2014, we agreed to settle a dispute with a service provider relating to services provided to us prior to 2011. The dispute related to certain lawsuits and claims asserted by several residential unit and fractional interest owners at the RCC San Francisco, a project within our North America segment, who questioned the adequacy of disclosures made regarding bonds issued for that project under California’s Mello-Roos Community Facilities Act of 1982 and their payment obligations with respect to such bonds. In connection with the settlement, we received a one-time payment of $8 million after the end of the second quarter from the service provider, which no longer provides services to us. We recorded a gain of $8 million as a result of the settlement, which is included in the Litigation settlement line on the Statement of Income for the thirty-six weeks ended September 12,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increased $1 million (from $2 million to $3 million) due to a decrease in capitalized interest costs.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Interest expense decreased $1 million (from $9 million to $8 million) due to a $1 million decline in expense associated with our liability for the Marriott Rewards customer loyalty program under the Marriott Rewards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Royalty fee expense increased $1 million (from $13 million to $14 million) due to a lower portion of sales of pre-owned inventory, which carries a lower royalty fee as compared to initial sales of our real estate inventory (one percent versus two percent), as compared to the prior year comparable period.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Royalty fee expense of $41 million was unchanged from the prior year comparable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impairment charges in the third quarter of 2013 or the third quarter of 2014.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During the second quarter of 2014, we recorded an impairment charge of $1 million with respect to a building as a result of a termination of a land lease at one of our projects in our North America segment. In the second quarter of 2013, we recorded an impairment charge of $1 million with respect to a golf course in our Europe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provision for income taxes increased by $3 million (from $15 million to $18 million) from the prior year comparable period. The increase related to higher consolidated net income before income taxes and the change in the geographic composition of income before income taxes. There was lower net income before income taxes in our foreign jurisdictions for the twelve weeks ended September 12, 2014 compared to the prior year comparable period due to the cumulative impact of the extended rescission periods in our Europe segment and an increase in the net income before income taxes attributable to the United States.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provision for income taxes increased by $13 million (from $40 million to $53 million) from the prior year comparable period. The increase related to higher consolidated net income before income taxes and the change in the geographic composition of income before income taxes. There was lower net income before income taxes in our foreign jurisdictions for the thirty-six weeks ended September 12, 2014 compared to the prior year comparable period due to the cumulative impact of the extended rescission periods in our Europe segment and an increase in the net income before income taxes attributable to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w:t>
      </w:r>
    </w:p>
    <w:p>
      <w:pPr>
        <w:spacing w:after="0" w:line="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w:t>
      </w:r>
    </w:p>
    <w:p>
      <w:pPr>
        <w:spacing w:after="0" w:line="78"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5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w w:val="95"/>
              </w:rPr>
              <w:t>September 6,</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3"/>
                <w:szCs w:val="13"/>
                <w:b w:val="1"/>
                <w:bCs w:val="1"/>
                <w:color w:val="auto"/>
                <w:w w:val="95"/>
              </w:rPr>
              <w:t>September 6,</w:t>
            </w:r>
          </w:p>
        </w:tc>
        <w:tc>
          <w:tcPr>
            <w:tcW w:w="80" w:type="dxa"/>
            <w:vAlign w:val="bottom"/>
          </w:tcPr>
          <w:p>
            <w:pPr>
              <w:spacing w:after="0"/>
              <w:rPr>
                <w:sz w:val="10"/>
                <w:szCs w:val="10"/>
                <w:color w:val="auto"/>
              </w:rPr>
            </w:pPr>
          </w:p>
        </w:tc>
      </w:tr>
      <w:tr>
        <w:trPr>
          <w:trHeight w:val="171"/>
        </w:trPr>
        <w:tc>
          <w:tcPr>
            <w:tcW w:w="55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Interest expense excludes consumer financing interest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business is grouped into three reportable business segments: North America, Europe and Asia Pacific. See Footnote No. 15, “Business Segments,” to our Financial Statements for further information on our segments.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12, 2014, we operated the following 62 properties by segment: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20" w:type="dxa"/>
            <w:vAlign w:val="bottom"/>
          </w:tcPr>
          <w:p>
            <w:pPr>
              <w:jc w:val="right"/>
              <w:ind w:right="354"/>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1320" w:type="dxa"/>
            <w:vAlign w:val="bottom"/>
          </w:tcPr>
          <w:p>
            <w:pPr>
              <w:jc w:val="right"/>
              <w:ind w:right="296"/>
              <w:spacing w:after="0"/>
              <w:rPr>
                <w:sz w:val="20"/>
                <w:szCs w:val="20"/>
                <w:color w:val="auto"/>
              </w:rPr>
            </w:pPr>
            <w:r>
              <w:rPr>
                <w:rFonts w:ascii="Arial" w:cs="Arial" w:eastAsia="Arial" w:hAnsi="Arial"/>
                <w:sz w:val="14"/>
                <w:szCs w:val="14"/>
                <w:b w:val="1"/>
                <w:bCs w:val="1"/>
                <w:color w:val="auto"/>
              </w:rPr>
              <w:t>Non-U.S.</w:t>
            </w:r>
          </w:p>
        </w:tc>
        <w:tc>
          <w:tcPr>
            <w:tcW w:w="140" w:type="dxa"/>
            <w:vAlign w:val="bottom"/>
          </w:tcPr>
          <w:p>
            <w:pPr>
              <w:spacing w:after="0"/>
              <w:rPr>
                <w:sz w:val="14"/>
                <w:szCs w:val="14"/>
                <w:color w:val="auto"/>
              </w:rPr>
            </w:pPr>
          </w:p>
        </w:tc>
        <w:tc>
          <w:tcPr>
            <w:tcW w:w="138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 w:type="dxa"/>
            <w:vAlign w:val="bottom"/>
          </w:tcPr>
          <w:p>
            <w:pPr>
              <w:spacing w:after="0"/>
              <w:rPr>
                <w:sz w:val="18"/>
                <w:szCs w:val="18"/>
                <w:color w:val="auto"/>
              </w:rPr>
            </w:pPr>
          </w:p>
        </w:tc>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32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53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96"/>
              <w:spacing w:after="0"/>
              <w:rPr>
                <w:sz w:val="20"/>
                <w:szCs w:val="20"/>
                <w:color w:val="auto"/>
              </w:rPr>
            </w:pPr>
            <w:r>
              <w:rPr>
                <w:rFonts w:ascii="Arial" w:cs="Arial" w:eastAsia="Arial" w:hAnsi="Arial"/>
                <w:sz w:val="18"/>
                <w:szCs w:val="18"/>
                <w:color w:val="auto"/>
              </w:rPr>
              <w:t>5</w:t>
            </w:r>
          </w:p>
        </w:tc>
        <w:tc>
          <w:tcPr>
            <w:tcW w:w="1460" w:type="dxa"/>
            <w:vAlign w:val="bottom"/>
            <w:gridSpan w:val="2"/>
          </w:tcPr>
          <w:p>
            <w:pPr>
              <w:jc w:val="right"/>
              <w:ind w:right="176"/>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4</w:t>
            </w:r>
          </w:p>
        </w:tc>
        <w:tc>
          <w:tcPr>
            <w:tcW w:w="146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63"/>
              <w:spacing w:after="0"/>
              <w:rPr>
                <w:sz w:val="20"/>
                <w:szCs w:val="20"/>
                <w:color w:val="auto"/>
              </w:rPr>
            </w:pPr>
            <w:r>
              <w:rPr>
                <w:rFonts w:ascii="Arial" w:cs="Arial" w:eastAsia="Arial" w:hAnsi="Arial"/>
                <w:sz w:val="15"/>
                <w:szCs w:val="15"/>
                <w:color w:val="auto"/>
                <w:w w:val="87"/>
              </w:rPr>
              <w:t>(1)</w:t>
            </w:r>
          </w:p>
        </w:tc>
        <w:tc>
          <w:tcPr>
            <w:tcW w:w="5540" w:type="dxa"/>
            <w:vAlign w:val="bottom"/>
          </w:tcPr>
          <w:p>
            <w:pPr>
              <w:jc w:val="right"/>
              <w:spacing w:after="0"/>
              <w:rPr>
                <w:sz w:val="20"/>
                <w:szCs w:val="20"/>
                <w:color w:val="auto"/>
              </w:rPr>
            </w:pPr>
            <w:r>
              <w:rPr>
                <w:rFonts w:ascii="Arial" w:cs="Arial" w:eastAsia="Arial" w:hAnsi="Arial"/>
                <w:sz w:val="18"/>
                <w:szCs w:val="18"/>
                <w:color w:val="auto"/>
                <w:w w:val="92"/>
              </w:rPr>
              <w:t>Includes properties located in the 48 contiguous states, Hawaii and Alaska.</w:t>
            </w:r>
          </w:p>
        </w:tc>
      </w:tr>
      <w:tr>
        <w:trPr>
          <w:trHeight w:val="365"/>
        </w:trPr>
        <w:tc>
          <w:tcPr>
            <w:tcW w:w="320" w:type="dxa"/>
            <w:vAlign w:val="bottom"/>
          </w:tcPr>
          <w:p>
            <w:pPr>
              <w:spacing w:after="0"/>
              <w:rPr>
                <w:sz w:val="24"/>
                <w:szCs w:val="24"/>
                <w:color w:val="auto"/>
              </w:rPr>
            </w:pPr>
          </w:p>
        </w:tc>
        <w:tc>
          <w:tcPr>
            <w:tcW w:w="5540" w:type="dxa"/>
            <w:vAlign w:val="bottom"/>
          </w:tcPr>
          <w:p>
            <w:pPr>
              <w:jc w:val="right"/>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493"/>
              <w:spacing w:after="0"/>
              <w:rPr>
                <w:sz w:val="20"/>
                <w:szCs w:val="20"/>
                <w:color w:val="auto"/>
              </w:rPr>
            </w:pPr>
            <w:r>
              <w:rPr>
                <w:rFonts w:ascii="Arial" w:cs="Arial" w:eastAsia="Arial" w:hAnsi="Arial"/>
                <w:sz w:val="14"/>
                <w:szCs w:val="14"/>
                <w:b w:val="1"/>
                <w:bCs w:val="1"/>
                <w:color w:val="auto"/>
              </w:rPr>
              <w:t>Twelve Weeks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7"/>
          </w:tcPr>
          <w:p>
            <w:pPr>
              <w:ind w:left="16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September 12,</w:t>
            </w: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33"/>
              <w:spacing w:after="0" w:line="119" w:lineRule="exact"/>
              <w:rPr>
                <w:sz w:val="20"/>
                <w:szCs w:val="20"/>
                <w:color w:val="auto"/>
              </w:rPr>
            </w:pPr>
            <w:r>
              <w:rPr>
                <w:rFonts w:ascii="Arial" w:cs="Arial" w:eastAsia="Arial" w:hAnsi="Arial"/>
                <w:sz w:val="13"/>
                <w:szCs w:val="13"/>
                <w:b w:val="1"/>
                <w:bCs w:val="1"/>
                <w:color w:val="auto"/>
                <w:w w:val="97"/>
              </w:rPr>
              <w:t>September 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4"/>
          </w:tcPr>
          <w:p>
            <w:pPr>
              <w:ind w:left="80"/>
              <w:spacing w:after="0" w:line="119" w:lineRule="exact"/>
              <w:rPr>
                <w:sz w:val="20"/>
                <w:szCs w:val="20"/>
                <w:color w:val="auto"/>
              </w:rPr>
            </w:pPr>
            <w:r>
              <w:rPr>
                <w:rFonts w:ascii="Arial" w:cs="Arial" w:eastAsia="Arial" w:hAnsi="Arial"/>
                <w:sz w:val="13"/>
                <w:szCs w:val="13"/>
                <w:b w:val="1"/>
                <w:bCs w:val="1"/>
                <w:color w:val="auto"/>
              </w:rPr>
              <w:t>September 12,</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52"/>
              <w:spacing w:after="0" w:line="119" w:lineRule="exact"/>
              <w:rPr>
                <w:sz w:val="20"/>
                <w:szCs w:val="20"/>
                <w:color w:val="auto"/>
              </w:rPr>
            </w:pPr>
            <w:r>
              <w:rPr>
                <w:rFonts w:ascii="Arial" w:cs="Arial" w:eastAsia="Arial" w:hAnsi="Arial"/>
                <w:sz w:val="13"/>
                <w:szCs w:val="13"/>
                <w:b w:val="1"/>
                <w:bCs w:val="1"/>
                <w:color w:val="auto"/>
                <w:w w:val="95"/>
              </w:rPr>
              <w:t>September 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ind w:left="14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460" w:type="dxa"/>
            <w:vAlign w:val="bottom"/>
            <w:gridSpan w:val="4"/>
          </w:tcPr>
          <w:p>
            <w:pPr>
              <w:jc w:val="right"/>
              <w:ind w:right="10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2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Cost of vacation ownership products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sales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Resort management and other services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2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and other income</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280" w:type="dxa"/>
            <w:vAlign w:val="bottom"/>
          </w:tcPr>
          <w:p>
            <w:pPr>
              <w:ind w:left="720"/>
              <w:spacing w:after="0"/>
              <w:rPr>
                <w:sz w:val="20"/>
                <w:szCs w:val="20"/>
                <w:color w:val="auto"/>
              </w:rPr>
            </w:pPr>
            <w:r>
              <w:rPr>
                <w:rFonts w:ascii="Arial" w:cs="Arial" w:eastAsia="Arial" w:hAnsi="Arial"/>
                <w:sz w:val="18"/>
                <w:szCs w:val="18"/>
                <w:color w:val="auto"/>
              </w:rPr>
              <w:t>Segment financial results</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40" w:type="dxa"/>
            <w:vAlign w:val="bottom"/>
            <w:gridSpan w:val="2"/>
          </w:tcPr>
          <w:p>
            <w:pPr>
              <w:ind w:left="460"/>
              <w:spacing w:after="0"/>
              <w:rPr>
                <w:sz w:val="20"/>
                <w:szCs w:val="20"/>
                <w:color w:val="auto"/>
              </w:rPr>
            </w:pPr>
            <w:r>
              <w:rPr>
                <w:rFonts w:ascii="Arial" w:cs="Arial" w:eastAsia="Arial" w:hAnsi="Arial"/>
                <w:sz w:val="18"/>
                <w:szCs w:val="18"/>
                <w:i w:val="1"/>
                <w:iCs w:val="1"/>
                <w:color w:val="auto"/>
              </w:rPr>
              <w:t>Twelve Weeks Ended September 12, 2014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6"/>
          </w:tcPr>
          <w:p>
            <w:pPr>
              <w:jc w:val="right"/>
              <w:ind w:right="493"/>
              <w:spacing w:after="0"/>
              <w:rPr>
                <w:sz w:val="20"/>
                <w:szCs w:val="20"/>
                <w:color w:val="auto"/>
              </w:rPr>
            </w:pPr>
            <w:r>
              <w:rPr>
                <w:rFonts w:ascii="Arial" w:cs="Arial" w:eastAsia="Arial" w:hAnsi="Arial"/>
                <w:sz w:val="14"/>
                <w:szCs w:val="14"/>
                <w:b w:val="1"/>
                <w:bCs w:val="1"/>
                <w:color w:val="auto"/>
              </w:rPr>
              <w:t>Twelve Weeks Ended</w:t>
            </w:r>
          </w:p>
        </w:tc>
        <w:tc>
          <w:tcPr>
            <w:tcW w:w="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ind w:left="120"/>
              <w:spacing w:after="0" w:line="119" w:lineRule="exact"/>
              <w:rPr>
                <w:sz w:val="20"/>
                <w:szCs w:val="20"/>
                <w:color w:val="auto"/>
              </w:rPr>
            </w:pPr>
            <w:r>
              <w:rPr>
                <w:rFonts w:ascii="Arial" w:cs="Arial" w:eastAsia="Arial" w:hAnsi="Arial"/>
                <w:sz w:val="13"/>
                <w:szCs w:val="13"/>
                <w:b w:val="1"/>
                <w:bCs w:val="1"/>
                <w:color w:val="auto"/>
              </w:rPr>
              <w:t>September 12,</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w w:val="97"/>
              </w:rPr>
              <w:t>September 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74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460" w:type="dxa"/>
            <w:vAlign w:val="bottom"/>
            <w:gridSpan w:val="4"/>
          </w:tcPr>
          <w:p>
            <w:pPr>
              <w:jc w:val="right"/>
              <w:ind w:right="2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280" w:type="dxa"/>
            <w:vAlign w:val="bottom"/>
          </w:tcPr>
          <w:p>
            <w:pPr>
              <w:ind w:left="180"/>
              <w:spacing w:after="0"/>
              <w:rPr>
                <w:sz w:val="20"/>
                <w:szCs w:val="20"/>
                <w:color w:val="auto"/>
              </w:rPr>
            </w:pPr>
            <w:r>
              <w:rPr>
                <w:rFonts w:ascii="Arial" w:cs="Arial" w:eastAsia="Arial" w:hAnsi="Arial"/>
                <w:sz w:val="18"/>
                <w:szCs w:val="18"/>
                <w:color w:val="auto"/>
              </w:rPr>
              <w:t>Total contract sales</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60" w:type="dxa"/>
            <w:vAlign w:val="bottom"/>
            <w:tcBorders>
              <w:bottom w:val="single" w:sz="8" w:color="auto"/>
            </w:tcBorders>
          </w:tcPr>
          <w:p>
            <w:pPr>
              <w:spacing w:after="0"/>
              <w:rPr>
                <w:sz w:val="19"/>
                <w:szCs w:val="19"/>
                <w:color w:val="auto"/>
              </w:rPr>
            </w:pPr>
          </w:p>
        </w:tc>
        <w:tc>
          <w:tcPr>
            <w:tcW w:w="16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increase in contract sales in our North America segment reflects a $3 million increase in vacation ownership contract sales and a $2 million decline in residential contract sales.</w:t>
      </w:r>
    </w:p>
    <w:p>
      <w:pPr>
        <w:spacing w:after="0" w:line="62"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The increase in vacation ownership contract sales in our North America segment was driven by continued improvement at on-site sales locations, which resulted from a 7 percent increase in VPG to $3,477 in the twelve weeks ended September 12, 2014 from $3,252 in the prior year comparable period, partially offset by a 4 percent decline in the number of tours. Contract sales at off-site (non tour-based) sales locations were flat compared to the prior year comparable period. The increase in VPG was due to higher pricing and an increase in the average number of points purchased per contract as well as a nominal increase in closing efficiency. The decline in the number of tours continued to be driven by an increase in weeks-based owner utilization of the MVCD program, with owners taking advantage of the program’s flexibility to take vacations of shorter duration and exercise alternative usage options. This trend has reduced our existing owner tour flow because fewer owners are in our resorts, and their stays in our resorts are shorter, than in prior years. We implemented new programs aimed at generating existing owner tours and new marketing programs targeted toward first-time buyers, which we expect will increase tour flow in 2015.</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458"/>
              <w:spacing w:after="0"/>
              <w:rPr>
                <w:sz w:val="20"/>
                <w:szCs w:val="20"/>
                <w:color w:val="auto"/>
              </w:rPr>
            </w:pPr>
            <w:r>
              <w:rPr>
                <w:rFonts w:ascii="Arial" w:cs="Arial" w:eastAsia="Arial" w:hAnsi="Arial"/>
                <w:sz w:val="14"/>
                <w:szCs w:val="14"/>
                <w:b w:val="1"/>
                <w:bCs w:val="1"/>
                <w:color w:val="auto"/>
              </w:rPr>
              <w:t>Thirty-Six Weeks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right"/>
              <w:ind w:right="100"/>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September 6,</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0"/>
                <w:szCs w:val="10"/>
                <w:color w:val="auto"/>
              </w:rPr>
            </w:pP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0"/>
              <w:spacing w:after="0"/>
              <w:rPr>
                <w:sz w:val="20"/>
                <w:szCs w:val="20"/>
                <w:color w:val="auto"/>
              </w:rPr>
            </w:pPr>
            <w:r>
              <w:rPr>
                <w:rFonts w:ascii="Arial" w:cs="Arial" w:eastAsia="Arial" w:hAnsi="Arial"/>
                <w:sz w:val="18"/>
                <w:szCs w:val="18"/>
                <w:color w:val="auto"/>
              </w:rPr>
              <w:t>434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429</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2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c>
          <w:tcPr>
            <w:tcW w:w="12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33%</w:t>
            </w:r>
          </w:p>
        </w:tc>
        <w:tc>
          <w:tcPr>
            <w:tcW w:w="0" w:type="dxa"/>
            <w:vAlign w:val="bottom"/>
          </w:tcPr>
          <w:p>
            <w:pPr>
              <w:spacing w:after="0"/>
              <w:rPr>
                <w:sz w:val="1"/>
                <w:szCs w:val="1"/>
                <w:color w:val="auto"/>
              </w:rPr>
            </w:pPr>
          </w:p>
        </w:tc>
      </w:tr>
      <w:tr>
        <w:trPr>
          <w:trHeight w:val="223"/>
        </w:trPr>
        <w:tc>
          <w:tcPr>
            <w:tcW w:w="5420" w:type="dxa"/>
            <w:vAlign w:val="bottom"/>
          </w:tcPr>
          <w:p>
            <w:pPr>
              <w:ind w:left="180"/>
              <w:spacing w:after="0"/>
              <w:rPr>
                <w:sz w:val="20"/>
                <w:szCs w:val="20"/>
                <w:color w:val="auto"/>
              </w:rPr>
            </w:pPr>
            <w:r>
              <w:rPr>
                <w:rFonts w:ascii="Arial" w:cs="Arial" w:eastAsia="Arial" w:hAnsi="Arial"/>
                <w:sz w:val="18"/>
                <w:szCs w:val="18"/>
                <w:color w:val="auto"/>
              </w:rPr>
              <w:t>Total contract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w:t>
            </w:r>
          </w:p>
        </w:tc>
        <w:tc>
          <w:tcPr>
            <w:tcW w:w="12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increase in contract sales in our North America segment includes a $5 million increase in vacation ownership contract sales and $3 million of higher residential contract sales.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increase in vacation ownership contract sales in our North America segment reflected a $9 million increase in sales at on-site sales locations, and a $4 million decline in sales at off-site (non tour-based) sales locations, due in part to the closure or downsizing of certain under-performing locations since the prior year comparable period. The increase in sales at on-site sales locations resulted from a 6 percent increase in VPG to $3,444 in the thirty-six weeks ended September 12, 2014 from $3,243 in the prior year comparable period, partially offset by a 4 percent decline in the number of tours. The increase in VPG was due to a 0.4 percentage point increase in closing efficiency and higher pricing. The decline in the number of tours continued to be driven by an increase in weeks-based owner utilization of the MVCD program, with owners taking advantage of the program’s flexibility to take vacations of shorter duration and exercise alternative usage options. This trend has reduced our existing owner tour flow because fewer owners are in our resorts, and their stays in our resorts are shorter, than in prior years. We implemented new programs aimed at generating existing owner tours and new marketing programs targeted toward first-time buyers, which we expect will increase tour flow in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September 6,</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Pr>
          <w:p>
            <w:pPr>
              <w:spacing w:after="0"/>
              <w:rPr>
                <w:sz w:val="18"/>
                <w:szCs w:val="18"/>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10</w:t>
            </w:r>
          </w:p>
        </w:tc>
        <w:tc>
          <w:tcPr>
            <w:tcW w:w="128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Development margin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1.7 pts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decrease in revenues from the sale of vacation ownership products was due to $6 million of lower revenue reportability compared to the prior year comparable period and $2 million of higher sales incentives issued in the current period, partially offset by the $1 million increase in contract sales net of sales reserve. The $6 million of lower revenue reportability resulted from $4 million of lower revenue reportability in the twelve weeks ended September 12, 2014, compared to $2 million of higher revenue reportability in the prior year comparable period. Revenue reportability was lower in the current period because certain sales made in the current or prior periods did not meet the down payment requirement for revenue recognition purposes prior to the end of the period.</w:t>
      </w:r>
    </w:p>
    <w:p>
      <w:pPr>
        <w:spacing w:after="0" w:line="8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development margin of $33 million was flat compared to the prior year comparable period and included $3 million from lower revenue reportability year-over-year and nearly $3 million of favorable product cost true-ups in the prior year comparable period, partially offset by a $6 million net increase in vacation ownership contract sales volume net of lower direct variable expenses (i.e., cost of vacation ownership products and marketing and sales) driven by $8 million from a favorable mix of lower cost real estate inventory being sold and $1 million from the higher contract sales volume, partially offset by $2 million higher marketing and sales spending and $1 million from the higher sales incentives issued in the current period. The higher marketing and sales spending was due to costs incurred to generate more first-time buyer tours as well as inflationary cost increases.</w:t>
      </w:r>
    </w:p>
    <w:p>
      <w:pPr>
        <w:spacing w:after="0" w:line="70" w:lineRule="exact"/>
        <w:rPr>
          <w:sz w:val="20"/>
          <w:szCs w:val="20"/>
          <w:color w:val="auto"/>
        </w:rPr>
      </w:pPr>
    </w:p>
    <w:p>
      <w:pPr>
        <w:jc w:val="both"/>
        <w:ind w:right="80" w:firstLine="456"/>
        <w:spacing w:after="0" w:line="279" w:lineRule="auto"/>
        <w:rPr>
          <w:sz w:val="20"/>
          <w:szCs w:val="20"/>
          <w:color w:val="auto"/>
        </w:rPr>
      </w:pPr>
      <w:r>
        <w:rPr>
          <w:rFonts w:ascii="Arial" w:cs="Arial" w:eastAsia="Arial" w:hAnsi="Arial"/>
          <w:sz w:val="17"/>
          <w:szCs w:val="17"/>
          <w:color w:val="auto"/>
        </w:rPr>
        <w:t>The 1.7 percentage point improvement in the development margin percentage reflected a nearly 6 percentage point increase due to a favorable mix of lower cost vacation ownership real estate inventory being sold in the twelve weeks ended September 12, 2014, partially offset by a nearly 2 percentage point decrease due to lower revenue reportability year-over-year, a 2 percentage point decrease due to the higher favorable product cost true-up activity in the prior year period and 1 percentage point decrease due to the higher marketing and sales spending.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Thirty-Six Weeks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September 6,</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0"/>
                <w:szCs w:val="10"/>
                <w:color w:val="auto"/>
              </w:rPr>
            </w:pP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Pr>
          <w:p>
            <w:pPr>
              <w:spacing w:after="0"/>
              <w:rPr>
                <w:sz w:val="18"/>
                <w:szCs w:val="18"/>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Development margin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13</w:t>
            </w:r>
          </w:p>
        </w:tc>
        <w:tc>
          <w:tcPr>
            <w:tcW w:w="128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3.4 pts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decrease in revenues from the sale of vacation ownership products was due to $10 million of lower revenue reportability compared to the prior year comparable period and $3 million of higher sales incentives issued in the current period, partially offset by the $8 million increase in contract sales net of sales reserve and $2 million from lower vacation ownership notes receivable reserve activity due to a decrease in estimated default activity compared to the prior year comparable period.</w:t>
      </w:r>
    </w:p>
    <w:p>
      <w:pPr>
        <w:spacing w:after="0" w:line="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increase in development margin reflected a $22 million net increase from higher contract sales volume net of lower direct variable expenses (i.e., cost of vacation ownership products and marketing and sales) driven by $21 million from a favorable mix of lower cost real estate inventory being sold and $1 million from the higher contract sales. Additionally, the increase in development margin reflected a $2 million decrease in vacation ownership notes receivable reserve activity. These increases were partially offset by $6 million of lower revenue reportability compared to the prior year comparable period and $5 million of lower favorable product cost true-ups ($2 million in the thirty-six weeks ended September 12, 2014 compared to $7 million in the prior year comparable period).</w:t>
      </w:r>
    </w:p>
    <w:p>
      <w:pPr>
        <w:spacing w:after="0" w:line="85"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The 3.4 percentage point improvement in the development margin percentage reflected a 5 percentage point increase due to a favorable mix of lower cost vacation ownership real estate inventory being sold in the thirty-six weeks ended September 12, 2014, partially offset by a 1 percentage point decrease due to the lower favorable product cost true-up activity year-over-year and a 1 percentage point decrease due to lower revenue reportability year-over-year.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September 6,</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0"/>
                <w:szCs w:val="10"/>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75"/>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89"/>
              </w:rPr>
              <w:t>15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center"/>
              <w:ind w:left="495"/>
              <w:spacing w:after="0"/>
              <w:rPr>
                <w:sz w:val="20"/>
                <w:szCs w:val="20"/>
                <w:color w:val="auto"/>
              </w:rPr>
            </w:pPr>
            <w:r>
              <w:rPr>
                <w:rFonts w:ascii="Arial" w:cs="Arial" w:eastAsia="Arial" w:hAnsi="Arial"/>
                <w:sz w:val="18"/>
                <w:szCs w:val="18"/>
                <w:color w:val="auto"/>
                <w:w w:val="89"/>
              </w:rPr>
              <w:t>14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89"/>
              </w:rPr>
              <w:t>43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w w:val="89"/>
              </w:rPr>
              <w:t>41</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ind w:right="31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9"/>
              </w:rPr>
              <w:t>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89"/>
              </w:rPr>
              <w:t>55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77"/>
              <w:spacing w:after="0"/>
              <w:rPr>
                <w:sz w:val="20"/>
                <w:szCs w:val="20"/>
                <w:color w:val="auto"/>
              </w:rPr>
            </w:pPr>
            <w:r>
              <w:rPr>
                <w:rFonts w:ascii="Arial" w:cs="Arial" w:eastAsia="Arial" w:hAnsi="Arial"/>
                <w:sz w:val="18"/>
                <w:szCs w:val="18"/>
                <w:color w:val="auto"/>
                <w:w w:val="93"/>
              </w:rPr>
              <w:t>(36)</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455"/>
              <w:spacing w:after="0"/>
              <w:rPr>
                <w:sz w:val="20"/>
                <w:szCs w:val="20"/>
                <w:color w:val="auto"/>
              </w:rPr>
            </w:pPr>
            <w:r>
              <w:rPr>
                <w:rFonts w:ascii="Arial" w:cs="Arial" w:eastAsia="Arial" w:hAnsi="Arial"/>
                <w:sz w:val="18"/>
                <w:szCs w:val="18"/>
                <w:color w:val="auto"/>
                <w:w w:val="93"/>
              </w:rPr>
              <w:t>(37)</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ind w:right="31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9"/>
              </w:rPr>
              <w:t>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89"/>
              </w:rPr>
              <w:t>18</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37"/>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5"/>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3.7 pts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increase in resort management and other services revenues was driven by $1 million of higher management fees, $1 million of higher fees from our third party exchange company and $1 million of additional annual club dues earned in connection with the MVCD program due to the cumulative increase in owners enrolled in the program. These increases were partially offset by a less than $1 million decline in ancillary revenues driven by the disposition of a golf course in Orlando, Florida during the first quarter of 2014.</w:t>
      </w:r>
    </w:p>
    <w:p>
      <w:pPr>
        <w:spacing w:after="0" w:line="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improvement in the resort management and other services margin reflected the increases in revenue as well as a $1 million decline in ancillary expenses driven by the disposition of a golf course in Orlando, Florida during the first quarter of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Thirty-Six Weeks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7"/>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0"/>
                <w:szCs w:val="10"/>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6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4"/>
                <w:szCs w:val="14"/>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w:t>
            </w:r>
          </w:p>
        </w:tc>
        <w:tc>
          <w:tcPr>
            <w:tcW w:w="1240" w:type="dxa"/>
            <w:vAlign w:val="bottom"/>
            <w:gridSpan w:val="2"/>
          </w:tcPr>
          <w:p>
            <w:pPr>
              <w:jc w:val="right"/>
              <w:ind w:right="27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124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27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w:t>
            </w:r>
          </w:p>
        </w:tc>
        <w:tc>
          <w:tcPr>
            <w:tcW w:w="124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97"/>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95"/>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4.7 pts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increase in resort management and other services revenues was driven by $3 million of higher management fees, $2 million of additional annual club dues earned in connection with the MVCD program due to the cumulative increase in owners enrolled in the program, $2 million of higher fees from our third party exchange company and $2 million of higher resales commission. Ancillary revenues were flat compared to the prior year comparable period, and included a $2 million increase in ancillary revenues from food and beverage and golf offerings at our resorts, offset by a $2 million decline due to the disposition of a golf course in Orlando, Florida during the first quarter of 2014.</w:t>
      </w:r>
    </w:p>
    <w:p>
      <w:pPr>
        <w:spacing w:after="0" w:line="8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improvement in the resort management and other services margin reflected the increases in revenue, as well as $1 million of lower customer service and MVCD program expenses and $1 million of lower other expenses in the thirty-six weeks ended September 12, 2014 compared to the prior year comparable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September 12,</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right"/>
              <w:ind w:right="157"/>
              <w:spacing w:after="0" w:line="119" w:lineRule="exact"/>
              <w:rPr>
                <w:sz w:val="20"/>
                <w:szCs w:val="20"/>
                <w:color w:val="auto"/>
              </w:rPr>
            </w:pPr>
            <w:r>
              <w:rPr>
                <w:rFonts w:ascii="Arial" w:cs="Arial" w:eastAsia="Arial" w:hAnsi="Arial"/>
                <w:sz w:val="13"/>
                <w:szCs w:val="13"/>
                <w:b w:val="1"/>
                <w:bCs w:val="1"/>
                <w:color w:val="auto"/>
              </w:rPr>
              <w:t>September 6,</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0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30</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Financing propensity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38"/>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37"/>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Thirty-Six Weeks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September 12,</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right"/>
              <w:ind w:right="157"/>
              <w:spacing w:after="0" w:line="119" w:lineRule="exact"/>
              <w:rPr>
                <w:sz w:val="20"/>
                <w:szCs w:val="20"/>
                <w:color w:val="auto"/>
              </w:rPr>
            </w:pPr>
            <w:r>
              <w:rPr>
                <w:rFonts w:ascii="Arial" w:cs="Arial" w:eastAsia="Arial" w:hAnsi="Arial"/>
                <w:sz w:val="13"/>
                <w:szCs w:val="13"/>
                <w:b w:val="1"/>
                <w:bCs w:val="1"/>
                <w:color w:val="auto"/>
              </w:rPr>
              <w:t>September 6,</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91</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w:t>
            </w:r>
          </w:p>
        </w:tc>
        <w:tc>
          <w:tcPr>
            <w:tcW w:w="13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Financing propensity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38"/>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37"/>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18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8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Rental margin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27%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w w:val="93"/>
              </w:rPr>
              <w:t>14.9%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13"/>
              <w:spacing w:after="0"/>
              <w:rPr>
                <w:sz w:val="20"/>
                <w:szCs w:val="20"/>
                <w:color w:val="auto"/>
              </w:rPr>
            </w:pPr>
            <w:r>
              <w:rPr>
                <w:rFonts w:ascii="Arial" w:cs="Arial" w:eastAsia="Arial" w:hAnsi="Arial"/>
                <w:sz w:val="18"/>
                <w:szCs w:val="18"/>
                <w:color w:val="auto"/>
                <w:w w:val="88"/>
              </w:rPr>
              <w:t>3.2 pts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238,463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232,272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6,191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80" w:type="dxa"/>
            <w:vAlign w:val="bottom"/>
          </w:tcPr>
          <w:p>
            <w:pPr>
              <w:spacing w:after="0"/>
              <w:rPr>
                <w:sz w:val="18"/>
                <w:szCs w:val="18"/>
                <w:color w:val="auto"/>
              </w:rPr>
            </w:pPr>
          </w:p>
        </w:tc>
        <w:tc>
          <w:tcPr>
            <w:tcW w:w="1140" w:type="dxa"/>
            <w:vAlign w:val="bottom"/>
          </w:tcPr>
          <w:p>
            <w:pPr>
              <w:jc w:val="right"/>
              <w:ind w:right="217"/>
              <w:spacing w:after="0"/>
              <w:rPr>
                <w:sz w:val="20"/>
                <w:szCs w:val="20"/>
                <w:color w:val="auto"/>
              </w:rPr>
            </w:pPr>
            <w:r>
              <w:rPr>
                <w:rFonts w:ascii="Arial" w:cs="Arial" w:eastAsia="Arial" w:hAnsi="Arial"/>
                <w:sz w:val="18"/>
                <w:szCs w:val="18"/>
                <w:color w:val="auto"/>
              </w:rPr>
              <w:t>$205.82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$ 206.04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273"/>
              <w:spacing w:after="0"/>
              <w:rPr>
                <w:sz w:val="20"/>
                <w:szCs w:val="20"/>
                <w:color w:val="auto"/>
              </w:rPr>
            </w:pPr>
            <w:r>
              <w:rPr>
                <w:rFonts w:ascii="Arial" w:cs="Arial" w:eastAsia="Arial" w:hAnsi="Arial"/>
                <w:sz w:val="18"/>
                <w:szCs w:val="18"/>
                <w:color w:val="auto"/>
              </w:rPr>
              <w:t>($0.22)</w:t>
            </w:r>
          </w:p>
        </w:tc>
        <w:tc>
          <w:tcPr>
            <w:tcW w:w="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w w:val="93"/>
              </w:rPr>
              <w:t>91.7%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13"/>
              <w:spacing w:after="0"/>
              <w:rPr>
                <w:sz w:val="20"/>
                <w:szCs w:val="20"/>
                <w:color w:val="auto"/>
              </w:rPr>
            </w:pPr>
            <w:r>
              <w:rPr>
                <w:rFonts w:ascii="Arial" w:cs="Arial" w:eastAsia="Arial" w:hAnsi="Arial"/>
                <w:sz w:val="18"/>
                <w:szCs w:val="18"/>
                <w:color w:val="auto"/>
                <w:w w:val="90"/>
              </w:rPr>
              <w:t>(1.8 pts)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436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decrease in rental revenues was due to nearly $2 million of lower plus points revenue (which is recognized upon utilization of plus points for stays at our resorts or upon expiration of the points), partially offset by a 3 percent increase in transient keys rented ($1 million), which was driven by stronger consumer demand and a favorable mix of available inventory.</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increase in rental margin reflected $3 million of higher rental revenues net of direct variable expenses (such as housekeeping), expenses incurred due to owners choosing alternative usage options, and unsold maintenance fees, partially offset by the $2 million decline in plus points revenue resulting from the decline in new enrollments in the MVCD program by existing owners (due to the maturity of the MVCD program).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Thirty-Six Weeks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18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8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Rental margin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w w:val="93"/>
              </w:rPr>
              <w:t>13.6%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(0.1 pts)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Thirty-Six Weeks Ended</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727,371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709,553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17,818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80" w:type="dxa"/>
            <w:vAlign w:val="bottom"/>
          </w:tcPr>
          <w:p>
            <w:pPr>
              <w:spacing w:after="0"/>
              <w:rPr>
                <w:sz w:val="18"/>
                <w:szCs w:val="18"/>
                <w:color w:val="auto"/>
              </w:rPr>
            </w:pPr>
          </w:p>
        </w:tc>
        <w:tc>
          <w:tcPr>
            <w:tcW w:w="1140" w:type="dxa"/>
            <w:vAlign w:val="bottom"/>
          </w:tcPr>
          <w:p>
            <w:pPr>
              <w:jc w:val="right"/>
              <w:ind w:right="217"/>
              <w:spacing w:after="0"/>
              <w:rPr>
                <w:sz w:val="20"/>
                <w:szCs w:val="20"/>
                <w:color w:val="auto"/>
              </w:rPr>
            </w:pPr>
            <w:r>
              <w:rPr>
                <w:rFonts w:ascii="Arial" w:cs="Arial" w:eastAsia="Arial" w:hAnsi="Arial"/>
                <w:sz w:val="18"/>
                <w:szCs w:val="18"/>
                <w:color w:val="auto"/>
              </w:rPr>
              <w:t>$207.00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$ 204.92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Arial" w:cs="Arial" w:eastAsia="Arial" w:hAnsi="Arial"/>
                <w:sz w:val="18"/>
                <w:szCs w:val="18"/>
                <w:color w:val="auto"/>
              </w:rPr>
              <w:t>$ 2.08</w:t>
            </w:r>
          </w:p>
        </w:tc>
        <w:tc>
          <w:tcPr>
            <w:tcW w:w="136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w w:val="93"/>
              </w:rPr>
              <w:t>90.5%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91.3%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(0.8 pts)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436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decrease in rental revenues was due to $8 million of lower plus points revenue (which is recognized upon utilization of plus points for stays at our resorts or upon expiration of the points), partially offset by a 3 percent increase in transient keys rented (nearly $4 million) and a 1 percent increase in average transient rate (nearly $2 million), both of which were driven by stronger consumer demand and a favorable mix of available inventory.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20" w:firstLine="456"/>
        <w:spacing w:after="0" w:line="312" w:lineRule="auto"/>
        <w:rPr>
          <w:sz w:val="20"/>
          <w:szCs w:val="20"/>
          <w:color w:val="auto"/>
        </w:rPr>
      </w:pPr>
      <w:r>
        <w:rPr>
          <w:rFonts w:ascii="Arial" w:cs="Arial" w:eastAsia="Arial" w:hAnsi="Arial"/>
          <w:sz w:val="16"/>
          <w:szCs w:val="16"/>
          <w:color w:val="auto"/>
        </w:rPr>
        <w:t>The decline in rental margin reflected the $8 million decline in plus points revenue resulting from the decline in new enrollments in the MVCD program by existing owners (due to the maturity of the MVCD program), partially offset by $7 million of higher rental revenues net of direct variable expenses (such as housekeeping), expenses incurred due to owners choosing alternative usage options, and unsold maintenance fees.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5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33"/>
              <w:spacing w:after="0" w:line="119" w:lineRule="exact"/>
              <w:rPr>
                <w:sz w:val="20"/>
                <w:szCs w:val="20"/>
                <w:color w:val="auto"/>
              </w:rPr>
            </w:pPr>
            <w:r>
              <w:rPr>
                <w:rFonts w:ascii="Arial" w:cs="Arial" w:eastAsia="Arial" w:hAnsi="Arial"/>
                <w:sz w:val="13"/>
                <w:szCs w:val="13"/>
                <w:b w:val="1"/>
                <w:bCs w:val="1"/>
                <w:color w:val="auto"/>
              </w:rPr>
              <w:t>September 12,</w:t>
            </w: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72"/>
              <w:spacing w:after="0" w:line="119" w:lineRule="exact"/>
              <w:rPr>
                <w:sz w:val="20"/>
                <w:szCs w:val="20"/>
                <w:color w:val="auto"/>
              </w:rPr>
            </w:pPr>
            <w:r>
              <w:rPr>
                <w:rFonts w:ascii="Arial" w:cs="Arial" w:eastAsia="Arial" w:hAnsi="Arial"/>
                <w:sz w:val="13"/>
                <w:szCs w:val="13"/>
                <w:b w:val="1"/>
                <w:bCs w:val="1"/>
                <w:color w:val="auto"/>
              </w:rPr>
              <w:t>September 6,</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33"/>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172"/>
              <w:spacing w:after="0" w:line="119" w:lineRule="exact"/>
              <w:rPr>
                <w:sz w:val="20"/>
                <w:szCs w:val="20"/>
                <w:color w:val="auto"/>
              </w:rPr>
            </w:pPr>
            <w:r>
              <w:rPr>
                <w:rFonts w:ascii="Arial" w:cs="Arial" w:eastAsia="Arial" w:hAnsi="Arial"/>
                <w:sz w:val="13"/>
                <w:szCs w:val="13"/>
                <w:b w:val="1"/>
                <w:bCs w:val="1"/>
                <w:color w:val="auto"/>
              </w:rPr>
              <w:t>September 6,</w:t>
            </w:r>
          </w:p>
        </w:tc>
        <w:tc>
          <w:tcPr>
            <w:tcW w:w="60" w:type="dxa"/>
            <w:vAlign w:val="bottom"/>
          </w:tcPr>
          <w:p>
            <w:pPr>
              <w:spacing w:after="0"/>
              <w:rPr>
                <w:sz w:val="10"/>
                <w:szCs w:val="10"/>
                <w:color w:val="auto"/>
              </w:rPr>
            </w:pPr>
          </w:p>
        </w:tc>
      </w:tr>
      <w:tr>
        <w:trPr>
          <w:trHeight w:val="171"/>
        </w:trPr>
        <w:tc>
          <w:tcPr>
            <w:tcW w:w="5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60" w:type="dxa"/>
            <w:vAlign w:val="bottom"/>
            <w:tcBorders>
              <w:bottom w:val="single" w:sz="8" w:color="CCEEFF"/>
            </w:tcBorders>
          </w:tcPr>
          <w:p>
            <w:pPr>
              <w:spacing w:after="0"/>
              <w:rPr>
                <w:sz w:val="14"/>
                <w:szCs w:val="14"/>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6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r>
      <w:tr>
        <w:trPr>
          <w:trHeight w:val="223"/>
        </w:trPr>
        <w:tc>
          <w:tcPr>
            <w:tcW w:w="518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30"/>
        </w:trPr>
        <w:tc>
          <w:tcPr>
            <w:tcW w:w="51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0"/>
                <w:szCs w:val="20"/>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Segment financial results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436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8" w:lineRule="exact"/>
        <w:rPr>
          <w:sz w:val="20"/>
          <w:szCs w:val="20"/>
          <w:color w:val="auto"/>
        </w:rPr>
      </w:pPr>
    </w:p>
    <w:p>
      <w:pPr>
        <w:ind w:left="460" w:right="40" w:hanging="452"/>
        <w:spacing w:after="0" w:line="259"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Europe and Asia Pacific segment revenues and expenses have been restated to correct certain immaterial prior period errors. For the thirty-six weeks ended September 12, 2014, $1 million of cost reimbursements related to the twelve weeks ended March 28, 2014 were reclassified from the Asia Pacific segment to the Europe segment. For the twelve and thirty-six weeks ended September 6, 2013, $2 million and $5 million of cost reimbursements were reclassified from the Asia Pacific segment to the Europe segment,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160"/>
              <w:spacing w:after="0" w:line="119" w:lineRule="exact"/>
              <w:rPr>
                <w:sz w:val="20"/>
                <w:szCs w:val="20"/>
                <w:color w:val="auto"/>
              </w:rPr>
            </w:pPr>
            <w:r>
              <w:rPr>
                <w:rFonts w:ascii="Arial" w:cs="Arial" w:eastAsia="Arial" w:hAnsi="Arial"/>
                <w:sz w:val="13"/>
                <w:szCs w:val="13"/>
                <w:b w:val="1"/>
                <w:bCs w:val="1"/>
                <w:color w:val="auto"/>
              </w:rPr>
              <w:t>September 6,</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contract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contract sales reflected stronger sales across most sites in the Europe region.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Thirty-Six Weeks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160"/>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58%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contract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58%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increase in contract sales reflected stronger sales from our Middle East sales location ($5 million) and from our onsite sales locations in Spain ($2 million), stronger fractional sales at our project in London, United Kingdom ($1 million), and higher cancellation activity in the prior year comparable period associated with the extended rescission periods in this segment ($3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156"/>
              <w:spacing w:after="0" w:line="119" w:lineRule="exact"/>
              <w:rPr>
                <w:sz w:val="20"/>
                <w:szCs w:val="20"/>
                <w:color w:val="auto"/>
              </w:rPr>
            </w:pPr>
            <w:r>
              <w:rPr>
                <w:rFonts w:ascii="Arial" w:cs="Arial" w:eastAsia="Arial" w:hAnsi="Arial"/>
                <w:sz w:val="13"/>
                <w:szCs w:val="13"/>
                <w:b w:val="1"/>
                <w:bCs w:val="1"/>
                <w:color w:val="auto"/>
              </w:rPr>
              <w:t>September 6,</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47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Development margin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(52%)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(9.9 pts)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Revenues from the sale of vacation ownership products were unchanged from the prior year comparable period, with the $2 million increase in contract sales offset by $2 million of higher revenue reportability in the prior year comparable period. The $2 million of higher revenue reportability in the prior year comparable quarter occurred because the rescission period related to certain sales had expired, all of which related to the impact of the extended rescission periods in this segment.</w:t>
      </w:r>
    </w:p>
    <w:p>
      <w:pPr>
        <w:spacing w:after="0" w:line="79" w:lineRule="exact"/>
        <w:rPr>
          <w:sz w:val="20"/>
          <w:szCs w:val="20"/>
          <w:color w:val="auto"/>
        </w:rPr>
      </w:pPr>
    </w:p>
    <w:p>
      <w:pPr>
        <w:jc w:val="both"/>
        <w:ind w:right="400" w:firstLine="456"/>
        <w:spacing w:after="0" w:line="286" w:lineRule="auto"/>
        <w:rPr>
          <w:sz w:val="20"/>
          <w:szCs w:val="20"/>
          <w:color w:val="auto"/>
        </w:rPr>
      </w:pPr>
      <w:r>
        <w:rPr>
          <w:rFonts w:ascii="Arial" w:cs="Arial" w:eastAsia="Arial" w:hAnsi="Arial"/>
          <w:sz w:val="17"/>
          <w:szCs w:val="17"/>
          <w:color w:val="auto"/>
        </w:rPr>
        <w:t>The decrease in development margin reflected $1 million from lower revenue reportability year-over-year (all of which related to the impact of the extended rescission periods in this segment). The higher vacation ownership contract sales volume did not impact development margin because the more efficient marketing and sales spending was offset by an unfavorable mix of higher cost real estate inventory being sold.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Thirty-Six Weeks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0"/>
                <w:szCs w:val="10"/>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7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89"/>
              </w:rPr>
              <w:t>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596"/>
              <w:spacing w:after="0"/>
              <w:rPr>
                <w:sz w:val="20"/>
                <w:szCs w:val="20"/>
                <w:color w:val="auto"/>
              </w:rPr>
            </w:pPr>
            <w:r>
              <w:rPr>
                <w:rFonts w:ascii="Arial" w:cs="Arial" w:eastAsia="Arial" w:hAnsi="Arial"/>
                <w:sz w:val="18"/>
                <w:szCs w:val="18"/>
                <w:color w:val="auto"/>
                <w:w w:val="87"/>
              </w:rPr>
              <w:t>(11)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299"/>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576"/>
              <w:spacing w:after="0"/>
              <w:rPr>
                <w:sz w:val="20"/>
                <w:szCs w:val="20"/>
                <w:color w:val="auto"/>
              </w:rPr>
            </w:pPr>
            <w:r>
              <w:rPr>
                <w:rFonts w:ascii="Arial" w:cs="Arial" w:eastAsia="Arial" w:hAnsi="Arial"/>
                <w:sz w:val="18"/>
                <w:szCs w:val="18"/>
                <w:color w:val="auto"/>
                <w:w w:val="93"/>
              </w:rPr>
              <w:t>(19)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Development margin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ind w:left="616"/>
              <w:spacing w:after="0"/>
              <w:rPr>
                <w:sz w:val="20"/>
                <w:szCs w:val="20"/>
                <w:color w:val="auto"/>
              </w:rPr>
            </w:pPr>
            <w:r>
              <w:rPr>
                <w:rFonts w:ascii="Arial" w:cs="Arial" w:eastAsia="Arial" w:hAnsi="Arial"/>
                <w:sz w:val="18"/>
                <w:szCs w:val="18"/>
                <w:color w:val="auto"/>
                <w:w w:val="89"/>
              </w:rPr>
              <w:t>12</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20" w:type="dxa"/>
            <w:vAlign w:val="bottom"/>
            <w:gridSpan w:val="2"/>
          </w:tcPr>
          <w:p>
            <w:pPr>
              <w:jc w:val="right"/>
              <w:ind w:right="239"/>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9"/>
              </w:rPr>
              <w:t>(16.8 pts)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decrease in revenues from the sale of vacation ownership products was due to $26 million of lower revenue reportability compared to the prior year comparable period, partially offset by $11 million from the increase in contract sales net of sales reserve. The $26 million of lower revenue reportability resulted from $1 million of lower revenue reportability in the thirty-six weeks ended September 12, 2014, compared to $25 million of higher revenue reportability in the prior year comparable period. Revenue reportability was higher in the prior year comparable period because the rescission period related to certain sales had expired during the prior year comparable period, of which $20 million related to the impact of the extended rescission periods in this segment.</w:t>
      </w:r>
    </w:p>
    <w:p>
      <w:pPr>
        <w:spacing w:after="0" w:line="8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decrease in development margin reflected $14 million from lower revenue reportability year-over-year (of which $11 million related to the impact of the extended rescission periods in this segment), partially offset by a $3 million net increase from higher vacation ownership contract sales volume net of lower direct variable expenses (i.e., cost of vacation ownership products and marketing and sales) driven mainly by more efficient marketing and sales spending, as well as $2 million of severance charges related to the restructuring of sales locations in the prior year comparable period.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244"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5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33"/>
              <w:spacing w:after="0" w:line="119" w:lineRule="exact"/>
              <w:rPr>
                <w:sz w:val="20"/>
                <w:szCs w:val="20"/>
                <w:color w:val="auto"/>
              </w:rPr>
            </w:pPr>
            <w:r>
              <w:rPr>
                <w:rFonts w:ascii="Arial" w:cs="Arial" w:eastAsia="Arial" w:hAnsi="Arial"/>
                <w:sz w:val="13"/>
                <w:szCs w:val="13"/>
                <w:b w:val="1"/>
                <w:bCs w:val="1"/>
                <w:color w:val="auto"/>
              </w:rPr>
              <w:t>September 6,</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13"/>
              <w:spacing w:after="0" w:line="119" w:lineRule="exact"/>
              <w:rPr>
                <w:sz w:val="20"/>
                <w:szCs w:val="20"/>
                <w:color w:val="auto"/>
              </w:rPr>
            </w:pPr>
            <w:r>
              <w:rPr>
                <w:rFonts w:ascii="Arial" w:cs="Arial" w:eastAsia="Arial" w:hAnsi="Arial"/>
                <w:sz w:val="13"/>
                <w:szCs w:val="13"/>
                <w:b w:val="1"/>
                <w:bCs w:val="1"/>
                <w:color w:val="auto"/>
              </w:rPr>
              <w:t>September 6,</w:t>
            </w:r>
          </w:p>
        </w:tc>
        <w:tc>
          <w:tcPr>
            <w:tcW w:w="60" w:type="dxa"/>
            <w:vAlign w:val="bottom"/>
          </w:tcPr>
          <w:p>
            <w:pPr>
              <w:spacing w:after="0"/>
              <w:rPr>
                <w:sz w:val="10"/>
                <w:szCs w:val="10"/>
                <w:color w:val="auto"/>
              </w:rPr>
            </w:pPr>
          </w:p>
        </w:tc>
      </w:tr>
      <w:tr>
        <w:trPr>
          <w:trHeight w:val="171"/>
        </w:trPr>
        <w:tc>
          <w:tcPr>
            <w:tcW w:w="52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60" w:type="dxa"/>
            <w:vAlign w:val="bottom"/>
            <w:tcBorders>
              <w:bottom w:val="single" w:sz="8" w:color="CCEEFF"/>
            </w:tcBorders>
          </w:tcPr>
          <w:p>
            <w:pPr>
              <w:spacing w:after="0"/>
              <w:rPr>
                <w:sz w:val="14"/>
                <w:szCs w:val="14"/>
                <w:color w:val="auto"/>
              </w:rPr>
            </w:pP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223"/>
        </w:trPr>
        <w:tc>
          <w:tcPr>
            <w:tcW w:w="524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16"/>
        </w:trPr>
        <w:tc>
          <w:tcPr>
            <w:tcW w:w="5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23"/>
        </w:trPr>
        <w:tc>
          <w:tcPr>
            <w:tcW w:w="524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16"/>
        </w:trPr>
        <w:tc>
          <w:tcPr>
            <w:tcW w:w="5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r>
      <w:tr>
        <w:trPr>
          <w:trHeight w:val="223"/>
        </w:trPr>
        <w:tc>
          <w:tcPr>
            <w:tcW w:w="5240" w:type="dxa"/>
            <w:vAlign w:val="bottom"/>
          </w:tcPr>
          <w:p>
            <w:pPr>
              <w:ind w:left="720"/>
              <w:spacing w:after="0"/>
              <w:rPr>
                <w:sz w:val="20"/>
                <w:szCs w:val="20"/>
                <w:color w:val="auto"/>
              </w:rPr>
            </w:pPr>
            <w:r>
              <w:rPr>
                <w:rFonts w:ascii="Arial" w:cs="Arial" w:eastAsia="Arial" w:hAnsi="Arial"/>
                <w:sz w:val="18"/>
                <w:szCs w:val="18"/>
                <w:color w:val="auto"/>
              </w:rPr>
              <w:t>Segment financial results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43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8" w:lineRule="exact"/>
        <w:rPr>
          <w:sz w:val="20"/>
          <w:szCs w:val="20"/>
          <w:color w:val="auto"/>
        </w:rPr>
      </w:pPr>
    </w:p>
    <w:p>
      <w:pPr>
        <w:ind w:left="460" w:right="240" w:hanging="452"/>
        <w:spacing w:after="0" w:line="259"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Europe and Asia Pacific segment revenues and expenses have been restated to correct certain immaterial prior period errors. For the thirty-six weeks ended September 12, 2014, $1 million of cost reimbursements related to the twelve weeks ended March 28, 2014 were reclassified from the Asia Pacific segment to the Europe segment. For the twelve and thirty-six weeks ended September 6, 2013, $2 million and $5 million of cost reimbursements were reclassified from the Asia Pacific segment to the Europe segment,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our Asia Pacific segment, we continue to identify opportunities for development margin improvement. Our on-site sales locations are more efficient sales channels than our off-site sales locations and we plan to focus on future inventory acquisitions with strong on-site sales distribution potential. Due to operational constraints, regulatory conditions and certain other conditions related to our 18 units in Macau, we have decided not to sell these units through our Marriott Vacation Club, Asia Pacific points program. We instead intend to dispose of the units as whole ownership residential units and to reinvest any proceeds from the disposition in new timeshare destinations in the region with strong on site sales.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w w:val="96"/>
              </w:rPr>
              <w:t>September 12,</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September 6,</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contract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increase in contract sales reflected a $250 increase in VPG, partially offset by a 6 percent decrease in the number of tours, which was impacted by the ongoing political turmoil in Thailand.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Thirty-Six Weeks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right"/>
              <w:ind w:right="142"/>
              <w:spacing w:after="0" w:line="119" w:lineRule="exact"/>
              <w:rPr>
                <w:sz w:val="20"/>
                <w:szCs w:val="20"/>
                <w:color w:val="auto"/>
              </w:rPr>
            </w:pPr>
            <w:r>
              <w:rPr>
                <w:rFonts w:ascii="Arial" w:cs="Arial" w:eastAsia="Arial" w:hAnsi="Arial"/>
                <w:sz w:val="13"/>
                <w:szCs w:val="13"/>
                <w:b w:val="1"/>
                <w:bCs w:val="1"/>
                <w:color w:val="auto"/>
              </w:rPr>
              <w:t>September 12,</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180"/>
              <w:spacing w:after="0" w:line="119" w:lineRule="exact"/>
              <w:rPr>
                <w:sz w:val="20"/>
                <w:szCs w:val="20"/>
                <w:color w:val="auto"/>
              </w:rPr>
            </w:pPr>
            <w:r>
              <w:rPr>
                <w:rFonts w:ascii="Arial" w:cs="Arial" w:eastAsia="Arial" w:hAnsi="Arial"/>
                <w:sz w:val="13"/>
                <w:szCs w:val="13"/>
                <w:b w:val="1"/>
                <w:bCs w:val="1"/>
                <w:color w:val="auto"/>
              </w:rPr>
              <w:t>September 6,</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0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contract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decline in contract sales reflected an 8 percent decrease in the number of tours and an $81 decrease in VPG, which were impacted by the continued political turmoil in Thailand.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ind w:right="116"/>
              <w:spacing w:after="0" w:line="119" w:lineRule="exact"/>
              <w:rPr>
                <w:sz w:val="20"/>
                <w:szCs w:val="20"/>
                <w:color w:val="auto"/>
              </w:rPr>
            </w:pPr>
            <w:r>
              <w:rPr>
                <w:rFonts w:ascii="Arial" w:cs="Arial" w:eastAsia="Arial" w:hAnsi="Arial"/>
                <w:sz w:val="13"/>
                <w:szCs w:val="13"/>
                <w:b w:val="1"/>
                <w:bCs w:val="1"/>
                <w:color w:val="auto"/>
              </w:rPr>
              <w:t>September 6,</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99"/>
              </w:rPr>
              <w:t>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496"/>
              <w:spacing w:after="0"/>
              <w:rPr>
                <w:sz w:val="20"/>
                <w:szCs w:val="20"/>
                <w:color w:val="auto"/>
              </w:rPr>
            </w:pPr>
            <w:r>
              <w:rPr>
                <w:rFonts w:ascii="Arial" w:cs="Arial" w:eastAsia="Arial" w:hAnsi="Arial"/>
                <w:sz w:val="18"/>
                <w:szCs w:val="18"/>
                <w:color w:val="auto"/>
                <w:w w:val="79"/>
              </w:rPr>
              <w:t>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Pr>
          <w:p>
            <w:pPr>
              <w:spacing w:after="0"/>
              <w:rPr>
                <w:sz w:val="18"/>
                <w:szCs w:val="18"/>
                <w:color w:val="auto"/>
              </w:rPr>
            </w:pPr>
          </w:p>
        </w:tc>
        <w:tc>
          <w:tcPr>
            <w:tcW w:w="1140" w:type="dxa"/>
            <w:vAlign w:val="bottom"/>
          </w:tcPr>
          <w:p>
            <w:pPr>
              <w:jc w:val="center"/>
              <w:ind w:left="497"/>
              <w:spacing w:after="0"/>
              <w:rPr>
                <w:sz w:val="20"/>
                <w:szCs w:val="20"/>
                <w:color w:val="auto"/>
              </w:rPr>
            </w:pPr>
            <w:r>
              <w:rPr>
                <w:rFonts w:ascii="Arial" w:cs="Arial" w:eastAsia="Arial" w:hAnsi="Arial"/>
                <w:sz w:val="18"/>
                <w:szCs w:val="18"/>
                <w:color w:val="auto"/>
                <w:w w:val="90"/>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456"/>
              <w:spacing w:after="0"/>
              <w:rPr>
                <w:sz w:val="20"/>
                <w:szCs w:val="20"/>
                <w:color w:val="auto"/>
              </w:rPr>
            </w:pPr>
            <w:r>
              <w:rPr>
                <w:rFonts w:ascii="Arial" w:cs="Arial" w:eastAsia="Arial" w:hAnsi="Arial"/>
                <w:sz w:val="18"/>
                <w:szCs w:val="18"/>
                <w:color w:val="auto"/>
                <w:w w:val="90"/>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497"/>
              <w:spacing w:after="0"/>
              <w:rPr>
                <w:sz w:val="20"/>
                <w:szCs w:val="20"/>
                <w:color w:val="auto"/>
              </w:rPr>
            </w:pPr>
            <w:r>
              <w:rPr>
                <w:rFonts w:ascii="Arial" w:cs="Arial" w:eastAsia="Arial" w:hAnsi="Arial"/>
                <w:sz w:val="18"/>
                <w:szCs w:val="18"/>
                <w:color w:val="auto"/>
                <w:w w:val="90"/>
              </w:rPr>
              <w:t>(4)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456"/>
              <w:spacing w:after="0"/>
              <w:rPr>
                <w:sz w:val="20"/>
                <w:szCs w:val="20"/>
                <w:color w:val="auto"/>
              </w:rPr>
            </w:pPr>
            <w:r>
              <w:rPr>
                <w:rFonts w:ascii="Arial" w:cs="Arial" w:eastAsia="Arial" w:hAnsi="Arial"/>
                <w:sz w:val="18"/>
                <w:szCs w:val="18"/>
                <w:color w:val="auto"/>
                <w:w w:val="90"/>
              </w:rPr>
              <w:t>(5)</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Development margin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center"/>
              <w:ind w:left="496"/>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3.6 pts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increase in revenues from the sale of vacation ownership products was due to the higher contract sales, as well as unfavorable notes receivable reserve adjustment in the prior year comparable period. The development margin was unchanged from the prior year comparable period.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22"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right"/>
              <w:ind w:right="97"/>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Pr>
          <w:p>
            <w:pPr>
              <w:spacing w:after="0"/>
              <w:rPr>
                <w:sz w:val="10"/>
                <w:szCs w:val="10"/>
                <w:color w:val="auto"/>
              </w:rPr>
            </w:pP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9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Development margin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 pts)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decrease in sale of vacation ownership products was due to the $2 million decline in contract sales, partially offset by a $1 million unfavorable notes receivable reserve adjustment in the prior year comparable period. The decrease in the development margin was due to the lower sales volume net of direct variable expenses (i.e., cost of vacation ownership products and marketing and sales), and includes less efficient marketing and sales spending at our existing sales locations due to an inability to leverage fixed costs on the lower sales volumes, as well as a more than $1 million favorable product cost true up in the prior year comparable period.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5440" w:type="dxa"/>
            <w:vAlign w:val="bottom"/>
          </w:tcPr>
          <w:p>
            <w:pPr>
              <w:spacing w:after="0"/>
              <w:rPr>
                <w:sz w:val="10"/>
                <w:szCs w:val="10"/>
                <w:color w:val="auto"/>
              </w:rPr>
            </w:pPr>
          </w:p>
        </w:tc>
        <w:tc>
          <w:tcPr>
            <w:tcW w:w="1140" w:type="dxa"/>
            <w:vAlign w:val="bottom"/>
            <w:tcBorders>
              <w:top w:val="single" w:sz="8" w:color="auto"/>
            </w:tcBorders>
            <w:gridSpan w:val="2"/>
          </w:tcPr>
          <w:p>
            <w:pPr>
              <w:jc w:val="right"/>
              <w:ind w:right="54"/>
              <w:spacing w:after="0" w:line="119" w:lineRule="exact"/>
              <w:rPr>
                <w:sz w:val="20"/>
                <w:szCs w:val="20"/>
                <w:color w:val="auto"/>
              </w:rPr>
            </w:pPr>
            <w:r>
              <w:rPr>
                <w:rFonts w:ascii="Arial" w:cs="Arial" w:eastAsia="Arial" w:hAnsi="Arial"/>
                <w:sz w:val="13"/>
                <w:szCs w:val="13"/>
                <w:b w:val="1"/>
                <w:bCs w:val="1"/>
                <w:color w:val="auto"/>
              </w:rPr>
              <w:t>September 12,</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95"/>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40" w:type="dxa"/>
            <w:vAlign w:val="bottom"/>
          </w:tcPr>
          <w:p>
            <w:pPr>
              <w:spacing w:after="0"/>
              <w:rPr>
                <w:sz w:val="10"/>
                <w:szCs w:val="10"/>
                <w:color w:val="auto"/>
              </w:rPr>
            </w:pPr>
          </w:p>
        </w:tc>
        <w:tc>
          <w:tcPr>
            <w:tcW w:w="1140" w:type="dxa"/>
            <w:vAlign w:val="bottom"/>
            <w:tcBorders>
              <w:top w:val="single" w:sz="8" w:color="auto"/>
            </w:tcBorders>
            <w:gridSpan w:val="2"/>
          </w:tcPr>
          <w:p>
            <w:pPr>
              <w:jc w:val="right"/>
              <w:ind w:right="54"/>
              <w:spacing w:after="0" w:line="119" w:lineRule="exact"/>
              <w:rPr>
                <w:sz w:val="20"/>
                <w:szCs w:val="20"/>
                <w:color w:val="auto"/>
              </w:rPr>
            </w:pPr>
            <w:r>
              <w:rPr>
                <w:rFonts w:ascii="Arial" w:cs="Arial" w:eastAsia="Arial" w:hAnsi="Arial"/>
                <w:sz w:val="13"/>
                <w:szCs w:val="13"/>
                <w:b w:val="1"/>
                <w:bCs w:val="1"/>
                <w:color w:val="auto"/>
              </w:rPr>
              <w:t>September 12,</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w w:val="97"/>
              </w:rPr>
              <w:t>September 6,</w:t>
            </w:r>
          </w:p>
        </w:tc>
        <w:tc>
          <w:tcPr>
            <w:tcW w:w="80" w:type="dxa"/>
            <w:vAlign w:val="bottom"/>
          </w:tcPr>
          <w:p>
            <w:pPr>
              <w:spacing w:after="0"/>
              <w:rPr>
                <w:sz w:val="10"/>
                <w:szCs w:val="10"/>
                <w:color w:val="auto"/>
              </w:rPr>
            </w:pPr>
          </w:p>
        </w:tc>
      </w:tr>
      <w:tr>
        <w:trPr>
          <w:trHeight w:val="171"/>
        </w:trPr>
        <w:tc>
          <w:tcPr>
            <w:tcW w:w="5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Financing</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Organizational and separation related</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Royalty fee</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2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supporting overall company development, company-wide general and administrative costs, and the fixed royalty fee payable under the license agreements that we entered into with Marriott International in connection with the Spin-Off, as well as consumer financing interest expense.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12, 2014</w:t>
      </w:r>
    </w:p>
    <w:p>
      <w:pPr>
        <w:spacing w:after="0" w:line="11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Total expenses decreased $5 million from the prior year comparable period. The $5 million decrease resulted from $3 million of lower organizational and separation related expenses, $1 million of lower general and administrative expenses and $1 million of lower consumer financing interest expense.</w:t>
      </w:r>
    </w:p>
    <w:p>
      <w:pPr>
        <w:spacing w:after="0" w:line="1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$1 million decline in consumer financing interest expense was due to lower outstanding debt balances of securitized vacation ownership notes receivable and associated interest costs as well as a lower average interest rate.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7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$1 million decline in general and administrative expense was due to $1 million of lower legal related expenses and $1 million of savings related to organizational and separation relation efforts in the human resources, information technology and finance and accounting organizations, partially offset by $1 million of higher personnel related costs.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12, 2014</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Total expenses decreased $7 million from the prior year comparable period. The $7 million decrease resulted from $5 million of lower organizational and separation related expenses and $4 million of lower consumer financing interest expense, partially offset by $1 million of higher general and administrative expenses and $1 million of higher cost of vacation ownership products expenses.</w:t>
      </w:r>
    </w:p>
    <w:p>
      <w:pPr>
        <w:spacing w:after="0" w:line="7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$4 million decline in consumer financing interest expense was due to lower outstanding debt balances of securitized vacation ownership notes receivable and associated interest costs as well as a lower average interest rate.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79"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The $1 million of higher general and administrative expense was due to $2 million of higher personnel related costs and $1 million from the favorable resolution of an international tax (non-income tax) matter in the prior year comparable period. These increases were offset by $2 million of savings related to organizational and separation relation efforts in the human resources, information technology and finance and accounting organizations.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information related to our adoption of new accounting standards.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capital needs are supported by cash on hand ($146 million at the end of the third quarter of 2014), cash generated from operations, our ability to raise capital through securitizations in the asset-backed securities (“ABS”) market, and to the extent necessary, funds available under the Warehouse Credit Facility and our $200 million revolving credit facility (as amended, the “Revolving Corporate Credit Facility”). We believe these sources of capital will be adequate to meet our short-term and long-term liquidity requirements, finance our long-term growth plans, satisfy debt service requirements, and fulfill other cash requirements. At the end of the third quarter of 2014, $534 million of the $538 million of total debt outstanding was non-recourse debt associated with vacation ownership notes receivable securitizations. In addition, we have $40 million of mandatorily redeemable preferred stock of a consolidated subsidiary that we are not required to redeem until October 2021. We may, however, redeem the preferred stock at par after October 2016 at our option.</w:t>
      </w:r>
    </w:p>
    <w:p>
      <w:pPr>
        <w:spacing w:after="0" w:line="5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sufficient real estate inventory to meet expected demand for our vacation ownership products for the next several years. At the end of the third quarter of 2014, we had $794 million of real estate inventory on hand, comprised of $446 million of finished goods and $348 million of land and infrastructure. As a result, we expect our real estate inventory spending (discussed below) will be less than or in line with the cost of vacation ownership products for the near term. We also expect to continue to sell excess Ritz-Carlton branded inventory and dispose of certain undeveloped and partially developed land over the next few years, and plan to sell additional Ritz-Carlton branded inventory through the MVCD program in order to generate incremental cash and reduce related carrying costs.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vacation ownership product offerings also allow us to utilize our real estate inventory efficiently. The majority of our sales are of a points-based product, which permits us to sell vacation ownership products at most of our sales locations, including those where little or no weeks-based inventory remains available for sale. Because we do not need specific resort-based inventory at each sales location, we need to have only a few resorts under construction at any given time while leveraging successful sales locations at completed resorts. This allows us to maintain long-term sales locations and reduces the need to develop and staff on-site sales locations at smaller projects in the future. We believe that our points-based programs enable us to align our construction of real estate inventory with the pace of sales of vacation ownership products by slowing down or accelerating construction, as demand across our portfolio and market conditions dictate.</w:t>
      </w:r>
    </w:p>
    <w:p>
      <w:pPr>
        <w:spacing w:after="0" w:line="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intend to selectively pursue growth opportunities in North America and Asia by targeting high-quality inventory sources that allow us to add desirable new locations to our system, as well as provide new on-site sales locations, through transactions that limit our up-front capital investment and allow us to purchase finished inventory closer to the time it is needed for sale. These “asset light” deals could be structured as turn-key developments with third-party partners or purchases of constructed inventory just prior to sale.</w:t>
      </w:r>
    </w:p>
    <w:p>
      <w:pPr>
        <w:spacing w:after="0" w:line="79"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During the thirty-six weeks ended September 12, 2014, we had a net decrease in cash and cash equivalents of $54 million compared to a $185 million net increase in cash and cash equivalents during the prior year comparable period. The following table summarizes these changes:</w:t>
      </w:r>
    </w:p>
    <w:p>
      <w:pPr>
        <w:spacing w:after="0" w:line="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Thirty-Six Weeks Ended</w:t>
            </w:r>
          </w:p>
        </w:tc>
        <w:tc>
          <w:tcPr>
            <w:tcW w:w="100" w:type="dxa"/>
            <w:vAlign w:val="bottom"/>
          </w:tcPr>
          <w:p>
            <w:pPr>
              <w:spacing w:after="0"/>
              <w:rPr>
                <w:sz w:val="14"/>
                <w:szCs w:val="14"/>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2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7"/>
              </w:rPr>
              <w:t>September 12, 2014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6, 2013</w:t>
            </w: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w:t>
            </w:r>
          </w:p>
        </w:tc>
        <w:tc>
          <w:tcPr>
            <w:tcW w:w="4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Operating activities</w:t>
            </w:r>
          </w:p>
        </w:tc>
        <w:tc>
          <w:tcPr>
            <w:tcW w:w="44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Financing activities</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changes in exchange rates on cash and cash equivalents</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6480" w:type="dxa"/>
            <w:vAlign w:val="bottom"/>
          </w:tcPr>
          <w:p>
            <w:pPr>
              <w:ind w:left="1080"/>
              <w:spacing w:after="0"/>
              <w:rPr>
                <w:sz w:val="20"/>
                <w:szCs w:val="20"/>
                <w:color w:val="auto"/>
              </w:rPr>
            </w:pPr>
            <w:r>
              <w:rPr>
                <w:rFonts w:ascii="Arial" w:cs="Arial" w:eastAsia="Arial" w:hAnsi="Arial"/>
                <w:sz w:val="18"/>
                <w:szCs w:val="18"/>
                <w:color w:val="auto"/>
              </w:rPr>
              <w:t>Net change in cash and cash equivalents</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as well as funding our working capital needs.</w:t>
      </w:r>
    </w:p>
    <w:p>
      <w:pPr>
        <w:spacing w:after="0" w:line="7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minimize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the rate at which owners finance their vacation ownership purchase with us, and cash outlays for real estate inventory acquisition and development.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the thirty-six weeks ended September 12, 2014, we generated $206 million of cash flows from operating activities, compared to $123 million in the prior year comparable period. The improvement in cash flows reflected the favorable timing of real estate inventory spending and lower payments on the liability for the Marriott Rewards customer loyalty program in the thirty-six weeks ended September 12, 2014, as well as the unfavorable impact in the prior year comparable period of payments of a previously accrued litigation settlement, the non-cash recognition of sales related to the Europe rescission adjustment, and payments of deferred compensation amounts.</w:t>
      </w:r>
    </w:p>
    <w:p>
      <w:pPr>
        <w:spacing w:after="0" w:line="8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recorded $10 million of residential contract sales in the thirty-six weeks ended September 12, 2014, associated with the sale of five of the units at the RCC San Francisco that we bought back as part of a legal settlement at the end of 2012. We expect to dispose of the remaining two units in 2014, which we expect will generate approximately $3 million of net cash proceeds.</w:t>
      </w:r>
    </w:p>
    <w:p>
      <w:pPr>
        <w:spacing w:after="0" w:line="7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Estate Inventory Spending Less Than Cost of Sales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Thirty-Six Weeks Ended</w:t>
            </w:r>
          </w:p>
        </w:tc>
        <w:tc>
          <w:tcPr>
            <w:tcW w:w="100" w:type="dxa"/>
            <w:vAlign w:val="bottom"/>
          </w:tcPr>
          <w:p>
            <w:pPr>
              <w:spacing w:after="0"/>
              <w:rPr>
                <w:sz w:val="14"/>
                <w:szCs w:val="14"/>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7"/>
              </w:rPr>
              <w:t>September 12, 2014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6, 2013</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inventory spending</w:t>
            </w:r>
          </w:p>
        </w:tc>
        <w:tc>
          <w:tcPr>
            <w:tcW w:w="44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Real estate inventory costs</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Real estate inventory spending less than cost of sales</w:t>
            </w:r>
          </w:p>
        </w:tc>
        <w:tc>
          <w:tcPr>
            <w:tcW w:w="4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1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Given the significant level of completed real estate inventory on hand, as well as the capital efficiency resulting from the MVCD program, our spending for real estate inventory remained below the amount of real estate inventory costs in each of the thirty-six week periods ended September 12, 2014 and September 6, 2013.</w:t>
      </w:r>
    </w:p>
    <w:p>
      <w:pPr>
        <w:spacing w:after="0" w:line="73"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 for the next several years.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Receivable Collections in Excess of New Mortgages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Thirty-Six Weeks Ended</w:t>
            </w:r>
          </w:p>
        </w:tc>
        <w:tc>
          <w:tcPr>
            <w:tcW w:w="100" w:type="dxa"/>
            <w:vAlign w:val="bottom"/>
          </w:tcPr>
          <w:p>
            <w:pPr>
              <w:spacing w:after="0"/>
              <w:rPr>
                <w:sz w:val="14"/>
                <w:szCs w:val="14"/>
                <w:color w:val="auto"/>
              </w:rPr>
            </w:pPr>
          </w:p>
        </w:tc>
      </w:tr>
      <w:tr>
        <w:trPr>
          <w:trHeight w:val="169"/>
        </w:trPr>
        <w:tc>
          <w:tcPr>
            <w:tcW w:w="73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9"/>
              </w:rPr>
              <w:t>September 12, 2014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6, 2013</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collections — non-securitized</w:t>
            </w:r>
          </w:p>
        </w:tc>
        <w:tc>
          <w:tcPr>
            <w:tcW w:w="44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Vacation ownership notes receivable collections — securitized</w:t>
            </w:r>
          </w:p>
        </w:tc>
        <w:tc>
          <w:tcPr>
            <w:tcW w:w="44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originations</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r>
      <w:tr>
        <w:trPr>
          <w:trHeight w:val="223"/>
        </w:trPr>
        <w:tc>
          <w:tcPr>
            <w:tcW w:w="7380" w:type="dxa"/>
            <w:vAlign w:val="bottom"/>
          </w:tcPr>
          <w:p>
            <w:pPr>
              <w:ind w:left="720"/>
              <w:spacing w:after="0"/>
              <w:rPr>
                <w:sz w:val="20"/>
                <w:szCs w:val="20"/>
                <w:color w:val="auto"/>
              </w:rPr>
            </w:pPr>
            <w:r>
              <w:rPr>
                <w:rFonts w:ascii="Arial" w:cs="Arial" w:eastAsia="Arial" w:hAnsi="Arial"/>
                <w:sz w:val="18"/>
                <w:szCs w:val="18"/>
                <w:color w:val="auto"/>
              </w:rPr>
              <w:t>Vacation ownership notes receivable collections in excess of originations</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Total collections declined due to the reduction in the portfolio of outstanding vacation ownership notes receivable. New vacation ownership notes receivable originated in the thirty-six weeks ended September 12, 2014 increased slightly due to an increase in financing propensity to nearly 43 percent compared to 42 percent for the prior year comparable period.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40" w:type="dxa"/>
            <w:vAlign w:val="bottom"/>
          </w:tcPr>
          <w:p>
            <w:pPr>
              <w:spacing w:after="0"/>
              <w:rPr>
                <w:sz w:val="14"/>
                <w:szCs w:val="14"/>
                <w:color w:val="auto"/>
              </w:rPr>
            </w:pPr>
          </w:p>
        </w:tc>
        <w:tc>
          <w:tcPr>
            <w:tcW w:w="26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7380" w:type="dxa"/>
            <w:vAlign w:val="bottom"/>
            <w:tcBorders>
              <w:bottom w:val="single" w:sz="8" w:color="CCEEFF"/>
            </w:tcBorders>
            <w:vMerge w:val="continue"/>
          </w:tcPr>
          <w:p>
            <w:pPr>
              <w:spacing w:after="0"/>
              <w:rPr>
                <w:sz w:val="12"/>
                <w:szCs w:val="12"/>
                <w:color w:val="auto"/>
              </w:rPr>
            </w:pPr>
          </w:p>
        </w:tc>
        <w:tc>
          <w:tcPr>
            <w:tcW w:w="14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9"/>
              </w:rPr>
              <w:t>September 12, 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1"/>
              </w:rPr>
              <w:t>September 6, 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4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44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Dispositions, net</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360"/>
              <w:spacing w:after="0"/>
              <w:rPr>
                <w:sz w:val="20"/>
                <w:szCs w:val="20"/>
                <w:color w:val="auto"/>
              </w:rPr>
            </w:pPr>
            <w:r>
              <w:rPr>
                <w:rFonts w:ascii="Arial" w:cs="Arial" w:eastAsia="Arial" w:hAnsi="Arial"/>
                <w:sz w:val="18"/>
                <w:szCs w:val="18"/>
                <w:color w:val="auto"/>
              </w:rPr>
              <w:t>Net cash provided by investing activities</w:t>
            </w:r>
          </w:p>
        </w:tc>
        <w:tc>
          <w:tcPr>
            <w:tcW w:w="44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Capital expenditures for property and equipment relates to spending for technology development, buildings and equipment used at sales locations, and for ancillary offerings, such as food and beverage offerings at locations where these are provided.</w:t>
      </w:r>
    </w:p>
    <w:p>
      <w:pPr>
        <w:spacing w:after="0" w:line="62"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In the thirty-six weeks ended September 12, 2014, capital expenditures for property and equipment of $8 million included $4 million of spending to support ancillary and business operations and $4 million for technology spending. In the thirty-six weeks ended September 6, 2013, capital expenditures for property and equipment of $11 million included $7 million of spending to support ancillary and business operations and $4 million for technology spending.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Decrease in Restricted Cash</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tour package sales and vacation ownership product sales that are held in escrow until the associated contract has closed or the period in which it can be rescinded has expired, depending on legal requirements.</w:t>
      </w:r>
    </w:p>
    <w:p>
      <w:pPr>
        <w:spacing w:after="0" w:line="79"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The decrease in restricted cash in the thirty-six weeks ended September 12, 2014, reflects payments to property owners’ associations for maintenance fees collected on their behalf prior to the end of 2013, partially offset by an increase in funds held in escrow related to tour package sales deposits.</w:t>
      </w:r>
    </w:p>
    <w:p>
      <w:pPr>
        <w:spacing w:after="0" w:line="16"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decrease in restricted cash in the thirty-six weeks ended September 6, 2013 reflects payments to property owners’ associations for maintenance fees collected on their behalf prior to the end of 2012, partially offset by cash collected in connection with securitized vacation ownership notes receivable that was not distributed to investors before the end of the third quarter of 2013.</w:t>
      </w:r>
    </w:p>
    <w:p>
      <w:pPr>
        <w:spacing w:after="0" w:line="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higher inflow in the thirty-six weeks ended September 12, 2014 compared to the prior year comparable period reflects changes in restricted cash driven by higher payments to property owners’ associations for maintenance fees collected on their behalf ($16 million) as well as the timing of payments to investors for cash collected in connection with securitized vacation ownership notes receivable ($11 million), partially offset by an increase in funds held in escrow related to tour package sales deposits ($10 million).</w:t>
      </w:r>
    </w:p>
    <w:p>
      <w:pPr>
        <w:spacing w:after="0" w:line="7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expect the fluctuation in restricted cash for maintenance fee activity to be relatively stable on an annual basis, with cash inflows occurring in the fourth quarter upon receipt of maintenance fees and cash outflows occurring in the first and second quarters upon remittance to property owners’ associations.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Dispositions in the thirty-six weeks ended September 12, 2014 related to the sale of a golf course and adjacent undeveloped land in Orlando, Florida, the sale of undeveloped land on Singer Island, Florida, and the sale of several lots in St. Thomas, U.S. Virgin Islands. Dispositions in the thirty-six weeks ended September 6, 2013 related to the sale of a multi-family parcel and several lots in St. Thomas, U.S. Virgin Islands.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Thirty-Six Weeks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2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9"/>
              </w:rPr>
              <w:t>September 12, 2014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6,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Borrowings from securitization transactions</w:t>
            </w:r>
          </w:p>
        </w:tc>
        <w:tc>
          <w:tcPr>
            <w:tcW w:w="4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520"/>
              <w:spacing w:after="0"/>
              <w:rPr>
                <w:sz w:val="20"/>
                <w:szCs w:val="20"/>
                <w:color w:val="auto"/>
              </w:rPr>
            </w:pPr>
            <w:r>
              <w:rPr>
                <w:rFonts w:ascii="Arial" w:cs="Arial" w:eastAsia="Arial" w:hAnsi="Arial"/>
                <w:sz w:val="18"/>
                <w:szCs w:val="18"/>
                <w:color w:val="auto"/>
              </w:rPr>
              <w:t>Bonds payable on securitized vacation ownership notes receivable</w:t>
            </w:r>
          </w:p>
        </w:tc>
        <w:tc>
          <w:tcPr>
            <w:tcW w:w="44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Borrowings on Warehouse Credit Facility</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Subtotal</w:t>
            </w:r>
          </w:p>
        </w:tc>
        <w:tc>
          <w:tcPr>
            <w:tcW w:w="44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 related to securitization transactions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520"/>
              <w:spacing w:after="0"/>
              <w:rPr>
                <w:sz w:val="20"/>
                <w:szCs w:val="20"/>
                <w:color w:val="auto"/>
              </w:rPr>
            </w:pPr>
            <w:r>
              <w:rPr>
                <w:rFonts w:ascii="Arial" w:cs="Arial" w:eastAsia="Arial" w:hAnsi="Arial"/>
                <w:sz w:val="18"/>
                <w:szCs w:val="18"/>
                <w:color w:val="auto"/>
              </w:rPr>
              <w:t>Bonds payable on securitized vacation ownership notes receivable</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Warehouse Credit Facility</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tcPr>
          <w:p>
            <w:pPr>
              <w:ind w:left="1060"/>
              <w:spacing w:after="0"/>
              <w:rPr>
                <w:sz w:val="20"/>
                <w:szCs w:val="20"/>
                <w:color w:val="auto"/>
              </w:rPr>
            </w:pPr>
            <w:r>
              <w:rPr>
                <w:rFonts w:ascii="Arial" w:cs="Arial" w:eastAsia="Arial" w:hAnsi="Arial"/>
                <w:sz w:val="18"/>
                <w:szCs w:val="18"/>
                <w:color w:val="auto"/>
              </w:rPr>
              <w:t>Subtotal</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Corporate Credit Facility</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Repayments on Revolving Corporate Credit Facility</w:t>
            </w:r>
          </w:p>
        </w:tc>
        <w:tc>
          <w:tcPr>
            <w:tcW w:w="4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provided by financing activities</w:t>
            </w:r>
          </w:p>
        </w:tc>
        <w:tc>
          <w:tcPr>
            <w:tcW w:w="4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At September 12, 2014, no amounts were outstanding under the Warehouse Credit Facility and $205 million of gross vacation ownership notes receivable were eligible for securitization. See Footnote No. 16, “Subsequent Events,” to our Financial Statements for a discussion of the renewal of the Warehouse Credit Facility subsequent to the end of the third quarter of 2014.</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Borrowings from / Repayments of Debt Related to Securitization Transactions</w:t>
      </w:r>
    </w:p>
    <w:p>
      <w:pPr>
        <w:spacing w:after="0" w:line="11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payments of bonds associated with vacation ownership notes receivable securitizations and 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Repayments on the non-recourse debt associated with our vacation ownership notes receivable securitizations totaled $163 million (including $27 million for voluntary retirement clean-up calls) and $288 million (including $51 million for voluntary retirement clean-up calls) in the thirty-six weeks ended September 12, 2014 and September 6, 2013, respectively.</w:t>
      </w:r>
    </w:p>
    <w:p>
      <w:pPr>
        <w:spacing w:after="0" w:line="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second quarter of 2014, we completed the securitization of a pool of $24 million of primarily highly-seasoned vacation ownership notes receivable that we had previously classified as not being eligible for securitization using criteria applicable to then current securitization transactions in the ABS market because they did not meet certain representation criteria required in such securitizations, or because of other factors that may have reflected investor demand in a securitization transaction. In connection with the securitization, investors purchased in a private placement $23 million in vacation ownership loan backed notes from the Kyuka Owner Trust 2014-A (the “2014-A Trust”) with a per annum interest rate of 6.25%. While we may consider any additional opportunities to sell other vacation ownership notes receivable classified as not eligible for securitization in the future, there can be no assurance that we will complete any such transactions.</w:t>
      </w:r>
    </w:p>
    <w:p>
      <w:pPr>
        <w:spacing w:after="0" w:line="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accounted for the securitization as a secured borrowing and, therefore, did not recognize a gain or loss in the second quarter of 2014 as a result of this transaction. The results of operations of the 2014-A Trust are consolidated within our results of operations as the 2014-A Trust is a variable interest entity for which we are the primary beneficiary.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Completion of Securitization Transaction</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On October 9, 2014, subsequent to the end of the third quarter of 2014, we completed a securitization of a pool of $250 million of vacation ownership notes receivable. Of such securitized loans, $205 million were purchased on October 9, 2014 by the MVW Owner Trust 2014-1 (the “2014-1 Trust”), and all or a portion of the remaining loans may be purchased by the 2014-1 Trust prior to February 16, 2015. In connection with the securitization, investors purchased in a private placement $240 million in vacation ownership loan backed notes (the “Notes”) from the 2014-1 Trust. Two classes of Notes were issued by the 2014-1 Trust: $216 million of Class A Notes and $24 million of Class B Notes. The Class A Notes have an interest rate of 2.25 percent and the Class B Notes have an interest rate of 2.70 percent, for an overall weighted average interest rate of 2.29 percent. Of the $240 million gross cash proceeds we received, $43 million will be held by the 2014-1 Trust until it purchases all or a portion of the remaining securitized loans or, if not used for such purpose, returned to the investors as a partial repayment of the Notes.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will account for the securitization as a secured borrowing and therefore will not recognize a gain or loss in the fourth quarter of 2014 as a result of this transaction. The results of operations of the 2014-1 Trust will be consolidated within our results of operations as the 2014-1 Trust is a variable interest entity for which we are the primary beneficiary.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We repurchased 2,457,997 shares of our common stock for $135 million, at an average price per share of $54.99, during the thirty-six weeks ended September 12, 2014, under our share repurchase program. On September 11, 2014, pursuant to our share repurchase program, we entered into an agreement with a financial institution to repurchase $25 million of our common stock under an accelerated share repurchase program. Upon completion of the program, subsequent to the end of the third quarter of 2014, the financial institution had delivered 401,291 shares of common stock, which are not included in the number of shares purchased during the thirty-six weeks ended September 12, 2014 referenced above. See Footnote No. 11, “Shareholders’ Equity,” to our Financial Statements for further information related to the share repurchase program, including the recent extension of that program.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Declaration of Dividend</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On October 14, 2014, subsequent to the end of the third quarter of 2014, our Board of Directors declared a quarterly dividend of $0.25 per share to be paid on November 12, 2014 to shareholders of record as of October 28, 2014. Any future dividend payments will be subject to Board approval, and there can be no assurance that we will pay dividends in the future.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January 3, 2014, other than those resulting from changes in the amount of debt outstanding. As of September 12, 2014, debt decreased by $140 million to $538 million compared to $678 million at January 3, 2014, all of which related to a decrease in non-recourse debt associated with vacation ownership notes receivable securitizations, net of the new securitization. As of September 12, 2014, future debt payments to be paid out of collections from our vacation ownership notes receivable, including principal and interest, totaled $598 million and are due as follows: $39 million in 2014; $114 million in 2015; $105 million in 2016; $73 million in 2017; $60 million in 2018; and $207 million thereafter.</w:t>
      </w:r>
    </w:p>
    <w:p>
      <w:pPr>
        <w:spacing w:after="0" w:line="7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have historically issued guarantees to certain lenders in connection with the provision of third-party financing for our sales of vacation ownership products, which guarantees generally have a stated maximum amount of funding and a term of five to ten years. The terms of these guarantees generally require us to fund if the purchaser fails to pay under the terms of its note payable. We are entitled to recover any funding to third-party lenders related to these guarantees through reacquisition and resale of the financed vacation ownership product securing the note payable. Our commitments under these guarantees expire as notes mature or are repaid. Our exposure under such guarantees as of September 12, 2014 in the Asia Pacific and North America segments was $10 million and $3 million, respectively, and the underlying debt to third-party lenders will mature between 2014 and 2022.</w:t>
      </w:r>
    </w:p>
    <w:p>
      <w:pPr>
        <w:spacing w:after="0" w:line="5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8, “Contingencies and Commitments,” to our Financial Statements.</w:t>
      </w:r>
    </w:p>
    <w:p>
      <w:pPr>
        <w:spacing w:after="0" w:line="62"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7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exposure to market risk has not changed materially from that disclosed in our Annual Report on Form 10-K for the year ended January 3, 2014.</w:t>
      </w:r>
    </w:p>
    <w:p>
      <w:pPr>
        <w:spacing w:after="0" w:line="3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8,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January 3, 2014.</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b w:val="1"/>
                <w:bCs w:val="1"/>
                <w:color w:val="auto"/>
                <w:w w:val="93"/>
              </w:rPr>
              <w:t>Unregistered Sales of Equity Securities and Use of Proceeds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900" w:type="dxa"/>
            <w:vAlign w:val="bottom"/>
            <w:gridSpan w:val="3"/>
          </w:tcPr>
          <w:p>
            <w:pPr>
              <w:ind w:left="460"/>
              <w:spacing w:after="0"/>
              <w:rPr>
                <w:sz w:val="20"/>
                <w:szCs w:val="20"/>
                <w:color w:val="auto"/>
              </w:rPr>
            </w:pPr>
            <w:r>
              <w:rPr>
                <w:rFonts w:ascii="Arial" w:cs="Arial" w:eastAsia="Arial" w:hAnsi="Arial"/>
                <w:sz w:val="18"/>
                <w:szCs w:val="18"/>
                <w:i w:val="1"/>
                <w:iCs w:val="1"/>
                <w:color w:val="auto"/>
              </w:rPr>
              <w:t>Issuer Purchases of Equity Securities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5"/>
              </w:rPr>
              <w:t>Total Number</w:t>
            </w:r>
          </w:p>
        </w:tc>
        <w:tc>
          <w:tcPr>
            <w:tcW w:w="10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Shares That May</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5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Price per</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Announced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5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240" w:type="dxa"/>
            <w:vAlign w:val="bottom"/>
          </w:tcPr>
          <w:p>
            <w:pPr>
              <w:spacing w:after="0"/>
              <w:rPr>
                <w:sz w:val="14"/>
                <w:szCs w:val="1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Share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xml:space="preserve">Plans or Programs </w:t>
            </w:r>
            <w:r>
              <w:rPr>
                <w:rFonts w:ascii="Arial" w:cs="Arial" w:eastAsia="Arial" w:hAnsi="Arial"/>
                <w:sz w:val="12"/>
                <w:szCs w:val="12"/>
                <w:b w:val="1"/>
                <w:bCs w:val="1"/>
                <w:color w:val="auto"/>
                <w:w w:val="92"/>
              </w:rPr>
              <w:t>(1)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21, 2014 – July 18, 2014</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285,726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57.52</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285,726</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1,039,050</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July 19, 2014 – August 15, 2014</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335,069</w:t>
            </w:r>
          </w:p>
        </w:tc>
        <w:tc>
          <w:tcPr>
            <w:tcW w:w="80" w:type="dxa"/>
            <w:vAlign w:val="bottom"/>
          </w:tcPr>
          <w:p>
            <w:pPr>
              <w:spacing w:after="0"/>
              <w:rPr>
                <w:sz w:val="18"/>
                <w:szCs w:val="18"/>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57.43</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335,069</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703,981</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August 16, 2014 – September 12, 2014</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167,001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60.05</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167,001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536,980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436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41" w:lineRule="exact"/>
        <w:rPr>
          <w:sz w:val="20"/>
          <w:szCs w:val="20"/>
          <w:color w:val="auto"/>
        </w:rPr>
      </w:pPr>
    </w:p>
    <w:p>
      <w:pPr>
        <w:ind w:left="460" w:right="80" w:hanging="452"/>
        <w:spacing w:after="0" w:line="25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On October 14, 2014, our Board of Directors approved the repurchase of up to an additional 3,400,000 shares of our common stock under our existing share repurchase program and extended the termination date of the program to March 26, 2016. Prior to that authorization, our Board of Directors authorized the repurchase of up to 3,500,000 shares of our common stock prior to March 28, 2015 under the share repurchase program. Shares repurchased pursuant to our accelerated share repurchase program, which were delivered to us after the end of the third quarter of 2014, are not included in the table above.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24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MARRIOTT VACATIONS WORLDWIDE CORPORATION</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October 16, 2014</w:t>
      </w:r>
      <w:r>
        <w:rPr>
          <w:sz w:val="20"/>
          <w:szCs w:val="20"/>
          <w:color w:val="auto"/>
        </w:rPr>
        <w:tab/>
      </w:r>
      <w:r>
        <w:rPr>
          <w:rFonts w:ascii="Arial" w:cs="Arial" w:eastAsia="Arial" w:hAnsi="Arial"/>
          <w:sz w:val="15"/>
          <w:szCs w:val="15"/>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40"/>
          </w:cols>
          <w:pgMar w:left="240" w:top="459" w:right="9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33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1380" w:type="dxa"/>
            <w:vAlign w:val="bottom"/>
          </w:tcPr>
          <w:p>
            <w:pPr>
              <w:jc w:val="right"/>
              <w:ind w:right="392"/>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996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No.</w:t>
            </w:r>
          </w:p>
        </w:tc>
        <w:tc>
          <w:tcPr>
            <w:tcW w:w="80" w:type="dxa"/>
            <w:vAlign w:val="bottom"/>
          </w:tcPr>
          <w:p>
            <w:pPr>
              <w:spacing w:after="0"/>
              <w:rPr>
                <w:sz w:val="14"/>
                <w:szCs w:val="14"/>
                <w:color w:val="auto"/>
              </w:rPr>
            </w:pPr>
          </w:p>
        </w:tc>
        <w:tc>
          <w:tcPr>
            <w:tcW w:w="9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380" w:type="dxa"/>
            <w:vAlign w:val="bottom"/>
          </w:tcPr>
          <w:p>
            <w:pPr>
              <w:jc w:val="right"/>
              <w:ind w:right="452"/>
              <w:spacing w:after="0"/>
              <w:rPr>
                <w:sz w:val="20"/>
                <w:szCs w:val="20"/>
                <w:color w:val="auto"/>
              </w:rPr>
            </w:pPr>
            <w:r>
              <w:rPr>
                <w:rFonts w:ascii="Arial" w:cs="Arial" w:eastAsia="Arial" w:hAnsi="Arial"/>
                <w:sz w:val="18"/>
                <w:szCs w:val="18"/>
                <w:color w:val="auto"/>
              </w:rPr>
              <w:t>3.1</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7"/>
              </w:rPr>
              <w:t>Restated Certificate of Incorporation of Marriott Vacations Worldwide Corporation, incorporated by reference to Exhibit 3.1 of our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Current Report on Form 8-K filed on November 22, 2011.</w:t>
            </w:r>
          </w:p>
        </w:tc>
        <w:tc>
          <w:tcPr>
            <w:tcW w:w="0" w:type="dxa"/>
            <w:vAlign w:val="bottom"/>
          </w:tcPr>
          <w:p>
            <w:pPr>
              <w:spacing w:after="0"/>
              <w:rPr>
                <w:sz w:val="1"/>
                <w:szCs w:val="1"/>
                <w:color w:val="auto"/>
              </w:rPr>
            </w:pPr>
          </w:p>
        </w:tc>
      </w:tr>
      <w:tr>
        <w:trPr>
          <w:trHeight w:val="310"/>
        </w:trPr>
        <w:tc>
          <w:tcPr>
            <w:tcW w:w="1380" w:type="dxa"/>
            <w:vAlign w:val="bottom"/>
          </w:tcPr>
          <w:p>
            <w:pPr>
              <w:jc w:val="right"/>
              <w:ind w:right="452"/>
              <w:spacing w:after="0"/>
              <w:rPr>
                <w:sz w:val="20"/>
                <w:szCs w:val="20"/>
                <w:color w:val="auto"/>
              </w:rPr>
            </w:pPr>
            <w:r>
              <w:rPr>
                <w:rFonts w:ascii="Arial" w:cs="Arial" w:eastAsia="Arial" w:hAnsi="Arial"/>
                <w:sz w:val="18"/>
                <w:szCs w:val="18"/>
                <w:color w:val="auto"/>
              </w:rPr>
              <w:t>3.2</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3"/>
              </w:rPr>
              <w:t>Restated Bylaws of Marriott Vacations Worldwide Corporation, incorporated by reference to Exhibit 3.2 of our Current Report on Form</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8-K filed on November 22, 2011.</w:t>
            </w:r>
          </w:p>
        </w:tc>
        <w:tc>
          <w:tcPr>
            <w:tcW w:w="0" w:type="dxa"/>
            <w:vAlign w:val="bottom"/>
          </w:tcPr>
          <w:p>
            <w:pPr>
              <w:spacing w:after="0"/>
              <w:rPr>
                <w:sz w:val="1"/>
                <w:szCs w:val="1"/>
                <w:color w:val="auto"/>
              </w:rPr>
            </w:pPr>
          </w:p>
        </w:tc>
      </w:tr>
      <w:tr>
        <w:trPr>
          <w:trHeight w:val="310"/>
        </w:trPr>
        <w:tc>
          <w:tcPr>
            <w:tcW w:w="1380" w:type="dxa"/>
            <w:vAlign w:val="bottom"/>
          </w:tcPr>
          <w:p>
            <w:pPr>
              <w:jc w:val="right"/>
              <w:ind w:right="452"/>
              <w:spacing w:after="0"/>
              <w:rPr>
                <w:sz w:val="20"/>
                <w:szCs w:val="20"/>
                <w:color w:val="auto"/>
              </w:rPr>
            </w:pPr>
            <w:r>
              <w:rPr>
                <w:rFonts w:ascii="Arial" w:cs="Arial" w:eastAsia="Arial" w:hAnsi="Arial"/>
                <w:sz w:val="18"/>
                <w:szCs w:val="18"/>
                <w:color w:val="auto"/>
              </w:rPr>
              <w:t>10.1</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6"/>
              </w:rPr>
              <w:t>Second Amendment and Restatement Agreement, dated as of September 10, 2014, by and among Marriott Vacations Worldwide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1"/>
              </w:rPr>
              <w:t>Corporation, Marriott Ownership Resorts, Inc., certain subsidiaries of Marriott Vacations Worldwide Corporation, JPMorgan Chase Bank,</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8"/>
              </w:rPr>
              <w:t>N.A., as administrative agent, and the several banks and other financial institutions or entities from time to time parties thereto,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incorporated by reference to Exhibit 10.1 of our Current Report on Form 8-K filed on September 11, 2014.</w:t>
            </w:r>
          </w:p>
        </w:tc>
        <w:tc>
          <w:tcPr>
            <w:tcW w:w="0" w:type="dxa"/>
            <w:vAlign w:val="bottom"/>
          </w:tcPr>
          <w:p>
            <w:pPr>
              <w:spacing w:after="0"/>
              <w:rPr>
                <w:sz w:val="1"/>
                <w:szCs w:val="1"/>
                <w:color w:val="auto"/>
              </w:rPr>
            </w:pPr>
          </w:p>
        </w:tc>
      </w:tr>
      <w:tr>
        <w:trPr>
          <w:trHeight w:val="310"/>
        </w:trPr>
        <w:tc>
          <w:tcPr>
            <w:tcW w:w="1380" w:type="dxa"/>
            <w:vAlign w:val="bottom"/>
          </w:tcPr>
          <w:p>
            <w:pPr>
              <w:jc w:val="right"/>
              <w:ind w:right="452"/>
              <w:spacing w:after="0"/>
              <w:rPr>
                <w:sz w:val="20"/>
                <w:szCs w:val="20"/>
                <w:color w:val="auto"/>
              </w:rPr>
            </w:pPr>
            <w:r>
              <w:rPr>
                <w:rFonts w:ascii="Arial" w:cs="Arial" w:eastAsia="Arial" w:hAnsi="Arial"/>
                <w:sz w:val="18"/>
                <w:szCs w:val="18"/>
                <w:color w:val="auto"/>
              </w:rPr>
              <w:t>10.2</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2"/>
              </w:rPr>
              <w:t>Second Amended and Restated Credit Agreement, dated as of September 10, 2014, among Marriott Vacations Worldwide Corporation,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1"/>
              </w:rPr>
              <w:t>Marriott Ownership Resorts, Inc., the several banks and other financial institutions or entities from time to time parties thereto, JPMorgan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4"/>
              </w:rPr>
              <w:t>Chase Bank, N.A., as administrative agent, Bank of America, N.A. and Deutsche Bank Securities Inc., as co-syndication agents,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2"/>
              </w:rPr>
              <w:t>Bank of America, N.A. and Deutsche Bank Securities Inc., as co-documentation agents, incorporated by reference to Exhibit 10.2 of our</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Current Report on Form 8-K filed on September 11, 2014.</w:t>
            </w:r>
          </w:p>
        </w:tc>
        <w:tc>
          <w:tcPr>
            <w:tcW w:w="0" w:type="dxa"/>
            <w:vAlign w:val="bottom"/>
          </w:tcPr>
          <w:p>
            <w:pPr>
              <w:spacing w:after="0"/>
              <w:rPr>
                <w:sz w:val="1"/>
                <w:szCs w:val="1"/>
                <w:color w:val="auto"/>
              </w:rPr>
            </w:pPr>
          </w:p>
        </w:tc>
      </w:tr>
      <w:tr>
        <w:trPr>
          <w:trHeight w:val="310"/>
        </w:trPr>
        <w:tc>
          <w:tcPr>
            <w:tcW w:w="1380" w:type="dxa"/>
            <w:vAlign w:val="bottom"/>
          </w:tcPr>
          <w:p>
            <w:pPr>
              <w:jc w:val="right"/>
              <w:ind w:right="452"/>
              <w:spacing w:after="0"/>
              <w:rPr>
                <w:sz w:val="20"/>
                <w:szCs w:val="20"/>
                <w:color w:val="auto"/>
              </w:rPr>
            </w:pPr>
            <w:r>
              <w:rPr>
                <w:rFonts w:ascii="Arial" w:cs="Arial" w:eastAsia="Arial" w:hAnsi="Arial"/>
                <w:sz w:val="18"/>
                <w:szCs w:val="18"/>
                <w:color w:val="auto"/>
              </w:rPr>
              <w:t>10.3</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6"/>
              </w:rPr>
              <w:t>Second Amended and Restated Guarantee and Collateral Agreement, dated as of September 10, 2014, made by each of Marriott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Vacations Worldwide Corporation, Marriott Ownership Resorts, Inc. and certain subsidiaries of Marriott Vacations Worldwide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4"/>
              </w:rPr>
              <w:t>Corporation, in favor of JPMorgan Chase Bank, N.A., as administrative agent for the banks and other financial institutions or entities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5"/>
              </w:rPr>
              <w:t>from time to time parties to the Second Amended and Restated Credit Agreement filed as Exhibit 10.2, incorporated by reference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Exhibit 10.3 of our Current Report on Form 8-K filed on September 11, 2014.</w:t>
            </w:r>
          </w:p>
        </w:tc>
        <w:tc>
          <w:tcPr>
            <w:tcW w:w="0" w:type="dxa"/>
            <w:vAlign w:val="bottom"/>
          </w:tcPr>
          <w:p>
            <w:pPr>
              <w:spacing w:after="0"/>
              <w:rPr>
                <w:sz w:val="1"/>
                <w:szCs w:val="1"/>
                <w:color w:val="auto"/>
              </w:rPr>
            </w:pPr>
          </w:p>
        </w:tc>
      </w:tr>
      <w:tr>
        <w:trPr>
          <w:trHeight w:val="310"/>
        </w:trPr>
        <w:tc>
          <w:tcPr>
            <w:tcW w:w="1380" w:type="dxa"/>
            <w:vAlign w:val="bottom"/>
          </w:tcPr>
          <w:p>
            <w:pPr>
              <w:jc w:val="right"/>
              <w:ind w:right="452"/>
              <w:spacing w:after="0"/>
              <w:rPr>
                <w:sz w:val="20"/>
                <w:szCs w:val="20"/>
                <w:color w:val="auto"/>
              </w:rPr>
            </w:pPr>
            <w:r>
              <w:rPr>
                <w:rFonts w:ascii="Arial" w:cs="Arial" w:eastAsia="Arial" w:hAnsi="Arial"/>
                <w:sz w:val="18"/>
                <w:szCs w:val="18"/>
                <w:color w:val="auto"/>
              </w:rPr>
              <w:t>10.4</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2"/>
              </w:rPr>
              <w:t>Second Amended and Restated Sale Agreement, entered into September 15, 2014 and dated as of September 1, 2014, between MORI</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6"/>
              </w:rPr>
              <w:t>SPC Series Corp. and Marriott Vacations Worldwide Owner Trust 2011-1, incorporated by reference to Exhibit 10.1 of our Current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Report on Form 8-K filed on September 16, 2014.</w:t>
            </w:r>
          </w:p>
        </w:tc>
        <w:tc>
          <w:tcPr>
            <w:tcW w:w="0" w:type="dxa"/>
            <w:vAlign w:val="bottom"/>
          </w:tcPr>
          <w:p>
            <w:pPr>
              <w:spacing w:after="0"/>
              <w:rPr>
                <w:sz w:val="1"/>
                <w:szCs w:val="1"/>
                <w:color w:val="auto"/>
              </w:rPr>
            </w:pPr>
          </w:p>
        </w:tc>
      </w:tr>
      <w:tr>
        <w:trPr>
          <w:trHeight w:val="310"/>
        </w:trPr>
        <w:tc>
          <w:tcPr>
            <w:tcW w:w="1380" w:type="dxa"/>
            <w:vAlign w:val="bottom"/>
          </w:tcPr>
          <w:p>
            <w:pPr>
              <w:jc w:val="right"/>
              <w:ind w:right="452"/>
              <w:spacing w:after="0"/>
              <w:rPr>
                <w:sz w:val="20"/>
                <w:szCs w:val="20"/>
                <w:color w:val="auto"/>
              </w:rPr>
            </w:pPr>
            <w:r>
              <w:rPr>
                <w:rFonts w:ascii="Arial" w:cs="Arial" w:eastAsia="Arial" w:hAnsi="Arial"/>
                <w:sz w:val="18"/>
                <w:szCs w:val="18"/>
                <w:color w:val="auto"/>
              </w:rPr>
              <w:t>10.5</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w w:val="91"/>
              </w:rPr>
              <w:t>Third Amended and Restated Indenture and Servicing Agreement, entered into September 15, 2014 and dated as of September 1, 2014,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among Marriott Vacations Worldwide Owner Trust 2011-1, Marriott Ownership Resorts, Inc., and Wells Fargo Bank, National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Association, incorporated by reference to Exhibit 10.2 of our Current Report on Form 8-K filed on September 16, 2014.</w:t>
            </w:r>
          </w:p>
        </w:tc>
        <w:tc>
          <w:tcPr>
            <w:tcW w:w="0" w:type="dxa"/>
            <w:vAlign w:val="bottom"/>
          </w:tcPr>
          <w:p>
            <w:pPr>
              <w:spacing w:after="0"/>
              <w:rPr>
                <w:sz w:val="1"/>
                <w:szCs w:val="1"/>
                <w:color w:val="auto"/>
              </w:rPr>
            </w:pPr>
          </w:p>
        </w:tc>
      </w:tr>
      <w:tr>
        <w:trPr>
          <w:trHeight w:val="324"/>
        </w:trPr>
        <w:tc>
          <w:tcPr>
            <w:tcW w:w="1380" w:type="dxa"/>
            <w:vAlign w:val="bottom"/>
          </w:tcPr>
          <w:p>
            <w:pPr>
              <w:jc w:val="right"/>
              <w:ind w:right="452"/>
              <w:spacing w:after="0"/>
              <w:rPr>
                <w:sz w:val="20"/>
                <w:szCs w:val="20"/>
                <w:color w:val="auto"/>
              </w:rPr>
            </w:pPr>
            <w:r>
              <w:rPr>
                <w:rFonts w:ascii="Arial" w:cs="Arial" w:eastAsia="Arial" w:hAnsi="Arial"/>
                <w:sz w:val="18"/>
                <w:szCs w:val="18"/>
                <w:color w:val="auto"/>
              </w:rPr>
              <w:t>31.1</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c>
          <w:tcPr>
            <w:tcW w:w="0" w:type="dxa"/>
            <w:vAlign w:val="bottom"/>
          </w:tcPr>
          <w:p>
            <w:pPr>
              <w:spacing w:after="0"/>
              <w:rPr>
                <w:sz w:val="1"/>
                <w:szCs w:val="1"/>
                <w:color w:val="auto"/>
              </w:rPr>
            </w:pPr>
          </w:p>
        </w:tc>
      </w:tr>
      <w:tr>
        <w:trPr>
          <w:trHeight w:val="324"/>
        </w:trPr>
        <w:tc>
          <w:tcPr>
            <w:tcW w:w="1380" w:type="dxa"/>
            <w:vAlign w:val="bottom"/>
          </w:tcPr>
          <w:p>
            <w:pPr>
              <w:jc w:val="right"/>
              <w:ind w:right="452"/>
              <w:spacing w:after="0"/>
              <w:rPr>
                <w:sz w:val="20"/>
                <w:szCs w:val="20"/>
                <w:color w:val="auto"/>
              </w:rPr>
            </w:pPr>
            <w:r>
              <w:rPr>
                <w:rFonts w:ascii="Arial" w:cs="Arial" w:eastAsia="Arial" w:hAnsi="Arial"/>
                <w:sz w:val="18"/>
                <w:szCs w:val="18"/>
                <w:color w:val="auto"/>
              </w:rPr>
              <w:t>31.2</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c>
          <w:tcPr>
            <w:tcW w:w="0" w:type="dxa"/>
            <w:vAlign w:val="bottom"/>
          </w:tcPr>
          <w:p>
            <w:pPr>
              <w:spacing w:after="0"/>
              <w:rPr>
                <w:sz w:val="1"/>
                <w:szCs w:val="1"/>
                <w:color w:val="auto"/>
              </w:rPr>
            </w:pPr>
          </w:p>
        </w:tc>
      </w:tr>
      <w:tr>
        <w:trPr>
          <w:trHeight w:val="324"/>
        </w:trPr>
        <w:tc>
          <w:tcPr>
            <w:tcW w:w="1380" w:type="dxa"/>
            <w:vAlign w:val="bottom"/>
          </w:tcPr>
          <w:p>
            <w:pPr>
              <w:jc w:val="right"/>
              <w:ind w:right="452"/>
              <w:spacing w:after="0"/>
              <w:rPr>
                <w:sz w:val="20"/>
                <w:szCs w:val="20"/>
                <w:color w:val="auto"/>
              </w:rPr>
            </w:pPr>
            <w:r>
              <w:rPr>
                <w:rFonts w:ascii="Arial" w:cs="Arial" w:eastAsia="Arial" w:hAnsi="Arial"/>
                <w:sz w:val="18"/>
                <w:szCs w:val="18"/>
                <w:color w:val="auto"/>
              </w:rPr>
              <w:t>32.1</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c>
          <w:tcPr>
            <w:tcW w:w="0" w:type="dxa"/>
            <w:vAlign w:val="bottom"/>
          </w:tcPr>
          <w:p>
            <w:pPr>
              <w:spacing w:after="0"/>
              <w:rPr>
                <w:sz w:val="1"/>
                <w:szCs w:val="1"/>
                <w:color w:val="auto"/>
              </w:rPr>
            </w:pPr>
          </w:p>
        </w:tc>
      </w:tr>
      <w:tr>
        <w:trPr>
          <w:trHeight w:val="324"/>
        </w:trPr>
        <w:tc>
          <w:tcPr>
            <w:tcW w:w="1380" w:type="dxa"/>
            <w:vAlign w:val="bottom"/>
          </w:tcPr>
          <w:p>
            <w:pPr>
              <w:jc w:val="right"/>
              <w:ind w:right="452"/>
              <w:spacing w:after="0"/>
              <w:rPr>
                <w:sz w:val="20"/>
                <w:szCs w:val="20"/>
                <w:color w:val="auto"/>
              </w:rPr>
            </w:pPr>
            <w:r>
              <w:rPr>
                <w:rFonts w:ascii="Arial" w:cs="Arial" w:eastAsia="Arial" w:hAnsi="Arial"/>
                <w:sz w:val="18"/>
                <w:szCs w:val="18"/>
                <w:color w:val="auto"/>
              </w:rPr>
              <w:t>32.2</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c>
          <w:tcPr>
            <w:tcW w:w="0" w:type="dxa"/>
            <w:vAlign w:val="bottom"/>
          </w:tcPr>
          <w:p>
            <w:pPr>
              <w:spacing w:after="0"/>
              <w:rPr>
                <w:sz w:val="1"/>
                <w:szCs w:val="1"/>
                <w:color w:val="auto"/>
              </w:rPr>
            </w:pPr>
          </w:p>
        </w:tc>
      </w:tr>
      <w:tr>
        <w:trPr>
          <w:trHeight w:val="324"/>
        </w:trPr>
        <w:tc>
          <w:tcPr>
            <w:tcW w:w="1380" w:type="dxa"/>
            <w:vAlign w:val="bottom"/>
          </w:tcPr>
          <w:p>
            <w:pPr>
              <w:jc w:val="center"/>
              <w:ind w:left="132"/>
              <w:spacing w:after="0"/>
              <w:rPr>
                <w:sz w:val="20"/>
                <w:szCs w:val="20"/>
                <w:color w:val="auto"/>
              </w:rPr>
            </w:pPr>
            <w:r>
              <w:rPr>
                <w:rFonts w:ascii="Arial" w:cs="Arial" w:eastAsia="Arial" w:hAnsi="Arial"/>
                <w:sz w:val="18"/>
                <w:szCs w:val="18"/>
                <w:color w:val="auto"/>
                <w:w w:val="92"/>
              </w:rPr>
              <w:t>101.INS</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380" w:type="dxa"/>
            <w:vAlign w:val="bottom"/>
          </w:tcPr>
          <w:p>
            <w:pPr>
              <w:jc w:val="center"/>
              <w:ind w:left="152"/>
              <w:spacing w:after="0"/>
              <w:rPr>
                <w:sz w:val="20"/>
                <w:szCs w:val="20"/>
                <w:color w:val="auto"/>
              </w:rPr>
            </w:pPr>
            <w:r>
              <w:rPr>
                <w:rFonts w:ascii="Arial" w:cs="Arial" w:eastAsia="Arial" w:hAnsi="Arial"/>
                <w:sz w:val="18"/>
                <w:szCs w:val="18"/>
                <w:color w:val="auto"/>
                <w:w w:val="90"/>
              </w:rPr>
              <w:t>101.SCH</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380" w:type="dxa"/>
            <w:vAlign w:val="bottom"/>
          </w:tcPr>
          <w:p>
            <w:pPr>
              <w:jc w:val="center"/>
              <w:ind w:left="132"/>
              <w:spacing w:after="0"/>
              <w:rPr>
                <w:sz w:val="20"/>
                <w:szCs w:val="20"/>
                <w:color w:val="auto"/>
              </w:rPr>
            </w:pPr>
            <w:r>
              <w:rPr>
                <w:rFonts w:ascii="Arial" w:cs="Arial" w:eastAsia="Arial" w:hAnsi="Arial"/>
                <w:sz w:val="18"/>
                <w:szCs w:val="18"/>
                <w:color w:val="auto"/>
                <w:w w:val="97"/>
              </w:rPr>
              <w:t>101.CAL</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24"/>
        </w:trPr>
        <w:tc>
          <w:tcPr>
            <w:tcW w:w="1380" w:type="dxa"/>
            <w:vAlign w:val="bottom"/>
          </w:tcPr>
          <w:p>
            <w:pPr>
              <w:jc w:val="center"/>
              <w:ind w:left="152"/>
              <w:spacing w:after="0"/>
              <w:rPr>
                <w:sz w:val="20"/>
                <w:szCs w:val="20"/>
                <w:color w:val="auto"/>
              </w:rPr>
            </w:pPr>
            <w:r>
              <w:rPr>
                <w:rFonts w:ascii="Arial" w:cs="Arial" w:eastAsia="Arial" w:hAnsi="Arial"/>
                <w:sz w:val="18"/>
                <w:szCs w:val="18"/>
                <w:color w:val="auto"/>
                <w:w w:val="92"/>
              </w:rPr>
              <w:t>101.DEF</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380" w:type="dxa"/>
            <w:vAlign w:val="bottom"/>
          </w:tcPr>
          <w:p>
            <w:pPr>
              <w:jc w:val="center"/>
              <w:ind w:left="132"/>
              <w:spacing w:after="0"/>
              <w:rPr>
                <w:sz w:val="20"/>
                <w:szCs w:val="20"/>
                <w:color w:val="auto"/>
              </w:rPr>
            </w:pPr>
            <w:r>
              <w:rPr>
                <w:rFonts w:ascii="Arial" w:cs="Arial" w:eastAsia="Arial" w:hAnsi="Arial"/>
                <w:sz w:val="18"/>
                <w:szCs w:val="18"/>
                <w:color w:val="auto"/>
                <w:w w:val="98"/>
              </w:rPr>
              <w:t>101.LAB</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24"/>
        </w:trPr>
        <w:tc>
          <w:tcPr>
            <w:tcW w:w="1380" w:type="dxa"/>
            <w:vAlign w:val="bottom"/>
          </w:tcPr>
          <w:p>
            <w:pPr>
              <w:jc w:val="center"/>
              <w:ind w:left="132"/>
              <w:spacing w:after="0"/>
              <w:rPr>
                <w:sz w:val="20"/>
                <w:szCs w:val="20"/>
                <w:color w:val="auto"/>
              </w:rPr>
            </w:pPr>
            <w:r>
              <w:rPr>
                <w:rFonts w:ascii="Arial" w:cs="Arial" w:eastAsia="Arial" w:hAnsi="Arial"/>
                <w:sz w:val="18"/>
                <w:szCs w:val="18"/>
                <w:color w:val="auto"/>
                <w:w w:val="88"/>
              </w:rPr>
              <w:t>101.PRE</w:t>
            </w:r>
          </w:p>
        </w:tc>
        <w:tc>
          <w:tcPr>
            <w:tcW w:w="10040" w:type="dxa"/>
            <w:vAlign w:val="bottom"/>
            <w:gridSpan w:val="2"/>
          </w:tcPr>
          <w:p>
            <w:pPr>
              <w:ind w:left="80"/>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have attached the following documents formatted in XBRL (Extensible Business Reporting Language) as Exhibit 101 to this report: (i) the Interim Consolidated Statements of Income for the twelve and thirty-six weeks ended September 12, 2014 and September 6, 2013, respectively; (ii) the Interim Consolidated Statements of Comprehensive Income for the twelve and thirty-six weeks ended September 12, 2014 and September 6, 2013, respectively;</w:t>
      </w:r>
    </w:p>
    <w:p>
      <w:pPr>
        <w:ind w:right="80" w:firstLine="8"/>
        <w:spacing w:after="0" w:line="261"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Interim Consolidated Balance Sheets at September 12, 2014 and January 3, 2014; and (iv) the Interim Consolidated Statements of Cash Flows for the thirty-six weeks ended September 12, 2014 and September 6, 2013,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3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October 16, 2014</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3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16, 2014</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31" w:lineRule="exact"/>
        <w:rPr>
          <w:sz w:val="20"/>
          <w:szCs w:val="20"/>
          <w:color w:val="auto"/>
        </w:rPr>
      </w:pPr>
    </w:p>
    <w:p>
      <w:pPr>
        <w:ind w:left="460" w:right="64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12, 2014 (the “Quarterly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16,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54" w:lineRule="exact"/>
        <w:rPr>
          <w:sz w:val="20"/>
          <w:szCs w:val="20"/>
          <w:color w:val="auto"/>
        </w:rPr>
      </w:pPr>
    </w:p>
    <w:p>
      <w:pPr>
        <w:ind w:left="460" w:right="64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12, 2014 (the “Quarterly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16,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Roman"/>
      <w:start w:val="2"/>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Roman"/>
      <w:start w:val="3"/>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2019-12-08T02:05:31Z</dcterms:created>
  <dcterms:modified xsi:type="dcterms:W3CDTF">2019-12-08T02:05:31Z</dcterms:modified>
</cp:coreProperties>
</file>