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UNITED STATES</w:t>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SECURITIES AND EXCHANGE COMMISSION</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Washington, D.C. 20549</w:t>
      </w:r>
    </w:p>
    <w:p>
      <w:pPr>
        <w:pStyle w:val="TextBody"/>
        <w:bidi w:val="0"/>
        <w:spacing w:lineRule="auto" w:line="288" w:before="0" w:after="60"/>
        <w:jc w:val="center"/>
        <w:rPr>
          <w:rFonts w:ascii="Times New Roman;serif" w:hAnsi="Times New Roman;serif"/>
          <w:b w:val="false"/>
          <w:color w:val="000000"/>
          <w:sz w:val="20"/>
        </w:rPr>
      </w:pPr>
      <w:r>
        <w:rPr>
          <w:rFonts w:ascii="Times New Roman;serif" w:hAnsi="Times New Roman;serif"/>
          <w:b w:val="false"/>
          <w:color w:val="000000"/>
          <w:sz w:val="20"/>
        </w:rPr>
        <w:t>_________________________</w:t>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 xml:space="preserve">FORM 8-K </w:t>
      </w:r>
    </w:p>
    <w:p>
      <w:pPr>
        <w:pStyle w:val="TextBody"/>
        <w:bidi w:val="0"/>
        <w:spacing w:lineRule="auto" w:line="288" w:before="0" w:after="60"/>
        <w:jc w:val="center"/>
        <w:rPr>
          <w:rFonts w:ascii="Times New Roman;serif" w:hAnsi="Times New Roman;serif"/>
          <w:b w:val="false"/>
          <w:color w:val="000000"/>
          <w:sz w:val="20"/>
        </w:rPr>
      </w:pPr>
      <w:r>
        <w:rPr>
          <w:rFonts w:ascii="Times New Roman;serif" w:hAnsi="Times New Roman;serif"/>
          <w:b w:val="false"/>
          <w:color w:val="000000"/>
          <w:sz w:val="20"/>
        </w:rPr>
        <w:t>_________________________</w:t>
      </w:r>
    </w:p>
    <w:p>
      <w:pPr>
        <w:pStyle w:val="TextBody"/>
        <w:bidi w:val="0"/>
        <w:spacing w:lineRule="auto" w:line="288" w:before="120" w:after="283"/>
        <w:jc w:val="center"/>
        <w:rPr>
          <w:rFonts w:ascii="Times New Roman;serif" w:hAnsi="Times New Roman;serif"/>
          <w:b/>
          <w:color w:val="000000"/>
          <w:sz w:val="24"/>
        </w:rPr>
      </w:pPr>
      <w:r>
        <w:rPr>
          <w:rFonts w:ascii="Times New Roman;serif" w:hAnsi="Times New Roman;serif"/>
          <w:b/>
          <w:color w:val="000000"/>
          <w:sz w:val="24"/>
        </w:rPr>
        <w:t>Current Report</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Pursuant to Section 13 or 15(d)</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of the Securities Exchange Act of 1934</w:t>
      </w:r>
    </w:p>
    <w:p>
      <w:pPr>
        <w:pStyle w:val="TextBody"/>
        <w:bidi w:val="0"/>
        <w:spacing w:lineRule="auto" w:line="288" w:before="120" w:after="283"/>
        <w:jc w:val="center"/>
        <w:rPr>
          <w:rFonts w:ascii="Times New Roman;serif" w:hAnsi="Times New Roman;serif"/>
          <w:b/>
          <w:color w:val="000000"/>
          <w:sz w:val="24"/>
        </w:rPr>
      </w:pPr>
      <w:r>
        <w:rPr>
          <w:rFonts w:ascii="Times New Roman;serif" w:hAnsi="Times New Roman;serif"/>
          <w:b/>
          <w:color w:val="000000"/>
          <w:sz w:val="24"/>
        </w:rPr>
        <w:t>Date of Report (Date of earliest event reported) August 6, 2026</w:t>
      </w:r>
    </w:p>
    <w:p>
      <w:pPr>
        <w:pStyle w:val="TextBody"/>
        <w:bidi w:val="0"/>
        <w:spacing w:lineRule="auto" w:line="288" w:before="60" w:after="283"/>
        <w:jc w:val="center"/>
        <w:rPr>
          <w:rFonts w:ascii="Times New Roman;serif" w:hAnsi="Times New Roman;serif"/>
          <w:b w:val="false"/>
          <w:color w:val="000000"/>
          <w:sz w:val="20"/>
        </w:rPr>
      </w:pPr>
      <w:r>
        <w:rPr>
          <w:rFonts w:ascii="Times New Roman;serif" w:hAnsi="Times New Roman;serif"/>
          <w:b w:val="false"/>
          <w:color w:val="000000"/>
          <w:sz w:val="20"/>
        </w:rPr>
        <w:t>_________________________</w:t>
      </w:r>
    </w:p>
    <w:p>
      <w:pPr>
        <w:pStyle w:val="TextBody"/>
        <w:bidi w:val="0"/>
        <w:spacing w:lineRule="auto" w:line="288" w:before="120" w:after="283"/>
        <w:jc w:val="center"/>
        <w:rPr>
          <w:rFonts w:ascii="Times New Roman;serif" w:hAnsi="Times New Roman;serif"/>
          <w:b/>
          <w:color w:val="000000"/>
          <w:sz w:val="48"/>
        </w:rPr>
      </w:pPr>
      <w:r>
        <w:rPr>
          <w:rFonts w:ascii="Times New Roman;serif" w:hAnsi="Times New Roman;serif"/>
          <w:b/>
          <w:color w:val="000000"/>
          <w:sz w:val="48"/>
        </w:rPr>
        <w:t>Marriott Vacations Worldwide Corporation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(Exact name of registrant as specified in its charter)</w:t>
      </w:r>
    </w:p>
    <w:p>
      <w:pPr>
        <w:pStyle w:val="TextBody"/>
        <w:bidi w:val="0"/>
        <w:spacing w:lineRule="auto" w:line="288" w:before="0" w:after="0"/>
        <w:jc w:val="center"/>
        <w:rPr/>
      </w:pPr>
      <w:r>
        <w:rPr>
          <w:color w:val="000000"/>
        </w:rPr>
        <w:t> </w:t>
      </w:r>
      <w:r>
        <w:rPr>
          <w:rFonts w:ascii="Times New Roman;serif" w:hAnsi="Times New Roman;serif"/>
          <w:b w:val="false"/>
          <w:color w:val="000000"/>
          <w:sz w:val="20"/>
        </w:rPr>
        <w:t>_________________________</w:t>
      </w:r>
    </w:p>
    <w:tbl>
      <w:tblPr>
        <w:tblW w:w="5271" w:type="dxa"/>
        <w:jc w:val="center"/>
        <w:tblInd w:w="0" w:type="dxa"/>
        <w:tblLayout w:type="fixed"/>
        <w:tblCellMar>
          <w:top w:w="28" w:type="dxa"/>
          <w:left w:w="28" w:type="dxa"/>
          <w:bottom w:w="28" w:type="dxa"/>
          <w:right w:w="28" w:type="dxa"/>
        </w:tblCellMar>
      </w:tblPr>
      <w:tblGrid>
        <w:gridCol w:w="748"/>
        <w:gridCol w:w="656"/>
        <w:gridCol w:w="665"/>
        <w:gridCol w:w="109"/>
        <w:gridCol w:w="109"/>
        <w:gridCol w:w="109"/>
        <w:gridCol w:w="353"/>
        <w:gridCol w:w="353"/>
        <w:gridCol w:w="358"/>
        <w:gridCol w:w="109"/>
        <w:gridCol w:w="109"/>
        <w:gridCol w:w="109"/>
        <w:gridCol w:w="433"/>
        <w:gridCol w:w="433"/>
        <w:gridCol w:w="618"/>
      </w:tblGrid>
      <w:tr>
        <w:trPr/>
        <w:tc>
          <w:tcPr>
            <w:tcW w:w="748" w:type="dxa"/>
            <w:tcBorders/>
            <w:vAlign w:val="center"/>
          </w:tcPr>
          <w:p>
            <w:pPr>
              <w:pStyle w:val="TableContents"/>
              <w:bidi w:val="0"/>
              <w:spacing w:before="0" w:after="283"/>
              <w:jc w:val="left"/>
              <w:rPr>
                <w:sz w:val="4"/>
                <w:szCs w:val="4"/>
              </w:rPr>
            </w:pPr>
            <w:r>
              <w:rPr>
                <w:sz w:val="4"/>
                <w:szCs w:val="4"/>
              </w:rPr>
            </w:r>
          </w:p>
        </w:tc>
        <w:tc>
          <w:tcPr>
            <w:tcW w:w="656" w:type="dxa"/>
            <w:tcBorders/>
            <w:vAlign w:val="center"/>
          </w:tcPr>
          <w:p>
            <w:pPr>
              <w:pStyle w:val="TableContents"/>
              <w:bidi w:val="0"/>
              <w:spacing w:before="0" w:after="283"/>
              <w:jc w:val="left"/>
              <w:rPr>
                <w:sz w:val="4"/>
                <w:szCs w:val="4"/>
              </w:rPr>
            </w:pPr>
            <w:r>
              <w:rPr>
                <w:sz w:val="4"/>
                <w:szCs w:val="4"/>
              </w:rPr>
            </w:r>
          </w:p>
        </w:tc>
        <w:tc>
          <w:tcPr>
            <w:tcW w:w="6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618" w:type="dxa"/>
            <w:tcBorders/>
            <w:vAlign w:val="center"/>
          </w:tcPr>
          <w:p>
            <w:pPr>
              <w:pStyle w:val="TableContents"/>
              <w:bidi w:val="0"/>
              <w:spacing w:before="0" w:after="283"/>
              <w:jc w:val="left"/>
              <w:rPr>
                <w:sz w:val="4"/>
                <w:szCs w:val="4"/>
              </w:rPr>
            </w:pPr>
            <w:r>
              <w:rPr>
                <w:sz w:val="4"/>
                <w:szCs w:val="4"/>
              </w:rPr>
            </w:r>
          </w:p>
        </w:tc>
      </w:tr>
      <w:tr>
        <w:trPr/>
        <w:tc>
          <w:tcPr>
            <w:tcW w:w="20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Delaware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001-35219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45-2598330</w:t>
            </w:r>
          </w:p>
        </w:tc>
      </w:tr>
      <w:tr>
        <w:trPr/>
        <w:tc>
          <w:tcPr>
            <w:tcW w:w="20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(State or other jurisdiction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(Commission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(IRS Employer</w:t>
            </w:r>
          </w:p>
        </w:tc>
      </w:tr>
      <w:tr>
        <w:trPr/>
        <w:tc>
          <w:tcPr>
            <w:tcW w:w="20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of incorporation)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File 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Identification No.)</w:t>
            </w:r>
          </w:p>
        </w:tc>
      </w:tr>
    </w:tbl>
    <w:tbl>
      <w:tblPr>
        <w:tblW w:w="4657" w:type="dxa"/>
        <w:jc w:val="center"/>
        <w:tblInd w:w="0" w:type="dxa"/>
        <w:tblLayout w:type="fixed"/>
        <w:tblCellMar>
          <w:top w:w="28" w:type="dxa"/>
          <w:left w:w="28" w:type="dxa"/>
          <w:bottom w:w="28" w:type="dxa"/>
          <w:right w:w="28" w:type="dxa"/>
        </w:tblCellMar>
      </w:tblPr>
      <w:tblGrid>
        <w:gridCol w:w="124"/>
        <w:gridCol w:w="109"/>
        <w:gridCol w:w="109"/>
        <w:gridCol w:w="609"/>
        <w:gridCol w:w="609"/>
        <w:gridCol w:w="611"/>
        <w:gridCol w:w="289"/>
        <w:gridCol w:w="289"/>
        <w:gridCol w:w="291"/>
        <w:gridCol w:w="120"/>
        <w:gridCol w:w="120"/>
        <w:gridCol w:w="121"/>
        <w:gridCol w:w="109"/>
        <w:gridCol w:w="109"/>
        <w:gridCol w:w="109"/>
        <w:gridCol w:w="272"/>
        <w:gridCol w:w="272"/>
        <w:gridCol w:w="38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09" w:type="dxa"/>
            <w:tcBorders/>
            <w:vAlign w:val="center"/>
          </w:tcPr>
          <w:p>
            <w:pPr>
              <w:pStyle w:val="TableContents"/>
              <w:bidi w:val="0"/>
              <w:spacing w:before="0" w:after="283"/>
              <w:jc w:val="left"/>
              <w:rPr>
                <w:sz w:val="4"/>
                <w:szCs w:val="4"/>
              </w:rPr>
            </w:pPr>
            <w:r>
              <w:rPr>
                <w:sz w:val="4"/>
                <w:szCs w:val="4"/>
              </w:rPr>
            </w:r>
          </w:p>
        </w:tc>
        <w:tc>
          <w:tcPr>
            <w:tcW w:w="609"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9"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Times New Roman;serif" w:hAnsi="Times New Roman;serif"/>
                <w:b/>
                <w:color w:val="000000"/>
                <w:sz w:val="20"/>
              </w:rPr>
            </w:pPr>
            <w:r>
              <w:rPr>
                <w:rFonts w:ascii="Times New Roman;serif" w:hAnsi="Times New Roman;serif"/>
                <w:b/>
                <w:color w:val="000000"/>
                <w:sz w:val="20"/>
              </w:rPr>
              <w:t>7812 Palm Parkway</w:t>
            </w:r>
          </w:p>
        </w:tc>
        <w:tc>
          <w:tcPr>
            <w:tcW w:w="86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Orlando,</w:t>
            </w:r>
          </w:p>
        </w:tc>
        <w:tc>
          <w:tcPr>
            <w:tcW w:w="36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FL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32836</w:t>
            </w:r>
          </w:p>
        </w:tc>
      </w:tr>
      <w:tr>
        <w:trPr/>
        <w:tc>
          <w:tcPr>
            <w:tcW w:w="3728"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(Address of principal executive offices)</w:t>
            </w:r>
          </w:p>
        </w:tc>
        <w:tc>
          <w:tcPr>
            <w:tcW w:w="9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(Zip Code)</w:t>
            </w:r>
          </w:p>
        </w:tc>
      </w:tr>
    </w:tbl>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Registrant’s telephone number, including area code (407) 206-6000 </w:t>
      </w:r>
    </w:p>
    <w:p>
      <w:pPr>
        <w:pStyle w:val="TextBody"/>
        <w:bidi w:val="0"/>
        <w:spacing w:lineRule="auto" w:line="288" w:before="180" w:after="283"/>
        <w:jc w:val="center"/>
        <w:rPr>
          <w:rFonts w:ascii="Times New Roman;serif" w:hAnsi="Times New Roman;serif"/>
          <w:b/>
          <w:color w:val="000000"/>
          <w:sz w:val="20"/>
        </w:rPr>
      </w:pPr>
      <w:r>
        <w:rPr>
          <w:rFonts w:ascii="Times New Roman;serif" w:hAnsi="Times New Roman;serif"/>
          <w:b/>
          <w:color w:val="000000"/>
          <w:sz w:val="20"/>
        </w:rPr>
        <w:t xml:space="preserve">N/A </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(Former name or former address, if changed since last report)</w:t>
      </w:r>
    </w:p>
    <w:p>
      <w:pPr>
        <w:pStyle w:val="TextBody"/>
        <w:bidi w:val="0"/>
        <w:spacing w:lineRule="auto" w:line="288" w:before="0" w:after="60"/>
        <w:jc w:val="center"/>
        <w:rPr>
          <w:rFonts w:ascii="Times New Roman;serif" w:hAnsi="Times New Roman;serif"/>
          <w:b w:val="false"/>
          <w:color w:val="000000"/>
          <w:sz w:val="20"/>
        </w:rPr>
      </w:pPr>
      <w:r>
        <w:rPr>
          <w:rFonts w:ascii="Times New Roman;serif" w:hAnsi="Times New Roman;serif"/>
          <w:b w:val="false"/>
          <w:color w:val="000000"/>
          <w:sz w:val="20"/>
        </w:rPr>
        <w:t>_________________________</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Check the appropriate box below if the Form 8-K filing is intended to simultaneously satisfy the filing obligation of the registrant under any of the following provisions:</w:t>
      </w:r>
    </w:p>
    <w:p>
      <w:pPr>
        <w:pStyle w:val="TextBody"/>
        <w:bidi w:val="0"/>
        <w:spacing w:lineRule="auto" w:line="288" w:before="120" w:after="283"/>
        <w:jc w:val="left"/>
        <w:rPr/>
      </w:pPr>
      <w:r>
        <w:rPr>
          <w:color w:val="000000"/>
        </w:rPr>
        <w:t xml:space="preserve">☐ </w:t>
      </w:r>
      <w:r>
        <w:rPr>
          <w:rFonts w:ascii="Times New Roman;serif" w:hAnsi="Times New Roman;serif"/>
          <w:b w:val="false"/>
          <w:color w:val="000000"/>
          <w:sz w:val="20"/>
        </w:rPr>
        <w:t>Written communications pursuant to Rule 425 under the Securities Act (17 CFR 230.425)</w:t>
      </w:r>
    </w:p>
    <w:p>
      <w:pPr>
        <w:pStyle w:val="TextBody"/>
        <w:bidi w:val="0"/>
        <w:spacing w:lineRule="auto" w:line="288" w:before="120" w:after="283"/>
        <w:jc w:val="left"/>
        <w:rPr/>
      </w:pPr>
      <w:r>
        <w:rPr>
          <w:color w:val="000000"/>
        </w:rPr>
        <w:t xml:space="preserve">☐ </w:t>
      </w:r>
      <w:r>
        <w:rPr>
          <w:rFonts w:ascii="Times New Roman;serif" w:hAnsi="Times New Roman;serif"/>
          <w:b w:val="false"/>
          <w:color w:val="000000"/>
          <w:sz w:val="20"/>
        </w:rPr>
        <w:t>Soliciting material pursuant to Rule 14a-12 under the Exchange Act (17 CFR 240.14a-12)</w:t>
      </w:r>
    </w:p>
    <w:p>
      <w:pPr>
        <w:pStyle w:val="TextBody"/>
        <w:bidi w:val="0"/>
        <w:spacing w:lineRule="auto" w:line="288" w:before="120" w:after="283"/>
        <w:jc w:val="left"/>
        <w:rPr/>
      </w:pPr>
      <w:r>
        <w:rPr>
          <w:color w:val="000000"/>
        </w:rPr>
        <w:t xml:space="preserve">☐ </w:t>
      </w:r>
      <w:r>
        <w:rPr>
          <w:rFonts w:ascii="Times New Roman;serif" w:hAnsi="Times New Roman;serif"/>
          <w:b w:val="false"/>
          <w:color w:val="000000"/>
          <w:sz w:val="20"/>
        </w:rPr>
        <w:t>Pre-commencement communications pursuant to Rule 14d-2(b) under the Exchange Act (17 CFR 240.14d-2(b))</w:t>
      </w:r>
    </w:p>
    <w:p>
      <w:pPr>
        <w:pStyle w:val="TextBody"/>
        <w:bidi w:val="0"/>
        <w:spacing w:lineRule="auto" w:line="288" w:before="120" w:after="283"/>
        <w:jc w:val="left"/>
        <w:rPr/>
      </w:pPr>
      <w:r>
        <w:rPr>
          <w:color w:val="000000"/>
        </w:rPr>
        <w:t xml:space="preserve">☐ </w:t>
      </w:r>
      <w:r>
        <w:rPr>
          <w:rFonts w:ascii="Times New Roman;serif" w:hAnsi="Times New Roman;serif"/>
          <w:b w:val="false"/>
          <w:color w:val="000000"/>
          <w:sz w:val="20"/>
        </w:rPr>
        <w:t>Pre-commencement communications pursuant to Rule 13e-4(c) under the Exchange Act (17 CFR 240.13e-4(c))</w:t>
      </w:r>
    </w:p>
    <w:p>
      <w:pPr>
        <w:pStyle w:val="TextBody"/>
        <w:bidi w:val="0"/>
        <w:spacing w:lineRule="auto" w:line="288" w:before="240" w:after="283"/>
        <w:jc w:val="left"/>
        <w:rPr>
          <w:rFonts w:ascii="Times New Roman;serif" w:hAnsi="Times New Roman;serif"/>
          <w:b w:val="false"/>
          <w:color w:val="000000"/>
          <w:sz w:val="19"/>
        </w:rPr>
      </w:pPr>
      <w:r>
        <w:rPr>
          <w:rFonts w:ascii="Times New Roman;serif" w:hAnsi="Times New Roman;serif"/>
          <w:b w:val="false"/>
          <w:color w:val="000000"/>
          <w:sz w:val="19"/>
        </w:rPr>
        <w:t>Securities registered pursuant to Section 12(b) of the Act:</w:t>
      </w:r>
    </w:p>
    <w:tbl>
      <w:tblPr>
        <w:tblW w:w="7528" w:type="dxa"/>
        <w:jc w:val="center"/>
        <w:tblInd w:w="0" w:type="dxa"/>
        <w:tblLayout w:type="fixed"/>
        <w:tblCellMar>
          <w:top w:w="28" w:type="dxa"/>
          <w:left w:w="28" w:type="dxa"/>
          <w:bottom w:w="28" w:type="dxa"/>
          <w:right w:w="28" w:type="dxa"/>
        </w:tblCellMar>
      </w:tblPr>
      <w:tblGrid>
        <w:gridCol w:w="998"/>
        <w:gridCol w:w="875"/>
        <w:gridCol w:w="887"/>
        <w:gridCol w:w="484"/>
        <w:gridCol w:w="484"/>
        <w:gridCol w:w="486"/>
        <w:gridCol w:w="970"/>
        <w:gridCol w:w="970"/>
        <w:gridCol w:w="1374"/>
      </w:tblGrid>
      <w:tr>
        <w:trPr/>
        <w:tc>
          <w:tcPr>
            <w:tcW w:w="998" w:type="dxa"/>
            <w:tcBorders/>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c>
          <w:tcPr>
            <w:tcW w:w="887"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c>
          <w:tcPr>
            <w:tcW w:w="1374" w:type="dxa"/>
            <w:tcBorders/>
            <w:vAlign w:val="center"/>
          </w:tcPr>
          <w:p>
            <w:pPr>
              <w:pStyle w:val="TableContents"/>
              <w:bidi w:val="0"/>
              <w:spacing w:before="0" w:after="283"/>
              <w:jc w:val="left"/>
              <w:rPr>
                <w:sz w:val="4"/>
                <w:szCs w:val="4"/>
              </w:rPr>
            </w:pPr>
            <w:r>
              <w:rPr>
                <w:sz w:val="4"/>
                <w:szCs w:val="4"/>
              </w:rPr>
            </w:r>
          </w:p>
        </w:tc>
      </w:tr>
      <w:tr>
        <w:trPr/>
        <w:tc>
          <w:tcPr>
            <w:tcW w:w="276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Title of each class</w:t>
            </w:r>
          </w:p>
        </w:tc>
        <w:tc>
          <w:tcPr>
            <w:tcW w:w="145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Trading Symbol(s)</w:t>
            </w:r>
          </w:p>
        </w:tc>
        <w:tc>
          <w:tcPr>
            <w:tcW w:w="331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Name of each exchange on which registered</w:t>
            </w:r>
          </w:p>
        </w:tc>
      </w:tr>
      <w:tr>
        <w:trPr/>
        <w:tc>
          <w:tcPr>
            <w:tcW w:w="2760"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9"/>
              </w:rPr>
            </w:pPr>
            <w:r>
              <w:rPr>
                <w:rFonts w:ascii="Times New Roman;serif" w:hAnsi="Times New Roman;serif"/>
                <w:b w:val="false"/>
                <w:color w:val="000000"/>
                <w:sz w:val="19"/>
              </w:rPr>
              <w:t>Common Stock, $0.01 Par Value</w:t>
            </w:r>
          </w:p>
        </w:tc>
        <w:tc>
          <w:tcPr>
            <w:tcW w:w="1454"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9"/>
              </w:rPr>
            </w:pPr>
            <w:r>
              <w:rPr>
                <w:rFonts w:ascii="Times New Roman;serif" w:hAnsi="Times New Roman;serif"/>
                <w:b w:val="false"/>
                <w:color w:val="000000"/>
                <w:sz w:val="19"/>
              </w:rPr>
              <w:t>VAC</w:t>
            </w:r>
          </w:p>
        </w:tc>
        <w:tc>
          <w:tcPr>
            <w:tcW w:w="3314" w:type="dxa"/>
            <w:gridSpan w:val="3"/>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TableContents"/>
              <w:bidi w:val="0"/>
              <w:spacing w:lineRule="auto" w:line="240" w:before="0" w:after="283"/>
              <w:jc w:val="center"/>
              <w:rPr>
                <w:rFonts w:ascii="Times New Roman;serif" w:hAnsi="Times New Roman;serif"/>
                <w:b w:val="false"/>
                <w:color w:val="000000"/>
                <w:sz w:val="19"/>
              </w:rPr>
            </w:pPr>
            <w:r>
              <w:rPr>
                <w:rFonts w:ascii="Times New Roman;serif" w:hAnsi="Times New Roman;serif"/>
                <w:b w:val="false"/>
                <w:color w:val="000000"/>
                <w:sz w:val="19"/>
              </w:rPr>
              <w:t>New York Stock Exchange</w:t>
            </w:r>
          </w:p>
        </w:tc>
      </w:tr>
    </w:tbl>
    <w:p>
      <w:pPr>
        <w:pStyle w:val="TextBody"/>
        <w:bidi w:val="0"/>
        <w:spacing w:lineRule="auto" w:line="288" w:before="60" w:after="283"/>
        <w:jc w:val="left"/>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lineRule="auto" w:line="288" w:before="0" w:after="0"/>
        <w:jc w:val="right"/>
        <w:rPr/>
      </w:pPr>
      <w:r>
        <w:rPr>
          <w:rFonts w:ascii="Times New Roman;serif" w:hAnsi="Times New Roman;serif"/>
          <w:b w:val="false"/>
          <w:color w:val="000000"/>
          <w:sz w:val="20"/>
        </w:rPr>
        <w:t>Emerging growth company  </w:t>
      </w:r>
      <w:r>
        <w:rPr>
          <w:color w:val="000000"/>
        </w:rPr>
        <w:t xml:space="preserve">☐ </w:t>
      </w:r>
    </w:p>
    <w:p>
      <w:pPr>
        <w:pStyle w:val="TextBody"/>
        <w:bidi w:val="0"/>
        <w:spacing w:lineRule="auto" w:line="288" w:before="120" w:after="283"/>
        <w:jc w:val="left"/>
        <w:rPr/>
      </w:pPr>
      <w:r>
        <w:rPr>
          <w:rFonts w:ascii="Times New Roman;serif" w:hAnsi="Times New Roman;serif"/>
          <w:b w:val="false"/>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 xml:space="preserve">☐ </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2.02 Results of Operations and Financial Condition</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On August 6, 2026, Marriott Vacations Worldwide Corporation (the “Company”) issued a press release reporting financial results for the quarter ended June 30, 2026. A copy of the press release is attached as Exhibit 99.1 hereto and incorporated herein by reference. </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As provided in General Instruction B.2 of Form 8-K, the information contained in Item 2.02 of this Current Report on Form 8-K shall not be deemed to be “filed” for purposes of Section 18 of the Exchange Act of 1934, as amended, nor shall any such information be deemed to be incorporated by reference in any filing under the Securities Act of 1933, as amended.</w:t>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Item 7.01 Regulation FD Disclosure</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On August 6, 2026, the Company intends to post a new investor presentation to the Investor Relations – Events and Presentations section of the Company’s website, www.marriottvacationsworldwide.com. The Company’s investor presentation is expected to contain information that may be deemed material to investors. The Company uses its website to disseminate updates to its investor presentation and does not intend to file or furnish a Current Report on Form 8-K to alert investors each time the presentation is updated.</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The Company routinely posts important information, including news releases, announcements and other statements about its business and results of operations, that may be deemed material to investors on the Investor Relations section of the Company’s website, www.marriottvacationsworldwide.com. The Company uses its website as a means of disclosing material, nonpublic information and for complying with the Company’s disclosure obligations under Regulation FD. Investors should monitor the Investor Relations section of the Company’s website in addition to following the Company’s press releases, filings with the SEC, public conference calls and webcasts.</w:t>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Item 9.01 Financial Statements and Exhibits.</w:t>
      </w:r>
    </w:p>
    <w:p>
      <w:pPr>
        <w:pStyle w:val="TextBody"/>
        <w:bidi w:val="0"/>
        <w:spacing w:lineRule="auto" w:line="288" w:before="120" w:after="283"/>
        <w:jc w:val="left"/>
        <w:rPr/>
      </w:pPr>
      <w:r>
        <w:rPr>
          <w:rFonts w:ascii="Times New Roman;serif" w:hAnsi="Times New Roman;serif"/>
          <w:b w:val="false"/>
          <w:color w:val="000000"/>
          <w:sz w:val="20"/>
        </w:rPr>
        <w:t>(d) The following exhibits are being furnished herewith:</w:t>
      </w:r>
      <w:r>
        <w:rPr>
          <w:color w:val="000000"/>
        </w:rPr>
        <w:t> </w:t>
      </w:r>
    </w:p>
    <w:tbl>
      <w:tblPr>
        <w:tblW w:w="8305" w:type="dxa"/>
        <w:jc w:val="left"/>
        <w:tblInd w:w="0" w:type="dxa"/>
        <w:tblLayout w:type="fixed"/>
        <w:tblCellMar>
          <w:top w:w="28" w:type="dxa"/>
          <w:left w:w="28" w:type="dxa"/>
          <w:bottom w:w="28" w:type="dxa"/>
          <w:right w:w="28" w:type="dxa"/>
        </w:tblCellMar>
      </w:tblPr>
      <w:tblGrid>
        <w:gridCol w:w="499"/>
        <w:gridCol w:w="439"/>
        <w:gridCol w:w="441"/>
        <w:gridCol w:w="109"/>
        <w:gridCol w:w="109"/>
        <w:gridCol w:w="109"/>
        <w:gridCol w:w="1930"/>
        <w:gridCol w:w="1930"/>
        <w:gridCol w:w="2739"/>
      </w:tblGrid>
      <w:tr>
        <w:trPr/>
        <w:tc>
          <w:tcPr>
            <w:tcW w:w="499"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4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30" w:type="dxa"/>
            <w:tcBorders/>
            <w:vAlign w:val="center"/>
          </w:tcPr>
          <w:p>
            <w:pPr>
              <w:pStyle w:val="TableContents"/>
              <w:bidi w:val="0"/>
              <w:spacing w:before="0" w:after="283"/>
              <w:jc w:val="left"/>
              <w:rPr>
                <w:sz w:val="4"/>
                <w:szCs w:val="4"/>
              </w:rPr>
            </w:pPr>
            <w:r>
              <w:rPr>
                <w:sz w:val="4"/>
                <w:szCs w:val="4"/>
              </w:rPr>
            </w:r>
          </w:p>
        </w:tc>
        <w:tc>
          <w:tcPr>
            <w:tcW w:w="1930" w:type="dxa"/>
            <w:tcBorders/>
            <w:vAlign w:val="center"/>
          </w:tcPr>
          <w:p>
            <w:pPr>
              <w:pStyle w:val="TableContents"/>
              <w:bidi w:val="0"/>
              <w:spacing w:before="0" w:after="283"/>
              <w:jc w:val="left"/>
              <w:rPr>
                <w:sz w:val="4"/>
                <w:szCs w:val="4"/>
              </w:rPr>
            </w:pPr>
            <w:r>
              <w:rPr>
                <w:sz w:val="4"/>
                <w:szCs w:val="4"/>
              </w:rPr>
            </w:r>
          </w:p>
        </w:tc>
        <w:tc>
          <w:tcPr>
            <w:tcW w:w="2739" w:type="dxa"/>
            <w:tcBorders/>
            <w:vAlign w:val="center"/>
          </w:tcPr>
          <w:p>
            <w:pPr>
              <w:pStyle w:val="TableContents"/>
              <w:bidi w:val="0"/>
              <w:spacing w:before="0" w:after="283"/>
              <w:jc w:val="left"/>
              <w:rPr>
                <w:sz w:val="4"/>
                <w:szCs w:val="4"/>
              </w:rPr>
            </w:pPr>
            <w:r>
              <w:rPr>
                <w:sz w:val="4"/>
                <w:szCs w:val="4"/>
              </w:rPr>
            </w:r>
          </w:p>
        </w:tc>
      </w:tr>
      <w:tr>
        <w:trPr/>
        <w:tc>
          <w:tcPr>
            <w:tcW w:w="13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Exhibit 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Description</w:t>
            </w:r>
          </w:p>
        </w:tc>
      </w:tr>
      <w:tr>
        <w:trPr/>
        <w:tc>
          <w:tcPr>
            <w:tcW w:w="137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hyperlink w:anchor="a2026q2pressreleaseschedul.htm">
              <w:r>
                <w:rPr>
                  <w:rStyle w:val="InternetLink"/>
                  <w:rFonts w:ascii="Times New Roman;serif" w:hAnsi="Times New Roman;serif"/>
                  <w:b w:val="false"/>
                  <w:color w:val="0000FF"/>
                  <w:sz w:val="20"/>
                  <w:u w:val="single"/>
                </w:rPr>
                <w:t>99.1</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Press release reporting financial results for the quarter ended June 30, 2026</w:t>
            </w:r>
          </w:p>
        </w:tc>
      </w:tr>
      <w:tr>
        <w:trPr/>
        <w:tc>
          <w:tcPr>
            <w:tcW w:w="13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Cover Page Interactive Data File (embedded within the Inline XBRL document)</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960" w:after="283"/>
        <w:jc w:val="center"/>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hereunto duly authorized.</w:t>
      </w:r>
    </w:p>
    <w:p>
      <w:pPr>
        <w:pStyle w:val="TextBody"/>
        <w:bidi w:val="0"/>
        <w:spacing w:lineRule="auto" w:line="288" w:before="0" w:after="0"/>
        <w:jc w:val="left"/>
        <w:rPr>
          <w:color w:val="000000"/>
        </w:rPr>
      </w:pPr>
      <w:r>
        <w:rPr>
          <w:color w:val="000000"/>
        </w:rPr>
        <w:t> </w:t>
      </w:r>
    </w:p>
    <w:tbl>
      <w:tblPr>
        <w:tblW w:w="8840" w:type="dxa"/>
        <w:jc w:val="left"/>
        <w:tblInd w:w="0" w:type="dxa"/>
        <w:tblLayout w:type="fixed"/>
        <w:tblCellMar>
          <w:top w:w="28" w:type="dxa"/>
          <w:left w:w="28" w:type="dxa"/>
          <w:bottom w:w="28" w:type="dxa"/>
          <w:right w:w="28" w:type="dxa"/>
        </w:tblCellMar>
      </w:tblPr>
      <w:tblGrid>
        <w:gridCol w:w="705"/>
        <w:gridCol w:w="619"/>
        <w:gridCol w:w="625"/>
        <w:gridCol w:w="817"/>
        <w:gridCol w:w="817"/>
        <w:gridCol w:w="817"/>
        <w:gridCol w:w="1297"/>
        <w:gridCol w:w="1297"/>
        <w:gridCol w:w="1846"/>
      </w:tblGrid>
      <w:tr>
        <w:trPr/>
        <w:tc>
          <w:tcPr>
            <w:tcW w:w="705" w:type="dxa"/>
            <w:tcBorders/>
            <w:vAlign w:val="center"/>
          </w:tcPr>
          <w:p>
            <w:pPr>
              <w:pStyle w:val="TableContents"/>
              <w:bidi w:val="0"/>
              <w:spacing w:before="0" w:after="283"/>
              <w:jc w:val="left"/>
              <w:rPr>
                <w:sz w:val="4"/>
                <w:szCs w:val="4"/>
              </w:rPr>
            </w:pPr>
            <w:r>
              <w:rPr>
                <w:sz w:val="4"/>
                <w:szCs w:val="4"/>
              </w:rPr>
            </w:r>
          </w:p>
        </w:tc>
        <w:tc>
          <w:tcPr>
            <w:tcW w:w="619" w:type="dxa"/>
            <w:tcBorders/>
            <w:vAlign w:val="center"/>
          </w:tcPr>
          <w:p>
            <w:pPr>
              <w:pStyle w:val="TableContents"/>
              <w:bidi w:val="0"/>
              <w:spacing w:before="0" w:after="283"/>
              <w:jc w:val="left"/>
              <w:rPr>
                <w:sz w:val="4"/>
                <w:szCs w:val="4"/>
              </w:rPr>
            </w:pPr>
            <w:r>
              <w:rPr>
                <w:sz w:val="4"/>
                <w:szCs w:val="4"/>
              </w:rPr>
            </w:r>
          </w:p>
        </w:tc>
        <w:tc>
          <w:tcPr>
            <w:tcW w:w="625" w:type="dxa"/>
            <w:tcBorders/>
            <w:vAlign w:val="center"/>
          </w:tcPr>
          <w:p>
            <w:pPr>
              <w:pStyle w:val="TableContents"/>
              <w:bidi w:val="0"/>
              <w:spacing w:before="0" w:after="283"/>
              <w:jc w:val="left"/>
              <w:rPr>
                <w:sz w:val="4"/>
                <w:szCs w:val="4"/>
              </w:rPr>
            </w:pPr>
            <w:r>
              <w:rPr>
                <w:sz w:val="4"/>
                <w:szCs w:val="4"/>
              </w:rPr>
            </w:r>
          </w:p>
        </w:tc>
        <w:tc>
          <w:tcPr>
            <w:tcW w:w="817" w:type="dxa"/>
            <w:tcBorders/>
            <w:vAlign w:val="center"/>
          </w:tcPr>
          <w:p>
            <w:pPr>
              <w:pStyle w:val="TableContents"/>
              <w:bidi w:val="0"/>
              <w:spacing w:before="0" w:after="283"/>
              <w:jc w:val="left"/>
              <w:rPr>
                <w:sz w:val="4"/>
                <w:szCs w:val="4"/>
              </w:rPr>
            </w:pPr>
            <w:r>
              <w:rPr>
                <w:sz w:val="4"/>
                <w:szCs w:val="4"/>
              </w:rPr>
            </w:r>
          </w:p>
        </w:tc>
        <w:tc>
          <w:tcPr>
            <w:tcW w:w="817" w:type="dxa"/>
            <w:tcBorders/>
            <w:vAlign w:val="center"/>
          </w:tcPr>
          <w:p>
            <w:pPr>
              <w:pStyle w:val="TableContents"/>
              <w:bidi w:val="0"/>
              <w:spacing w:before="0" w:after="283"/>
              <w:jc w:val="left"/>
              <w:rPr>
                <w:sz w:val="4"/>
                <w:szCs w:val="4"/>
              </w:rPr>
            </w:pPr>
            <w:r>
              <w:rPr>
                <w:sz w:val="4"/>
                <w:szCs w:val="4"/>
              </w:rPr>
            </w:r>
          </w:p>
        </w:tc>
        <w:tc>
          <w:tcPr>
            <w:tcW w:w="817" w:type="dxa"/>
            <w:tcBorders/>
            <w:vAlign w:val="center"/>
          </w:tcPr>
          <w:p>
            <w:pPr>
              <w:pStyle w:val="TableContents"/>
              <w:bidi w:val="0"/>
              <w:spacing w:before="0" w:after="283"/>
              <w:jc w:val="left"/>
              <w:rPr>
                <w:sz w:val="4"/>
                <w:szCs w:val="4"/>
              </w:rPr>
            </w:pPr>
            <w:r>
              <w:rPr>
                <w:sz w:val="4"/>
                <w:szCs w:val="4"/>
              </w:rPr>
            </w:r>
          </w:p>
        </w:tc>
        <w:tc>
          <w:tcPr>
            <w:tcW w:w="1297" w:type="dxa"/>
            <w:tcBorders/>
            <w:vAlign w:val="center"/>
          </w:tcPr>
          <w:p>
            <w:pPr>
              <w:pStyle w:val="TableContents"/>
              <w:bidi w:val="0"/>
              <w:spacing w:before="0" w:after="283"/>
              <w:jc w:val="left"/>
              <w:rPr>
                <w:sz w:val="4"/>
                <w:szCs w:val="4"/>
              </w:rPr>
            </w:pPr>
            <w:r>
              <w:rPr>
                <w:sz w:val="4"/>
                <w:szCs w:val="4"/>
              </w:rPr>
            </w:r>
          </w:p>
        </w:tc>
        <w:tc>
          <w:tcPr>
            <w:tcW w:w="1297" w:type="dxa"/>
            <w:tcBorders/>
            <w:vAlign w:val="center"/>
          </w:tcPr>
          <w:p>
            <w:pPr>
              <w:pStyle w:val="TableContents"/>
              <w:bidi w:val="0"/>
              <w:spacing w:before="0" w:after="283"/>
              <w:jc w:val="left"/>
              <w:rPr>
                <w:sz w:val="4"/>
                <w:szCs w:val="4"/>
              </w:rPr>
            </w:pPr>
            <w:r>
              <w:rPr>
                <w:sz w:val="4"/>
                <w:szCs w:val="4"/>
              </w:rPr>
            </w:r>
          </w:p>
        </w:tc>
        <w:tc>
          <w:tcPr>
            <w:tcW w:w="1846" w:type="dxa"/>
            <w:tcBorders/>
            <w:vAlign w:val="center"/>
          </w:tcPr>
          <w:p>
            <w:pPr>
              <w:pStyle w:val="TableContents"/>
              <w:bidi w:val="0"/>
              <w:spacing w:before="0" w:after="283"/>
              <w:jc w:val="left"/>
              <w:rPr>
                <w:sz w:val="4"/>
                <w:szCs w:val="4"/>
              </w:rPr>
            </w:pPr>
            <w:r>
              <w:rPr>
                <w:sz w:val="4"/>
                <w:szCs w:val="4"/>
              </w:rPr>
            </w:r>
          </w:p>
        </w:tc>
      </w:tr>
      <w:tr>
        <w:trPr/>
        <w:tc>
          <w:tcPr>
            <w:tcW w:w="19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91"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MARRIOTT VACATIONS WORLDWIDE CORPORATION</w:t>
            </w:r>
          </w:p>
        </w:tc>
      </w:tr>
      <w:tr>
        <w:trPr/>
        <w:tc>
          <w:tcPr>
            <w:tcW w:w="19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91"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(Registrant)</w:t>
            </w:r>
          </w:p>
        </w:tc>
      </w:tr>
      <w:tr>
        <w:trPr/>
        <w:tc>
          <w:tcPr>
            <w:tcW w:w="19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Dated: August 6, 2026</w:t>
            </w:r>
          </w:p>
        </w:tc>
        <w:tc>
          <w:tcPr>
            <w:tcW w:w="245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44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Jason P. Marino</w:t>
            </w:r>
          </w:p>
        </w:tc>
      </w:tr>
      <w:tr>
        <w:trPr/>
        <w:tc>
          <w:tcPr>
            <w:tcW w:w="19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Name:</w:t>
            </w:r>
          </w:p>
        </w:tc>
        <w:tc>
          <w:tcPr>
            <w:tcW w:w="44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Jason P. Marino</w:t>
            </w:r>
          </w:p>
        </w:tc>
      </w:tr>
      <w:tr>
        <w:trPr/>
        <w:tc>
          <w:tcPr>
            <w:tcW w:w="19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Title:</w:t>
            </w:r>
          </w:p>
        </w:tc>
        <w:tc>
          <w:tcPr>
            <w:tcW w:w="44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Executive Vice President and Chief Financial Officer</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center"/>
        <w:rPr>
          <w:rFonts w:ascii="Times New Roman;serif" w:hAnsi="Times New Roman;serif"/>
          <w:b/>
          <w:color w:val="FFFFFF"/>
          <w:sz w:val="22"/>
        </w:rPr>
      </w:pPr>
      <w:r>
        <w:rPr>
          <w:rFonts w:ascii="Times New Roman;serif" w:hAnsi="Times New Roman;serif"/>
          <w:b/>
          <w:color w:val="FFFFFF"/>
          <w:sz w:val="22"/>
        </w:rPr>
        <w:t>DRAFT Draft 1</w:t>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46685"/>
                <wp:effectExtent l="0" t="0" r="0" b="0"/>
                <wp:wrapNone/>
                <wp:docPr id="2" name="Frame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189.5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w:t>
                      </w:r>
                    </w:p>
                  </w:txbxContent>
                </v:textbox>
                <w10:wrap type="none"/>
              </v:rect>
            </w:pict>
          </mc:Fallback>
        </mc:AlternateContent>
      </w:r>
    </w:p>
    <w:p>
      <w:pPr>
        <w:pStyle w:val="TextBody"/>
        <w:bidi w:val="0"/>
        <w:spacing w:lineRule="auto" w:line="288" w:before="0" w:after="0"/>
        <w:jc w:val="right"/>
        <w:rPr>
          <w:rFonts w:ascii="Arial;sans-serif" w:hAnsi="Arial;sans-serif"/>
          <w:b/>
          <w:color w:val="000000"/>
          <w:sz w:val="22"/>
        </w:rPr>
      </w:pPr>
      <w:r>
        <w:rPr>
          <w:rFonts w:ascii="Arial;sans-serif" w:hAnsi="Arial;sans-serif"/>
          <w:b/>
          <w:color w:val="000000"/>
          <w:sz w:val="22"/>
        </w:rPr>
        <w:t>Exhibit 99.1</w:t>
      </w:r>
    </w:p>
    <w:tbl>
      <w:tblPr>
        <w:tblW w:w="4985" w:type="dxa"/>
        <w:jc w:val="center"/>
        <w:tblInd w:w="0" w:type="dxa"/>
        <w:tblLayout w:type="fixed"/>
        <w:tblCellMar>
          <w:top w:w="28" w:type="dxa"/>
          <w:left w:w="28" w:type="dxa"/>
          <w:bottom w:w="28" w:type="dxa"/>
          <w:right w:w="28" w:type="dxa"/>
        </w:tblCellMar>
      </w:tblPr>
      <w:tblGrid>
        <w:gridCol w:w="890"/>
        <w:gridCol w:w="782"/>
        <w:gridCol w:w="784"/>
        <w:gridCol w:w="109"/>
        <w:gridCol w:w="109"/>
        <w:gridCol w:w="109"/>
        <w:gridCol w:w="109"/>
        <w:gridCol w:w="109"/>
        <w:gridCol w:w="109"/>
        <w:gridCol w:w="547"/>
        <w:gridCol w:w="547"/>
        <w:gridCol w:w="781"/>
      </w:tblGrid>
      <w:tr>
        <w:trPr/>
        <w:tc>
          <w:tcPr>
            <w:tcW w:w="890" w:type="dxa"/>
            <w:tcBorders/>
            <w:vAlign w:val="center"/>
          </w:tcPr>
          <w:p>
            <w:pPr>
              <w:pStyle w:val="TableContents"/>
              <w:bidi w:val="0"/>
              <w:spacing w:before="0" w:after="283"/>
              <w:jc w:val="left"/>
              <w:rPr>
                <w:sz w:val="4"/>
                <w:szCs w:val="4"/>
              </w:rPr>
            </w:pPr>
            <w:r>
              <w:rPr>
                <w:sz w:val="4"/>
                <w:szCs w:val="4"/>
              </w:rPr>
            </w:r>
          </w:p>
        </w:tc>
        <w:tc>
          <w:tcPr>
            <w:tcW w:w="782" w:type="dxa"/>
            <w:tcBorders/>
            <w:vAlign w:val="center"/>
          </w:tcPr>
          <w:p>
            <w:pPr>
              <w:pStyle w:val="TableContents"/>
              <w:bidi w:val="0"/>
              <w:spacing w:before="0" w:after="283"/>
              <w:jc w:val="left"/>
              <w:rPr>
                <w:sz w:val="4"/>
                <w:szCs w:val="4"/>
              </w:rPr>
            </w:pPr>
            <w:r>
              <w:rPr>
                <w:sz w:val="4"/>
                <w:szCs w:val="4"/>
              </w:rPr>
            </w:r>
          </w:p>
        </w:tc>
        <w:tc>
          <w:tcPr>
            <w:tcW w:w="7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7" w:type="dxa"/>
            <w:tcBorders/>
            <w:vAlign w:val="center"/>
          </w:tcPr>
          <w:p>
            <w:pPr>
              <w:pStyle w:val="TableContents"/>
              <w:bidi w:val="0"/>
              <w:spacing w:before="0" w:after="283"/>
              <w:jc w:val="left"/>
              <w:rPr>
                <w:sz w:val="4"/>
                <w:szCs w:val="4"/>
              </w:rPr>
            </w:pPr>
            <w:r>
              <w:rPr>
                <w:sz w:val="4"/>
                <w:szCs w:val="4"/>
              </w:rPr>
            </w:r>
          </w:p>
        </w:tc>
        <w:tc>
          <w:tcPr>
            <w:tcW w:w="547"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r>
      <w:tr>
        <w:trPr/>
        <w:tc>
          <w:tcPr>
            <w:tcW w:w="2456" w:type="dxa"/>
            <w:gridSpan w:val="3"/>
            <w:vMerge w:val="restart"/>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1495425" cy="476250"/>
                  <wp:effectExtent l="0" t="0" r="0" b="0"/>
                  <wp:docPr id="3"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1" descr=""/>
                          <pic:cNvPicPr>
                            <a:picLocks noChangeAspect="1" noChangeArrowheads="1"/>
                          </pic:cNvPicPr>
                        </pic:nvPicPr>
                        <pic:blipFill>
                          <a:blip r:embed="rId2"/>
                          <a:stretch>
                            <a:fillRect/>
                          </a:stretch>
                        </pic:blipFill>
                        <pic:spPr bwMode="auto">
                          <a:xfrm>
                            <a:off x="0" y="0"/>
                            <a:ext cx="1495425" cy="476250"/>
                          </a:xfrm>
                          <a:prstGeom prst="rect">
                            <a:avLst/>
                          </a:prstGeom>
                        </pic:spPr>
                      </pic:pic>
                    </a:graphicData>
                  </a:graphic>
                </wp:inline>
              </w:drawing>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5" w:type="dxa"/>
            <w:gridSpan w:val="3"/>
            <w:tcBorders/>
            <w:tcMar>
              <w:top w:w="0" w:type="dxa"/>
              <w:left w:w="0" w:type="dxa"/>
              <w:bottom w:w="0" w:type="dxa"/>
              <w:right w:w="0" w:type="dxa"/>
            </w:tcMar>
            <w:vAlign w:val="center"/>
          </w:tcPr>
          <w:p>
            <w:pPr>
              <w:pStyle w:val="TableContents"/>
              <w:bidi w:val="0"/>
              <w:spacing w:lineRule="auto" w:line="312" w:before="0" w:after="0"/>
              <w:jc w:val="right"/>
              <w:rPr>
                <w:rFonts w:ascii="Arial;sans-serif" w:hAnsi="Arial;sans-serif"/>
                <w:b w:val="false"/>
                <w:color w:val="000000"/>
                <w:sz w:val="16"/>
              </w:rPr>
            </w:pPr>
            <w:r>
              <w:rPr>
                <w:rFonts w:ascii="Arial;sans-serif" w:hAnsi="Arial;sans-serif"/>
                <w:b w:val="false"/>
                <w:color w:val="000000"/>
                <w:sz w:val="16"/>
              </w:rPr>
              <w:t>Neal Goldner</w:t>
            </w:r>
          </w:p>
          <w:p>
            <w:pPr>
              <w:pStyle w:val="TableContents"/>
              <w:bidi w:val="0"/>
              <w:spacing w:lineRule="auto" w:line="312" w:before="0" w:after="0"/>
              <w:jc w:val="right"/>
              <w:rPr>
                <w:rFonts w:ascii="Arial;sans-serif" w:hAnsi="Arial;sans-serif"/>
                <w:b w:val="false"/>
                <w:color w:val="000000"/>
                <w:sz w:val="16"/>
              </w:rPr>
            </w:pPr>
            <w:r>
              <w:rPr>
                <w:rFonts w:ascii="Arial;sans-serif" w:hAnsi="Arial;sans-serif"/>
                <w:b w:val="false"/>
                <w:color w:val="000000"/>
                <w:sz w:val="16"/>
              </w:rPr>
              <w:t>Investor Relations</w:t>
            </w:r>
          </w:p>
          <w:p>
            <w:pPr>
              <w:pStyle w:val="TableContents"/>
              <w:bidi w:val="0"/>
              <w:spacing w:lineRule="auto" w:line="312" w:before="0" w:after="0"/>
              <w:jc w:val="right"/>
              <w:rPr>
                <w:rFonts w:ascii="Arial;sans-serif" w:hAnsi="Arial;sans-serif"/>
                <w:b w:val="false"/>
                <w:color w:val="000000"/>
                <w:sz w:val="16"/>
              </w:rPr>
            </w:pPr>
            <w:r>
              <w:rPr>
                <w:rFonts w:ascii="Arial;sans-serif" w:hAnsi="Arial;sans-serif"/>
                <w:b w:val="false"/>
                <w:color w:val="000000"/>
                <w:sz w:val="16"/>
              </w:rPr>
              <w:t>407-206-6149</w:t>
            </w:r>
          </w:p>
          <w:p>
            <w:pPr>
              <w:pStyle w:val="TableContents"/>
              <w:bidi w:val="0"/>
              <w:spacing w:lineRule="auto" w:line="312" w:before="0" w:after="0"/>
              <w:jc w:val="right"/>
              <w:rPr>
                <w:rFonts w:ascii="Arial;sans-serif" w:hAnsi="Arial;sans-serif"/>
                <w:b w:val="false"/>
                <w:color w:val="0E32E1"/>
                <w:sz w:val="16"/>
                <w:u w:val="single"/>
              </w:rPr>
            </w:pPr>
            <w:r>
              <w:rPr>
                <w:rFonts w:ascii="Arial;sans-serif" w:hAnsi="Arial;sans-serif"/>
                <w:b w:val="false"/>
                <w:color w:val="0E32E1"/>
                <w:sz w:val="16"/>
                <w:u w:val="single"/>
              </w:rPr>
              <w:t>IR@mvwc.com</w:t>
            </w:r>
          </w:p>
        </w:tc>
      </w:tr>
      <w:tr>
        <w:trPr/>
        <w:tc>
          <w:tcPr>
            <w:tcW w:w="245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5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5" w:type="dxa"/>
            <w:gridSpan w:val="3"/>
            <w:tcBorders/>
            <w:tcMar>
              <w:top w:w="0" w:type="dxa"/>
              <w:left w:w="0" w:type="dxa"/>
              <w:bottom w:w="0" w:type="dxa"/>
              <w:right w:w="0" w:type="dxa"/>
            </w:tcMar>
            <w:vAlign w:val="center"/>
          </w:tcPr>
          <w:p>
            <w:pPr>
              <w:pStyle w:val="TableContents"/>
              <w:bidi w:val="0"/>
              <w:spacing w:lineRule="auto" w:line="312" w:before="0" w:after="0"/>
              <w:jc w:val="right"/>
              <w:rPr>
                <w:rFonts w:ascii="Arial;sans-serif" w:hAnsi="Arial;sans-serif"/>
                <w:b w:val="false"/>
                <w:color w:val="000000"/>
                <w:sz w:val="16"/>
              </w:rPr>
            </w:pPr>
            <w:r>
              <w:rPr>
                <w:rFonts w:ascii="Arial;sans-serif" w:hAnsi="Arial;sans-serif"/>
                <w:b w:val="false"/>
                <w:color w:val="000000"/>
                <w:sz w:val="16"/>
              </w:rPr>
              <w:t>Cameron Klaus</w:t>
            </w:r>
          </w:p>
          <w:p>
            <w:pPr>
              <w:pStyle w:val="TableContents"/>
              <w:bidi w:val="0"/>
              <w:spacing w:lineRule="auto" w:line="312" w:before="0" w:after="0"/>
              <w:jc w:val="right"/>
              <w:rPr>
                <w:rFonts w:ascii="Arial;sans-serif" w:hAnsi="Arial;sans-serif"/>
                <w:b w:val="false"/>
                <w:color w:val="000000"/>
                <w:sz w:val="16"/>
              </w:rPr>
            </w:pPr>
            <w:r>
              <w:rPr>
                <w:rFonts w:ascii="Arial;sans-serif" w:hAnsi="Arial;sans-serif"/>
                <w:b w:val="false"/>
                <w:color w:val="000000"/>
                <w:sz w:val="16"/>
              </w:rPr>
              <w:t>Global Communications</w:t>
            </w:r>
          </w:p>
          <w:p>
            <w:pPr>
              <w:pStyle w:val="TableContents"/>
              <w:bidi w:val="0"/>
              <w:spacing w:lineRule="auto" w:line="312" w:before="0" w:after="0"/>
              <w:jc w:val="right"/>
              <w:rPr>
                <w:rFonts w:ascii="Arial;sans-serif" w:hAnsi="Arial;sans-serif"/>
                <w:b w:val="false"/>
                <w:color w:val="000000"/>
                <w:sz w:val="16"/>
              </w:rPr>
            </w:pPr>
            <w:r>
              <w:rPr>
                <w:rFonts w:ascii="Arial;sans-serif" w:hAnsi="Arial;sans-serif"/>
                <w:b w:val="false"/>
                <w:color w:val="000000"/>
                <w:sz w:val="16"/>
              </w:rPr>
              <w:t>407-206-6300</w:t>
            </w:r>
          </w:p>
          <w:p>
            <w:pPr>
              <w:pStyle w:val="TableContents"/>
              <w:bidi w:val="0"/>
              <w:spacing w:lineRule="auto" w:line="312" w:before="0" w:after="0"/>
              <w:jc w:val="right"/>
              <w:rPr>
                <w:rFonts w:ascii="Arial;sans-serif" w:hAnsi="Arial;sans-serif"/>
                <w:b w:val="false"/>
                <w:color w:val="0E32E1"/>
                <w:sz w:val="16"/>
                <w:u w:val="single"/>
              </w:rPr>
            </w:pPr>
            <w:r>
              <w:rPr>
                <w:rFonts w:ascii="Arial;sans-serif" w:hAnsi="Arial;sans-serif"/>
                <w:b w:val="false"/>
                <w:color w:val="0E32E1"/>
                <w:sz w:val="16"/>
                <w:u w:val="single"/>
              </w:rPr>
              <w:t>media@mvwc.com</w:t>
            </w:r>
          </w:p>
        </w:tc>
      </w:tr>
    </w:tbl>
    <w:p>
      <w:pPr>
        <w:pStyle w:val="TextBody"/>
        <w:bidi w:val="0"/>
        <w:spacing w:lineRule="auto" w:line="288" w:before="60" w:after="283"/>
        <w:jc w:val="center"/>
        <w:rPr>
          <w:rFonts w:ascii="Arial;sans-serif" w:hAnsi="Arial;sans-serif"/>
          <w:b/>
          <w:color w:val="000000"/>
          <w:sz w:val="28"/>
        </w:rPr>
      </w:pPr>
      <w:r>
        <w:rPr>
          <w:rFonts w:ascii="Arial;sans-serif" w:hAnsi="Arial;sans-serif"/>
          <w:b/>
          <w:color w:val="000000"/>
          <w:sz w:val="28"/>
        </w:rPr>
        <w:t xml:space="preserve">Marriott Vacations Worldwide Reports </w:t>
      </w:r>
    </w:p>
    <w:p>
      <w:pPr>
        <w:pStyle w:val="TextBody"/>
        <w:bidi w:val="0"/>
        <w:spacing w:lineRule="auto" w:line="288" w:before="0" w:after="0"/>
        <w:jc w:val="center"/>
        <w:rPr>
          <w:rFonts w:ascii="Arial;sans-serif" w:hAnsi="Arial;sans-serif"/>
          <w:b/>
          <w:color w:val="000000"/>
          <w:sz w:val="28"/>
        </w:rPr>
      </w:pPr>
      <w:r>
        <w:rPr>
          <w:rFonts w:ascii="Arial;sans-serif" w:hAnsi="Arial;sans-serif"/>
          <w:b/>
          <w:color w:val="000000"/>
          <w:sz w:val="28"/>
        </w:rPr>
        <w:t>Second Quarter 2026 Financial Results</w:t>
      </w:r>
    </w:p>
    <w:p>
      <w:pPr>
        <w:pStyle w:val="TextBody"/>
        <w:bidi w:val="0"/>
        <w:spacing w:lineRule="auto" w:line="288" w:before="240" w:after="283"/>
        <w:jc w:val="both"/>
        <w:rPr/>
      </w:pPr>
      <w:r>
        <w:rPr>
          <w:rFonts w:ascii="Arial;sans-serif" w:hAnsi="Arial;sans-serif"/>
          <w:b/>
          <w:color w:val="000000"/>
          <w:sz w:val="22"/>
        </w:rPr>
        <w:t>ORLANDO, Fla. – August 6, 2026</w:t>
      </w:r>
      <w:r>
        <w:rPr>
          <w:color w:val="000000"/>
        </w:rPr>
        <w:t xml:space="preserve"> – </w:t>
      </w:r>
      <w:r>
        <w:rPr>
          <w:rFonts w:ascii="Arial;sans-serif" w:hAnsi="Arial;sans-serif"/>
          <w:b w:val="false"/>
          <w:color w:val="000000"/>
          <w:sz w:val="22"/>
        </w:rPr>
        <w:t>Marriott Vacations Worldwide Corporation (NYSE: VAC) (“MVW,” the “Company,” “we” or “our”) reported financial results for the second quarter of 2026.</w:t>
      </w:r>
    </w:p>
    <w:p>
      <w:pPr>
        <w:pStyle w:val="TextBody"/>
        <w:bidi w:val="0"/>
        <w:spacing w:lineRule="auto" w:line="288" w:before="120" w:after="283"/>
        <w:jc w:val="both"/>
        <w:rPr>
          <w:rFonts w:ascii="Arial;sans-serif" w:hAnsi="Arial;sans-serif"/>
          <w:b/>
          <w:i/>
          <w:color w:val="000000"/>
          <w:sz w:val="22"/>
          <w:u w:val="single"/>
        </w:rPr>
      </w:pPr>
      <w:r>
        <w:rPr>
          <w:rFonts w:ascii="Arial;sans-serif" w:hAnsi="Arial;sans-serif"/>
          <w:b/>
          <w:i/>
          <w:color w:val="000000"/>
          <w:sz w:val="22"/>
          <w:u w:val="single"/>
        </w:rPr>
        <w:t>Second Quarter 2026 Highlights</w:t>
      </w:r>
    </w:p>
    <w:p>
      <w:pPr>
        <w:pStyle w:val="TextBody"/>
        <w:bidi w:val="0"/>
        <w:spacing w:lineRule="auto" w:line="288" w:before="120" w:after="283"/>
        <w:ind w:left="0" w:right="0" w:hanging="360"/>
        <w:jc w:val="both"/>
        <w:rPr/>
      </w:pPr>
      <w:r>
        <w:rPr>
          <w:color w:val="000000"/>
        </w:rPr>
        <w:t>•</w:t>
      </w:r>
      <w:r>
        <w:rPr>
          <w:rFonts w:ascii="Arial;sans-serif" w:hAnsi="Arial;sans-serif"/>
          <w:b w:val="false"/>
          <w:color w:val="000000"/>
          <w:sz w:val="22"/>
        </w:rPr>
        <w:t>Contract sales increased 22% year over year to $545 million in the quarter.</w:t>
      </w:r>
    </w:p>
    <w:p>
      <w:pPr>
        <w:pStyle w:val="TextBody"/>
        <w:bidi w:val="0"/>
        <w:spacing w:lineRule="auto" w:line="288" w:before="120" w:after="283"/>
        <w:ind w:left="0" w:right="0" w:hanging="360"/>
        <w:jc w:val="both"/>
        <w:rPr/>
      </w:pPr>
      <w:r>
        <w:rPr>
          <w:color w:val="000000"/>
        </w:rPr>
        <w:t>•</w:t>
      </w:r>
      <w:r>
        <w:rPr>
          <w:rFonts w:ascii="Arial;sans-serif" w:hAnsi="Arial;sans-serif"/>
          <w:b w:val="false"/>
          <w:color w:val="000000"/>
          <w:sz w:val="22"/>
        </w:rPr>
        <w:t>Net income attributable to common stockholders was $77 million compared to $69 million in the prior year and diluted earnings per share was $2.12 compared to $1.77 in the prior year.</w:t>
      </w:r>
    </w:p>
    <w:p>
      <w:pPr>
        <w:pStyle w:val="TextBody"/>
        <w:bidi w:val="0"/>
        <w:spacing w:lineRule="auto" w:line="288" w:before="120" w:after="283"/>
        <w:ind w:left="0" w:right="0" w:hanging="360"/>
        <w:jc w:val="both"/>
        <w:rPr/>
      </w:pPr>
      <w:r>
        <w:rPr>
          <w:color w:val="000000"/>
        </w:rPr>
        <w:t>•</w:t>
      </w:r>
      <w:r>
        <w:rPr>
          <w:rFonts w:ascii="Arial;sans-serif" w:hAnsi="Arial;sans-serif"/>
          <w:b w:val="false"/>
          <w:color w:val="000000"/>
          <w:sz w:val="22"/>
        </w:rPr>
        <w:t>Adjusted net income attributable to common stockholders increased 9% to $84 million and adjusted diluted earnings per share increased 18% to $2.31.</w:t>
      </w:r>
    </w:p>
    <w:p>
      <w:pPr>
        <w:pStyle w:val="TextBody"/>
        <w:bidi w:val="0"/>
        <w:spacing w:lineRule="auto" w:line="288" w:before="120" w:after="283"/>
        <w:ind w:left="0" w:right="0" w:hanging="360"/>
        <w:jc w:val="both"/>
        <w:rPr/>
      </w:pPr>
      <w:r>
        <w:rPr>
          <w:color w:val="000000"/>
        </w:rPr>
        <w:t>•</w:t>
      </w:r>
      <w:r>
        <w:rPr>
          <w:rFonts w:ascii="Arial;sans-serif" w:hAnsi="Arial;sans-serif"/>
          <w:b w:val="false"/>
          <w:color w:val="000000"/>
          <w:sz w:val="22"/>
        </w:rPr>
        <w:t>Adjusted EBITDA increased to $215 million compared to $203 million in the prior year.</w:t>
      </w:r>
    </w:p>
    <w:p>
      <w:pPr>
        <w:pStyle w:val="TextBody"/>
        <w:bidi w:val="0"/>
        <w:spacing w:lineRule="auto" w:line="288" w:before="120" w:after="283"/>
        <w:ind w:left="0" w:right="0" w:hanging="360"/>
        <w:jc w:val="both"/>
        <w:rPr/>
      </w:pPr>
      <w:r>
        <w:rPr>
          <w:color w:val="000000"/>
        </w:rPr>
        <w:t>•</w:t>
      </w:r>
      <w:r>
        <w:rPr>
          <w:rFonts w:ascii="Arial;sans-serif" w:hAnsi="Arial;sans-serif"/>
          <w:b w:val="false"/>
          <w:color w:val="000000"/>
          <w:sz w:val="22"/>
        </w:rPr>
        <w:t>The Company raises its full-year Contract Sales, Adjusted EBITDA and Adjusted Free Cash Flow guidance.</w:t>
      </w:r>
    </w:p>
    <w:p>
      <w:pPr>
        <w:pStyle w:val="TextBody"/>
        <w:bidi w:val="0"/>
        <w:spacing w:lineRule="auto" w:line="288" w:before="180" w:after="283"/>
        <w:jc w:val="both"/>
        <w:rPr>
          <w:color w:val="000000"/>
        </w:rPr>
      </w:pPr>
      <w:r>
        <w:rPr>
          <w:color w:val="000000"/>
        </w:rPr>
        <w:t>“</w:t>
      </w:r>
      <w:r>
        <w:rPr>
          <w:rFonts w:ascii="Arial;sans-serif" w:hAnsi="Arial;sans-serif"/>
          <w:b w:val="false"/>
          <w:color w:val="000000"/>
          <w:sz w:val="22"/>
        </w:rPr>
        <w:t>Our second quarter results demonstrate the strong progress we have made this year, with VPG improving 23% year over year and contract sales growing 22%. This was driven by the power of our brands, our strategy, and the execution by our associates,” said Matt Avril, Chief Executive Officer. “Our raised guidance reflects our focus on driving continued contract sales growth and increasing Adjusted EBITDA. We also remain committed to delivering best-in-class hospitality experiences for our owners, members, and guests.”</w:t>
      </w:r>
    </w:p>
    <w:p>
      <w:pPr>
        <w:pStyle w:val="TextBody"/>
        <w:bidi w:val="0"/>
        <w:spacing w:lineRule="auto" w:line="288" w:before="180" w:after="283"/>
        <w:jc w:val="both"/>
        <w:rPr/>
      </w:pPr>
      <w:r>
        <w:rPr>
          <w:rFonts w:ascii="Arial;sans-serif" w:hAnsi="Arial;sans-serif"/>
          <w:b w:val="false"/>
          <w:color w:val="000000"/>
          <w:sz w:val="22"/>
        </w:rPr>
        <w:t>In the tables that follow “*” denotes Non-GAAP Financial Measures. Please see page A-17 for additional information about our reasons for providing these alternative financial measures and limitations on their use. Additionally, in the tables below “</w:t>
      </w:r>
      <w:r>
        <w:rPr>
          <w:color w:val="000000"/>
        </w:rPr>
        <w:t xml:space="preserve">†” </w:t>
      </w:r>
      <w:r>
        <w:rPr>
          <w:rFonts w:ascii="Arial;sans-serif" w:hAnsi="Arial;sans-serif"/>
          <w:b w:val="false"/>
          <w:color w:val="000000"/>
          <w:sz w:val="22"/>
        </w:rPr>
        <w:t>denotes prior year amounts that have been reclassified to conform with our current year presentation and “NM” means not meaningful.</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both"/>
        <w:rPr>
          <w:rFonts w:ascii="Arial;sans-serif" w:hAnsi="Arial;sans-serif"/>
          <w:b/>
          <w:i/>
          <w:color w:val="000000"/>
          <w:sz w:val="22"/>
        </w:rPr>
      </w:pPr>
      <w:r>
        <w:rPr>
          <w:rFonts w:ascii="Arial;sans-serif" w:hAnsi="Arial;sans-serif"/>
          <w:b/>
          <w:i/>
          <w:color w:val="000000"/>
          <w:sz w:val="22"/>
        </w:rPr>
        <w:t>Vacation Ownership</w:t>
      </w:r>
    </w:p>
    <w:tbl>
      <w:tblPr>
        <w:tblW w:w="10205" w:type="dxa"/>
        <w:jc w:val="center"/>
        <w:tblInd w:w="0" w:type="dxa"/>
        <w:tblLayout w:type="fixed"/>
        <w:tblCellMar>
          <w:top w:w="28" w:type="dxa"/>
          <w:left w:w="28" w:type="dxa"/>
          <w:bottom w:w="28" w:type="dxa"/>
          <w:right w:w="28" w:type="dxa"/>
        </w:tblCellMar>
      </w:tblPr>
      <w:tblGrid>
        <w:gridCol w:w="2154"/>
        <w:gridCol w:w="1796"/>
        <w:gridCol w:w="1804"/>
        <w:gridCol w:w="275"/>
        <w:gridCol w:w="855"/>
        <w:gridCol w:w="132"/>
        <w:gridCol w:w="109"/>
        <w:gridCol w:w="109"/>
        <w:gridCol w:w="109"/>
        <w:gridCol w:w="275"/>
        <w:gridCol w:w="855"/>
        <w:gridCol w:w="132"/>
        <w:gridCol w:w="109"/>
        <w:gridCol w:w="109"/>
        <w:gridCol w:w="109"/>
        <w:gridCol w:w="298"/>
        <w:gridCol w:w="298"/>
        <w:gridCol w:w="300"/>
        <w:gridCol w:w="109"/>
        <w:gridCol w:w="109"/>
        <w:gridCol w:w="159"/>
      </w:tblGrid>
      <w:tr>
        <w:trPr/>
        <w:tc>
          <w:tcPr>
            <w:tcW w:w="2154" w:type="dxa"/>
            <w:tcBorders/>
            <w:vAlign w:val="center"/>
          </w:tcPr>
          <w:p>
            <w:pPr>
              <w:pStyle w:val="TableContents"/>
              <w:bidi w:val="0"/>
              <w:spacing w:before="0" w:after="283"/>
              <w:jc w:val="left"/>
              <w:rPr>
                <w:sz w:val="4"/>
                <w:szCs w:val="4"/>
              </w:rPr>
            </w:pPr>
            <w:r>
              <w:rPr>
                <w:sz w:val="4"/>
                <w:szCs w:val="4"/>
              </w:rPr>
            </w:r>
          </w:p>
        </w:tc>
        <w:tc>
          <w:tcPr>
            <w:tcW w:w="1796" w:type="dxa"/>
            <w:tcBorders/>
            <w:vAlign w:val="center"/>
          </w:tcPr>
          <w:p>
            <w:pPr>
              <w:pStyle w:val="TableContents"/>
              <w:bidi w:val="0"/>
              <w:spacing w:before="0" w:after="283"/>
              <w:jc w:val="left"/>
              <w:rPr>
                <w:sz w:val="4"/>
                <w:szCs w:val="4"/>
              </w:rPr>
            </w:pPr>
            <w:r>
              <w:rPr>
                <w:sz w:val="4"/>
                <w:szCs w:val="4"/>
              </w:rPr>
            </w:r>
          </w:p>
        </w:tc>
        <w:tc>
          <w:tcPr>
            <w:tcW w:w="1804"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855"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855"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5754"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2851"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Three Months Ended</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Change</w:t>
            </w:r>
          </w:p>
        </w:tc>
        <w:tc>
          <w:tcPr>
            <w:tcW w:w="377" w:type="dxa"/>
            <w:gridSpan w:val="3"/>
            <w:tcBorders>
              <w:top w:val="single" w:sz="8" w:space="0" w:color="000000"/>
              <w:right w:val="single" w:sz="8" w:space="0" w:color="000000"/>
            </w:tcBorders>
            <w:tcMar>
              <w:left w:w="0" w:type="dxa"/>
              <w:bottom w:w="0" w:type="dxa"/>
            </w:tcMar>
            <w:vAlign w:val="center"/>
          </w:tcPr>
          <w:p>
            <w:pPr>
              <w:pStyle w:val="TableContents"/>
              <w:bidi w:val="0"/>
              <w:spacing w:before="0" w:after="283"/>
              <w:jc w:val="left"/>
              <w:rPr>
                <w:sz w:val="4"/>
                <w:szCs w:val="4"/>
              </w:rPr>
            </w:pPr>
            <w:r>
              <w:rPr>
                <w:sz w:val="4"/>
                <w:szCs w:val="4"/>
              </w:rPr>
            </w:r>
          </w:p>
        </w:tc>
      </w:tr>
      <w:tr>
        <w:trPr/>
        <w:tc>
          <w:tcPr>
            <w:tcW w:w="5754"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0"/>
              <w:jc w:val="left"/>
              <w:rPr>
                <w:rFonts w:ascii="Arial;sans-serif" w:hAnsi="Arial;sans-serif"/>
                <w:b w:val="false"/>
                <w:i/>
                <w:color w:val="000000"/>
                <w:sz w:val="16"/>
              </w:rPr>
            </w:pPr>
            <w:r>
              <w:rPr>
                <w:rFonts w:ascii="Arial;sans-serif" w:hAnsi="Arial;sans-serif"/>
                <w:b w:val="false"/>
                <w:i/>
                <w:color w:val="000000"/>
                <w:sz w:val="16"/>
              </w:rPr>
              <w:t>(In millions, except volume per guest (“VPG”) and tours)</w:t>
            </w:r>
          </w:p>
        </w:tc>
        <w:tc>
          <w:tcPr>
            <w:tcW w:w="126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June 30,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June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77" w:type="dxa"/>
            <w:gridSpan w:val="3"/>
            <w:tcBorders>
              <w:right w:val="single" w:sz="8"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5754" w:type="dxa"/>
            <w:gridSpan w:val="3"/>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Revenues excluding cost reimbursements</w:t>
            </w:r>
          </w:p>
        </w:tc>
        <w:tc>
          <w:tcPr>
            <w:tcW w:w="27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w:t>
            </w:r>
          </w:p>
        </w:tc>
        <w:tc>
          <w:tcPr>
            <w:tcW w:w="85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853 </w:t>
            </w:r>
          </w:p>
        </w:tc>
        <w:tc>
          <w:tcPr>
            <w:tcW w:w="13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w:t>
            </w:r>
          </w:p>
        </w:tc>
        <w:tc>
          <w:tcPr>
            <w:tcW w:w="85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775 </w:t>
            </w:r>
          </w:p>
        </w:tc>
        <w:tc>
          <w:tcPr>
            <w:tcW w:w="13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2"/>
              </w:rPr>
            </w:pPr>
            <w:r>
              <w:rPr>
                <w:rFonts w:ascii="Arial;sans-serif" w:hAnsi="Arial;sans-serif"/>
                <w:b w:val="false"/>
                <w:color w:val="000000"/>
                <w:sz w:val="22"/>
              </w:rPr>
              <w:t>10%</w:t>
            </w:r>
          </w:p>
        </w:tc>
        <w:tc>
          <w:tcPr>
            <w:tcW w:w="377" w:type="dxa"/>
            <w:gridSpan w:val="3"/>
            <w:tcBorders>
              <w:right w:val="single" w:sz="8" w:space="0" w:color="000000"/>
            </w:tcBorders>
            <w:shd w:fill="CCEE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5754" w:type="dxa"/>
            <w:gridSpan w:val="3"/>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Contract sales</w:t>
            </w:r>
          </w:p>
        </w:tc>
        <w:tc>
          <w:tcPr>
            <w:tcW w:w="27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w:t>
            </w:r>
          </w:p>
        </w:tc>
        <w:tc>
          <w:tcPr>
            <w:tcW w:w="85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545 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w:t>
            </w:r>
          </w:p>
        </w:tc>
        <w:tc>
          <w:tcPr>
            <w:tcW w:w="85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445 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2"/>
              </w:rPr>
            </w:pPr>
            <w:r>
              <w:rPr>
                <w:rFonts w:ascii="Arial;sans-serif" w:hAnsi="Arial;sans-serif"/>
                <w:b w:val="false"/>
                <w:color w:val="000000"/>
                <w:sz w:val="22"/>
              </w:rPr>
              <w:t>22%</w:t>
            </w:r>
          </w:p>
        </w:tc>
        <w:tc>
          <w:tcPr>
            <w:tcW w:w="377" w:type="dxa"/>
            <w:gridSpan w:val="3"/>
            <w:tcBorders>
              <w:right w:val="single" w:sz="8" w:space="0" w:color="000000"/>
            </w:tcBorders>
            <w:shd w:fill="FFFF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5754" w:type="dxa"/>
            <w:gridSpan w:val="3"/>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VPG</w:t>
            </w:r>
          </w:p>
        </w:tc>
        <w:tc>
          <w:tcPr>
            <w:tcW w:w="27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w:t>
            </w:r>
          </w:p>
        </w:tc>
        <w:tc>
          <w:tcPr>
            <w:tcW w:w="85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4,477 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w:t>
            </w:r>
          </w:p>
        </w:tc>
        <w:tc>
          <w:tcPr>
            <w:tcW w:w="85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3,631 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2"/>
              </w:rPr>
            </w:pPr>
            <w:r>
              <w:rPr>
                <w:rFonts w:ascii="Arial;sans-serif" w:hAnsi="Arial;sans-serif"/>
                <w:b w:val="false"/>
                <w:color w:val="000000"/>
                <w:sz w:val="22"/>
              </w:rPr>
              <w:t>23%</w:t>
            </w:r>
          </w:p>
        </w:tc>
        <w:tc>
          <w:tcPr>
            <w:tcW w:w="377" w:type="dxa"/>
            <w:gridSpan w:val="3"/>
            <w:tcBorders>
              <w:right w:val="single" w:sz="8" w:space="0" w:color="000000"/>
            </w:tcBorders>
            <w:shd w:fill="CCEE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5754" w:type="dxa"/>
            <w:gridSpan w:val="3"/>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Tours</w:t>
            </w:r>
          </w:p>
        </w:tc>
        <w:tc>
          <w:tcPr>
            <w:tcW w:w="11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112,721 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114,402 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2"/>
              </w:rPr>
            </w:pPr>
            <w:r>
              <w:rPr>
                <w:rFonts w:ascii="Arial;sans-serif" w:hAnsi="Arial;sans-serif"/>
                <w:b w:val="false"/>
                <w:color w:val="000000"/>
                <w:sz w:val="22"/>
              </w:rPr>
              <w:t>(1%)</w:t>
            </w:r>
          </w:p>
        </w:tc>
        <w:tc>
          <w:tcPr>
            <w:tcW w:w="377" w:type="dxa"/>
            <w:gridSpan w:val="3"/>
            <w:tcBorders>
              <w:right w:val="single" w:sz="8" w:space="0" w:color="000000"/>
            </w:tcBorders>
            <w:shd w:fill="FFFF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5754" w:type="dxa"/>
            <w:gridSpan w:val="3"/>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2"/>
              </w:rPr>
              <w:t>Segment financial results attributable to common stockholders</w:t>
            </w:r>
            <w:r>
              <w:rPr>
                <w:color w:val="000000"/>
              </w:rPr>
              <w:t>†</w:t>
            </w:r>
          </w:p>
        </w:tc>
        <w:tc>
          <w:tcPr>
            <w:tcW w:w="27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w:t>
            </w:r>
          </w:p>
        </w:tc>
        <w:tc>
          <w:tcPr>
            <w:tcW w:w="85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219 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w:t>
            </w:r>
          </w:p>
        </w:tc>
        <w:tc>
          <w:tcPr>
            <w:tcW w:w="85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197 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2"/>
              </w:rPr>
            </w:pPr>
            <w:r>
              <w:rPr>
                <w:rFonts w:ascii="Arial;sans-serif" w:hAnsi="Arial;sans-serif"/>
                <w:b w:val="false"/>
                <w:color w:val="000000"/>
                <w:sz w:val="22"/>
              </w:rPr>
              <w:t>12%</w:t>
            </w:r>
          </w:p>
        </w:tc>
        <w:tc>
          <w:tcPr>
            <w:tcW w:w="377" w:type="dxa"/>
            <w:gridSpan w:val="3"/>
            <w:tcBorders>
              <w:right w:val="single" w:sz="8" w:space="0" w:color="000000"/>
            </w:tcBorders>
            <w:shd w:fill="CCEE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5754" w:type="dxa"/>
            <w:gridSpan w:val="3"/>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2"/>
              </w:rPr>
              <w:t>Segment margin</w:t>
            </w:r>
            <w:r>
              <w:rPr>
                <w:color w:val="000000"/>
              </w:rPr>
              <w:t>†</w:t>
            </w:r>
          </w:p>
        </w:tc>
        <w:tc>
          <w:tcPr>
            <w:tcW w:w="12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2"/>
              </w:rPr>
            </w:pPr>
            <w:r>
              <w:rPr>
                <w:rFonts w:ascii="Arial;sans-serif" w:hAnsi="Arial;sans-serif"/>
                <w:b w:val="false"/>
                <w:color w:val="000000"/>
                <w:sz w:val="22"/>
              </w:rPr>
              <w:t>25.7%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2"/>
              </w:rPr>
            </w:pPr>
            <w:r>
              <w:rPr>
                <w:rFonts w:ascii="Arial;sans-serif" w:hAnsi="Arial;sans-serif"/>
                <w:b w:val="false"/>
                <w:color w:val="000000"/>
                <w:sz w:val="22"/>
              </w:rPr>
              <w:t>25.4%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2"/>
              </w:rPr>
            </w:pPr>
            <w:r>
              <w:rPr>
                <w:rFonts w:ascii="Arial;sans-serif" w:hAnsi="Arial;sans-serif"/>
                <w:b w:val="false"/>
                <w:color w:val="000000"/>
                <w:sz w:val="22"/>
              </w:rPr>
              <w:t>30 bps</w:t>
            </w:r>
          </w:p>
        </w:tc>
        <w:tc>
          <w:tcPr>
            <w:tcW w:w="377" w:type="dxa"/>
            <w:gridSpan w:val="3"/>
            <w:tcBorders>
              <w:right w:val="single" w:sz="8" w:space="0" w:color="000000"/>
            </w:tcBorders>
            <w:shd w:fill="FFFF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5754" w:type="dxa"/>
            <w:gridSpan w:val="3"/>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Segment Adjusted EBITDA*</w:t>
            </w:r>
          </w:p>
        </w:tc>
        <w:tc>
          <w:tcPr>
            <w:tcW w:w="27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w:t>
            </w:r>
          </w:p>
        </w:tc>
        <w:tc>
          <w:tcPr>
            <w:tcW w:w="85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246 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w:t>
            </w:r>
          </w:p>
        </w:tc>
        <w:tc>
          <w:tcPr>
            <w:tcW w:w="85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231 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2"/>
              </w:rPr>
            </w:pPr>
            <w:r>
              <w:rPr>
                <w:rFonts w:ascii="Arial;sans-serif" w:hAnsi="Arial;sans-serif"/>
                <w:b w:val="false"/>
                <w:color w:val="000000"/>
                <w:sz w:val="22"/>
              </w:rPr>
              <w:t>7%</w:t>
            </w:r>
          </w:p>
        </w:tc>
        <w:tc>
          <w:tcPr>
            <w:tcW w:w="377" w:type="dxa"/>
            <w:gridSpan w:val="3"/>
            <w:tcBorders>
              <w:right w:val="single" w:sz="8" w:space="0" w:color="000000"/>
            </w:tcBorders>
            <w:shd w:fill="CCEE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5754" w:type="dxa"/>
            <w:gridSpan w:val="3"/>
            <w:tcBorders>
              <w:left w:val="single" w:sz="8" w:space="0" w:color="000000"/>
              <w:bottom w:val="single" w:sz="8" w:space="0" w:color="000000"/>
            </w:tcBorders>
            <w:shd w:fill="FFFFFF" w:val="clear"/>
            <w:tcMar>
              <w:top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Segment Adjusted EBITDA margin*</w:t>
            </w:r>
          </w:p>
        </w:tc>
        <w:tc>
          <w:tcPr>
            <w:tcW w:w="1262"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val="false"/>
                <w:color w:val="000000"/>
                <w:sz w:val="22"/>
              </w:rPr>
            </w:pPr>
            <w:r>
              <w:rPr>
                <w:rFonts w:ascii="Arial;sans-serif" w:hAnsi="Arial;sans-serif"/>
                <w:b w:val="false"/>
                <w:color w:val="000000"/>
                <w:sz w:val="22"/>
              </w:rPr>
              <w:t>28.9%</w:t>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val="false"/>
                <w:color w:val="000000"/>
                <w:sz w:val="22"/>
              </w:rPr>
            </w:pPr>
            <w:r>
              <w:rPr>
                <w:rFonts w:ascii="Arial;sans-serif" w:hAnsi="Arial;sans-serif"/>
                <w:b w:val="false"/>
                <w:color w:val="000000"/>
                <w:sz w:val="22"/>
              </w:rPr>
              <w:t>29.8%</w:t>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96"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val="false"/>
                <w:color w:val="000000"/>
                <w:sz w:val="22"/>
              </w:rPr>
            </w:pPr>
            <w:r>
              <w:rPr>
                <w:rFonts w:ascii="Arial;sans-serif" w:hAnsi="Arial;sans-serif"/>
                <w:b w:val="false"/>
                <w:color w:val="000000"/>
                <w:sz w:val="22"/>
              </w:rPr>
              <w:t>(90 bps)</w:t>
            </w:r>
          </w:p>
        </w:tc>
        <w:tc>
          <w:tcPr>
            <w:tcW w:w="377" w:type="dxa"/>
            <w:gridSpan w:val="3"/>
            <w:tcBorders>
              <w:bottom w:val="single" w:sz="8" w:space="0" w:color="000000"/>
              <w:right w:val="single" w:sz="8" w:space="0" w:color="000000"/>
            </w:tcBorders>
            <w:shd w:fill="FFFFFF" w:val="clear"/>
            <w:tcMar>
              <w:top w:w="0" w:type="dxa"/>
              <w:lef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both"/>
        <w:rPr>
          <w:rFonts w:ascii="Arial;sans-serif" w:hAnsi="Arial;sans-serif"/>
          <w:b w:val="false"/>
          <w:color w:val="000000"/>
          <w:sz w:val="22"/>
        </w:rPr>
      </w:pPr>
      <w:r>
        <w:rPr>
          <w:rFonts w:ascii="Arial;sans-serif" w:hAnsi="Arial;sans-serif"/>
          <w:b w:val="false"/>
          <w:color w:val="000000"/>
          <w:sz w:val="22"/>
        </w:rPr>
        <w:t xml:space="preserve">Contract sales increased 22% compared to the prior year. VPG increased 23% year over year driven by higher average transaction size from product and operational enhancements. Tours in North America </w:t>
      </w:r>
    </w:p>
    <w:p>
      <w:pPr>
        <w:pStyle w:val="TextBody"/>
        <w:bidi w:val="0"/>
        <w:spacing w:lineRule="auto" w:line="288" w:before="480" w:after="283"/>
        <w:jc w:val="left"/>
        <w:rPr>
          <w:rFonts w:ascii="Arial;sans-serif" w:hAnsi="Arial;sans-serif"/>
          <w:b/>
          <w:color w:val="000000"/>
          <w:sz w:val="22"/>
        </w:rPr>
      </w:pPr>
      <w:r>
        <w:rPr>
          <w:rFonts w:ascii="Arial;sans-serif" w:hAnsi="Arial;sans-serif"/>
          <w:b/>
          <w:color w:val="000000"/>
          <w:sz w:val="22"/>
        </w:rPr>
        <w:t>Marriott Vacations Worldwide Reports Second Quarter 2026 Financial Results / 2</w:t>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4"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120" w:after="283"/>
        <w:jc w:val="both"/>
        <w:rPr>
          <w:rFonts w:ascii="Arial;sans-serif" w:hAnsi="Arial;sans-serif"/>
          <w:b w:val="false"/>
          <w:color w:val="000000"/>
          <w:sz w:val="22"/>
        </w:rPr>
      </w:pPr>
      <w:r>
        <w:rPr>
          <w:rFonts w:ascii="Arial;sans-serif" w:hAnsi="Arial;sans-serif"/>
          <w:b w:val="false"/>
          <w:color w:val="000000"/>
          <w:sz w:val="22"/>
        </w:rPr>
        <w:t>increased 3% year over year. The 1% decline in reported tours was attributable to the Company’s purposeful actions to prioritize higher profitability and cash flow in the Asia</w:t>
        <w:noBreakHyphen/>
        <w:t>Pacific region.</w:t>
      </w:r>
    </w:p>
    <w:p>
      <w:pPr>
        <w:pStyle w:val="TextBody"/>
        <w:bidi w:val="0"/>
        <w:spacing w:lineRule="auto" w:line="288" w:before="120" w:after="283"/>
        <w:jc w:val="both"/>
        <w:rPr>
          <w:rFonts w:ascii="Arial;sans-serif" w:hAnsi="Arial;sans-serif"/>
          <w:b w:val="false"/>
          <w:color w:val="000000"/>
          <w:sz w:val="22"/>
        </w:rPr>
      </w:pPr>
      <w:r>
        <w:rPr>
          <w:rFonts w:ascii="Arial;sans-serif" w:hAnsi="Arial;sans-serif"/>
          <w:b w:val="false"/>
          <w:color w:val="000000"/>
          <w:sz w:val="22"/>
        </w:rPr>
        <w:t>Segment Adjusted EBITDA increased primarily due to higher contract sales. Segment Adjusted EBITDA margin declined primarily due to higher marketing and sales costs and higher unsold maintenance fee expense, partially offset by lower product cost as a percentage of sale of vacation ownership products.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Arial;sans-serif" w:hAnsi="Arial;sans-serif"/>
          <w:b/>
          <w:i/>
          <w:color w:val="000000"/>
          <w:sz w:val="22"/>
        </w:rPr>
      </w:pPr>
      <w:r>
        <w:rPr>
          <w:rFonts w:ascii="Arial;sans-serif" w:hAnsi="Arial;sans-serif"/>
          <w:b/>
          <w:i/>
          <w:color w:val="000000"/>
          <w:sz w:val="22"/>
        </w:rPr>
        <w:t>Exchange &amp; Third-Party Management</w:t>
      </w:r>
    </w:p>
    <w:tbl>
      <w:tblPr>
        <w:tblW w:w="10205" w:type="dxa"/>
        <w:jc w:val="center"/>
        <w:tblInd w:w="0" w:type="dxa"/>
        <w:tblLayout w:type="fixed"/>
        <w:tblCellMar>
          <w:top w:w="28" w:type="dxa"/>
          <w:left w:w="28" w:type="dxa"/>
          <w:bottom w:w="28" w:type="dxa"/>
          <w:right w:w="28" w:type="dxa"/>
        </w:tblCellMar>
      </w:tblPr>
      <w:tblGrid>
        <w:gridCol w:w="2195"/>
        <w:gridCol w:w="1776"/>
        <w:gridCol w:w="1787"/>
        <w:gridCol w:w="266"/>
        <w:gridCol w:w="832"/>
        <w:gridCol w:w="128"/>
        <w:gridCol w:w="109"/>
        <w:gridCol w:w="109"/>
        <w:gridCol w:w="109"/>
        <w:gridCol w:w="266"/>
        <w:gridCol w:w="832"/>
        <w:gridCol w:w="128"/>
        <w:gridCol w:w="109"/>
        <w:gridCol w:w="109"/>
        <w:gridCol w:w="109"/>
        <w:gridCol w:w="321"/>
        <w:gridCol w:w="321"/>
        <w:gridCol w:w="323"/>
        <w:gridCol w:w="109"/>
        <w:gridCol w:w="109"/>
        <w:gridCol w:w="158"/>
      </w:tblGrid>
      <w:tr>
        <w:trPr/>
        <w:tc>
          <w:tcPr>
            <w:tcW w:w="2195" w:type="dxa"/>
            <w:tcBorders/>
            <w:vAlign w:val="center"/>
          </w:tcPr>
          <w:p>
            <w:pPr>
              <w:pStyle w:val="TableContents"/>
              <w:bidi w:val="0"/>
              <w:spacing w:before="0" w:after="283"/>
              <w:jc w:val="left"/>
              <w:rPr>
                <w:sz w:val="4"/>
                <w:szCs w:val="4"/>
              </w:rPr>
            </w:pPr>
            <w:r>
              <w:rPr>
                <w:sz w:val="4"/>
                <w:szCs w:val="4"/>
              </w:rPr>
            </w:r>
          </w:p>
        </w:tc>
        <w:tc>
          <w:tcPr>
            <w:tcW w:w="1776" w:type="dxa"/>
            <w:tcBorders/>
            <w:vAlign w:val="center"/>
          </w:tcPr>
          <w:p>
            <w:pPr>
              <w:pStyle w:val="TableContents"/>
              <w:bidi w:val="0"/>
              <w:spacing w:before="0" w:after="283"/>
              <w:jc w:val="left"/>
              <w:rPr>
                <w:sz w:val="4"/>
                <w:szCs w:val="4"/>
              </w:rPr>
            </w:pPr>
            <w:r>
              <w:rPr>
                <w:sz w:val="4"/>
                <w:szCs w:val="4"/>
              </w:rPr>
            </w:r>
          </w:p>
        </w:tc>
        <w:tc>
          <w:tcPr>
            <w:tcW w:w="1787"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832"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832"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758" w:type="dxa"/>
            <w:gridSpan w:val="3"/>
            <w:vMerge w:val="restart"/>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0"/>
              <w:jc w:val="left"/>
              <w:rPr>
                <w:rFonts w:ascii="Arial;sans-serif" w:hAnsi="Arial;sans-serif"/>
                <w:b w:val="false"/>
                <w:i/>
                <w:color w:val="000000"/>
                <w:sz w:val="16"/>
              </w:rPr>
            </w:pPr>
            <w:r>
              <w:rPr>
                <w:rFonts w:ascii="Arial;sans-serif" w:hAnsi="Arial;sans-serif"/>
                <w:b w:val="false"/>
                <w:i/>
                <w:color w:val="000000"/>
                <w:sz w:val="16"/>
              </w:rPr>
              <w:t>(In millions, except total active Interval International members and average revenue per member)</w:t>
            </w:r>
          </w:p>
        </w:tc>
        <w:tc>
          <w:tcPr>
            <w:tcW w:w="277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Three Months Ended</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Change</w:t>
            </w:r>
          </w:p>
        </w:tc>
        <w:tc>
          <w:tcPr>
            <w:tcW w:w="376" w:type="dxa"/>
            <w:gridSpan w:val="3"/>
            <w:tcBorders>
              <w:top w:val="single" w:sz="8" w:space="0" w:color="000000"/>
              <w:right w:val="single" w:sz="8" w:space="0" w:color="000000"/>
            </w:tcBorders>
            <w:tcMar>
              <w:left w:w="0" w:type="dxa"/>
              <w:bottom w:w="0" w:type="dxa"/>
            </w:tcMar>
            <w:vAlign w:val="center"/>
          </w:tcPr>
          <w:p>
            <w:pPr>
              <w:pStyle w:val="TableContents"/>
              <w:bidi w:val="0"/>
              <w:spacing w:before="0" w:after="283"/>
              <w:jc w:val="left"/>
              <w:rPr>
                <w:sz w:val="4"/>
                <w:szCs w:val="4"/>
              </w:rPr>
            </w:pPr>
            <w:r>
              <w:rPr>
                <w:sz w:val="4"/>
                <w:szCs w:val="4"/>
              </w:rPr>
            </w:r>
          </w:p>
        </w:tc>
      </w:tr>
      <w:tr>
        <w:trPr/>
        <w:tc>
          <w:tcPr>
            <w:tcW w:w="5758" w:type="dxa"/>
            <w:gridSpan w:val="3"/>
            <w:vMerge w:val="continue"/>
            <w:tcBorders>
              <w:top w:val="single" w:sz="8" w:space="0" w:color="000000"/>
              <w:left w:val="single" w:sz="8" w:space="0" w:color="000000"/>
            </w:tcBorders>
            <w:tcMar>
              <w:top w:w="30" w:type="dxa"/>
              <w:bottom w:w="0" w:type="dxa"/>
              <w:right w:w="0" w:type="dxa"/>
            </w:tcMar>
            <w:vAlign w:val="center"/>
          </w:tcPr>
          <w:p>
            <w:pPr>
              <w:pStyle w:val="Normal"/>
              <w:bidi w:val="0"/>
              <w:jc w:val="left"/>
              <w:rPr/>
            </w:pPr>
            <w:r>
              <w:rPr/>
            </w:r>
          </w:p>
        </w:tc>
        <w:tc>
          <w:tcPr>
            <w:tcW w:w="12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June 30,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June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76" w:type="dxa"/>
            <w:gridSpan w:val="3"/>
            <w:tcBorders>
              <w:right w:val="single" w:sz="8"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5758" w:type="dxa"/>
            <w:gridSpan w:val="3"/>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Revenues excluding cost reimbursements</w:t>
            </w:r>
          </w:p>
        </w:tc>
        <w:tc>
          <w:tcPr>
            <w:tcW w:w="2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w:t>
            </w:r>
          </w:p>
        </w:tc>
        <w:tc>
          <w:tcPr>
            <w:tcW w:w="8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50 </w:t>
            </w:r>
          </w:p>
        </w:tc>
        <w:tc>
          <w:tcPr>
            <w:tcW w:w="1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w:t>
            </w:r>
          </w:p>
        </w:tc>
        <w:tc>
          <w:tcPr>
            <w:tcW w:w="8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51 </w:t>
            </w:r>
          </w:p>
        </w:tc>
        <w:tc>
          <w:tcPr>
            <w:tcW w:w="1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2"/>
              </w:rPr>
            </w:pPr>
            <w:r>
              <w:rPr>
                <w:rFonts w:ascii="Arial;sans-serif" w:hAnsi="Arial;sans-serif"/>
                <w:b w:val="false"/>
                <w:color w:val="000000"/>
                <w:sz w:val="22"/>
              </w:rPr>
              <w:t>(2%)</w:t>
            </w:r>
          </w:p>
        </w:tc>
        <w:tc>
          <w:tcPr>
            <w:tcW w:w="376" w:type="dxa"/>
            <w:gridSpan w:val="3"/>
            <w:tcBorders>
              <w:right w:val="single" w:sz="8" w:space="0" w:color="000000"/>
            </w:tcBorders>
            <w:shd w:fill="CCEE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5758" w:type="dxa"/>
            <w:gridSpan w:val="3"/>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2"/>
              </w:rPr>
              <w:t>Total active Interval International members (000's)</w:t>
            </w:r>
            <w:r>
              <w:rPr>
                <w:rFonts w:ascii="Arial;sans-serif" w:hAnsi="Arial;sans-serif"/>
                <w:b w:val="false"/>
                <w:color w:val="000000"/>
                <w:sz w:val="14"/>
              </w:rPr>
              <w:t>(1)</w:t>
            </w:r>
          </w:p>
        </w:tc>
        <w:tc>
          <w:tcPr>
            <w:tcW w:w="10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1,475 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1,507 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2"/>
              </w:rPr>
            </w:pPr>
            <w:r>
              <w:rPr>
                <w:rFonts w:ascii="Arial;sans-serif" w:hAnsi="Arial;sans-serif"/>
                <w:b w:val="false"/>
                <w:color w:val="000000"/>
                <w:sz w:val="22"/>
              </w:rPr>
              <w:t>(2%)</w:t>
            </w:r>
          </w:p>
        </w:tc>
        <w:tc>
          <w:tcPr>
            <w:tcW w:w="376" w:type="dxa"/>
            <w:gridSpan w:val="3"/>
            <w:tcBorders>
              <w:right w:val="single" w:sz="8" w:space="0" w:color="000000"/>
            </w:tcBorders>
            <w:shd w:fill="FFFF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5758" w:type="dxa"/>
            <w:gridSpan w:val="3"/>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Average revenue per Interval International member</w:t>
            </w:r>
          </w:p>
        </w:tc>
        <w:tc>
          <w:tcPr>
            <w:tcW w:w="26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w:t>
            </w:r>
          </w:p>
        </w:tc>
        <w:tc>
          <w:tcPr>
            <w:tcW w:w="83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36.83 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w:t>
            </w:r>
          </w:p>
        </w:tc>
        <w:tc>
          <w:tcPr>
            <w:tcW w:w="83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37.40 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2"/>
              </w:rPr>
            </w:pPr>
            <w:r>
              <w:rPr>
                <w:rFonts w:ascii="Arial;sans-serif" w:hAnsi="Arial;sans-serif"/>
                <w:b w:val="false"/>
                <w:color w:val="000000"/>
                <w:sz w:val="22"/>
              </w:rPr>
              <w:t>(2%)</w:t>
            </w:r>
          </w:p>
        </w:tc>
        <w:tc>
          <w:tcPr>
            <w:tcW w:w="376" w:type="dxa"/>
            <w:gridSpan w:val="3"/>
            <w:tcBorders>
              <w:right w:val="single" w:sz="8" w:space="0" w:color="000000"/>
            </w:tcBorders>
            <w:shd w:fill="CCEE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5758" w:type="dxa"/>
            <w:gridSpan w:val="3"/>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Segment financial results attributable to common stockholders</w:t>
            </w:r>
          </w:p>
        </w:tc>
        <w:tc>
          <w:tcPr>
            <w:tcW w:w="26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w:t>
            </w:r>
          </w:p>
        </w:tc>
        <w:tc>
          <w:tcPr>
            <w:tcW w:w="83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17 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w:t>
            </w:r>
          </w:p>
        </w:tc>
        <w:tc>
          <w:tcPr>
            <w:tcW w:w="83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16 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2"/>
              </w:rPr>
            </w:pPr>
            <w:r>
              <w:rPr>
                <w:rFonts w:ascii="Arial;sans-serif" w:hAnsi="Arial;sans-serif"/>
                <w:b w:val="false"/>
                <w:color w:val="000000"/>
                <w:sz w:val="22"/>
              </w:rPr>
              <w:t>2%</w:t>
            </w:r>
          </w:p>
        </w:tc>
        <w:tc>
          <w:tcPr>
            <w:tcW w:w="376" w:type="dxa"/>
            <w:gridSpan w:val="3"/>
            <w:tcBorders>
              <w:right w:val="single" w:sz="8" w:space="0" w:color="000000"/>
            </w:tcBorders>
            <w:shd w:fill="FFFF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5758" w:type="dxa"/>
            <w:gridSpan w:val="3"/>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2"/>
              </w:rPr>
              <w:t>Segment margin</w:t>
            </w:r>
            <w:r>
              <w:rPr>
                <w:color w:val="000000"/>
              </w:rPr>
              <w:t>†</w:t>
            </w:r>
          </w:p>
        </w:tc>
        <w:tc>
          <w:tcPr>
            <w:tcW w:w="12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2"/>
              </w:rPr>
            </w:pPr>
            <w:r>
              <w:rPr>
                <w:rFonts w:ascii="Arial;sans-serif" w:hAnsi="Arial;sans-serif"/>
                <w:b w:val="false"/>
                <w:color w:val="000000"/>
                <w:sz w:val="22"/>
              </w:rPr>
              <w:t>33.1%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2"/>
              </w:rPr>
            </w:pPr>
            <w:r>
              <w:rPr>
                <w:rFonts w:ascii="Arial;sans-serif" w:hAnsi="Arial;sans-serif"/>
                <w:b w:val="false"/>
                <w:color w:val="000000"/>
                <w:sz w:val="22"/>
              </w:rPr>
              <w:t>32.0%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2"/>
              </w:rPr>
            </w:pPr>
            <w:r>
              <w:rPr>
                <w:rFonts w:ascii="Arial;sans-serif" w:hAnsi="Arial;sans-serif"/>
                <w:b w:val="false"/>
                <w:color w:val="000000"/>
                <w:sz w:val="22"/>
              </w:rPr>
              <w:t>110 bps</w:t>
            </w:r>
          </w:p>
        </w:tc>
        <w:tc>
          <w:tcPr>
            <w:tcW w:w="376" w:type="dxa"/>
            <w:gridSpan w:val="3"/>
            <w:tcBorders>
              <w:right w:val="single" w:sz="8" w:space="0" w:color="000000"/>
            </w:tcBorders>
            <w:shd w:fill="CCEE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5758" w:type="dxa"/>
            <w:gridSpan w:val="3"/>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Segment Adjusted EBITDA*</w:t>
            </w:r>
          </w:p>
        </w:tc>
        <w:tc>
          <w:tcPr>
            <w:tcW w:w="26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w:t>
            </w:r>
          </w:p>
        </w:tc>
        <w:tc>
          <w:tcPr>
            <w:tcW w:w="83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22 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w:t>
            </w:r>
          </w:p>
        </w:tc>
        <w:tc>
          <w:tcPr>
            <w:tcW w:w="83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23 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2"/>
              </w:rPr>
            </w:pPr>
            <w:r>
              <w:rPr>
                <w:rFonts w:ascii="Arial;sans-serif" w:hAnsi="Arial;sans-serif"/>
                <w:b w:val="false"/>
                <w:color w:val="000000"/>
                <w:sz w:val="22"/>
              </w:rPr>
              <w:t>(7%)</w:t>
            </w:r>
          </w:p>
        </w:tc>
        <w:tc>
          <w:tcPr>
            <w:tcW w:w="376" w:type="dxa"/>
            <w:gridSpan w:val="3"/>
            <w:tcBorders>
              <w:right w:val="single" w:sz="8" w:space="0" w:color="000000"/>
            </w:tcBorders>
            <w:shd w:fill="FFFF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5758" w:type="dxa"/>
            <w:gridSpan w:val="3"/>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Segment Adjusted EBITDA margin*</w:t>
            </w:r>
          </w:p>
        </w:tc>
        <w:tc>
          <w:tcPr>
            <w:tcW w:w="12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2"/>
              </w:rPr>
            </w:pPr>
            <w:r>
              <w:rPr>
                <w:rFonts w:ascii="Arial;sans-serif" w:hAnsi="Arial;sans-serif"/>
                <w:b w:val="false"/>
                <w:color w:val="000000"/>
                <w:sz w:val="22"/>
              </w:rPr>
              <w:t>43.3%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2"/>
              </w:rPr>
            </w:pPr>
            <w:r>
              <w:rPr>
                <w:rFonts w:ascii="Arial;sans-serif" w:hAnsi="Arial;sans-serif"/>
                <w:b w:val="false"/>
                <w:color w:val="000000"/>
                <w:sz w:val="22"/>
              </w:rPr>
              <w:t>45.9%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2"/>
              </w:rPr>
            </w:pPr>
            <w:r>
              <w:rPr>
                <w:rFonts w:ascii="Arial;sans-serif" w:hAnsi="Arial;sans-serif"/>
                <w:b w:val="false"/>
                <w:color w:val="000000"/>
                <w:sz w:val="22"/>
              </w:rPr>
              <w:t>(260 bps)</w:t>
            </w:r>
          </w:p>
        </w:tc>
        <w:tc>
          <w:tcPr>
            <w:tcW w:w="376" w:type="dxa"/>
            <w:gridSpan w:val="3"/>
            <w:tcBorders>
              <w:right w:val="single" w:sz="8" w:space="0" w:color="000000"/>
            </w:tcBorders>
            <w:shd w:fill="CCEE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575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21"/>
            <w:tcBorders/>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3"/>
              </w:rPr>
              <w:t>(1)</w:t>
            </w:r>
            <w:r>
              <w:rPr>
                <w:color w:val="000000"/>
              </w:rPr>
              <w:t xml:space="preserve"> </w:t>
            </w:r>
            <w:r>
              <w:rPr>
                <w:rFonts w:ascii="Arial;sans-serif" w:hAnsi="Arial;sans-serif"/>
                <w:b w:val="false"/>
                <w:color w:val="000000"/>
                <w:sz w:val="20"/>
              </w:rPr>
              <w:t>Includes members at the end of each period.</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both"/>
        <w:rPr>
          <w:rFonts w:ascii="Arial;sans-serif" w:hAnsi="Arial;sans-serif"/>
          <w:b/>
          <w:i/>
          <w:color w:val="000000"/>
          <w:sz w:val="22"/>
        </w:rPr>
      </w:pPr>
      <w:r>
        <w:rPr>
          <w:rFonts w:ascii="Arial;sans-serif" w:hAnsi="Arial;sans-serif"/>
          <w:b/>
          <w:i/>
          <w:color w:val="000000"/>
          <w:sz w:val="22"/>
        </w:rPr>
        <w:t>Corporate and Other</w:t>
      </w:r>
    </w:p>
    <w:p>
      <w:pPr>
        <w:pStyle w:val="TextBody"/>
        <w:bidi w:val="0"/>
        <w:spacing w:lineRule="auto" w:line="288" w:before="120" w:after="283"/>
        <w:jc w:val="both"/>
        <w:rPr>
          <w:rFonts w:ascii="Arial;sans-serif" w:hAnsi="Arial;sans-serif"/>
          <w:b w:val="false"/>
          <w:color w:val="000000"/>
          <w:sz w:val="22"/>
        </w:rPr>
      </w:pPr>
      <w:r>
        <w:rPr>
          <w:rFonts w:ascii="Arial;sans-serif" w:hAnsi="Arial;sans-serif"/>
          <w:b w:val="false"/>
          <w:color w:val="000000"/>
          <w:sz w:val="22"/>
        </w:rPr>
        <w:t>General and administrative costs increased $1 million in the second quarter compared to the prior year due to higher variable compensation, partially offset by other operational savings.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Arial;sans-serif" w:hAnsi="Arial;sans-serif"/>
          <w:b/>
          <w:i/>
          <w:color w:val="000000"/>
          <w:sz w:val="22"/>
        </w:rPr>
      </w:pPr>
      <w:r>
        <w:rPr>
          <w:rFonts w:ascii="Arial;sans-serif" w:hAnsi="Arial;sans-serif"/>
          <w:b/>
          <w:i/>
          <w:color w:val="000000"/>
          <w:sz w:val="22"/>
        </w:rPr>
        <w:t>Balance Sheet and Liquidity</w:t>
      </w:r>
    </w:p>
    <w:p>
      <w:pPr>
        <w:pStyle w:val="TextBody"/>
        <w:bidi w:val="0"/>
        <w:spacing w:lineRule="auto" w:line="288" w:before="120" w:after="283"/>
        <w:jc w:val="both"/>
        <w:rPr>
          <w:rFonts w:ascii="Arial;sans-serif" w:hAnsi="Arial;sans-serif"/>
          <w:b w:val="false"/>
          <w:color w:val="000000"/>
          <w:sz w:val="22"/>
        </w:rPr>
      </w:pPr>
      <w:r>
        <w:rPr>
          <w:rFonts w:ascii="Arial;sans-serif" w:hAnsi="Arial;sans-serif"/>
          <w:b w:val="false"/>
          <w:color w:val="000000"/>
          <w:sz w:val="22"/>
        </w:rPr>
        <w:t>The Company ended the quarter with $928 million in liquidity, including $211 million of cash and cash equivalents and $650 million of available capacity under its revolving corporate credit facility. The Company had $3.1 billion of corporate debt and $2.4 billion of non-recourse debt related to its securitized vacation ownership notes receivable at the end of the second quarter.</w:t>
      </w:r>
    </w:p>
    <w:p>
      <w:pPr>
        <w:pStyle w:val="TextBody"/>
        <w:bidi w:val="0"/>
        <w:spacing w:lineRule="auto" w:line="288" w:before="120" w:after="283"/>
        <w:jc w:val="both"/>
        <w:rPr>
          <w:rFonts w:ascii="Arial;sans-serif" w:hAnsi="Arial;sans-serif"/>
          <w:b w:val="false"/>
          <w:color w:val="000000"/>
          <w:sz w:val="22"/>
        </w:rPr>
      </w:pPr>
      <w:r>
        <w:rPr>
          <w:rFonts w:ascii="Arial;sans-serif" w:hAnsi="Arial;sans-serif"/>
          <w:b w:val="false"/>
          <w:color w:val="000000"/>
          <w:sz w:val="22"/>
        </w:rPr>
        <w:t>The Company’s net corporate leverage ratio declined to 4.0 times in the second quarter compared to 4.2 times at the end of the first quarter.</w:t>
      </w:r>
    </w:p>
    <w:p>
      <w:pPr>
        <w:pStyle w:val="TextBody"/>
        <w:bidi w:val="0"/>
        <w:spacing w:lineRule="auto" w:line="288" w:before="120" w:after="283"/>
        <w:jc w:val="both"/>
        <w:rPr>
          <w:rFonts w:ascii="Arial;sans-serif" w:hAnsi="Arial;sans-serif"/>
          <w:b w:val="false"/>
          <w:color w:val="000000"/>
          <w:sz w:val="22"/>
        </w:rPr>
      </w:pPr>
      <w:r>
        <w:rPr>
          <w:rFonts w:ascii="Arial;sans-serif" w:hAnsi="Arial;sans-serif"/>
          <w:b w:val="false"/>
          <w:color w:val="000000"/>
          <w:sz w:val="22"/>
        </w:rPr>
        <w:t>The Company also had $902 million of inventory at the end of the quarter, including $229 million classified as a component of Property and equipment.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Arial;sans-serif" w:hAnsi="Arial;sans-serif"/>
          <w:b/>
          <w:color w:val="000000"/>
          <w:sz w:val="22"/>
        </w:rPr>
      </w:pPr>
      <w:r>
        <w:rPr>
          <w:rFonts w:ascii="Arial;sans-serif" w:hAnsi="Arial;sans-serif"/>
          <w:b/>
          <w:color w:val="000000"/>
          <w:sz w:val="22"/>
        </w:rPr>
        <w:t>Full Year 2026 Outlook</w:t>
      </w:r>
    </w:p>
    <w:p>
      <w:pPr>
        <w:pStyle w:val="TextBody"/>
        <w:bidi w:val="0"/>
        <w:spacing w:lineRule="auto" w:line="288" w:before="120" w:after="283"/>
        <w:jc w:val="both"/>
        <w:rPr>
          <w:rFonts w:ascii="Arial;sans-serif" w:hAnsi="Arial;sans-serif"/>
          <w:b w:val="false"/>
          <w:color w:val="000000"/>
          <w:sz w:val="22"/>
        </w:rPr>
      </w:pPr>
      <w:r>
        <w:rPr>
          <w:rFonts w:ascii="Arial;sans-serif" w:hAnsi="Arial;sans-serif"/>
          <w:b w:val="false"/>
          <w:color w:val="000000"/>
          <w:sz w:val="22"/>
        </w:rPr>
        <w:t>During the first quarter of 2026, the Company began including interest expense associated with its warehouse credit facility borrowings as a component of consumer financing interest expense. In the second quarter of 2026, interest expense on warehouse credit facility borrowings was $2 million.</w:t>
      </w:r>
    </w:p>
    <w:p>
      <w:pPr>
        <w:pStyle w:val="TextBody"/>
        <w:bidi w:val="0"/>
        <w:spacing w:lineRule="auto" w:line="288" w:before="120" w:after="283"/>
        <w:jc w:val="both"/>
        <w:rPr>
          <w:rFonts w:ascii="Arial;sans-serif" w:hAnsi="Arial;sans-serif"/>
          <w:b w:val="false"/>
          <w:color w:val="000000"/>
          <w:sz w:val="22"/>
        </w:rPr>
      </w:pPr>
      <w:r>
        <w:rPr>
          <w:rFonts w:ascii="Arial;sans-serif" w:hAnsi="Arial;sans-serif"/>
          <w:b w:val="false"/>
          <w:color w:val="000000"/>
          <w:sz w:val="22"/>
        </w:rPr>
        <w:t>The Company provides full year 2026 guidance as reflected in the chart below.</w:t>
      </w:r>
    </w:p>
    <w:tbl>
      <w:tblPr>
        <w:tblW w:w="9309" w:type="dxa"/>
        <w:jc w:val="center"/>
        <w:tblInd w:w="0" w:type="dxa"/>
        <w:tblLayout w:type="fixed"/>
        <w:tblCellMar>
          <w:top w:w="28" w:type="dxa"/>
          <w:left w:w="28" w:type="dxa"/>
          <w:bottom w:w="28" w:type="dxa"/>
          <w:right w:w="28" w:type="dxa"/>
        </w:tblCellMar>
      </w:tblPr>
      <w:tblGrid>
        <w:gridCol w:w="1884"/>
        <w:gridCol w:w="1657"/>
        <w:gridCol w:w="1663"/>
        <w:gridCol w:w="230"/>
        <w:gridCol w:w="230"/>
        <w:gridCol w:w="231"/>
        <w:gridCol w:w="163"/>
        <w:gridCol w:w="163"/>
        <w:gridCol w:w="163"/>
        <w:gridCol w:w="229"/>
        <w:gridCol w:w="229"/>
        <w:gridCol w:w="233"/>
        <w:gridCol w:w="109"/>
        <w:gridCol w:w="109"/>
        <w:gridCol w:w="109"/>
        <w:gridCol w:w="230"/>
        <w:gridCol w:w="230"/>
        <w:gridCol w:w="231"/>
        <w:gridCol w:w="160"/>
        <w:gridCol w:w="160"/>
        <w:gridCol w:w="160"/>
        <w:gridCol w:w="215"/>
        <w:gridCol w:w="215"/>
        <w:gridCol w:w="306"/>
      </w:tblGrid>
      <w:tr>
        <w:trPr/>
        <w:tc>
          <w:tcPr>
            <w:tcW w:w="1884" w:type="dxa"/>
            <w:tcBorders/>
            <w:vAlign w:val="center"/>
          </w:tcPr>
          <w:p>
            <w:pPr>
              <w:pStyle w:val="TableContents"/>
              <w:bidi w:val="0"/>
              <w:spacing w:before="0" w:after="283"/>
              <w:jc w:val="left"/>
              <w:rPr>
                <w:sz w:val="4"/>
                <w:szCs w:val="4"/>
              </w:rPr>
            </w:pPr>
            <w:r>
              <w:rPr>
                <w:sz w:val="4"/>
                <w:szCs w:val="4"/>
              </w:rPr>
            </w:r>
          </w:p>
        </w:tc>
        <w:tc>
          <w:tcPr>
            <w:tcW w:w="1657" w:type="dxa"/>
            <w:tcBorders/>
            <w:vAlign w:val="center"/>
          </w:tcPr>
          <w:p>
            <w:pPr>
              <w:pStyle w:val="TableContents"/>
              <w:bidi w:val="0"/>
              <w:spacing w:before="0" w:after="283"/>
              <w:jc w:val="left"/>
              <w:rPr>
                <w:sz w:val="4"/>
                <w:szCs w:val="4"/>
              </w:rPr>
            </w:pPr>
            <w:r>
              <w:rPr>
                <w:sz w:val="4"/>
                <w:szCs w:val="4"/>
              </w:rPr>
            </w:r>
          </w:p>
        </w:tc>
        <w:tc>
          <w:tcPr>
            <w:tcW w:w="1663"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r>
      <w:tr>
        <w:trPr/>
        <w:tc>
          <w:tcPr>
            <w:tcW w:w="52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8"/>
              </w:rPr>
            </w:pPr>
            <w:r>
              <w:rPr>
                <w:rFonts w:ascii="Arial;sans-serif" w:hAnsi="Arial;sans-serif"/>
                <w:b w:val="false"/>
                <w:i/>
                <w:color w:val="000000"/>
                <w:sz w:val="18"/>
              </w:rPr>
              <w:t>(in millions, except per share amounts)</w:t>
            </w:r>
          </w:p>
        </w:tc>
        <w:tc>
          <w:tcPr>
            <w:tcW w:w="187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Current</w:t>
              <w:br/>
              <w:t>2026 Guidance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Previous</w:t>
              <w:br/>
              <w:t>2026 Guidance</w:t>
            </w:r>
          </w:p>
        </w:tc>
      </w:tr>
      <w:tr>
        <w:trPr/>
        <w:tc>
          <w:tcPr>
            <w:tcW w:w="52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Contract sales</w:t>
            </w:r>
          </w:p>
        </w:tc>
        <w:tc>
          <w:tcPr>
            <w:tcW w:w="69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$2,080</w:t>
            </w:r>
          </w:p>
        </w:tc>
        <w:tc>
          <w:tcPr>
            <w:tcW w:w="48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to</w:t>
            </w:r>
          </w:p>
        </w:tc>
        <w:tc>
          <w:tcPr>
            <w:tcW w:w="69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$2,115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$1,815</w:t>
            </w:r>
          </w:p>
        </w:tc>
        <w:tc>
          <w:tcPr>
            <w:tcW w:w="48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to</w:t>
            </w:r>
          </w:p>
        </w:tc>
        <w:tc>
          <w:tcPr>
            <w:tcW w:w="73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$1,885</w:t>
            </w:r>
          </w:p>
        </w:tc>
      </w:tr>
      <w:tr>
        <w:trPr/>
        <w:tc>
          <w:tcPr>
            <w:tcW w:w="52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Adjusted EBITDA*</w:t>
            </w:r>
          </w:p>
        </w:tc>
        <w:tc>
          <w:tcPr>
            <w:tcW w:w="6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$805</w:t>
            </w:r>
          </w:p>
        </w:tc>
        <w:tc>
          <w:tcPr>
            <w:tcW w:w="4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to</w:t>
            </w:r>
          </w:p>
        </w:tc>
        <w:tc>
          <w:tcPr>
            <w:tcW w:w="6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$830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$755</w:t>
            </w:r>
          </w:p>
        </w:tc>
        <w:tc>
          <w:tcPr>
            <w:tcW w:w="4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to</w:t>
            </w:r>
          </w:p>
        </w:tc>
        <w:tc>
          <w:tcPr>
            <w:tcW w:w="7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$780</w:t>
            </w:r>
          </w:p>
        </w:tc>
      </w:tr>
      <w:tr>
        <w:trPr/>
        <w:tc>
          <w:tcPr>
            <w:tcW w:w="52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Adjusted net income attributable to common stockholders*</w:t>
            </w:r>
          </w:p>
        </w:tc>
        <w:tc>
          <w:tcPr>
            <w:tcW w:w="6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$300</w:t>
            </w:r>
          </w:p>
        </w:tc>
        <w:tc>
          <w:tcPr>
            <w:tcW w:w="4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to</w:t>
            </w:r>
          </w:p>
        </w:tc>
        <w:tc>
          <w:tcPr>
            <w:tcW w:w="6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$330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$255</w:t>
            </w:r>
          </w:p>
        </w:tc>
        <w:tc>
          <w:tcPr>
            <w:tcW w:w="4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to</w:t>
            </w:r>
          </w:p>
        </w:tc>
        <w:tc>
          <w:tcPr>
            <w:tcW w:w="7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$285</w:t>
            </w:r>
          </w:p>
        </w:tc>
      </w:tr>
      <w:tr>
        <w:trPr/>
        <w:tc>
          <w:tcPr>
            <w:tcW w:w="52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Adjusted earnings per share - diluted*</w:t>
            </w:r>
          </w:p>
        </w:tc>
        <w:tc>
          <w:tcPr>
            <w:tcW w:w="6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$8.25</w:t>
            </w:r>
          </w:p>
        </w:tc>
        <w:tc>
          <w:tcPr>
            <w:tcW w:w="4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to</w:t>
            </w:r>
          </w:p>
        </w:tc>
        <w:tc>
          <w:tcPr>
            <w:tcW w:w="6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$9.05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$7.05</w:t>
            </w:r>
          </w:p>
        </w:tc>
        <w:tc>
          <w:tcPr>
            <w:tcW w:w="4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to</w:t>
            </w:r>
          </w:p>
        </w:tc>
        <w:tc>
          <w:tcPr>
            <w:tcW w:w="7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$7.80</w:t>
            </w:r>
          </w:p>
        </w:tc>
      </w:tr>
      <w:tr>
        <w:trPr/>
        <w:tc>
          <w:tcPr>
            <w:tcW w:w="52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Adjusted free cash flow*</w:t>
            </w:r>
          </w:p>
        </w:tc>
        <w:tc>
          <w:tcPr>
            <w:tcW w:w="6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$410</w:t>
            </w:r>
          </w:p>
        </w:tc>
        <w:tc>
          <w:tcPr>
            <w:tcW w:w="4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to</w:t>
            </w:r>
          </w:p>
        </w:tc>
        <w:tc>
          <w:tcPr>
            <w:tcW w:w="6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$460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$375</w:t>
            </w:r>
          </w:p>
        </w:tc>
        <w:tc>
          <w:tcPr>
            <w:tcW w:w="4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to</w:t>
            </w:r>
          </w:p>
        </w:tc>
        <w:tc>
          <w:tcPr>
            <w:tcW w:w="7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$425</w:t>
            </w:r>
          </w:p>
        </w:tc>
      </w:tr>
    </w:tbl>
    <w:p>
      <w:pPr>
        <w:pStyle w:val="TextBody"/>
        <w:bidi w:val="0"/>
        <w:spacing w:lineRule="auto" w:line="288" w:before="180" w:after="283"/>
        <w:jc w:val="both"/>
        <w:rPr>
          <w:rFonts w:ascii="Arial;sans-serif" w:hAnsi="Arial;sans-serif"/>
          <w:b w:val="false"/>
          <w:color w:val="000000"/>
          <w:sz w:val="22"/>
        </w:rPr>
      </w:pPr>
      <w:r>
        <w:rPr>
          <w:rFonts w:ascii="Arial;sans-serif" w:hAnsi="Arial;sans-serif"/>
          <w:b w:val="false"/>
          <w:color w:val="000000"/>
          <w:sz w:val="22"/>
        </w:rPr>
        <w:t xml:space="preserve">The guidance provided above excludes impacts from certain asset sales, foreign currency changes, restructuring costs, litigation charges, modernization costs, transaction and integration costs, and impairments, each of which the Company cannot forecast with sufficient accuracy to factor them into </w:t>
      </w:r>
    </w:p>
    <w:p>
      <w:pPr>
        <w:pStyle w:val="TextBody"/>
        <w:bidi w:val="0"/>
        <w:spacing w:lineRule="auto" w:line="288" w:before="480" w:after="283"/>
        <w:jc w:val="left"/>
        <w:rPr>
          <w:rFonts w:ascii="Arial;sans-serif" w:hAnsi="Arial;sans-serif"/>
          <w:b/>
          <w:color w:val="000000"/>
          <w:sz w:val="22"/>
        </w:rPr>
      </w:pPr>
      <w:r>
        <w:rPr>
          <w:rFonts w:ascii="Arial;sans-serif" w:hAnsi="Arial;sans-serif"/>
          <w:b/>
          <w:color w:val="000000"/>
          <w:sz w:val="22"/>
        </w:rPr>
        <w:t>Marriott Vacations Worldwide Reports Second Quarter 2026 Financial Results / 3</w:t>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75260"/>
                <wp:effectExtent l="0" t="0" r="0" b="0"/>
                <wp:wrapNone/>
                <wp:docPr id="5"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180" w:after="283"/>
        <w:jc w:val="both"/>
        <w:rPr>
          <w:rFonts w:ascii="Arial;sans-serif" w:hAnsi="Arial;sans-serif"/>
          <w:b w:val="false"/>
          <w:color w:val="000000"/>
          <w:sz w:val="22"/>
        </w:rPr>
      </w:pPr>
      <w:r>
        <w:rPr>
          <w:rFonts w:ascii="Arial;sans-serif" w:hAnsi="Arial;sans-serif"/>
          <w:b w:val="false"/>
          <w:color w:val="000000"/>
          <w:sz w:val="22"/>
        </w:rPr>
        <w:t>the guidance provided above and without unreasonable efforts, and which may be significant. As a result, the full year 2026 outlook is presented only on a non-GAAP basis and is not reconciled to the most comparable GAAP measures. Where one or more of the currently unavailable items is applicable, some items could be material, individually or in the aggregate, to GAAP reported results.</w:t>
      </w:r>
    </w:p>
    <w:p>
      <w:pPr>
        <w:pStyle w:val="TextBody"/>
        <w:bidi w:val="0"/>
        <w:spacing w:lineRule="auto" w:line="288" w:before="120" w:after="283"/>
        <w:jc w:val="both"/>
        <w:rPr>
          <w:rFonts w:ascii="Arial;sans-serif" w:hAnsi="Arial;sans-serif"/>
          <w:b w:val="false"/>
          <w:color w:val="000000"/>
          <w:sz w:val="22"/>
        </w:rPr>
      </w:pPr>
      <w:r>
        <w:rPr>
          <w:rFonts w:ascii="Arial;sans-serif" w:hAnsi="Arial;sans-serif"/>
          <w:b w:val="false"/>
          <w:color w:val="000000"/>
          <w:sz w:val="22"/>
        </w:rPr>
        <w:t>The Company’s 2026 guidance is based on the following supplemental estimates:</w:t>
      </w:r>
    </w:p>
    <w:tbl>
      <w:tblPr>
        <w:tblW w:w="10205" w:type="dxa"/>
        <w:jc w:val="center"/>
        <w:tblInd w:w="0" w:type="dxa"/>
        <w:tblLayout w:type="fixed"/>
        <w:tblCellMar>
          <w:top w:w="28" w:type="dxa"/>
          <w:left w:w="28" w:type="dxa"/>
          <w:bottom w:w="28" w:type="dxa"/>
          <w:right w:w="28" w:type="dxa"/>
        </w:tblCellMar>
      </w:tblPr>
      <w:tblGrid>
        <w:gridCol w:w="2490"/>
        <w:gridCol w:w="2146"/>
        <w:gridCol w:w="2155"/>
        <w:gridCol w:w="175"/>
        <w:gridCol w:w="175"/>
        <w:gridCol w:w="176"/>
        <w:gridCol w:w="157"/>
        <w:gridCol w:w="157"/>
        <w:gridCol w:w="157"/>
        <w:gridCol w:w="174"/>
        <w:gridCol w:w="174"/>
        <w:gridCol w:w="178"/>
        <w:gridCol w:w="109"/>
        <w:gridCol w:w="109"/>
        <w:gridCol w:w="109"/>
        <w:gridCol w:w="175"/>
        <w:gridCol w:w="175"/>
        <w:gridCol w:w="176"/>
        <w:gridCol w:w="154"/>
        <w:gridCol w:w="154"/>
        <w:gridCol w:w="154"/>
        <w:gridCol w:w="167"/>
        <w:gridCol w:w="167"/>
        <w:gridCol w:w="242"/>
      </w:tblGrid>
      <w:tr>
        <w:trPr/>
        <w:tc>
          <w:tcPr>
            <w:tcW w:w="2490" w:type="dxa"/>
            <w:tcBorders/>
            <w:vAlign w:val="center"/>
          </w:tcPr>
          <w:p>
            <w:pPr>
              <w:pStyle w:val="TableContents"/>
              <w:bidi w:val="0"/>
              <w:spacing w:before="0" w:after="283"/>
              <w:jc w:val="left"/>
              <w:rPr>
                <w:sz w:val="4"/>
                <w:szCs w:val="4"/>
              </w:rPr>
            </w:pPr>
            <w:r>
              <w:rPr>
                <w:sz w:val="4"/>
                <w:szCs w:val="4"/>
              </w:rPr>
            </w:r>
          </w:p>
        </w:tc>
        <w:tc>
          <w:tcPr>
            <w:tcW w:w="2146" w:type="dxa"/>
            <w:tcBorders/>
            <w:vAlign w:val="center"/>
          </w:tcPr>
          <w:p>
            <w:pPr>
              <w:pStyle w:val="TableContents"/>
              <w:bidi w:val="0"/>
              <w:spacing w:before="0" w:after="283"/>
              <w:jc w:val="left"/>
              <w:rPr>
                <w:sz w:val="4"/>
                <w:szCs w:val="4"/>
              </w:rPr>
            </w:pPr>
            <w:r>
              <w:rPr>
                <w:sz w:val="4"/>
                <w:szCs w:val="4"/>
              </w:rPr>
            </w:r>
          </w:p>
        </w:tc>
        <w:tc>
          <w:tcPr>
            <w:tcW w:w="2155"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r>
      <w:tr>
        <w:trPr/>
        <w:tc>
          <w:tcPr>
            <w:tcW w:w="679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8"/>
              </w:rPr>
            </w:pPr>
            <w:r>
              <w:rPr>
                <w:rFonts w:ascii="Arial;sans-serif" w:hAnsi="Arial;sans-serif"/>
                <w:b w:val="false"/>
                <w:i/>
                <w:color w:val="000000"/>
                <w:sz w:val="18"/>
              </w:rPr>
              <w:t>($ in millions)</w:t>
            </w:r>
          </w:p>
        </w:tc>
        <w:tc>
          <w:tcPr>
            <w:tcW w:w="152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Current</w:t>
              <w:br/>
              <w:t>2026 Guidance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Previous</w:t>
              <w:br/>
              <w:t>2026 Guidance</w:t>
            </w:r>
          </w:p>
        </w:tc>
      </w:tr>
      <w:tr>
        <w:trPr/>
        <w:tc>
          <w:tcPr>
            <w:tcW w:w="67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Interest expense, net</w:t>
            </w:r>
          </w:p>
        </w:tc>
        <w:tc>
          <w:tcPr>
            <w:tcW w:w="52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$178</w:t>
            </w:r>
          </w:p>
        </w:tc>
        <w:tc>
          <w:tcPr>
            <w:tcW w:w="47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to</w:t>
            </w:r>
          </w:p>
        </w:tc>
        <w:tc>
          <w:tcPr>
            <w:tcW w:w="52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$174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$184</w:t>
            </w:r>
          </w:p>
        </w:tc>
        <w:tc>
          <w:tcPr>
            <w:tcW w:w="46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to</w:t>
            </w:r>
          </w:p>
        </w:tc>
        <w:tc>
          <w:tcPr>
            <w:tcW w:w="57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$179</w:t>
            </w:r>
          </w:p>
        </w:tc>
      </w:tr>
      <w:tr>
        <w:trPr/>
        <w:tc>
          <w:tcPr>
            <w:tcW w:w="67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Depreciation and amortization</w:t>
            </w:r>
          </w:p>
        </w:tc>
        <w:tc>
          <w:tcPr>
            <w:tcW w:w="5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$140</w:t>
            </w:r>
          </w:p>
        </w:tc>
        <w:tc>
          <w:tcPr>
            <w:tcW w:w="4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to</w:t>
            </w:r>
          </w:p>
        </w:tc>
        <w:tc>
          <w:tcPr>
            <w:tcW w:w="5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$138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$150</w:t>
            </w:r>
          </w:p>
        </w:tc>
        <w:tc>
          <w:tcPr>
            <w:tcW w:w="4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to</w:t>
            </w:r>
          </w:p>
        </w:tc>
        <w:tc>
          <w:tcPr>
            <w:tcW w:w="5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$148</w:t>
            </w:r>
          </w:p>
        </w:tc>
      </w:tr>
      <w:tr>
        <w:trPr/>
        <w:tc>
          <w:tcPr>
            <w:tcW w:w="679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Tax rate used to calculate adjusted net income attributable to common stockholders</w:t>
            </w:r>
          </w:p>
        </w:tc>
        <w:tc>
          <w:tcPr>
            <w:tcW w:w="5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31%</w:t>
            </w:r>
          </w:p>
        </w:tc>
        <w:tc>
          <w:tcPr>
            <w:tcW w:w="4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to</w:t>
            </w:r>
          </w:p>
        </w:tc>
        <w:tc>
          <w:tcPr>
            <w:tcW w:w="5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29%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31%</w:t>
            </w:r>
          </w:p>
        </w:tc>
        <w:tc>
          <w:tcPr>
            <w:tcW w:w="4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to</w:t>
            </w:r>
          </w:p>
        </w:tc>
        <w:tc>
          <w:tcPr>
            <w:tcW w:w="5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29%</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Arial;sans-serif" w:hAnsi="Arial;sans-serif"/>
          <w:b/>
          <w:color w:val="000000"/>
          <w:sz w:val="22"/>
        </w:rPr>
      </w:pPr>
      <w:r>
        <w:rPr>
          <w:rFonts w:ascii="Arial;sans-serif" w:hAnsi="Arial;sans-serif"/>
          <w:b/>
          <w:color w:val="000000"/>
          <w:sz w:val="22"/>
        </w:rPr>
        <w:t>Non-GAAP Financial Information</w:t>
      </w:r>
    </w:p>
    <w:p>
      <w:pPr>
        <w:pStyle w:val="TextBody"/>
        <w:bidi w:val="0"/>
        <w:spacing w:lineRule="auto" w:line="288" w:before="120" w:after="283"/>
        <w:jc w:val="both"/>
        <w:rPr>
          <w:rFonts w:ascii="Arial;sans-serif" w:hAnsi="Arial;sans-serif"/>
          <w:b w:val="false"/>
          <w:color w:val="000000"/>
          <w:sz w:val="22"/>
        </w:rPr>
      </w:pPr>
      <w:r>
        <w:rPr>
          <w:rFonts w:ascii="Arial;sans-serif" w:hAnsi="Arial;sans-serif"/>
          <w:b w:val="false"/>
          <w:color w:val="000000"/>
          <w:sz w:val="22"/>
        </w:rPr>
        <w:t>Non-GAAP Financial Measures are reconciled and adjustments are shown and described in further detail in the Financial Schedules that follow. Please see page A-17 for additional information about our reasons for providing these alternative financial measures and limitations on their use. In addition to the foregoing Non-GAAP Financial Measures, we present certain key metrics as performance measures which are further described in our most recent Annual Report on Form 10-K, and which may be updated in our periodic filings with the U.S. Securities and Exchange Commission.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Arial;sans-serif" w:hAnsi="Arial;sans-serif"/>
          <w:b/>
          <w:color w:val="000000"/>
          <w:sz w:val="22"/>
        </w:rPr>
      </w:pPr>
      <w:r>
        <w:rPr>
          <w:rFonts w:ascii="Arial;sans-serif" w:hAnsi="Arial;sans-serif"/>
          <w:b/>
          <w:color w:val="000000"/>
          <w:sz w:val="22"/>
        </w:rPr>
        <w:t xml:space="preserve">Second Quarter 2026 Financial Results Conference Call </w:t>
      </w:r>
    </w:p>
    <w:p>
      <w:pPr>
        <w:pStyle w:val="TextBody"/>
        <w:bidi w:val="0"/>
        <w:spacing w:lineRule="auto" w:line="288" w:before="120" w:after="283"/>
        <w:jc w:val="both"/>
        <w:rPr/>
      </w:pPr>
      <w:r>
        <w:rPr>
          <w:rFonts w:ascii="Arial;sans-serif" w:hAnsi="Arial;sans-serif"/>
          <w:b w:val="false"/>
          <w:color w:val="000000"/>
          <w:sz w:val="22"/>
        </w:rPr>
        <w:t>The Company will hold a conference call on August 6, 2026 at 8:30</w:t>
      </w:r>
      <w:r>
        <w:rPr>
          <w:color w:val="EE2724"/>
        </w:rPr>
        <w:t xml:space="preserve"> </w:t>
      </w:r>
      <w:r>
        <w:rPr>
          <w:rFonts w:ascii="Arial;sans-serif" w:hAnsi="Arial;sans-serif"/>
          <w:b w:val="false"/>
          <w:color w:val="000000"/>
          <w:sz w:val="22"/>
        </w:rPr>
        <w:t>a.m. ET to discuss these financial results and provide an update on business conditions. Participants may access the call by dialing (888) 396-8049 or (201) 689-8341 for international callers. A live webcast of the call will also be available in the Investor Relations section of the Company's website at ir.mvwc.com. An audio replay of the conference call will be available for 30 days on the Company’s website.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Arial;sans-serif" w:hAnsi="Arial;sans-serif"/>
          <w:b/>
          <w:color w:val="000000"/>
          <w:sz w:val="22"/>
        </w:rPr>
      </w:pPr>
      <w:r>
        <w:rPr>
          <w:rFonts w:ascii="Arial;sans-serif" w:hAnsi="Arial;sans-serif"/>
          <w:b/>
          <w:color w:val="000000"/>
          <w:sz w:val="22"/>
        </w:rPr>
        <w:t>About Marriott Vacations Worldwide Corporation</w:t>
      </w:r>
    </w:p>
    <w:p>
      <w:pPr>
        <w:pStyle w:val="TextBody"/>
        <w:bidi w:val="0"/>
        <w:spacing w:lineRule="auto" w:line="288" w:before="120" w:after="283"/>
        <w:jc w:val="both"/>
        <w:rPr>
          <w:rFonts w:ascii="Arial;sans-serif" w:hAnsi="Arial;sans-serif"/>
          <w:b w:val="false"/>
          <w:color w:val="000000"/>
          <w:sz w:val="22"/>
        </w:rPr>
      </w:pPr>
      <w:r>
        <w:rPr>
          <w:rFonts w:ascii="Arial;sans-serif" w:hAnsi="Arial;sans-serif"/>
          <w:b w:val="false"/>
          <w:color w:val="000000"/>
          <w:sz w:val="22"/>
        </w:rPr>
        <w:t>Marriott Vacations Worldwide Corporation is a leading global vacation company that offers vacation ownership, exchange, rental and resort and property management, along with related businesses, products, and services. The Company has 120 vacation ownership resorts and approximately 700,000 owner families in a diverse portfolio that includes some of the most iconic vacation ownership brands. The Company also operates an exchange network and membership programs comprised of more than 3,200 affiliated resorts in over 90 countries and territories, and provides management services to other resorts and lodging properties. As a leader and innovator in the vacation industry, the Company upholds the highest standards of excellence in serving its customers, investors and associates while maintaining exclusive, long-term relationships with Marriott International, Inc. and an affiliate of Hyatt Hotels Corporation for the development, sales and marketing of vacation ownership products and services. For more information, please visit www.marriottvacationsworldwide.com.</w:t>
      </w:r>
    </w:p>
    <w:p>
      <w:pPr>
        <w:pStyle w:val="TextBody"/>
        <w:bidi w:val="0"/>
        <w:spacing w:lineRule="auto" w:line="288" w:before="120" w:after="283"/>
        <w:jc w:val="both"/>
        <w:rPr>
          <w:rFonts w:ascii="Arial;sans-serif" w:hAnsi="Arial;sans-serif"/>
          <w:b w:val="false"/>
          <w:color w:val="000000"/>
          <w:sz w:val="22"/>
        </w:rPr>
      </w:pPr>
      <w:r>
        <w:rPr>
          <w:rFonts w:ascii="Arial;sans-serif" w:hAnsi="Arial;sans-serif"/>
          <w:b w:val="false"/>
          <w:color w:val="000000"/>
          <w:sz w:val="22"/>
        </w:rPr>
        <w:t>The Company routinely posts important information, including news releases, announcements and other statements about its business and results of operations, that may be deemed material to investors on the Investor Relations section of the Company’s website, www.marriottvacationsworldwide.com. The Company uses its website as a means of disclosing material, nonpublic information and for complying with the Company’s disclosure obligations under Regulation FD. Investors should monitor the Investor Relations section of the Company’s website in addition to following the Company’s press releases, filings with the SEC, public conference calls and webcasts.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480" w:after="283"/>
        <w:jc w:val="left"/>
        <w:rPr>
          <w:rFonts w:ascii="Arial;sans-serif" w:hAnsi="Arial;sans-serif"/>
          <w:b/>
          <w:color w:val="000000"/>
          <w:sz w:val="22"/>
        </w:rPr>
      </w:pPr>
      <w:r>
        <w:rPr>
          <w:rFonts w:ascii="Arial;sans-serif" w:hAnsi="Arial;sans-serif"/>
          <w:b/>
          <w:color w:val="000000"/>
          <w:sz w:val="22"/>
        </w:rPr>
        <w:t>Marriott Vacations Worldwide Reports Second Quarter 2026 Financial Results / 4</w:t>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75260"/>
                <wp:effectExtent l="0" t="0" r="0" b="0"/>
                <wp:wrapNone/>
                <wp:docPr id="6" name="Frame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240" w:after="283"/>
        <w:jc w:val="left"/>
        <w:rPr>
          <w:rFonts w:ascii="Arial;sans-serif" w:hAnsi="Arial;sans-serif"/>
          <w:b/>
          <w:color w:val="000000"/>
          <w:sz w:val="22"/>
        </w:rPr>
      </w:pPr>
      <w:r>
        <w:rPr>
          <w:rFonts w:ascii="Arial;sans-serif" w:hAnsi="Arial;sans-serif"/>
          <w:b/>
          <w:color w:val="000000"/>
          <w:sz w:val="22"/>
        </w:rPr>
        <w:t>Note on forward-looking statements</w:t>
      </w:r>
    </w:p>
    <w:p>
      <w:pPr>
        <w:pStyle w:val="TextBody"/>
        <w:bidi w:val="0"/>
        <w:spacing w:lineRule="auto" w:line="288" w:before="120" w:after="283"/>
        <w:jc w:val="both"/>
        <w:rPr/>
      </w:pPr>
      <w:r>
        <w:rPr>
          <w:rFonts w:ascii="Arial;sans-serif" w:hAnsi="Arial;sans-serif"/>
          <w:b w:val="false"/>
          <w:color w:val="000000"/>
          <w:sz w:val="22"/>
        </w:rPr>
        <w:t>This press release and accompanying schedules contain “forward-looking statements” within the meaning of federal securities laws, including statements about</w:t>
      </w:r>
      <w:r>
        <w:rPr>
          <w:color w:val="EE2724"/>
        </w:rPr>
        <w:t xml:space="preserve"> </w:t>
      </w:r>
      <w:r>
        <w:rPr>
          <w:rFonts w:ascii="Arial;sans-serif" w:hAnsi="Arial;sans-serif"/>
          <w:b w:val="false"/>
          <w:color w:val="000000"/>
          <w:sz w:val="22"/>
        </w:rPr>
        <w:t>expectations, plans, objectives, outlook and prospects for future performance and growth; expected asset dispositions; and its full year 2026 outlook and guidance for contract sales, results of operations and cash flows.</w:t>
      </w:r>
    </w:p>
    <w:p>
      <w:pPr>
        <w:pStyle w:val="TextBody"/>
        <w:bidi w:val="0"/>
        <w:spacing w:lineRule="auto" w:line="288" w:before="120" w:after="283"/>
        <w:jc w:val="both"/>
        <w:rPr>
          <w:rFonts w:ascii="Arial;sans-serif" w:hAnsi="Arial;sans-serif"/>
          <w:b w:val="false"/>
          <w:color w:val="000000"/>
          <w:sz w:val="22"/>
        </w:rPr>
      </w:pPr>
      <w:r>
        <w:rPr>
          <w:rFonts w:ascii="Arial;sans-serif" w:hAnsi="Arial;sans-serif"/>
          <w:b w:val="false"/>
          <w:color w:val="000000"/>
          <w:sz w:val="22"/>
        </w:rPr>
        <w:t>Forward-looking statements include all statements that are not historical facts and can be identified by the use of forward-looking terminology such as the words “believe,” “expect,” “plan,” “intend,” “anticipate,” “estimate,” “predict,” “potential,” “continue,” “may,” “might,” “should,” “could” or the negative of these terms or similar expressions. The Company cautions you that these statements are not guarantees of future performance and are subject to numerous and evolving risks and uncertainties that we may not be able to predict or assess, such as: uncertainty in the current global macroeconomic environment created by rapid governmental policy and regulatory changes, including those affecting international trade or travel; future health crises and related governmental responses and their potential adverse effects; variations in demand for vacation ownership and exchange products and services; failure of vendors and other third parties to timely comply with their contractual obligations; worker absenteeism; our ability to attract and retain our global workforce; price inflation; difficulties associated with implementing new or maintaining existing technologies; the ability to integrate artificial intelligence (“AI”) technologies successfully while managing and mitigating related operational, legal, intellectual property, data security and reputational risks; changes in privacy and other laws and regulations affecting our business; instability, disruptions, or distress in the banking system or financial institutions; impacts of severe weather events, climate conditions or natural or man-made disasters; delinquency and default rates in our financing business; global supply chain disruptions; volatility in the international and national economies and credit markets; the impacts of ongoing global conflicts and related sanctions or geopolitical measures; competitive conditions; the availability of capital to finance growth; the impact of changes in interest rates; the effects of steps we have taken and may continue to take to reduce operating costs and accelerate growth and profitability; political or social strife; and other matters referred to under the heading “Risk Factors” in our most recent Annual Report on Form 10-K, and which may be updated in our future periodic filings with the U.S. Securities and Exchange Commission.</w:t>
      </w:r>
    </w:p>
    <w:p>
      <w:pPr>
        <w:pStyle w:val="TextBody"/>
        <w:bidi w:val="0"/>
        <w:spacing w:lineRule="auto" w:line="288" w:before="120" w:after="283"/>
        <w:jc w:val="both"/>
        <w:rPr>
          <w:rFonts w:ascii="Arial;sans-serif" w:hAnsi="Arial;sans-serif"/>
          <w:b w:val="false"/>
          <w:color w:val="000000"/>
          <w:sz w:val="22"/>
        </w:rPr>
      </w:pPr>
      <w:r>
        <w:rPr>
          <w:rFonts w:ascii="Arial;sans-serif" w:hAnsi="Arial;sans-serif"/>
          <w:b w:val="false"/>
          <w:color w:val="000000"/>
          <w:sz w:val="22"/>
        </w:rPr>
        <w:t>All forward-looking statements in this press release are made as of the date of this press release and the Company undertakes no obligation to publicly update or revise any forward-looking statement, whether as a result of new information, future events, or otherwise, except as required by law. There may be other risks and uncertainties that we cannot predict at this time or that we currently do not expect will have a material adverse effect on our financial position, results of operations or cash flows. Any such risks could cause our results to differ materially from those we express in forward-looking statements.</w:t>
      </w:r>
    </w:p>
    <w:p>
      <w:pPr>
        <w:pStyle w:val="TextBody"/>
        <w:bidi w:val="0"/>
        <w:spacing w:lineRule="auto" w:line="288" w:before="300" w:after="283"/>
        <w:jc w:val="center"/>
        <w:rPr>
          <w:rFonts w:ascii="Arial;sans-serif" w:hAnsi="Arial;sans-serif"/>
          <w:b/>
          <w:color w:val="000000"/>
          <w:sz w:val="22"/>
        </w:rPr>
      </w:pPr>
      <w:r>
        <w:rPr>
          <w:rFonts w:ascii="Arial;sans-serif" w:hAnsi="Arial;sans-serif"/>
          <w:b/>
          <w:color w:val="000000"/>
          <w:sz w:val="22"/>
        </w:rPr>
        <w:t>Financial Schedules Follow</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center"/>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75260"/>
                <wp:effectExtent l="0" t="0" r="0" b="0"/>
                <wp:wrapNone/>
                <wp:docPr id="7" name="Frame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center"/>
        <w:rPr>
          <w:rFonts w:ascii="Arial;sans-serif" w:hAnsi="Arial;sans-serif"/>
          <w:b/>
          <w:color w:val="000000"/>
          <w:sz w:val="22"/>
        </w:rPr>
      </w:pPr>
      <w:r>
        <w:rPr>
          <w:rFonts w:ascii="Arial;sans-serif" w:hAnsi="Arial;sans-serif"/>
          <w:b/>
          <w:color w:val="000000"/>
          <w:sz w:val="22"/>
        </w:rPr>
        <w:t>MARRIOTT VACATIONS WORLDWIDE CORPORATION</w:t>
      </w:r>
    </w:p>
    <w:p>
      <w:pPr>
        <w:pStyle w:val="TextBody"/>
        <w:bidi w:val="0"/>
        <w:spacing w:lineRule="auto" w:line="288" w:before="0" w:after="0"/>
        <w:jc w:val="center"/>
        <w:rPr>
          <w:rFonts w:ascii="Arial;sans-serif" w:hAnsi="Arial;sans-serif"/>
          <w:b/>
          <w:color w:val="000000"/>
          <w:sz w:val="22"/>
        </w:rPr>
      </w:pPr>
      <w:r>
        <w:rPr>
          <w:rFonts w:ascii="Arial;sans-serif" w:hAnsi="Arial;sans-serif"/>
          <w:b/>
          <w:color w:val="000000"/>
          <w:sz w:val="22"/>
        </w:rPr>
        <w:t>FINANCIAL SCHEDULES</w:t>
      </w:r>
    </w:p>
    <w:p>
      <w:pPr>
        <w:pStyle w:val="TextBody"/>
        <w:bidi w:val="0"/>
        <w:spacing w:lineRule="auto" w:line="288" w:before="0" w:after="0"/>
        <w:jc w:val="center"/>
        <w:rPr>
          <w:rFonts w:ascii="Arial;sans-serif" w:hAnsi="Arial;sans-serif"/>
          <w:b/>
          <w:color w:val="000000"/>
          <w:sz w:val="22"/>
        </w:rPr>
      </w:pPr>
      <w:r>
        <w:rPr>
          <w:rFonts w:ascii="Arial;sans-serif" w:hAnsi="Arial;sans-serif"/>
          <w:b/>
          <w:color w:val="000000"/>
          <w:sz w:val="22"/>
        </w:rPr>
        <w:t>QUARTER 2, 2026</w:t>
      </w:r>
    </w:p>
    <w:p>
      <w:pPr>
        <w:pStyle w:val="TextBody"/>
        <w:bidi w:val="0"/>
        <w:spacing w:lineRule="auto" w:line="288" w:before="240" w:after="283"/>
        <w:jc w:val="center"/>
        <w:rPr>
          <w:rFonts w:ascii="Arial;sans-serif" w:hAnsi="Arial;sans-serif"/>
          <w:b/>
          <w:color w:val="000000"/>
          <w:sz w:val="22"/>
        </w:rPr>
      </w:pPr>
      <w:r>
        <w:rPr>
          <w:rFonts w:ascii="Arial;sans-serif" w:hAnsi="Arial;sans-serif"/>
          <w:b/>
          <w:color w:val="000000"/>
          <w:sz w:val="22"/>
        </w:rPr>
        <w:t>TABLE OF CONTENTS</w:t>
      </w:r>
    </w:p>
    <w:p>
      <w:pPr>
        <w:pStyle w:val="TextBody"/>
        <w:bidi w:val="0"/>
        <w:spacing w:lineRule="auto" w:line="288" w:before="0" w:after="0"/>
        <w:jc w:val="left"/>
        <w:rPr>
          <w:color w:val="000000"/>
        </w:rPr>
      </w:pPr>
      <w:r>
        <w:rPr>
          <w:color w:val="000000"/>
        </w:rPr>
        <w:t> </w:t>
      </w:r>
    </w:p>
    <w:tbl>
      <w:tblPr>
        <w:tblW w:w="7960" w:type="dxa"/>
        <w:jc w:val="center"/>
        <w:tblInd w:w="0" w:type="dxa"/>
        <w:tblLayout w:type="fixed"/>
        <w:tblCellMar>
          <w:top w:w="28" w:type="dxa"/>
          <w:left w:w="28" w:type="dxa"/>
          <w:bottom w:w="28" w:type="dxa"/>
          <w:right w:w="28" w:type="dxa"/>
        </w:tblCellMar>
      </w:tblPr>
      <w:tblGrid>
        <w:gridCol w:w="2380"/>
        <w:gridCol w:w="2090"/>
        <w:gridCol w:w="2100"/>
        <w:gridCol w:w="149"/>
        <w:gridCol w:w="149"/>
        <w:gridCol w:w="151"/>
        <w:gridCol w:w="109"/>
        <w:gridCol w:w="109"/>
        <w:gridCol w:w="109"/>
        <w:gridCol w:w="179"/>
        <w:gridCol w:w="179"/>
        <w:gridCol w:w="256"/>
      </w:tblGrid>
      <w:tr>
        <w:trPr/>
        <w:tc>
          <w:tcPr>
            <w:tcW w:w="2380" w:type="dxa"/>
            <w:tcBorders/>
            <w:vAlign w:val="center"/>
          </w:tcPr>
          <w:p>
            <w:pPr>
              <w:pStyle w:val="TableContents"/>
              <w:bidi w:val="0"/>
              <w:spacing w:before="0" w:after="283"/>
              <w:jc w:val="left"/>
              <w:rPr>
                <w:sz w:val="4"/>
                <w:szCs w:val="4"/>
              </w:rPr>
            </w:pPr>
            <w:r>
              <w:rPr>
                <w:sz w:val="4"/>
                <w:szCs w:val="4"/>
              </w:rPr>
            </w:r>
          </w:p>
        </w:tc>
        <w:tc>
          <w:tcPr>
            <w:tcW w:w="2090" w:type="dxa"/>
            <w:tcBorders/>
            <w:vAlign w:val="center"/>
          </w:tcPr>
          <w:p>
            <w:pPr>
              <w:pStyle w:val="TableContents"/>
              <w:bidi w:val="0"/>
              <w:spacing w:before="0" w:after="283"/>
              <w:jc w:val="left"/>
              <w:rPr>
                <w:sz w:val="4"/>
                <w:szCs w:val="4"/>
              </w:rPr>
            </w:pPr>
            <w:r>
              <w:rPr>
                <w:sz w:val="4"/>
                <w:szCs w:val="4"/>
              </w:rPr>
            </w:r>
          </w:p>
        </w:tc>
        <w:tc>
          <w:tcPr>
            <w:tcW w:w="2100"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ind w:left="0" w:right="0" w:hanging="180"/>
              <w:jc w:val="left"/>
              <w:rPr>
                <w:sz w:val="4"/>
                <w:szCs w:val="4"/>
              </w:rPr>
            </w:pPr>
            <w:r>
              <w:rPr>
                <w:sz w:val="4"/>
                <w:szCs w:val="4"/>
              </w:rPr>
            </w:r>
          </w:p>
        </w:tc>
      </w:tr>
      <w:tr>
        <w:trPr/>
        <w:tc>
          <w:tcPr>
            <w:tcW w:w="65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Summary Financial Information and Adjusted EBITDA by Segment</w:t>
            </w:r>
          </w:p>
        </w:tc>
        <w:tc>
          <w:tcPr>
            <w:tcW w:w="1390" w:type="dxa"/>
            <w:gridSpan w:val="9"/>
            <w:tcBorders/>
            <w:shd w:fill="CCEEFF" w:val="clear"/>
            <w:tcMar>
              <w:top w:w="0" w:type="dxa"/>
              <w:left w:w="0" w:type="dxa"/>
              <w:bottom w:w="0" w:type="dxa"/>
              <w:right w:w="0" w:type="dxa"/>
            </w:tcMar>
            <w:vAlign w:val="center"/>
          </w:tcPr>
          <w:p>
            <w:pPr>
              <w:pStyle w:val="TableContents"/>
              <w:bidi w:val="0"/>
              <w:spacing w:lineRule="auto" w:line="240" w:before="0" w:after="0"/>
              <w:jc w:val="center"/>
              <w:rPr/>
            </w:pPr>
            <w:r>
              <w:rPr>
                <w:rFonts w:ascii="Arial;sans-serif" w:hAnsi="Arial;sans-serif"/>
                <w:b w:val="false"/>
                <w:color w:val="000000"/>
                <w:sz w:val="22"/>
              </w:rPr>
              <w:t>A-</w:t>
            </w:r>
            <w:hyperlink w:anchor="ic70c7268b1bc41419ba14ac7b5934c3a_37">
              <w:r>
                <w:rPr>
                  <w:rStyle w:val="InternetLink"/>
                  <w:rFonts w:ascii="Arial;sans-serif" w:hAnsi="Arial;sans-serif"/>
                  <w:b w:val="false"/>
                  <w:color w:val="0000FF"/>
                  <w:sz w:val="22"/>
                  <w:u w:val="single"/>
                </w:rPr>
                <w:t>1</w:t>
              </w:r>
            </w:hyperlink>
          </w:p>
        </w:tc>
      </w:tr>
      <w:tr>
        <w:trPr/>
        <w:tc>
          <w:tcPr>
            <w:tcW w:w="65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Interim Consolidated Statements of Income</w:t>
            </w:r>
          </w:p>
        </w:tc>
        <w:tc>
          <w:tcPr>
            <w:tcW w:w="1390" w:type="dxa"/>
            <w:gridSpan w:val="9"/>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center"/>
              <w:rPr/>
            </w:pPr>
            <w:r>
              <w:rPr>
                <w:rFonts w:ascii="Arial;sans-serif" w:hAnsi="Arial;sans-serif"/>
                <w:b w:val="false"/>
                <w:color w:val="000000"/>
                <w:sz w:val="22"/>
              </w:rPr>
              <w:t>A-</w:t>
            </w:r>
            <w:hyperlink w:anchor="ic70c7268b1bc41419ba14ac7b5934c3a_43">
              <w:r>
                <w:rPr>
                  <w:rStyle w:val="InternetLink"/>
                  <w:rFonts w:ascii="Arial;sans-serif" w:hAnsi="Arial;sans-serif"/>
                  <w:b w:val="false"/>
                  <w:color w:val="0000FF"/>
                  <w:sz w:val="22"/>
                  <w:u w:val="single"/>
                </w:rPr>
                <w:t>2</w:t>
              </w:r>
            </w:hyperlink>
          </w:p>
        </w:tc>
      </w:tr>
      <w:tr>
        <w:trPr/>
        <w:tc>
          <w:tcPr>
            <w:tcW w:w="657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22"/>
              </w:rPr>
            </w:pPr>
            <w:r>
              <w:rPr>
                <w:rFonts w:ascii="Arial;sans-serif" w:hAnsi="Arial;sans-serif"/>
                <w:b w:val="false"/>
                <w:color w:val="000000"/>
                <w:sz w:val="22"/>
              </w:rPr>
              <w:t xml:space="preserve">Adjusted Net Income Attributable to Common Stockholders </w:t>
            </w:r>
          </w:p>
          <w:p>
            <w:pPr>
              <w:pStyle w:val="TableContents"/>
              <w:bidi w:val="0"/>
              <w:spacing w:lineRule="auto" w:line="288" w:before="0" w:after="0"/>
              <w:jc w:val="left"/>
              <w:rPr>
                <w:rFonts w:ascii="Arial;sans-serif" w:hAnsi="Arial;sans-serif"/>
                <w:b w:val="false"/>
                <w:color w:val="000000"/>
                <w:sz w:val="22"/>
              </w:rPr>
            </w:pPr>
            <w:r>
              <w:rPr>
                <w:rFonts w:ascii="Arial;sans-serif" w:hAnsi="Arial;sans-serif"/>
                <w:b w:val="false"/>
                <w:color w:val="000000"/>
                <w:sz w:val="22"/>
              </w:rPr>
              <w:t>Adjusted Earnings Per Share - Diluted</w:t>
            </w:r>
          </w:p>
        </w:tc>
        <w:tc>
          <w:tcPr>
            <w:tcW w:w="1390" w:type="dxa"/>
            <w:gridSpan w:val="9"/>
            <w:tcBorders/>
            <w:shd w:fill="CCEEFF" w:val="clear"/>
            <w:tcMar>
              <w:top w:w="0" w:type="dxa"/>
              <w:left w:w="0" w:type="dxa"/>
              <w:bottom w:w="0" w:type="dxa"/>
              <w:right w:w="0" w:type="dxa"/>
            </w:tcMar>
            <w:vAlign w:val="center"/>
          </w:tcPr>
          <w:p>
            <w:pPr>
              <w:pStyle w:val="TableContents"/>
              <w:bidi w:val="0"/>
              <w:spacing w:lineRule="auto" w:line="240" w:before="0" w:after="0"/>
              <w:jc w:val="center"/>
              <w:rPr/>
            </w:pPr>
            <w:r>
              <w:rPr>
                <w:rFonts w:ascii="Arial;sans-serif" w:hAnsi="Arial;sans-serif"/>
                <w:b w:val="false"/>
                <w:color w:val="000000"/>
                <w:sz w:val="22"/>
              </w:rPr>
              <w:t>A-</w:t>
            </w:r>
            <w:hyperlink w:anchor="ic70c7268b1bc41419ba14ac7b5934c3a_46">
              <w:r>
                <w:rPr>
                  <w:rStyle w:val="InternetLink"/>
                  <w:rFonts w:ascii="Arial;sans-serif" w:hAnsi="Arial;sans-serif"/>
                  <w:b w:val="false"/>
                  <w:color w:val="0000FF"/>
                  <w:sz w:val="22"/>
                  <w:u w:val="single"/>
                </w:rPr>
                <w:t>3</w:t>
              </w:r>
            </w:hyperlink>
          </w:p>
        </w:tc>
      </w:tr>
      <w:tr>
        <w:trPr/>
        <w:tc>
          <w:tcPr>
            <w:tcW w:w="65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Adjusted EBITDA</w:t>
            </w:r>
          </w:p>
        </w:tc>
        <w:tc>
          <w:tcPr>
            <w:tcW w:w="1390" w:type="dxa"/>
            <w:gridSpan w:val="9"/>
            <w:tcBorders/>
            <w:shd w:fill="FFFFFF" w:val="clear"/>
            <w:tcMar>
              <w:top w:w="0" w:type="dxa"/>
              <w:left w:w="0" w:type="dxa"/>
              <w:bottom w:w="0" w:type="dxa"/>
              <w:right w:w="0" w:type="dxa"/>
            </w:tcMar>
            <w:vAlign w:val="center"/>
          </w:tcPr>
          <w:p>
            <w:pPr>
              <w:pStyle w:val="TableContents"/>
              <w:bidi w:val="0"/>
              <w:spacing w:lineRule="auto" w:line="240" w:before="0" w:after="0"/>
              <w:jc w:val="center"/>
              <w:rPr/>
            </w:pPr>
            <w:r>
              <w:rPr>
                <w:rFonts w:ascii="Arial;sans-serif" w:hAnsi="Arial;sans-serif"/>
                <w:b w:val="false"/>
                <w:color w:val="000000"/>
                <w:sz w:val="22"/>
              </w:rPr>
              <w:t>A-</w:t>
            </w:r>
            <w:hyperlink w:anchor="ic70c7268b1bc41419ba14ac7b5934c3a_49">
              <w:r>
                <w:rPr>
                  <w:rStyle w:val="InternetLink"/>
                  <w:rFonts w:ascii="Arial;sans-serif" w:hAnsi="Arial;sans-serif"/>
                  <w:b w:val="false"/>
                  <w:color w:val="0000FF"/>
                  <w:sz w:val="22"/>
                  <w:u w:val="single"/>
                </w:rPr>
                <w:t>4</w:t>
              </w:r>
            </w:hyperlink>
          </w:p>
        </w:tc>
      </w:tr>
      <w:tr>
        <w:trPr/>
        <w:tc>
          <w:tcPr>
            <w:tcW w:w="6570"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Arial;sans-serif" w:hAnsi="Arial;sans-serif"/>
                <w:b w:val="false"/>
                <w:color w:val="000000"/>
                <w:sz w:val="22"/>
              </w:rPr>
            </w:pPr>
            <w:r>
              <w:rPr>
                <w:rFonts w:ascii="Arial;sans-serif" w:hAnsi="Arial;sans-serif"/>
                <w:b w:val="false"/>
                <w:color w:val="000000"/>
                <w:sz w:val="22"/>
              </w:rPr>
              <w:t>Segment Adjusted EBITDA</w:t>
            </w:r>
          </w:p>
          <w:p>
            <w:pPr>
              <w:pStyle w:val="TableContents"/>
              <w:bidi w:val="0"/>
              <w:spacing w:lineRule="auto" w:line="288" w:before="0" w:after="0"/>
              <w:ind w:left="0" w:right="0" w:hanging="180"/>
              <w:jc w:val="left"/>
              <w:rPr>
                <w:rFonts w:ascii="Arial;sans-serif" w:hAnsi="Arial;sans-serif"/>
                <w:b w:val="false"/>
                <w:color w:val="000000"/>
                <w:sz w:val="22"/>
              </w:rPr>
            </w:pPr>
            <w:r>
              <w:rPr>
                <w:rFonts w:ascii="Arial;sans-serif" w:hAnsi="Arial;sans-serif"/>
                <w:b w:val="false"/>
                <w:color w:val="000000"/>
                <w:sz w:val="22"/>
              </w:rPr>
              <w:t>Vacation Ownership</w:t>
            </w:r>
          </w:p>
          <w:p>
            <w:pPr>
              <w:pStyle w:val="TableContents"/>
              <w:bidi w:val="0"/>
              <w:spacing w:lineRule="auto" w:line="288" w:before="0" w:after="0"/>
              <w:ind w:left="0" w:right="0" w:hanging="180"/>
              <w:jc w:val="left"/>
              <w:rPr>
                <w:rFonts w:ascii="Arial;sans-serif" w:hAnsi="Arial;sans-serif"/>
                <w:b w:val="false"/>
                <w:color w:val="000000"/>
                <w:sz w:val="22"/>
              </w:rPr>
            </w:pPr>
            <w:r>
              <w:rPr>
                <w:rFonts w:ascii="Arial;sans-serif" w:hAnsi="Arial;sans-serif"/>
                <w:b w:val="false"/>
                <w:color w:val="000000"/>
                <w:sz w:val="22"/>
              </w:rPr>
              <w:t>Exchange &amp; Third-Party Management</w:t>
            </w:r>
          </w:p>
        </w:tc>
        <w:tc>
          <w:tcPr>
            <w:tcW w:w="1390" w:type="dxa"/>
            <w:gridSpan w:val="9"/>
            <w:tcBorders/>
            <w:shd w:fill="CCEEFF" w:val="clear"/>
            <w:tcMar>
              <w:top w:w="0" w:type="dxa"/>
              <w:left w:w="0" w:type="dxa"/>
              <w:bottom w:w="0" w:type="dxa"/>
              <w:right w:w="0" w:type="dxa"/>
            </w:tcMar>
            <w:vAlign w:val="center"/>
          </w:tcPr>
          <w:p>
            <w:pPr>
              <w:pStyle w:val="TableContents"/>
              <w:bidi w:val="0"/>
              <w:spacing w:lineRule="auto" w:line="240" w:before="0" w:after="0"/>
              <w:jc w:val="center"/>
              <w:rPr/>
            </w:pPr>
            <w:r>
              <w:rPr>
                <w:rFonts w:ascii="Arial;sans-serif" w:hAnsi="Arial;sans-serif"/>
                <w:b w:val="false"/>
                <w:color w:val="000000"/>
                <w:sz w:val="22"/>
              </w:rPr>
              <w:t>A-</w:t>
            </w:r>
            <w:hyperlink w:anchor="ic70c7268b1bc41419ba14ac7b5934c3a_52">
              <w:r>
                <w:rPr>
                  <w:rStyle w:val="InternetLink"/>
                  <w:rFonts w:ascii="Arial;sans-serif" w:hAnsi="Arial;sans-serif"/>
                  <w:b w:val="false"/>
                  <w:color w:val="0000FF"/>
                  <w:sz w:val="22"/>
                  <w:u w:val="single"/>
                </w:rPr>
                <w:t>5</w:t>
              </w:r>
            </w:hyperlink>
          </w:p>
        </w:tc>
      </w:tr>
      <w:tr>
        <w:trPr/>
        <w:tc>
          <w:tcPr>
            <w:tcW w:w="65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Contract Sales to Development Profit</w:t>
            </w:r>
          </w:p>
        </w:tc>
        <w:tc>
          <w:tcPr>
            <w:tcW w:w="1390" w:type="dxa"/>
            <w:gridSpan w:val="9"/>
            <w:tcBorders/>
            <w:shd w:fill="FFFFFF" w:val="clear"/>
            <w:tcMar>
              <w:top w:w="0" w:type="dxa"/>
              <w:left w:w="0" w:type="dxa"/>
              <w:bottom w:w="0" w:type="dxa"/>
              <w:right w:w="0" w:type="dxa"/>
            </w:tcMar>
            <w:vAlign w:val="center"/>
          </w:tcPr>
          <w:p>
            <w:pPr>
              <w:pStyle w:val="TableContents"/>
              <w:bidi w:val="0"/>
              <w:spacing w:lineRule="auto" w:line="240" w:before="0" w:after="0"/>
              <w:jc w:val="center"/>
              <w:rPr/>
            </w:pPr>
            <w:r>
              <w:rPr>
                <w:rFonts w:ascii="Arial;sans-serif" w:hAnsi="Arial;sans-serif"/>
                <w:b w:val="false"/>
                <w:color w:val="000000"/>
                <w:sz w:val="22"/>
              </w:rPr>
              <w:t>A-</w:t>
            </w:r>
            <w:hyperlink w:anchor="ic70c7268b1bc41419ba14ac7b5934c3a_55">
              <w:r>
                <w:rPr>
                  <w:rStyle w:val="InternetLink"/>
                  <w:rFonts w:ascii="Arial;sans-serif" w:hAnsi="Arial;sans-serif"/>
                  <w:b w:val="false"/>
                  <w:color w:val="0000FF"/>
                  <w:sz w:val="22"/>
                  <w:u w:val="single"/>
                </w:rPr>
                <w:t>6</w:t>
              </w:r>
            </w:hyperlink>
          </w:p>
        </w:tc>
      </w:tr>
      <w:tr>
        <w:trPr/>
        <w:tc>
          <w:tcPr>
            <w:tcW w:w="6570" w:type="dxa"/>
            <w:gridSpan w:val="3"/>
            <w:tcBorders/>
            <w:vAlign w:val="center"/>
          </w:tcPr>
          <w:p>
            <w:pPr>
              <w:pStyle w:val="TableContents"/>
              <w:bidi w:val="0"/>
              <w:spacing w:before="0" w:after="283"/>
              <w:jc w:val="left"/>
              <w:rPr>
                <w:sz w:val="4"/>
                <w:szCs w:val="4"/>
              </w:rPr>
            </w:pPr>
            <w:r>
              <w:rPr>
                <w:sz w:val="4"/>
                <w:szCs w:val="4"/>
              </w:rPr>
            </w:r>
          </w:p>
        </w:tc>
        <w:tc>
          <w:tcPr>
            <w:tcW w:w="449" w:type="dxa"/>
            <w:gridSpan w:val="3"/>
            <w:tcBorders/>
            <w:vAlign w:val="center"/>
          </w:tcPr>
          <w:p>
            <w:pPr>
              <w:pStyle w:val="TableContents"/>
              <w:bidi w:val="0"/>
              <w:spacing w:before="0" w:after="283"/>
              <w:jc w:val="left"/>
              <w:rPr>
                <w:sz w:val="4"/>
                <w:szCs w:val="4"/>
              </w:rPr>
            </w:pPr>
            <w:r>
              <w:rPr>
                <w:sz w:val="4"/>
                <w:szCs w:val="4"/>
              </w:rPr>
            </w:r>
          </w:p>
        </w:tc>
        <w:tc>
          <w:tcPr>
            <w:tcW w:w="941" w:type="dxa"/>
            <w:gridSpan w:val="6"/>
            <w:tcBorders/>
          </w:tcPr>
          <w:p>
            <w:pPr>
              <w:pStyle w:val="TableContents"/>
              <w:bidi w:val="0"/>
              <w:spacing w:before="0" w:after="283"/>
              <w:jc w:val="left"/>
              <w:rPr>
                <w:sz w:val="4"/>
                <w:szCs w:val="4"/>
              </w:rPr>
            </w:pPr>
            <w:r>
              <w:rPr>
                <w:sz w:val="4"/>
                <w:szCs w:val="4"/>
              </w:rPr>
            </w:r>
          </w:p>
        </w:tc>
      </w:tr>
      <w:tr>
        <w:trPr/>
        <w:tc>
          <w:tcPr>
            <w:tcW w:w="65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Supplemental Information</w:t>
            </w:r>
          </w:p>
        </w:tc>
        <w:tc>
          <w:tcPr>
            <w:tcW w:w="44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r>
              <w:rPr>
                <w:rFonts w:ascii="Arial;sans-serif" w:hAnsi="Arial;sans-serif"/>
                <w:b w:val="false"/>
                <w:color w:val="000000"/>
                <w:sz w:val="22"/>
              </w:rPr>
              <w:t>A-</w:t>
            </w:r>
            <w:hyperlink w:anchor="ic70c7268b1bc41419ba14ac7b5934c3a_58">
              <w:r>
                <w:rPr>
                  <w:rStyle w:val="InternetLink"/>
                  <w:rFonts w:ascii="Arial;sans-serif" w:hAnsi="Arial;sans-serif"/>
                  <w:b w:val="false"/>
                  <w:color w:val="0000FF"/>
                  <w:sz w:val="22"/>
                  <w:u w:val="single"/>
                </w:rPr>
                <w:t>7</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2"/>
              </w:rPr>
            </w:pPr>
            <w:r>
              <w:rPr>
                <w:rFonts w:ascii="Arial;sans-serif" w:hAnsi="Arial;sans-serif"/>
                <w:b w:val="false"/>
                <w:color w:val="000000"/>
                <w:sz w:val="22"/>
              </w:rPr>
              <w:t>to</w:t>
            </w:r>
          </w:p>
        </w:tc>
        <w:tc>
          <w:tcPr>
            <w:tcW w:w="61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r>
              <w:rPr>
                <w:rFonts w:ascii="Arial;sans-serif" w:hAnsi="Arial;sans-serif"/>
                <w:b w:val="false"/>
                <w:color w:val="000000"/>
                <w:sz w:val="22"/>
              </w:rPr>
              <w:t>A-</w:t>
            </w:r>
            <w:hyperlink w:anchor="ic70c7268b1bc41419ba14ac7b5934c3a_67">
              <w:r>
                <w:rPr>
                  <w:rStyle w:val="InternetLink"/>
                  <w:rFonts w:ascii="Arial;sans-serif" w:hAnsi="Arial;sans-serif"/>
                  <w:b w:val="false"/>
                  <w:color w:val="0000FF"/>
                  <w:sz w:val="22"/>
                  <w:u w:val="single"/>
                </w:rPr>
                <w:t>10</w:t>
              </w:r>
            </w:hyperlink>
          </w:p>
        </w:tc>
      </w:tr>
      <w:tr>
        <w:trPr/>
        <w:tc>
          <w:tcPr>
            <w:tcW w:w="6570" w:type="dxa"/>
            <w:gridSpan w:val="3"/>
            <w:tcBorders/>
            <w:vAlign w:val="center"/>
          </w:tcPr>
          <w:p>
            <w:pPr>
              <w:pStyle w:val="TableContents"/>
              <w:bidi w:val="0"/>
              <w:spacing w:before="0" w:after="283"/>
              <w:jc w:val="left"/>
              <w:rPr>
                <w:sz w:val="4"/>
                <w:szCs w:val="4"/>
              </w:rPr>
            </w:pPr>
            <w:r>
              <w:rPr>
                <w:sz w:val="4"/>
                <w:szCs w:val="4"/>
              </w:rPr>
            </w:r>
          </w:p>
        </w:tc>
        <w:tc>
          <w:tcPr>
            <w:tcW w:w="449" w:type="dxa"/>
            <w:gridSpan w:val="3"/>
            <w:tcBorders/>
            <w:vAlign w:val="center"/>
          </w:tcPr>
          <w:p>
            <w:pPr>
              <w:pStyle w:val="TableContents"/>
              <w:bidi w:val="0"/>
              <w:spacing w:before="0" w:after="283"/>
              <w:jc w:val="left"/>
              <w:rPr>
                <w:sz w:val="4"/>
                <w:szCs w:val="4"/>
              </w:rPr>
            </w:pPr>
            <w:r>
              <w:rPr>
                <w:sz w:val="4"/>
                <w:szCs w:val="4"/>
              </w:rPr>
            </w:r>
          </w:p>
        </w:tc>
        <w:tc>
          <w:tcPr>
            <w:tcW w:w="941" w:type="dxa"/>
            <w:gridSpan w:val="6"/>
            <w:tcBorders/>
          </w:tcPr>
          <w:p>
            <w:pPr>
              <w:pStyle w:val="TableContents"/>
              <w:bidi w:val="0"/>
              <w:spacing w:before="0" w:after="283"/>
              <w:jc w:val="left"/>
              <w:rPr>
                <w:sz w:val="4"/>
                <w:szCs w:val="4"/>
              </w:rPr>
            </w:pPr>
            <w:r>
              <w:rPr>
                <w:sz w:val="4"/>
                <w:szCs w:val="4"/>
              </w:rPr>
            </w:r>
          </w:p>
        </w:tc>
      </w:tr>
      <w:tr>
        <w:trPr/>
        <w:tc>
          <w:tcPr>
            <w:tcW w:w="65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Interim Consolidated Balance Sheets</w:t>
            </w:r>
          </w:p>
        </w:tc>
        <w:tc>
          <w:tcPr>
            <w:tcW w:w="1390" w:type="dxa"/>
            <w:gridSpan w:val="9"/>
            <w:tcBorders/>
            <w:shd w:fill="FFFFFF" w:val="clear"/>
            <w:tcMar>
              <w:top w:w="0" w:type="dxa"/>
              <w:left w:w="0" w:type="dxa"/>
              <w:bottom w:w="0" w:type="dxa"/>
              <w:right w:w="0" w:type="dxa"/>
            </w:tcMar>
            <w:vAlign w:val="center"/>
          </w:tcPr>
          <w:p>
            <w:pPr>
              <w:pStyle w:val="TableContents"/>
              <w:bidi w:val="0"/>
              <w:spacing w:lineRule="auto" w:line="240" w:before="0" w:after="0"/>
              <w:jc w:val="center"/>
              <w:rPr/>
            </w:pPr>
            <w:r>
              <w:rPr>
                <w:rFonts w:ascii="Arial;sans-serif" w:hAnsi="Arial;sans-serif"/>
                <w:b w:val="false"/>
                <w:color w:val="000000"/>
                <w:sz w:val="22"/>
              </w:rPr>
              <w:t>A-</w:t>
            </w:r>
            <w:hyperlink w:anchor="ic70c7268b1bc41419ba14ac7b5934c3a_70">
              <w:r>
                <w:rPr>
                  <w:rStyle w:val="InternetLink"/>
                  <w:rFonts w:ascii="Arial;sans-serif" w:hAnsi="Arial;sans-serif"/>
                  <w:b w:val="false"/>
                  <w:color w:val="0000FF"/>
                  <w:sz w:val="22"/>
                  <w:u w:val="single"/>
                </w:rPr>
                <w:t>11</w:t>
              </w:r>
            </w:hyperlink>
          </w:p>
        </w:tc>
      </w:tr>
      <w:tr>
        <w:trPr/>
        <w:tc>
          <w:tcPr>
            <w:tcW w:w="65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Interim Consolidated Statements of Cash Flows</w:t>
            </w:r>
          </w:p>
        </w:tc>
        <w:tc>
          <w:tcPr>
            <w:tcW w:w="1390" w:type="dxa"/>
            <w:gridSpan w:val="9"/>
            <w:tcBorders/>
            <w:shd w:fill="CCEEFF" w:val="clear"/>
            <w:tcMar>
              <w:top w:w="0" w:type="dxa"/>
              <w:left w:w="0" w:type="dxa"/>
              <w:bottom w:w="0" w:type="dxa"/>
              <w:right w:w="0" w:type="dxa"/>
            </w:tcMar>
            <w:vAlign w:val="center"/>
          </w:tcPr>
          <w:p>
            <w:pPr>
              <w:pStyle w:val="TableContents"/>
              <w:bidi w:val="0"/>
              <w:spacing w:lineRule="auto" w:line="240" w:before="0" w:after="0"/>
              <w:jc w:val="center"/>
              <w:rPr/>
            </w:pPr>
            <w:r>
              <w:rPr>
                <w:rFonts w:ascii="Arial;sans-serif" w:hAnsi="Arial;sans-serif"/>
                <w:b w:val="false"/>
                <w:color w:val="000000"/>
                <w:sz w:val="22"/>
              </w:rPr>
              <w:t>A-</w:t>
            </w:r>
            <w:hyperlink w:anchor="ic70c7268b1bc41419ba14ac7b5934c3a_76">
              <w:r>
                <w:rPr>
                  <w:rStyle w:val="InternetLink"/>
                  <w:rFonts w:ascii="Arial;sans-serif" w:hAnsi="Arial;sans-serif"/>
                  <w:b w:val="false"/>
                  <w:color w:val="0000FF"/>
                  <w:sz w:val="22"/>
                  <w:u w:val="single"/>
                </w:rPr>
                <w:t>12</w:t>
              </w:r>
            </w:hyperlink>
          </w:p>
        </w:tc>
      </w:tr>
      <w:tr>
        <w:trPr/>
        <w:tc>
          <w:tcPr>
            <w:tcW w:w="65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Free Cash Flow and Adjusted Free Cash Flow</w:t>
            </w:r>
          </w:p>
        </w:tc>
        <w:tc>
          <w:tcPr>
            <w:tcW w:w="1390" w:type="dxa"/>
            <w:gridSpan w:val="9"/>
            <w:tcBorders/>
            <w:shd w:fill="FFFFFF" w:val="clear"/>
            <w:tcMar>
              <w:top w:w="0" w:type="dxa"/>
              <w:left w:w="0" w:type="dxa"/>
              <w:bottom w:w="0" w:type="dxa"/>
              <w:right w:w="0" w:type="dxa"/>
            </w:tcMar>
            <w:vAlign w:val="center"/>
          </w:tcPr>
          <w:p>
            <w:pPr>
              <w:pStyle w:val="TableContents"/>
              <w:bidi w:val="0"/>
              <w:spacing w:lineRule="auto" w:line="240" w:before="0" w:after="0"/>
              <w:jc w:val="center"/>
              <w:rPr/>
            </w:pPr>
            <w:r>
              <w:rPr>
                <w:rFonts w:ascii="Arial;sans-serif" w:hAnsi="Arial;sans-serif"/>
                <w:b w:val="false"/>
                <w:color w:val="000000"/>
                <w:sz w:val="22"/>
              </w:rPr>
              <w:t>A-</w:t>
            </w:r>
            <w:hyperlink w:anchor="ic70c7268b1bc41419ba14ac7b5934c3a_82">
              <w:r>
                <w:rPr>
                  <w:rStyle w:val="InternetLink"/>
                  <w:rFonts w:ascii="Arial;sans-serif" w:hAnsi="Arial;sans-serif"/>
                  <w:b w:val="false"/>
                  <w:color w:val="0000FF"/>
                  <w:sz w:val="22"/>
                  <w:u w:val="single"/>
                </w:rPr>
                <w:t>14</w:t>
              </w:r>
            </w:hyperlink>
          </w:p>
        </w:tc>
      </w:tr>
      <w:tr>
        <w:trPr/>
        <w:tc>
          <w:tcPr>
            <w:tcW w:w="657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2"/>
              </w:rPr>
            </w:pPr>
            <w:r>
              <w:rPr>
                <w:rFonts w:ascii="Arial;sans-serif" w:hAnsi="Arial;sans-serif"/>
                <w:b w:val="false"/>
                <w:color w:val="000000"/>
                <w:sz w:val="22"/>
              </w:rPr>
              <w:t>2026 Outlook - Adjusted Free Cash Flow</w:t>
            </w:r>
          </w:p>
        </w:tc>
        <w:tc>
          <w:tcPr>
            <w:tcW w:w="1390" w:type="dxa"/>
            <w:gridSpan w:val="9"/>
            <w:tcBorders/>
            <w:shd w:fill="CCEEFF" w:val="clear"/>
            <w:tcMar>
              <w:top w:w="0" w:type="dxa"/>
              <w:left w:w="0" w:type="dxa"/>
              <w:bottom w:w="0" w:type="dxa"/>
              <w:right w:w="0" w:type="dxa"/>
            </w:tcMar>
            <w:vAlign w:val="center"/>
          </w:tcPr>
          <w:p>
            <w:pPr>
              <w:pStyle w:val="TableContents"/>
              <w:bidi w:val="0"/>
              <w:spacing w:lineRule="auto" w:line="240" w:before="0" w:after="0"/>
              <w:jc w:val="center"/>
              <w:rPr/>
            </w:pPr>
            <w:r>
              <w:rPr>
                <w:rFonts w:ascii="Arial;sans-serif" w:hAnsi="Arial;sans-serif"/>
                <w:b w:val="false"/>
                <w:color w:val="000000"/>
                <w:sz w:val="22"/>
              </w:rPr>
              <w:t>A-</w:t>
            </w:r>
            <w:hyperlink w:anchor="ic70c7268b1bc41419ba14ac7b5934c3a_85">
              <w:r>
                <w:rPr>
                  <w:rStyle w:val="InternetLink"/>
                  <w:rFonts w:ascii="Arial;sans-serif" w:hAnsi="Arial;sans-serif"/>
                  <w:b w:val="false"/>
                  <w:color w:val="0000FF"/>
                  <w:sz w:val="22"/>
                  <w:u w:val="single"/>
                </w:rPr>
                <w:t>15</w:t>
              </w:r>
            </w:hyperlink>
          </w:p>
        </w:tc>
      </w:tr>
      <w:tr>
        <w:trPr/>
        <w:tc>
          <w:tcPr>
            <w:tcW w:w="65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Quarterly Operating Metrics</w:t>
            </w:r>
          </w:p>
        </w:tc>
        <w:tc>
          <w:tcPr>
            <w:tcW w:w="1390" w:type="dxa"/>
            <w:gridSpan w:val="9"/>
            <w:tcBorders/>
            <w:shd w:fill="FFFFFF" w:val="clear"/>
            <w:tcMar>
              <w:top w:w="0" w:type="dxa"/>
              <w:left w:w="0" w:type="dxa"/>
              <w:bottom w:w="0" w:type="dxa"/>
              <w:right w:w="0" w:type="dxa"/>
            </w:tcMar>
            <w:vAlign w:val="center"/>
          </w:tcPr>
          <w:p>
            <w:pPr>
              <w:pStyle w:val="TableContents"/>
              <w:bidi w:val="0"/>
              <w:spacing w:lineRule="auto" w:line="240" w:before="0" w:after="0"/>
              <w:jc w:val="center"/>
              <w:rPr/>
            </w:pPr>
            <w:r>
              <w:rPr>
                <w:rFonts w:ascii="Arial;sans-serif" w:hAnsi="Arial;sans-serif"/>
                <w:b w:val="false"/>
                <w:color w:val="000000"/>
                <w:sz w:val="22"/>
              </w:rPr>
              <w:t>A-</w:t>
            </w:r>
            <w:hyperlink w:anchor="ic70c7268b1bc41419ba14ac7b5934c3a_88">
              <w:r>
                <w:rPr>
                  <w:rStyle w:val="InternetLink"/>
                  <w:rFonts w:ascii="Arial;sans-serif" w:hAnsi="Arial;sans-serif"/>
                  <w:b w:val="false"/>
                  <w:color w:val="0000FF"/>
                  <w:sz w:val="22"/>
                  <w:u w:val="single"/>
                </w:rPr>
                <w:t>16</w:t>
              </w:r>
            </w:hyperlink>
          </w:p>
        </w:tc>
      </w:tr>
      <w:tr>
        <w:trPr/>
        <w:tc>
          <w:tcPr>
            <w:tcW w:w="65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Non-GAAP Financial Measures</w:t>
            </w:r>
          </w:p>
        </w:tc>
        <w:tc>
          <w:tcPr>
            <w:tcW w:w="1390" w:type="dxa"/>
            <w:gridSpan w:val="9"/>
            <w:tcBorders/>
            <w:shd w:fill="CCEEFF" w:val="clear"/>
            <w:tcMar>
              <w:top w:w="0" w:type="dxa"/>
              <w:left w:w="0" w:type="dxa"/>
              <w:bottom w:w="0" w:type="dxa"/>
              <w:right w:w="0" w:type="dxa"/>
            </w:tcMar>
            <w:vAlign w:val="center"/>
          </w:tcPr>
          <w:p>
            <w:pPr>
              <w:pStyle w:val="TableContents"/>
              <w:bidi w:val="0"/>
              <w:spacing w:lineRule="auto" w:line="240" w:before="0" w:after="0"/>
              <w:jc w:val="center"/>
              <w:rPr/>
            </w:pPr>
            <w:r>
              <w:rPr>
                <w:rFonts w:ascii="Arial;sans-serif" w:hAnsi="Arial;sans-serif"/>
                <w:b w:val="false"/>
                <w:color w:val="000000"/>
                <w:sz w:val="22"/>
              </w:rPr>
              <w:t>A-</w:t>
            </w:r>
            <w:hyperlink w:anchor="ic70c7268b1bc41419ba14ac7b5934c3a_91">
              <w:r>
                <w:rPr>
                  <w:rStyle w:val="InternetLink"/>
                  <w:rFonts w:ascii="Arial;sans-serif" w:hAnsi="Arial;sans-serif"/>
                  <w:b w:val="false"/>
                  <w:color w:val="0000FF"/>
                  <w:sz w:val="22"/>
                  <w:u w:val="single"/>
                </w:rPr>
                <w:t>17</w:t>
              </w:r>
            </w:hyperlink>
          </w:p>
        </w:tc>
      </w:tr>
    </w:tbl>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A-1</w:t>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75260"/>
                <wp:effectExtent l="0" t="0" r="0" b="0"/>
                <wp:wrapNone/>
                <wp:docPr id="8" name="Frame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218.8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center"/>
        <w:rPr>
          <w:rFonts w:ascii="Arial;sans-serif" w:hAnsi="Arial;sans-serif"/>
          <w:b/>
          <w:color w:val="000000"/>
          <w:sz w:val="22"/>
        </w:rPr>
      </w:pPr>
      <w:r>
        <w:rPr>
          <w:rFonts w:ascii="Arial;sans-serif" w:hAnsi="Arial;sans-serif"/>
          <w:b/>
          <w:color w:val="000000"/>
          <w:sz w:val="22"/>
        </w:rPr>
        <w:t>MARRIOTT VACATIONS WORLDWIDE CORPORATION</w:t>
      </w:r>
    </w:p>
    <w:p>
      <w:pPr>
        <w:pStyle w:val="TextBody"/>
        <w:bidi w:val="0"/>
        <w:spacing w:lineRule="auto" w:line="288" w:before="120" w:after="283"/>
        <w:jc w:val="center"/>
        <w:rPr>
          <w:rFonts w:ascii="Arial;sans-serif" w:hAnsi="Arial;sans-serif"/>
          <w:b/>
          <w:color w:val="000000"/>
          <w:sz w:val="22"/>
        </w:rPr>
      </w:pPr>
      <w:r>
        <w:rPr>
          <w:rFonts w:ascii="Arial;sans-serif" w:hAnsi="Arial;sans-serif"/>
          <w:b/>
          <w:color w:val="000000"/>
          <w:sz w:val="22"/>
        </w:rPr>
        <w:t>SUMMARY FINANCIAL INFORMATION</w:t>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(In millions, except per share amounts)</w:t>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(Unaudited)</w:t>
      </w:r>
    </w:p>
    <w:tbl>
      <w:tblPr>
        <w:tblW w:w="10205" w:type="dxa"/>
        <w:jc w:val="center"/>
        <w:tblInd w:w="0" w:type="dxa"/>
        <w:tblLayout w:type="fixed"/>
        <w:tblCellMar>
          <w:top w:w="28" w:type="dxa"/>
          <w:left w:w="28" w:type="dxa"/>
          <w:bottom w:w="28" w:type="dxa"/>
          <w:right w:w="28" w:type="dxa"/>
        </w:tblCellMar>
      </w:tblPr>
      <w:tblGrid>
        <w:gridCol w:w="971"/>
        <w:gridCol w:w="853"/>
        <w:gridCol w:w="786"/>
        <w:gridCol w:w="232"/>
        <w:gridCol w:w="711"/>
        <w:gridCol w:w="119"/>
        <w:gridCol w:w="109"/>
        <w:gridCol w:w="109"/>
        <w:gridCol w:w="109"/>
        <w:gridCol w:w="232"/>
        <w:gridCol w:w="711"/>
        <w:gridCol w:w="119"/>
        <w:gridCol w:w="109"/>
        <w:gridCol w:w="109"/>
        <w:gridCol w:w="109"/>
        <w:gridCol w:w="275"/>
        <w:gridCol w:w="275"/>
        <w:gridCol w:w="277"/>
        <w:gridCol w:w="109"/>
        <w:gridCol w:w="109"/>
        <w:gridCol w:w="109"/>
        <w:gridCol w:w="232"/>
        <w:gridCol w:w="711"/>
        <w:gridCol w:w="119"/>
        <w:gridCol w:w="109"/>
        <w:gridCol w:w="109"/>
        <w:gridCol w:w="109"/>
        <w:gridCol w:w="232"/>
        <w:gridCol w:w="711"/>
        <w:gridCol w:w="119"/>
        <w:gridCol w:w="109"/>
        <w:gridCol w:w="109"/>
        <w:gridCol w:w="109"/>
        <w:gridCol w:w="255"/>
        <w:gridCol w:w="255"/>
        <w:gridCol w:w="375"/>
      </w:tblGrid>
      <w:tr>
        <w:trPr/>
        <w:tc>
          <w:tcPr>
            <w:tcW w:w="971" w:type="dxa"/>
            <w:tcBorders/>
            <w:vAlign w:val="center"/>
          </w:tcPr>
          <w:p>
            <w:pPr>
              <w:pStyle w:val="TableContents"/>
              <w:bidi w:val="0"/>
              <w:spacing w:before="0" w:after="283"/>
              <w:jc w:val="left"/>
              <w:rPr>
                <w:sz w:val="4"/>
                <w:szCs w:val="4"/>
              </w:rPr>
            </w:pPr>
            <w:r>
              <w:rPr>
                <w:sz w:val="4"/>
                <w:szCs w:val="4"/>
              </w:rPr>
            </w:r>
          </w:p>
        </w:tc>
        <w:tc>
          <w:tcPr>
            <w:tcW w:w="853" w:type="dxa"/>
            <w:tcBorders/>
            <w:vAlign w:val="center"/>
          </w:tcPr>
          <w:p>
            <w:pPr>
              <w:pStyle w:val="TableContents"/>
              <w:bidi w:val="0"/>
              <w:spacing w:before="0" w:after="283"/>
              <w:jc w:val="left"/>
              <w:rPr>
                <w:sz w:val="4"/>
                <w:szCs w:val="4"/>
              </w:rPr>
            </w:pPr>
            <w:r>
              <w:rPr>
                <w:sz w:val="4"/>
                <w:szCs w:val="4"/>
              </w:rPr>
            </w:r>
          </w:p>
        </w:tc>
        <w:tc>
          <w:tcPr>
            <w:tcW w:w="786"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711"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711"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711"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711"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r>
      <w:tr>
        <w:trPr/>
        <w:tc>
          <w:tcPr>
            <w:tcW w:w="26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Change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Six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Change %</w:t>
            </w:r>
          </w:p>
        </w:tc>
      </w:tr>
      <w:tr>
        <w:trPr/>
        <w:tc>
          <w:tcPr>
            <w:tcW w:w="26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June 30,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June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June 30,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June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26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GAAP Measures</w:t>
            </w:r>
          </w:p>
        </w:tc>
        <w:tc>
          <w:tcPr>
            <w:tcW w:w="106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Revenues</w:t>
            </w:r>
          </w:p>
        </w:tc>
        <w:tc>
          <w:tcPr>
            <w:tcW w:w="23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1,320 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1,246 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2,577 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2,446 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5%</w:t>
            </w:r>
          </w:p>
        </w:tc>
      </w:tr>
      <w:tr>
        <w:trPr/>
        <w:tc>
          <w:tcPr>
            <w:tcW w:w="26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Revenues excluding cost reimbursements</w:t>
            </w:r>
          </w:p>
        </w:tc>
        <w:tc>
          <w:tcPr>
            <w:tcW w:w="23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920 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839 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1,747 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1,666 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5%</w:t>
            </w:r>
          </w:p>
        </w:tc>
      </w:tr>
      <w:tr>
        <w:trPr/>
        <w:tc>
          <w:tcPr>
            <w:tcW w:w="26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Income before income taxes and noncontrolling interests</w:t>
            </w:r>
          </w:p>
        </w:tc>
        <w:tc>
          <w:tcPr>
            <w:tcW w:w="23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114 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94 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21%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159 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196 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(19%)</w:t>
            </w:r>
          </w:p>
        </w:tc>
      </w:tr>
      <w:tr>
        <w:trPr/>
        <w:tc>
          <w:tcPr>
            <w:tcW w:w="26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income attributable to common stockholders</w:t>
            </w:r>
          </w:p>
        </w:tc>
        <w:tc>
          <w:tcPr>
            <w:tcW w:w="23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77 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69 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99 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125 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(21%)</w:t>
            </w:r>
          </w:p>
        </w:tc>
      </w:tr>
      <w:tr>
        <w:trPr/>
        <w:tc>
          <w:tcPr>
            <w:tcW w:w="26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Diluted shares</w:t>
            </w:r>
          </w:p>
        </w:tc>
        <w:tc>
          <w:tcPr>
            <w:tcW w:w="9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38.2 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41.7 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38.0 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41.9 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(9%)</w:t>
            </w:r>
          </w:p>
        </w:tc>
      </w:tr>
      <w:tr>
        <w:trPr/>
        <w:tc>
          <w:tcPr>
            <w:tcW w:w="26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Earnings per share - diluted</w:t>
            </w:r>
          </w:p>
        </w:tc>
        <w:tc>
          <w:tcPr>
            <w:tcW w:w="23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2.12 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1.77 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20%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2.82 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3.23 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(13%)</w:t>
            </w:r>
          </w:p>
        </w:tc>
      </w:tr>
      <w:tr>
        <w:trPr/>
        <w:tc>
          <w:tcPr>
            <w:tcW w:w="26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Non-GAAP Measures*</w:t>
            </w:r>
          </w:p>
        </w:tc>
        <w:tc>
          <w:tcPr>
            <w:tcW w:w="10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Adjusted EBITDA</w:t>
            </w:r>
          </w:p>
        </w:tc>
        <w:tc>
          <w:tcPr>
            <w:tcW w:w="23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215 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203 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376 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395 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(5%)</w:t>
            </w:r>
          </w:p>
        </w:tc>
      </w:tr>
      <w:tr>
        <w:trPr/>
        <w:tc>
          <w:tcPr>
            <w:tcW w:w="26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Adjusted pretax income</w:t>
            </w:r>
          </w:p>
        </w:tc>
        <w:tc>
          <w:tcPr>
            <w:tcW w:w="23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126 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110 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198 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216 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(9%)</w:t>
            </w:r>
          </w:p>
        </w:tc>
      </w:tr>
      <w:tr>
        <w:trPr/>
        <w:tc>
          <w:tcPr>
            <w:tcW w:w="26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Adjusted net income attributable to common stockholders</w:t>
            </w:r>
          </w:p>
        </w:tc>
        <w:tc>
          <w:tcPr>
            <w:tcW w:w="23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84 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77 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127 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142 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(10%)</w:t>
            </w:r>
          </w:p>
        </w:tc>
      </w:tr>
      <w:tr>
        <w:trPr/>
        <w:tc>
          <w:tcPr>
            <w:tcW w:w="2610" w:type="dxa"/>
            <w:gridSpan w:val="3"/>
            <w:tcBorders/>
            <w:vAlign w:val="center"/>
          </w:tcPr>
          <w:p>
            <w:pPr>
              <w:pStyle w:val="TableContents"/>
              <w:bidi w:val="0"/>
              <w:spacing w:before="0" w:after="283"/>
              <w:jc w:val="left"/>
              <w:rPr>
                <w:sz w:val="4"/>
                <w:szCs w:val="4"/>
              </w:rPr>
            </w:pPr>
            <w:r>
              <w:rPr>
                <w:sz w:val="4"/>
                <w:szCs w:val="4"/>
              </w:rPr>
            </w:r>
          </w:p>
        </w:tc>
        <w:tc>
          <w:tcPr>
            <w:tcW w:w="10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5" w:type="dxa"/>
            <w:gridSpan w:val="3"/>
            <w:tcBorders/>
            <w:vAlign w:val="center"/>
          </w:tcPr>
          <w:p>
            <w:pPr>
              <w:pStyle w:val="TableContents"/>
              <w:bidi w:val="0"/>
              <w:spacing w:before="0" w:after="283"/>
              <w:jc w:val="left"/>
              <w:rPr>
                <w:sz w:val="4"/>
                <w:szCs w:val="4"/>
              </w:rPr>
            </w:pPr>
            <w:r>
              <w:rPr>
                <w:sz w:val="4"/>
                <w:szCs w:val="4"/>
              </w:rPr>
            </w:r>
          </w:p>
        </w:tc>
      </w:tr>
      <w:tr>
        <w:trPr/>
        <w:tc>
          <w:tcPr>
            <w:tcW w:w="26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Adjusted earnings per share - diluted</w:t>
            </w:r>
          </w:p>
        </w:tc>
        <w:tc>
          <w:tcPr>
            <w:tcW w:w="23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2.31 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1.96 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3.56 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3.62 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(2%)</w:t>
            </w:r>
          </w:p>
        </w:tc>
      </w:tr>
    </w:tbl>
    <w:tbl>
      <w:tblPr>
        <w:tblW w:w="10205" w:type="dxa"/>
        <w:jc w:val="center"/>
        <w:tblInd w:w="0" w:type="dxa"/>
        <w:tblLayout w:type="fixed"/>
        <w:tblCellMar>
          <w:top w:w="28" w:type="dxa"/>
          <w:left w:w="28" w:type="dxa"/>
          <w:bottom w:w="28" w:type="dxa"/>
          <w:right w:w="28" w:type="dxa"/>
        </w:tblCellMar>
      </w:tblPr>
      <w:tblGrid>
        <w:gridCol w:w="317"/>
        <w:gridCol w:w="279"/>
        <w:gridCol w:w="279"/>
        <w:gridCol w:w="279"/>
        <w:gridCol w:w="279"/>
        <w:gridCol w:w="279"/>
        <w:gridCol w:w="279"/>
        <w:gridCol w:w="279"/>
        <w:gridCol w:w="279"/>
        <w:gridCol w:w="279"/>
        <w:gridCol w:w="279"/>
        <w:gridCol w:w="279"/>
        <w:gridCol w:w="279"/>
        <w:gridCol w:w="279"/>
        <w:gridCol w:w="279"/>
        <w:gridCol w:w="279"/>
        <w:gridCol w:w="279"/>
        <w:gridCol w:w="279"/>
        <w:gridCol w:w="279"/>
        <w:gridCol w:w="279"/>
        <w:gridCol w:w="279"/>
        <w:gridCol w:w="279"/>
        <w:gridCol w:w="279"/>
        <w:gridCol w:w="279"/>
        <w:gridCol w:w="279"/>
        <w:gridCol w:w="279"/>
        <w:gridCol w:w="279"/>
        <w:gridCol w:w="279"/>
        <w:gridCol w:w="279"/>
        <w:gridCol w:w="279"/>
        <w:gridCol w:w="279"/>
        <w:gridCol w:w="279"/>
        <w:gridCol w:w="279"/>
        <w:gridCol w:w="279"/>
        <w:gridCol w:w="279"/>
        <w:gridCol w:w="402"/>
      </w:tblGrid>
      <w:tr>
        <w:trPr/>
        <w:tc>
          <w:tcPr>
            <w:tcW w:w="317"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402" w:type="dxa"/>
            <w:tcBorders/>
            <w:vAlign w:val="center"/>
          </w:tcPr>
          <w:p>
            <w:pPr>
              <w:pStyle w:val="TableContents"/>
              <w:bidi w:val="0"/>
              <w:spacing w:before="0" w:after="283"/>
              <w:jc w:val="left"/>
              <w:rPr>
                <w:sz w:val="4"/>
                <w:szCs w:val="4"/>
              </w:rPr>
            </w:pPr>
            <w:r>
              <w:rPr>
                <w:sz w:val="4"/>
                <w:szCs w:val="4"/>
              </w:rPr>
            </w:r>
          </w:p>
        </w:tc>
      </w:tr>
      <w:tr>
        <w:trPr/>
        <w:tc>
          <w:tcPr>
            <w:tcW w:w="10205" w:type="dxa"/>
            <w:gridSpan w:val="36"/>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 Denotes non-GAAP financial measures. Please see “Non-GAAP Financial Measures” for additional information about our reasons for providing these alternative financial measures and limitations on their use.</w:t>
            </w:r>
          </w:p>
        </w:tc>
      </w:tr>
      <w:tr>
        <w:trPr/>
        <w:tc>
          <w:tcPr>
            <w:tcW w:w="8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75" w:type="dxa"/>
            <w:gridSpan w:val="3"/>
            <w:tcBorders/>
            <w:vAlign w:val="center"/>
          </w:tcPr>
          <w:p>
            <w:pPr>
              <w:pStyle w:val="TableContents"/>
              <w:bidi w:val="0"/>
              <w:spacing w:before="0" w:after="283"/>
              <w:jc w:val="left"/>
              <w:rPr>
                <w:sz w:val="4"/>
                <w:szCs w:val="4"/>
              </w:rPr>
            </w:pPr>
            <w:r>
              <w:rPr>
                <w:sz w:val="4"/>
                <w:szCs w:val="4"/>
              </w:rPr>
            </w:r>
          </w:p>
        </w:tc>
        <w:tc>
          <w:tcPr>
            <w:tcW w:w="9330" w:type="dxa"/>
            <w:gridSpan w:val="33"/>
            <w:tcBorders/>
          </w:tcPr>
          <w:p>
            <w:pPr>
              <w:pStyle w:val="TableContents"/>
              <w:bidi w:val="0"/>
              <w:spacing w:before="0" w:after="283"/>
              <w:jc w:val="left"/>
              <w:rPr>
                <w:sz w:val="4"/>
                <w:szCs w:val="4"/>
              </w:rPr>
            </w:pPr>
            <w:r>
              <w:rPr>
                <w:sz w:val="4"/>
                <w:szCs w:val="4"/>
              </w:rPr>
            </w:r>
          </w:p>
        </w:tc>
      </w:tr>
      <w:tr>
        <w:trPr/>
        <w:tc>
          <w:tcPr>
            <w:tcW w:w="875" w:type="dxa"/>
            <w:gridSpan w:val="3"/>
            <w:tcBorders/>
            <w:vAlign w:val="center"/>
          </w:tcPr>
          <w:p>
            <w:pPr>
              <w:pStyle w:val="TableContents"/>
              <w:bidi w:val="0"/>
              <w:spacing w:before="0" w:after="283"/>
              <w:jc w:val="left"/>
              <w:rPr>
                <w:sz w:val="4"/>
                <w:szCs w:val="4"/>
              </w:rPr>
            </w:pPr>
            <w:r>
              <w:rPr>
                <w:sz w:val="4"/>
                <w:szCs w:val="4"/>
              </w:rPr>
            </w:r>
          </w:p>
        </w:tc>
        <w:tc>
          <w:tcPr>
            <w:tcW w:w="837" w:type="dxa"/>
            <w:gridSpan w:val="3"/>
            <w:tcBorders/>
            <w:vAlign w:val="center"/>
          </w:tcPr>
          <w:p>
            <w:pPr>
              <w:pStyle w:val="TableContents"/>
              <w:bidi w:val="0"/>
              <w:spacing w:before="0" w:after="283"/>
              <w:jc w:val="left"/>
              <w:rPr>
                <w:sz w:val="4"/>
                <w:szCs w:val="4"/>
              </w:rPr>
            </w:pPr>
            <w:r>
              <w:rPr>
                <w:sz w:val="4"/>
                <w:szCs w:val="4"/>
              </w:rPr>
            </w:r>
          </w:p>
        </w:tc>
        <w:tc>
          <w:tcPr>
            <w:tcW w:w="837" w:type="dxa"/>
            <w:gridSpan w:val="3"/>
            <w:tcBorders/>
            <w:vAlign w:val="center"/>
          </w:tcPr>
          <w:p>
            <w:pPr>
              <w:pStyle w:val="TableContents"/>
              <w:bidi w:val="0"/>
              <w:spacing w:before="0" w:after="283"/>
              <w:jc w:val="left"/>
              <w:rPr>
                <w:sz w:val="4"/>
                <w:szCs w:val="4"/>
              </w:rPr>
            </w:pPr>
            <w:r>
              <w:rPr>
                <w:sz w:val="4"/>
                <w:szCs w:val="4"/>
              </w:rPr>
            </w:r>
          </w:p>
        </w:tc>
        <w:tc>
          <w:tcPr>
            <w:tcW w:w="837" w:type="dxa"/>
            <w:gridSpan w:val="3"/>
            <w:tcBorders/>
            <w:vAlign w:val="center"/>
          </w:tcPr>
          <w:p>
            <w:pPr>
              <w:pStyle w:val="TableContents"/>
              <w:bidi w:val="0"/>
              <w:spacing w:before="0" w:after="283"/>
              <w:jc w:val="left"/>
              <w:rPr>
                <w:sz w:val="4"/>
                <w:szCs w:val="4"/>
              </w:rPr>
            </w:pPr>
            <w:r>
              <w:rPr>
                <w:sz w:val="4"/>
                <w:szCs w:val="4"/>
              </w:rPr>
            </w:r>
          </w:p>
        </w:tc>
        <w:tc>
          <w:tcPr>
            <w:tcW w:w="837" w:type="dxa"/>
            <w:gridSpan w:val="3"/>
            <w:tcBorders/>
            <w:vAlign w:val="center"/>
          </w:tcPr>
          <w:p>
            <w:pPr>
              <w:pStyle w:val="TableContents"/>
              <w:bidi w:val="0"/>
              <w:spacing w:before="0" w:after="283"/>
              <w:jc w:val="left"/>
              <w:rPr>
                <w:sz w:val="4"/>
                <w:szCs w:val="4"/>
              </w:rPr>
            </w:pPr>
            <w:r>
              <w:rPr>
                <w:sz w:val="4"/>
                <w:szCs w:val="4"/>
              </w:rPr>
            </w:r>
          </w:p>
        </w:tc>
        <w:tc>
          <w:tcPr>
            <w:tcW w:w="837" w:type="dxa"/>
            <w:gridSpan w:val="3"/>
            <w:tcBorders/>
            <w:vAlign w:val="center"/>
          </w:tcPr>
          <w:p>
            <w:pPr>
              <w:pStyle w:val="TableContents"/>
              <w:bidi w:val="0"/>
              <w:spacing w:before="0" w:after="283"/>
              <w:jc w:val="left"/>
              <w:rPr>
                <w:sz w:val="4"/>
                <w:szCs w:val="4"/>
              </w:rPr>
            </w:pPr>
            <w:r>
              <w:rPr>
                <w:sz w:val="4"/>
                <w:szCs w:val="4"/>
              </w:rPr>
            </w:r>
          </w:p>
        </w:tc>
        <w:tc>
          <w:tcPr>
            <w:tcW w:w="837" w:type="dxa"/>
            <w:gridSpan w:val="3"/>
            <w:tcBorders/>
            <w:vAlign w:val="center"/>
          </w:tcPr>
          <w:p>
            <w:pPr>
              <w:pStyle w:val="TableContents"/>
              <w:bidi w:val="0"/>
              <w:spacing w:before="0" w:after="283"/>
              <w:jc w:val="left"/>
              <w:rPr>
                <w:sz w:val="4"/>
                <w:szCs w:val="4"/>
              </w:rPr>
            </w:pPr>
            <w:r>
              <w:rPr>
                <w:sz w:val="4"/>
                <w:szCs w:val="4"/>
              </w:rPr>
            </w:r>
          </w:p>
        </w:tc>
        <w:tc>
          <w:tcPr>
            <w:tcW w:w="837" w:type="dxa"/>
            <w:gridSpan w:val="3"/>
            <w:tcBorders/>
            <w:vAlign w:val="center"/>
          </w:tcPr>
          <w:p>
            <w:pPr>
              <w:pStyle w:val="TableContents"/>
              <w:bidi w:val="0"/>
              <w:spacing w:before="0" w:after="283"/>
              <w:jc w:val="left"/>
              <w:rPr>
                <w:sz w:val="4"/>
                <w:szCs w:val="4"/>
              </w:rPr>
            </w:pPr>
            <w:r>
              <w:rPr>
                <w:sz w:val="4"/>
                <w:szCs w:val="4"/>
              </w:rPr>
            </w:r>
          </w:p>
        </w:tc>
        <w:tc>
          <w:tcPr>
            <w:tcW w:w="837" w:type="dxa"/>
            <w:gridSpan w:val="3"/>
            <w:tcBorders/>
            <w:vAlign w:val="center"/>
          </w:tcPr>
          <w:p>
            <w:pPr>
              <w:pStyle w:val="TableContents"/>
              <w:bidi w:val="0"/>
              <w:spacing w:before="0" w:after="283"/>
              <w:jc w:val="left"/>
              <w:rPr>
                <w:sz w:val="4"/>
                <w:szCs w:val="4"/>
              </w:rPr>
            </w:pPr>
            <w:r>
              <w:rPr>
                <w:sz w:val="4"/>
                <w:szCs w:val="4"/>
              </w:rPr>
            </w:r>
          </w:p>
        </w:tc>
        <w:tc>
          <w:tcPr>
            <w:tcW w:w="837" w:type="dxa"/>
            <w:gridSpan w:val="3"/>
            <w:tcBorders/>
            <w:vAlign w:val="center"/>
          </w:tcPr>
          <w:p>
            <w:pPr>
              <w:pStyle w:val="TableContents"/>
              <w:bidi w:val="0"/>
              <w:spacing w:before="0" w:after="283"/>
              <w:jc w:val="left"/>
              <w:rPr>
                <w:sz w:val="4"/>
                <w:szCs w:val="4"/>
              </w:rPr>
            </w:pPr>
            <w:r>
              <w:rPr>
                <w:sz w:val="4"/>
                <w:szCs w:val="4"/>
              </w:rPr>
            </w:r>
          </w:p>
        </w:tc>
        <w:tc>
          <w:tcPr>
            <w:tcW w:w="837" w:type="dxa"/>
            <w:gridSpan w:val="3"/>
            <w:tcBorders/>
            <w:vAlign w:val="center"/>
          </w:tcPr>
          <w:p>
            <w:pPr>
              <w:pStyle w:val="TableContents"/>
              <w:bidi w:val="0"/>
              <w:spacing w:before="0" w:after="283"/>
              <w:jc w:val="left"/>
              <w:rPr>
                <w:sz w:val="4"/>
                <w:szCs w:val="4"/>
              </w:rPr>
            </w:pPr>
            <w:r>
              <w:rPr>
                <w:sz w:val="4"/>
                <w:szCs w:val="4"/>
              </w:rPr>
            </w:r>
          </w:p>
        </w:tc>
        <w:tc>
          <w:tcPr>
            <w:tcW w:w="960" w:type="dxa"/>
            <w:gridSpan w:val="3"/>
            <w:tcBorders/>
            <w:vAlign w:val="center"/>
          </w:tcPr>
          <w:p>
            <w:pPr>
              <w:pStyle w:val="TableContents"/>
              <w:bidi w:val="0"/>
              <w:spacing w:before="0" w:after="283"/>
              <w:jc w:val="left"/>
              <w:rPr>
                <w:sz w:val="4"/>
                <w:szCs w:val="4"/>
              </w:rPr>
            </w:pPr>
            <w:r>
              <w:rPr>
                <w:sz w:val="4"/>
                <w:szCs w:val="4"/>
              </w:rPr>
            </w:r>
          </w:p>
        </w:tc>
      </w:tr>
      <w:tr>
        <w:trPr/>
        <w:tc>
          <w:tcPr>
            <w:tcW w:w="875" w:type="dxa"/>
            <w:gridSpan w:val="3"/>
            <w:tcBorders/>
            <w:vAlign w:val="center"/>
          </w:tcPr>
          <w:p>
            <w:pPr>
              <w:pStyle w:val="TableContents"/>
              <w:bidi w:val="0"/>
              <w:spacing w:before="0" w:after="283"/>
              <w:jc w:val="left"/>
              <w:rPr>
                <w:sz w:val="4"/>
                <w:szCs w:val="4"/>
              </w:rPr>
            </w:pPr>
            <w:r>
              <w:rPr>
                <w:sz w:val="4"/>
                <w:szCs w:val="4"/>
              </w:rPr>
            </w:r>
          </w:p>
        </w:tc>
        <w:tc>
          <w:tcPr>
            <w:tcW w:w="9330" w:type="dxa"/>
            <w:gridSpan w:val="33"/>
            <w:tcBorders/>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A-2</w:t>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75260"/>
                <wp:effectExtent l="0" t="0" r="0" b="0"/>
                <wp:wrapNone/>
                <wp:docPr id="9" name="Frame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218.8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MARRIOTT VACATIONS WORLDWIDE CORPORATION</w:t>
      </w:r>
    </w:p>
    <w:p>
      <w:pPr>
        <w:pStyle w:val="TextBody"/>
        <w:bidi w:val="0"/>
        <w:spacing w:lineRule="auto" w:line="288" w:before="120" w:after="283"/>
        <w:jc w:val="center"/>
        <w:rPr>
          <w:rFonts w:ascii="Arial;sans-serif" w:hAnsi="Arial;sans-serif"/>
          <w:b/>
          <w:color w:val="000000"/>
          <w:sz w:val="20"/>
        </w:rPr>
      </w:pPr>
      <w:r>
        <w:rPr>
          <w:rFonts w:ascii="Arial;sans-serif" w:hAnsi="Arial;sans-serif"/>
          <w:b/>
          <w:color w:val="000000"/>
          <w:sz w:val="20"/>
        </w:rPr>
        <w:t>INTERIM CONSOLIDATED STATEMENTS OF INCOME</w:t>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(In millions, except per share amounts)</w:t>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(Unaudited)</w:t>
      </w:r>
    </w:p>
    <w:tbl>
      <w:tblPr>
        <w:tblW w:w="10205" w:type="dxa"/>
        <w:jc w:val="center"/>
        <w:tblInd w:w="0" w:type="dxa"/>
        <w:tblLayout w:type="fixed"/>
        <w:tblCellMar>
          <w:top w:w="28" w:type="dxa"/>
          <w:left w:w="28" w:type="dxa"/>
          <w:bottom w:w="28" w:type="dxa"/>
          <w:right w:w="28" w:type="dxa"/>
        </w:tblCellMar>
      </w:tblPr>
      <w:tblGrid>
        <w:gridCol w:w="1925"/>
        <w:gridCol w:w="1353"/>
        <w:gridCol w:w="1359"/>
        <w:gridCol w:w="275"/>
        <w:gridCol w:w="707"/>
        <w:gridCol w:w="142"/>
        <w:gridCol w:w="113"/>
        <w:gridCol w:w="113"/>
        <w:gridCol w:w="113"/>
        <w:gridCol w:w="275"/>
        <w:gridCol w:w="707"/>
        <w:gridCol w:w="142"/>
        <w:gridCol w:w="113"/>
        <w:gridCol w:w="113"/>
        <w:gridCol w:w="113"/>
        <w:gridCol w:w="275"/>
        <w:gridCol w:w="707"/>
        <w:gridCol w:w="142"/>
        <w:gridCol w:w="113"/>
        <w:gridCol w:w="113"/>
        <w:gridCol w:w="113"/>
        <w:gridCol w:w="272"/>
        <w:gridCol w:w="700"/>
        <w:gridCol w:w="207"/>
      </w:tblGrid>
      <w:tr>
        <w:trPr/>
        <w:tc>
          <w:tcPr>
            <w:tcW w:w="1925" w:type="dxa"/>
            <w:tcBorders/>
            <w:vAlign w:val="center"/>
          </w:tcPr>
          <w:p>
            <w:pPr>
              <w:pStyle w:val="TableContents"/>
              <w:bidi w:val="0"/>
              <w:spacing w:before="0" w:after="283"/>
              <w:jc w:val="left"/>
              <w:rPr>
                <w:sz w:val="4"/>
                <w:szCs w:val="4"/>
              </w:rPr>
            </w:pPr>
            <w:r>
              <w:rPr>
                <w:sz w:val="4"/>
                <w:szCs w:val="4"/>
              </w:rPr>
            </w:r>
          </w:p>
        </w:tc>
        <w:tc>
          <w:tcPr>
            <w:tcW w:w="1353" w:type="dxa"/>
            <w:tcBorders/>
            <w:vAlign w:val="center"/>
          </w:tcPr>
          <w:p>
            <w:pPr>
              <w:pStyle w:val="TableContents"/>
              <w:bidi w:val="0"/>
              <w:spacing w:before="0" w:after="283"/>
              <w:jc w:val="left"/>
              <w:rPr>
                <w:sz w:val="4"/>
                <w:szCs w:val="4"/>
              </w:rPr>
            </w:pPr>
            <w:r>
              <w:rPr>
                <w:sz w:val="4"/>
                <w:szCs w:val="4"/>
              </w:rPr>
            </w:r>
          </w:p>
        </w:tc>
        <w:tc>
          <w:tcPr>
            <w:tcW w:w="1359"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707"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707"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707"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700"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r>
      <w:tr>
        <w:trPr/>
        <w:tc>
          <w:tcPr>
            <w:tcW w:w="46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Three Months Ended</w:t>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Six Months Ended</w:t>
            </w:r>
          </w:p>
        </w:tc>
      </w:tr>
      <w:tr>
        <w:trPr/>
        <w:tc>
          <w:tcPr>
            <w:tcW w:w="46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June 30, 2026</w:t>
            </w:r>
          </w:p>
        </w:tc>
        <w:tc>
          <w:tcPr>
            <w:tcW w:w="33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June 30, 2025</w:t>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June 30, 2026</w:t>
            </w:r>
          </w:p>
        </w:tc>
        <w:tc>
          <w:tcPr>
            <w:tcW w:w="33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June 30, 2025</w:t>
            </w:r>
          </w:p>
        </w:tc>
      </w:tr>
      <w:tr>
        <w:trPr/>
        <w:tc>
          <w:tcPr>
            <w:tcW w:w="46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REVENUES</w:t>
            </w:r>
          </w:p>
        </w:tc>
        <w:tc>
          <w:tcPr>
            <w:tcW w:w="112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Sale of vacation ownership products</w:t>
            </w:r>
          </w:p>
        </w:tc>
        <w:tc>
          <w:tcPr>
            <w:tcW w:w="27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0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430 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0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370 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0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773 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0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725 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Management and exchange</w:t>
            </w:r>
          </w:p>
        </w:tc>
        <w:tc>
          <w:tcPr>
            <w:tcW w:w="9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225 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219 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441 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434 </w:t>
            </w:r>
          </w:p>
        </w:tc>
        <w:tc>
          <w:tcPr>
            <w:tcW w:w="20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Rental</w:t>
            </w:r>
          </w:p>
        </w:tc>
        <w:tc>
          <w:tcPr>
            <w:tcW w:w="9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173 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160 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349 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329 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Financing</w:t>
            </w:r>
          </w:p>
        </w:tc>
        <w:tc>
          <w:tcPr>
            <w:tcW w:w="9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92 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90 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184 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178 </w:t>
            </w:r>
          </w:p>
        </w:tc>
        <w:tc>
          <w:tcPr>
            <w:tcW w:w="20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Cost reimbursements</w:t>
            </w:r>
          </w:p>
        </w:tc>
        <w:tc>
          <w:tcPr>
            <w:tcW w:w="9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400 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407 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830 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780 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TOTAL REVENUES</w:t>
            </w:r>
          </w:p>
        </w:tc>
        <w:tc>
          <w:tcPr>
            <w:tcW w:w="98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1,320 </w:t>
            </w:r>
          </w:p>
        </w:tc>
        <w:tc>
          <w:tcPr>
            <w:tcW w:w="14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1,246 </w:t>
            </w:r>
          </w:p>
        </w:tc>
        <w:tc>
          <w:tcPr>
            <w:tcW w:w="14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2,577 </w:t>
            </w:r>
          </w:p>
        </w:tc>
        <w:tc>
          <w:tcPr>
            <w:tcW w:w="14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2,446 </w:t>
            </w:r>
          </w:p>
        </w:tc>
        <w:tc>
          <w:tcPr>
            <w:tcW w:w="20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EXPENSES</w:t>
            </w:r>
          </w:p>
        </w:tc>
        <w:tc>
          <w:tcPr>
            <w:tcW w:w="112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Cost of vacation ownership products</w:t>
            </w:r>
          </w:p>
        </w:tc>
        <w:tc>
          <w:tcPr>
            <w:tcW w:w="9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43 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41 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89 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83 </w:t>
            </w:r>
          </w:p>
        </w:tc>
        <w:tc>
          <w:tcPr>
            <w:tcW w:w="20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Marketing and sales</w:t>
            </w:r>
          </w:p>
        </w:tc>
        <w:tc>
          <w:tcPr>
            <w:tcW w:w="9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281 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237 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523 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471 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Management and exchange</w:t>
            </w:r>
          </w:p>
        </w:tc>
        <w:tc>
          <w:tcPr>
            <w:tcW w:w="9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121 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121 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241 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238 </w:t>
            </w:r>
          </w:p>
        </w:tc>
        <w:tc>
          <w:tcPr>
            <w:tcW w:w="20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Rental</w:t>
            </w:r>
          </w:p>
        </w:tc>
        <w:tc>
          <w:tcPr>
            <w:tcW w:w="9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140 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125 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280 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248 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Financing</w:t>
            </w:r>
          </w:p>
        </w:tc>
        <w:tc>
          <w:tcPr>
            <w:tcW w:w="9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42 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37 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83 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73 </w:t>
            </w:r>
          </w:p>
        </w:tc>
        <w:tc>
          <w:tcPr>
            <w:tcW w:w="20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Royalty fee</w:t>
            </w:r>
          </w:p>
        </w:tc>
        <w:tc>
          <w:tcPr>
            <w:tcW w:w="9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29 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28 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57 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56 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General and administrative</w:t>
            </w:r>
          </w:p>
        </w:tc>
        <w:tc>
          <w:tcPr>
            <w:tcW w:w="9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62 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61 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126 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122 </w:t>
            </w:r>
          </w:p>
        </w:tc>
        <w:tc>
          <w:tcPr>
            <w:tcW w:w="20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Depreciation and amortization</w:t>
            </w:r>
          </w:p>
        </w:tc>
        <w:tc>
          <w:tcPr>
            <w:tcW w:w="9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32 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38 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66 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76 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Litigation charges</w:t>
            </w:r>
          </w:p>
        </w:tc>
        <w:tc>
          <w:tcPr>
            <w:tcW w:w="9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12 </w:t>
            </w:r>
          </w:p>
        </w:tc>
        <w:tc>
          <w:tcPr>
            <w:tcW w:w="20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Modernization</w:t>
            </w:r>
            <w:r>
              <w:rPr>
                <w:color w:val="000000"/>
              </w:rPr>
              <w:t>†</w:t>
            </w:r>
          </w:p>
        </w:tc>
        <w:tc>
          <w:tcPr>
            <w:tcW w:w="9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34 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26 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44 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Restructuring</w:t>
            </w:r>
            <w:r>
              <w:rPr>
                <w:color w:val="000000"/>
              </w:rPr>
              <w:t>†</w:t>
            </w:r>
          </w:p>
        </w:tc>
        <w:tc>
          <w:tcPr>
            <w:tcW w:w="9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Impairment</w:t>
            </w:r>
            <w:r>
              <w:rPr>
                <w:color w:val="000000"/>
              </w:rPr>
              <w:t>†</w:t>
            </w:r>
          </w:p>
        </w:tc>
        <w:tc>
          <w:tcPr>
            <w:tcW w:w="9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Cost reimbursements</w:t>
            </w:r>
          </w:p>
        </w:tc>
        <w:tc>
          <w:tcPr>
            <w:tcW w:w="9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400 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407 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830 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780 </w:t>
            </w:r>
          </w:p>
        </w:tc>
        <w:tc>
          <w:tcPr>
            <w:tcW w:w="20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TOTAL EXPENSES</w:t>
            </w:r>
          </w:p>
        </w:tc>
        <w:tc>
          <w:tcPr>
            <w:tcW w:w="98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1,159 </w:t>
            </w:r>
          </w:p>
        </w:tc>
        <w:tc>
          <w:tcPr>
            <w:tcW w:w="14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1,134 </w:t>
            </w:r>
          </w:p>
        </w:tc>
        <w:tc>
          <w:tcPr>
            <w:tcW w:w="14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2,328 </w:t>
            </w:r>
          </w:p>
        </w:tc>
        <w:tc>
          <w:tcPr>
            <w:tcW w:w="14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2,205 </w:t>
            </w:r>
          </w:p>
        </w:tc>
        <w:tc>
          <w:tcPr>
            <w:tcW w:w="20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(Losses) gains and other (expense) income, net</w:t>
            </w:r>
          </w:p>
        </w:tc>
        <w:tc>
          <w:tcPr>
            <w:tcW w:w="98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w:t>
            </w:r>
          </w:p>
        </w:tc>
        <w:tc>
          <w:tcPr>
            <w:tcW w:w="14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24 </w:t>
            </w:r>
          </w:p>
        </w:tc>
        <w:tc>
          <w:tcPr>
            <w:tcW w:w="14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w:t>
            </w:r>
          </w:p>
        </w:tc>
        <w:tc>
          <w:tcPr>
            <w:tcW w:w="14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37 </w:t>
            </w:r>
          </w:p>
        </w:tc>
        <w:tc>
          <w:tcPr>
            <w:tcW w:w="20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Interest expense, net</w:t>
            </w:r>
          </w:p>
        </w:tc>
        <w:tc>
          <w:tcPr>
            <w:tcW w:w="9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(43)</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(42)</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(87)</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(82)</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7" w:type="dxa"/>
            <w:gridSpan w:val="3"/>
            <w:tcBorders/>
            <w:vAlign w:val="center"/>
          </w:tcPr>
          <w:p>
            <w:pPr>
              <w:pStyle w:val="TableContents"/>
              <w:bidi w:val="0"/>
              <w:spacing w:before="0" w:after="283"/>
              <w:jc w:val="left"/>
              <w:rPr>
                <w:sz w:val="4"/>
                <w:szCs w:val="4"/>
              </w:rPr>
            </w:pPr>
            <w:r>
              <w:rPr>
                <w:sz w:val="4"/>
                <w:szCs w:val="4"/>
              </w:rPr>
            </w:r>
          </w:p>
        </w:tc>
        <w:tc>
          <w:tcPr>
            <w:tcW w:w="1124"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1124"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1124"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1179" w:type="dxa"/>
            <w:gridSpan w:val="3"/>
            <w:tcBorders/>
            <w:vAlign w:val="center"/>
          </w:tcPr>
          <w:p>
            <w:pPr>
              <w:pStyle w:val="TableContents"/>
              <w:bidi w:val="0"/>
              <w:spacing w:before="0" w:after="283"/>
              <w:jc w:val="left"/>
              <w:rPr>
                <w:sz w:val="4"/>
                <w:szCs w:val="4"/>
              </w:rPr>
            </w:pPr>
            <w:r>
              <w:rPr>
                <w:sz w:val="4"/>
                <w:szCs w:val="4"/>
              </w:rPr>
            </w:r>
          </w:p>
        </w:tc>
      </w:tr>
      <w:tr>
        <w:trPr/>
        <w:tc>
          <w:tcPr>
            <w:tcW w:w="46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w:t>
            </w:r>
          </w:p>
        </w:tc>
        <w:tc>
          <w:tcPr>
            <w:tcW w:w="9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INCOME BEFORE INCOME TAXES AND NONCONTROLLING INTERESTS</w:t>
            </w:r>
          </w:p>
        </w:tc>
        <w:tc>
          <w:tcPr>
            <w:tcW w:w="98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114 </w:t>
            </w:r>
          </w:p>
        </w:tc>
        <w:tc>
          <w:tcPr>
            <w:tcW w:w="14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94 </w:t>
            </w:r>
          </w:p>
        </w:tc>
        <w:tc>
          <w:tcPr>
            <w:tcW w:w="14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159 </w:t>
            </w:r>
          </w:p>
        </w:tc>
        <w:tc>
          <w:tcPr>
            <w:tcW w:w="14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196 </w:t>
            </w:r>
          </w:p>
        </w:tc>
        <w:tc>
          <w:tcPr>
            <w:tcW w:w="20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Provision for income taxes</w:t>
            </w:r>
          </w:p>
        </w:tc>
        <w:tc>
          <w:tcPr>
            <w:tcW w:w="9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(37)</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(25)</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(60)</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(70)</w:t>
            </w:r>
          </w:p>
        </w:tc>
        <w:tc>
          <w:tcPr>
            <w:tcW w:w="20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NET INCOME</w:t>
            </w:r>
          </w:p>
        </w:tc>
        <w:tc>
          <w:tcPr>
            <w:tcW w:w="98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77 </w:t>
            </w:r>
          </w:p>
        </w:tc>
        <w:tc>
          <w:tcPr>
            <w:tcW w:w="14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69 </w:t>
            </w:r>
          </w:p>
        </w:tc>
        <w:tc>
          <w:tcPr>
            <w:tcW w:w="14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99 </w:t>
            </w:r>
          </w:p>
        </w:tc>
        <w:tc>
          <w:tcPr>
            <w:tcW w:w="14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126 </w:t>
            </w:r>
          </w:p>
        </w:tc>
        <w:tc>
          <w:tcPr>
            <w:tcW w:w="20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income attributable to noncontrolling interests</w:t>
            </w:r>
          </w:p>
        </w:tc>
        <w:tc>
          <w:tcPr>
            <w:tcW w:w="9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w:t>
            </w:r>
          </w:p>
        </w:tc>
        <w:tc>
          <w:tcPr>
            <w:tcW w:w="20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NET INCOME ATTRIBUTABLE TO COMMON STOCKHOLDERS</w:t>
            </w:r>
          </w:p>
        </w:tc>
        <w:tc>
          <w:tcPr>
            <w:tcW w:w="27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0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77 </w:t>
            </w:r>
          </w:p>
        </w:tc>
        <w:tc>
          <w:tcPr>
            <w:tcW w:w="14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0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69 </w:t>
            </w:r>
          </w:p>
        </w:tc>
        <w:tc>
          <w:tcPr>
            <w:tcW w:w="14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0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99 </w:t>
            </w:r>
          </w:p>
        </w:tc>
        <w:tc>
          <w:tcPr>
            <w:tcW w:w="14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0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125 </w:t>
            </w:r>
          </w:p>
        </w:tc>
        <w:tc>
          <w:tcPr>
            <w:tcW w:w="20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9"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61"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EARNINGS PER SHARE ATTRIBUTABLE TO COMMON STOCKHOLDERS</w:t>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Basic shares</w:t>
            </w:r>
          </w:p>
        </w:tc>
        <w:tc>
          <w:tcPr>
            <w:tcW w:w="9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34.8 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34.9 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34.7 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35.0 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Basic</w:t>
            </w:r>
          </w:p>
        </w:tc>
        <w:tc>
          <w:tcPr>
            <w:tcW w:w="27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0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2.21 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0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1.98 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0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2.86 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0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3.59 </w:t>
            </w:r>
          </w:p>
        </w:tc>
        <w:tc>
          <w:tcPr>
            <w:tcW w:w="20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Diluted shares</w:t>
            </w:r>
          </w:p>
        </w:tc>
        <w:tc>
          <w:tcPr>
            <w:tcW w:w="9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38.2 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41.7 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38.0 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41.9 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Diluted</w:t>
            </w:r>
          </w:p>
        </w:tc>
        <w:tc>
          <w:tcPr>
            <w:tcW w:w="27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0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2.12 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0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1.77 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0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2.82 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0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3.23 </w:t>
            </w:r>
          </w:p>
        </w:tc>
        <w:tc>
          <w:tcPr>
            <w:tcW w:w="20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24"/>
            <w:tcBorders/>
            <w:tcMar>
              <w:top w:w="0" w:type="dxa"/>
              <w:left w:w="0" w:type="dxa"/>
              <w:bottom w:w="0" w:type="dxa"/>
              <w:right w:w="0" w:type="dxa"/>
            </w:tcMar>
            <w:vAlign w:val="center"/>
          </w:tcPr>
          <w:p>
            <w:pPr>
              <w:pStyle w:val="TableContents"/>
              <w:bidi w:val="0"/>
              <w:spacing w:lineRule="auto" w:line="240" w:before="0" w:after="0"/>
              <w:jc w:val="left"/>
              <w:rPr/>
            </w:pPr>
            <w:r>
              <w:rPr>
                <w:color w:val="000000"/>
              </w:rPr>
              <w:t xml:space="preserve">† </w:t>
            </w:r>
            <w:r>
              <w:rPr>
                <w:rFonts w:ascii="Arial;sans-serif" w:hAnsi="Arial;sans-serif"/>
                <w:b w:val="false"/>
                <w:color w:val="000000"/>
                <w:sz w:val="20"/>
              </w:rPr>
              <w:t>Prior year amounts have been reclassified to conform with our current year presentation. Please see “Non-GAAP Financial Measures” for additional information.</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A-3</w:t>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75260"/>
                <wp:effectExtent l="0" t="0" r="0" b="0"/>
                <wp:wrapNone/>
                <wp:docPr id="10" name="Frame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218.8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MARRIOTT VACATIONS WORLDWIDE CORPORATION</w:t>
      </w:r>
    </w:p>
    <w:p>
      <w:pPr>
        <w:pStyle w:val="TextBody"/>
        <w:bidi w:val="0"/>
        <w:spacing w:lineRule="auto" w:line="288" w:before="120" w:after="283"/>
        <w:jc w:val="center"/>
        <w:rPr>
          <w:rFonts w:ascii="Arial;sans-serif" w:hAnsi="Arial;sans-serif"/>
          <w:b/>
          <w:color w:val="000000"/>
          <w:sz w:val="20"/>
        </w:rPr>
      </w:pPr>
      <w:r>
        <w:rPr>
          <w:rFonts w:ascii="Arial;sans-serif" w:hAnsi="Arial;sans-serif"/>
          <w:b/>
          <w:color w:val="000000"/>
          <w:sz w:val="20"/>
        </w:rPr>
        <w:t xml:space="preserve">ADJUSTED NET INCOME ATTRIBUTABLE TO COMMON STOCKHOLDERS AND </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ADJUSTED EARNINGS PER SHARE - DILUTED</w:t>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(In millions, except per share amounts)</w:t>
      </w:r>
    </w:p>
    <w:p>
      <w:pPr>
        <w:pStyle w:val="TextBody"/>
        <w:bidi w:val="0"/>
        <w:spacing w:lineRule="auto" w:line="288" w:before="0" w:after="120"/>
        <w:jc w:val="center"/>
        <w:rPr>
          <w:rFonts w:ascii="Arial;sans-serif" w:hAnsi="Arial;sans-serif"/>
          <w:b w:val="false"/>
          <w:color w:val="000000"/>
          <w:sz w:val="20"/>
        </w:rPr>
      </w:pPr>
      <w:r>
        <w:rPr>
          <w:rFonts w:ascii="Arial;sans-serif" w:hAnsi="Arial;sans-serif"/>
          <w:b w:val="false"/>
          <w:color w:val="000000"/>
          <w:sz w:val="20"/>
        </w:rPr>
        <w:t>(Unaudited)</w:t>
      </w:r>
    </w:p>
    <w:tbl>
      <w:tblPr>
        <w:tblW w:w="10205" w:type="dxa"/>
        <w:jc w:val="center"/>
        <w:tblInd w:w="0" w:type="dxa"/>
        <w:tblLayout w:type="fixed"/>
        <w:tblCellMar>
          <w:top w:w="28" w:type="dxa"/>
          <w:left w:w="28" w:type="dxa"/>
          <w:bottom w:w="28" w:type="dxa"/>
          <w:right w:w="28" w:type="dxa"/>
        </w:tblCellMar>
      </w:tblPr>
      <w:tblGrid>
        <w:gridCol w:w="1534"/>
        <w:gridCol w:w="1237"/>
        <w:gridCol w:w="1241"/>
        <w:gridCol w:w="304"/>
        <w:gridCol w:w="782"/>
        <w:gridCol w:w="157"/>
        <w:gridCol w:w="128"/>
        <w:gridCol w:w="128"/>
        <w:gridCol w:w="128"/>
        <w:gridCol w:w="304"/>
        <w:gridCol w:w="782"/>
        <w:gridCol w:w="157"/>
        <w:gridCol w:w="128"/>
        <w:gridCol w:w="128"/>
        <w:gridCol w:w="128"/>
        <w:gridCol w:w="304"/>
        <w:gridCol w:w="782"/>
        <w:gridCol w:w="157"/>
        <w:gridCol w:w="128"/>
        <w:gridCol w:w="128"/>
        <w:gridCol w:w="128"/>
        <w:gridCol w:w="302"/>
        <w:gridCol w:w="774"/>
        <w:gridCol w:w="236"/>
      </w:tblGrid>
      <w:tr>
        <w:trPr/>
        <w:tc>
          <w:tcPr>
            <w:tcW w:w="1534" w:type="dxa"/>
            <w:tcBorders/>
            <w:vAlign w:val="center"/>
          </w:tcPr>
          <w:p>
            <w:pPr>
              <w:pStyle w:val="TableContents"/>
              <w:bidi w:val="0"/>
              <w:spacing w:before="0" w:after="283"/>
              <w:jc w:val="left"/>
              <w:rPr>
                <w:sz w:val="4"/>
                <w:szCs w:val="4"/>
              </w:rPr>
            </w:pPr>
            <w:r>
              <w:rPr>
                <w:sz w:val="4"/>
                <w:szCs w:val="4"/>
              </w:rPr>
            </w:r>
          </w:p>
        </w:tc>
        <w:tc>
          <w:tcPr>
            <w:tcW w:w="1237" w:type="dxa"/>
            <w:tcBorders/>
            <w:vAlign w:val="center"/>
          </w:tcPr>
          <w:p>
            <w:pPr>
              <w:pStyle w:val="TableContents"/>
              <w:bidi w:val="0"/>
              <w:spacing w:before="0" w:after="283"/>
              <w:jc w:val="left"/>
              <w:rPr>
                <w:sz w:val="4"/>
                <w:szCs w:val="4"/>
              </w:rPr>
            </w:pPr>
            <w:r>
              <w:rPr>
                <w:sz w:val="4"/>
                <w:szCs w:val="4"/>
              </w:rPr>
            </w:r>
          </w:p>
        </w:tc>
        <w:tc>
          <w:tcPr>
            <w:tcW w:w="1241"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782"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782"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782"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774"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r>
      <w:tr>
        <w:trPr/>
        <w:tc>
          <w:tcPr>
            <w:tcW w:w="40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Three Months Ended</w:t>
            </w:r>
          </w:p>
        </w:tc>
        <w:tc>
          <w:tcPr>
            <w:tcW w:w="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Six Months Ended</w:t>
            </w:r>
          </w:p>
        </w:tc>
      </w:tr>
      <w:tr>
        <w:trPr/>
        <w:tc>
          <w:tcPr>
            <w:tcW w:w="40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June 30, 2026</w:t>
            </w:r>
          </w:p>
        </w:tc>
        <w:tc>
          <w:tcPr>
            <w:tcW w:w="38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June 30, 2025</w:t>
            </w:r>
          </w:p>
        </w:tc>
        <w:tc>
          <w:tcPr>
            <w:tcW w:w="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June 30, 2026</w:t>
            </w:r>
          </w:p>
        </w:tc>
        <w:tc>
          <w:tcPr>
            <w:tcW w:w="38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June 30, 2025</w:t>
            </w:r>
          </w:p>
        </w:tc>
      </w:tr>
      <w:tr>
        <w:trPr/>
        <w:tc>
          <w:tcPr>
            <w:tcW w:w="40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income attributable to common stockholders</w:t>
            </w:r>
          </w:p>
        </w:tc>
        <w:tc>
          <w:tcPr>
            <w:tcW w:w="30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8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77 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8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69 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8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99 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7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125 </w:t>
            </w:r>
          </w:p>
        </w:tc>
        <w:tc>
          <w:tcPr>
            <w:tcW w:w="2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Provision for income taxes</w:t>
            </w:r>
          </w:p>
        </w:tc>
        <w:tc>
          <w:tcPr>
            <w:tcW w:w="10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37 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25 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60 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70 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Income before income taxes attributable to common stockholders</w:t>
            </w:r>
          </w:p>
        </w:tc>
        <w:tc>
          <w:tcPr>
            <w:tcW w:w="10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114 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94 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159 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195 </w:t>
            </w:r>
          </w:p>
        </w:tc>
        <w:tc>
          <w:tcPr>
            <w:tcW w:w="2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Certain items:</w:t>
            </w:r>
          </w:p>
        </w:tc>
        <w:tc>
          <w:tcPr>
            <w:tcW w:w="12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Loss (gain) on disposition of hotel, land, and other</w:t>
            </w:r>
          </w:p>
        </w:tc>
        <w:tc>
          <w:tcPr>
            <w:tcW w:w="10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Foreign currency</w:t>
            </w:r>
          </w:p>
        </w:tc>
        <w:tc>
          <w:tcPr>
            <w:tcW w:w="10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Insurance proceeds</w:t>
            </w:r>
          </w:p>
        </w:tc>
        <w:tc>
          <w:tcPr>
            <w:tcW w:w="10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w:t>
            </w:r>
          </w:p>
        </w:tc>
        <w:tc>
          <w:tcPr>
            <w:tcW w:w="2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Change in indemnification asset</w:t>
            </w:r>
          </w:p>
        </w:tc>
        <w:tc>
          <w:tcPr>
            <w:tcW w:w="10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Change in estimates relating to pre-acquisition contingencies</w:t>
            </w:r>
          </w:p>
        </w:tc>
        <w:tc>
          <w:tcPr>
            <w:tcW w:w="10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w:t>
            </w:r>
          </w:p>
        </w:tc>
        <w:tc>
          <w:tcPr>
            <w:tcW w:w="2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w:t>
            </w:r>
          </w:p>
        </w:tc>
        <w:tc>
          <w:tcPr>
            <w:tcW w:w="10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Losses (gains) and other expense (income), net</w:t>
            </w:r>
          </w:p>
        </w:tc>
        <w:tc>
          <w:tcPr>
            <w:tcW w:w="10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(37)</w:t>
            </w:r>
          </w:p>
        </w:tc>
        <w:tc>
          <w:tcPr>
            <w:tcW w:w="2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12" w:type="dxa"/>
            <w:gridSpan w:val="3"/>
            <w:tcBorders/>
            <w:vAlign w:val="center"/>
          </w:tcPr>
          <w:p>
            <w:pPr>
              <w:pStyle w:val="TableContents"/>
              <w:bidi w:val="0"/>
              <w:spacing w:before="0" w:after="283"/>
              <w:jc w:val="left"/>
              <w:rPr>
                <w:sz w:val="4"/>
                <w:szCs w:val="4"/>
              </w:rPr>
            </w:pPr>
            <w:r>
              <w:rPr>
                <w:sz w:val="4"/>
                <w:szCs w:val="4"/>
              </w:rPr>
            </w:r>
          </w:p>
        </w:tc>
        <w:tc>
          <w:tcPr>
            <w:tcW w:w="1243" w:type="dxa"/>
            <w:gridSpan w:val="3"/>
            <w:tcBorders/>
            <w:vAlign w:val="center"/>
          </w:tcPr>
          <w:p>
            <w:pPr>
              <w:pStyle w:val="TableContents"/>
              <w:bidi w:val="0"/>
              <w:spacing w:before="0" w:after="283"/>
              <w:jc w:val="left"/>
              <w:rPr>
                <w:sz w:val="4"/>
                <w:szCs w:val="4"/>
              </w:rPr>
            </w:pPr>
            <w:r>
              <w:rPr>
                <w:sz w:val="4"/>
                <w:szCs w:val="4"/>
              </w:rPr>
            </w:r>
          </w:p>
        </w:tc>
        <w:tc>
          <w:tcPr>
            <w:tcW w:w="384" w:type="dxa"/>
            <w:gridSpan w:val="3"/>
            <w:tcBorders/>
            <w:vAlign w:val="center"/>
          </w:tcPr>
          <w:p>
            <w:pPr>
              <w:pStyle w:val="TableContents"/>
              <w:bidi w:val="0"/>
              <w:spacing w:before="0" w:after="283"/>
              <w:jc w:val="left"/>
              <w:rPr>
                <w:sz w:val="4"/>
                <w:szCs w:val="4"/>
              </w:rPr>
            </w:pPr>
            <w:r>
              <w:rPr>
                <w:sz w:val="4"/>
                <w:szCs w:val="4"/>
              </w:rPr>
            </w:r>
          </w:p>
        </w:tc>
        <w:tc>
          <w:tcPr>
            <w:tcW w:w="1243" w:type="dxa"/>
            <w:gridSpan w:val="3"/>
            <w:tcBorders/>
            <w:vAlign w:val="center"/>
          </w:tcPr>
          <w:p>
            <w:pPr>
              <w:pStyle w:val="TableContents"/>
              <w:bidi w:val="0"/>
              <w:spacing w:before="0" w:after="283"/>
              <w:jc w:val="left"/>
              <w:rPr>
                <w:sz w:val="4"/>
                <w:szCs w:val="4"/>
              </w:rPr>
            </w:pPr>
            <w:r>
              <w:rPr>
                <w:sz w:val="4"/>
                <w:szCs w:val="4"/>
              </w:rPr>
            </w:r>
          </w:p>
        </w:tc>
        <w:tc>
          <w:tcPr>
            <w:tcW w:w="384" w:type="dxa"/>
            <w:gridSpan w:val="3"/>
            <w:tcBorders/>
            <w:vAlign w:val="center"/>
          </w:tcPr>
          <w:p>
            <w:pPr>
              <w:pStyle w:val="TableContents"/>
              <w:bidi w:val="0"/>
              <w:spacing w:before="0" w:after="283"/>
              <w:jc w:val="left"/>
              <w:rPr>
                <w:sz w:val="4"/>
                <w:szCs w:val="4"/>
              </w:rPr>
            </w:pPr>
            <w:r>
              <w:rPr>
                <w:sz w:val="4"/>
                <w:szCs w:val="4"/>
              </w:rPr>
            </w:r>
          </w:p>
        </w:tc>
        <w:tc>
          <w:tcPr>
            <w:tcW w:w="1243" w:type="dxa"/>
            <w:gridSpan w:val="3"/>
            <w:tcBorders/>
            <w:vAlign w:val="center"/>
          </w:tcPr>
          <w:p>
            <w:pPr>
              <w:pStyle w:val="TableContents"/>
              <w:bidi w:val="0"/>
              <w:spacing w:before="0" w:after="283"/>
              <w:jc w:val="left"/>
              <w:rPr>
                <w:sz w:val="4"/>
                <w:szCs w:val="4"/>
              </w:rPr>
            </w:pPr>
            <w:r>
              <w:rPr>
                <w:sz w:val="4"/>
                <w:szCs w:val="4"/>
              </w:rPr>
            </w:r>
          </w:p>
        </w:tc>
        <w:tc>
          <w:tcPr>
            <w:tcW w:w="384" w:type="dxa"/>
            <w:gridSpan w:val="3"/>
            <w:tcBorders/>
            <w:vAlign w:val="center"/>
          </w:tcPr>
          <w:p>
            <w:pPr>
              <w:pStyle w:val="TableContents"/>
              <w:bidi w:val="0"/>
              <w:spacing w:before="0" w:after="283"/>
              <w:jc w:val="left"/>
              <w:rPr>
                <w:sz w:val="4"/>
                <w:szCs w:val="4"/>
              </w:rPr>
            </w:pPr>
            <w:r>
              <w:rPr>
                <w:sz w:val="4"/>
                <w:szCs w:val="4"/>
              </w:rPr>
            </w:r>
          </w:p>
        </w:tc>
        <w:tc>
          <w:tcPr>
            <w:tcW w:w="1312" w:type="dxa"/>
            <w:gridSpan w:val="3"/>
            <w:tcBorders/>
            <w:vAlign w:val="center"/>
          </w:tcPr>
          <w:p>
            <w:pPr>
              <w:pStyle w:val="TableContents"/>
              <w:bidi w:val="0"/>
              <w:spacing w:before="0" w:after="283"/>
              <w:jc w:val="left"/>
              <w:rPr>
                <w:sz w:val="4"/>
                <w:szCs w:val="4"/>
              </w:rPr>
            </w:pPr>
            <w:r>
              <w:rPr>
                <w:sz w:val="4"/>
                <w:szCs w:val="4"/>
              </w:rPr>
            </w:r>
          </w:p>
        </w:tc>
      </w:tr>
      <w:tr>
        <w:trPr/>
        <w:tc>
          <w:tcPr>
            <w:tcW w:w="4012" w:type="dxa"/>
            <w:gridSpan w:val="3"/>
            <w:tcBorders/>
            <w:vAlign w:val="center"/>
          </w:tcPr>
          <w:p>
            <w:pPr>
              <w:pStyle w:val="TableContents"/>
              <w:bidi w:val="0"/>
              <w:spacing w:before="0" w:after="283"/>
              <w:jc w:val="left"/>
              <w:rPr>
                <w:sz w:val="4"/>
                <w:szCs w:val="4"/>
              </w:rPr>
            </w:pPr>
            <w:r>
              <w:rPr>
                <w:sz w:val="4"/>
                <w:szCs w:val="4"/>
              </w:rPr>
            </w:r>
          </w:p>
        </w:tc>
        <w:tc>
          <w:tcPr>
            <w:tcW w:w="1243" w:type="dxa"/>
            <w:gridSpan w:val="3"/>
            <w:tcBorders/>
            <w:vAlign w:val="center"/>
          </w:tcPr>
          <w:p>
            <w:pPr>
              <w:pStyle w:val="TableContents"/>
              <w:bidi w:val="0"/>
              <w:spacing w:before="0" w:after="283"/>
              <w:jc w:val="left"/>
              <w:rPr>
                <w:sz w:val="4"/>
                <w:szCs w:val="4"/>
              </w:rPr>
            </w:pPr>
            <w:r>
              <w:rPr>
                <w:sz w:val="4"/>
                <w:szCs w:val="4"/>
              </w:rPr>
            </w:r>
          </w:p>
        </w:tc>
        <w:tc>
          <w:tcPr>
            <w:tcW w:w="384" w:type="dxa"/>
            <w:gridSpan w:val="3"/>
            <w:tcBorders/>
            <w:vAlign w:val="center"/>
          </w:tcPr>
          <w:p>
            <w:pPr>
              <w:pStyle w:val="TableContents"/>
              <w:bidi w:val="0"/>
              <w:spacing w:before="0" w:after="283"/>
              <w:jc w:val="left"/>
              <w:rPr>
                <w:sz w:val="4"/>
                <w:szCs w:val="4"/>
              </w:rPr>
            </w:pPr>
            <w:r>
              <w:rPr>
                <w:sz w:val="4"/>
                <w:szCs w:val="4"/>
              </w:rPr>
            </w:r>
          </w:p>
        </w:tc>
        <w:tc>
          <w:tcPr>
            <w:tcW w:w="1243" w:type="dxa"/>
            <w:gridSpan w:val="3"/>
            <w:tcBorders/>
            <w:vAlign w:val="center"/>
          </w:tcPr>
          <w:p>
            <w:pPr>
              <w:pStyle w:val="TableContents"/>
              <w:bidi w:val="0"/>
              <w:spacing w:before="0" w:after="283"/>
              <w:jc w:val="left"/>
              <w:rPr>
                <w:sz w:val="4"/>
                <w:szCs w:val="4"/>
              </w:rPr>
            </w:pPr>
            <w:r>
              <w:rPr>
                <w:sz w:val="4"/>
                <w:szCs w:val="4"/>
              </w:rPr>
            </w:r>
          </w:p>
        </w:tc>
        <w:tc>
          <w:tcPr>
            <w:tcW w:w="384" w:type="dxa"/>
            <w:gridSpan w:val="3"/>
            <w:tcBorders/>
            <w:vAlign w:val="center"/>
          </w:tcPr>
          <w:p>
            <w:pPr>
              <w:pStyle w:val="TableContents"/>
              <w:bidi w:val="0"/>
              <w:spacing w:before="0" w:after="283"/>
              <w:jc w:val="left"/>
              <w:rPr>
                <w:sz w:val="4"/>
                <w:szCs w:val="4"/>
              </w:rPr>
            </w:pPr>
            <w:r>
              <w:rPr>
                <w:sz w:val="4"/>
                <w:szCs w:val="4"/>
              </w:rPr>
            </w:r>
          </w:p>
        </w:tc>
        <w:tc>
          <w:tcPr>
            <w:tcW w:w="1243" w:type="dxa"/>
            <w:gridSpan w:val="3"/>
            <w:tcBorders/>
            <w:vAlign w:val="center"/>
          </w:tcPr>
          <w:p>
            <w:pPr>
              <w:pStyle w:val="TableContents"/>
              <w:bidi w:val="0"/>
              <w:spacing w:before="0" w:after="283"/>
              <w:jc w:val="left"/>
              <w:rPr>
                <w:sz w:val="4"/>
                <w:szCs w:val="4"/>
              </w:rPr>
            </w:pPr>
            <w:r>
              <w:rPr>
                <w:sz w:val="4"/>
                <w:szCs w:val="4"/>
              </w:rPr>
            </w:r>
          </w:p>
        </w:tc>
        <w:tc>
          <w:tcPr>
            <w:tcW w:w="384" w:type="dxa"/>
            <w:gridSpan w:val="3"/>
            <w:tcBorders/>
            <w:vAlign w:val="center"/>
          </w:tcPr>
          <w:p>
            <w:pPr>
              <w:pStyle w:val="TableContents"/>
              <w:bidi w:val="0"/>
              <w:spacing w:before="0" w:after="283"/>
              <w:jc w:val="left"/>
              <w:rPr>
                <w:sz w:val="4"/>
                <w:szCs w:val="4"/>
              </w:rPr>
            </w:pPr>
            <w:r>
              <w:rPr>
                <w:sz w:val="4"/>
                <w:szCs w:val="4"/>
              </w:rPr>
            </w:r>
          </w:p>
        </w:tc>
        <w:tc>
          <w:tcPr>
            <w:tcW w:w="1312" w:type="dxa"/>
            <w:gridSpan w:val="3"/>
            <w:tcBorders/>
            <w:vAlign w:val="center"/>
          </w:tcPr>
          <w:p>
            <w:pPr>
              <w:pStyle w:val="TableContents"/>
              <w:bidi w:val="0"/>
              <w:spacing w:before="0" w:after="283"/>
              <w:jc w:val="left"/>
              <w:rPr>
                <w:sz w:val="4"/>
                <w:szCs w:val="4"/>
              </w:rPr>
            </w:pPr>
            <w:r>
              <w:rPr>
                <w:sz w:val="4"/>
                <w:szCs w:val="4"/>
              </w:rPr>
            </w:r>
          </w:p>
        </w:tc>
      </w:tr>
      <w:tr>
        <w:trPr/>
        <w:tc>
          <w:tcPr>
            <w:tcW w:w="40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Litigation charges</w:t>
            </w:r>
          </w:p>
        </w:tc>
        <w:tc>
          <w:tcPr>
            <w:tcW w:w="10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1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Modernization</w:t>
            </w:r>
            <w:r>
              <w:rPr>
                <w:color w:val="000000"/>
              </w:rPr>
              <w:t>†</w:t>
            </w:r>
          </w:p>
        </w:tc>
        <w:tc>
          <w:tcPr>
            <w:tcW w:w="10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34 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26 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44 </w:t>
            </w:r>
          </w:p>
        </w:tc>
        <w:tc>
          <w:tcPr>
            <w:tcW w:w="2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1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Restructuring</w:t>
            </w:r>
            <w:r>
              <w:rPr>
                <w:color w:val="000000"/>
              </w:rPr>
              <w:t>†</w:t>
            </w:r>
          </w:p>
        </w:tc>
        <w:tc>
          <w:tcPr>
            <w:tcW w:w="10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1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Impairment</w:t>
            </w:r>
            <w:r>
              <w:rPr>
                <w:color w:val="000000"/>
              </w:rPr>
              <w:t>†</w:t>
            </w:r>
          </w:p>
        </w:tc>
        <w:tc>
          <w:tcPr>
            <w:tcW w:w="10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2 </w:t>
            </w:r>
          </w:p>
        </w:tc>
        <w:tc>
          <w:tcPr>
            <w:tcW w:w="2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w:t>
            </w:r>
          </w:p>
        </w:tc>
        <w:tc>
          <w:tcPr>
            <w:tcW w:w="10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Adjusted pretax income*</w:t>
            </w:r>
          </w:p>
        </w:tc>
        <w:tc>
          <w:tcPr>
            <w:tcW w:w="10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126 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110 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198 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216 </w:t>
            </w:r>
          </w:p>
        </w:tc>
        <w:tc>
          <w:tcPr>
            <w:tcW w:w="2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Provision for income taxes</w:t>
            </w:r>
          </w:p>
        </w:tc>
        <w:tc>
          <w:tcPr>
            <w:tcW w:w="10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(42)</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(33)</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(71)</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(74)</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Adjusted net income attributable to common stockholders*</w:t>
            </w:r>
          </w:p>
        </w:tc>
        <w:tc>
          <w:tcPr>
            <w:tcW w:w="30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8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84 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8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77 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8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127 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7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142 </w:t>
            </w:r>
          </w:p>
        </w:tc>
        <w:tc>
          <w:tcPr>
            <w:tcW w:w="2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Diluted shares</w:t>
            </w:r>
          </w:p>
        </w:tc>
        <w:tc>
          <w:tcPr>
            <w:tcW w:w="12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38.2</w:t>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41.7</w:t>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38.0 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41.9 </w:t>
            </w:r>
          </w:p>
        </w:tc>
        <w:tc>
          <w:tcPr>
            <w:tcW w:w="2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Adjusted earnings per share - Diluted*</w:t>
            </w:r>
          </w:p>
        </w:tc>
        <w:tc>
          <w:tcPr>
            <w:tcW w:w="30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8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2.31 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8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1.96 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8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3.56 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7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3.62 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24"/>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 Denotes non-GAAP financial measures. Please see “Non-GAAP Financial Measures” for additional information about our reasons for providing these alternative financial measures and limitations on their use.</w:t>
            </w:r>
          </w:p>
        </w:tc>
      </w:tr>
      <w:tr>
        <w:trPr/>
        <w:tc>
          <w:tcPr>
            <w:tcW w:w="40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24"/>
            <w:tcBorders/>
            <w:tcMar>
              <w:top w:w="0" w:type="dxa"/>
              <w:left w:w="0" w:type="dxa"/>
              <w:bottom w:w="0" w:type="dxa"/>
              <w:right w:w="0" w:type="dxa"/>
            </w:tcMar>
            <w:vAlign w:val="center"/>
          </w:tcPr>
          <w:p>
            <w:pPr>
              <w:pStyle w:val="TableContents"/>
              <w:bidi w:val="0"/>
              <w:spacing w:lineRule="auto" w:line="288" w:before="60" w:after="283"/>
              <w:jc w:val="left"/>
              <w:rPr/>
            </w:pPr>
            <w:r>
              <w:rPr>
                <w:color w:val="000000"/>
              </w:rPr>
              <w:t xml:space="preserve">† </w:t>
            </w:r>
            <w:r>
              <w:rPr>
                <w:rFonts w:ascii="Arial;sans-serif" w:hAnsi="Arial;sans-serif"/>
                <w:b w:val="false"/>
                <w:color w:val="000000"/>
                <w:sz w:val="20"/>
              </w:rPr>
              <w:t>Prior year amounts have been reclassified to conform with our current year presentation. Please see “Non-GAAP Financial Measures” for additional information.</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A-4</w:t>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75260"/>
                <wp:effectExtent l="0" t="0" r="0" b="0"/>
                <wp:wrapNone/>
                <wp:docPr id="11" name="Frame1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218.8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MARRIOTT VACATIONS WORLDWIDE CORPORATION</w:t>
      </w:r>
    </w:p>
    <w:p>
      <w:pPr>
        <w:pStyle w:val="TextBody"/>
        <w:bidi w:val="0"/>
        <w:spacing w:lineRule="auto" w:line="288" w:before="120" w:after="283"/>
        <w:jc w:val="center"/>
        <w:rPr>
          <w:rFonts w:ascii="Arial;sans-serif" w:hAnsi="Arial;sans-serif"/>
          <w:b/>
          <w:color w:val="000000"/>
          <w:sz w:val="20"/>
        </w:rPr>
      </w:pPr>
      <w:r>
        <w:rPr>
          <w:rFonts w:ascii="Arial;sans-serif" w:hAnsi="Arial;sans-serif"/>
          <w:b/>
          <w:color w:val="000000"/>
          <w:sz w:val="20"/>
        </w:rPr>
        <w:t>ADJUSTED EBITDA</w:t>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(In millions)</w:t>
      </w:r>
    </w:p>
    <w:p>
      <w:pPr>
        <w:pStyle w:val="TextBody"/>
        <w:bidi w:val="0"/>
        <w:spacing w:lineRule="auto" w:line="288" w:before="0" w:after="120"/>
        <w:jc w:val="center"/>
        <w:rPr>
          <w:rFonts w:ascii="Arial;sans-serif" w:hAnsi="Arial;sans-serif"/>
          <w:b w:val="false"/>
          <w:color w:val="000000"/>
          <w:sz w:val="20"/>
        </w:rPr>
      </w:pPr>
      <w:r>
        <w:rPr>
          <w:rFonts w:ascii="Arial;sans-serif" w:hAnsi="Arial;sans-serif"/>
          <w:b w:val="false"/>
          <w:color w:val="000000"/>
          <w:sz w:val="20"/>
        </w:rPr>
        <w:t>(Unaudited)</w:t>
      </w:r>
    </w:p>
    <w:tbl>
      <w:tblPr>
        <w:tblW w:w="10205" w:type="dxa"/>
        <w:jc w:val="center"/>
        <w:tblInd w:w="0" w:type="dxa"/>
        <w:tblLayout w:type="fixed"/>
        <w:tblCellMar>
          <w:top w:w="28" w:type="dxa"/>
          <w:left w:w="28" w:type="dxa"/>
          <w:bottom w:w="28" w:type="dxa"/>
          <w:right w:w="28" w:type="dxa"/>
        </w:tblCellMar>
      </w:tblPr>
      <w:tblGrid>
        <w:gridCol w:w="1556"/>
        <w:gridCol w:w="1250"/>
        <w:gridCol w:w="1253"/>
        <w:gridCol w:w="323"/>
        <w:gridCol w:w="738"/>
        <w:gridCol w:w="166"/>
        <w:gridCol w:w="130"/>
        <w:gridCol w:w="130"/>
        <w:gridCol w:w="130"/>
        <w:gridCol w:w="323"/>
        <w:gridCol w:w="738"/>
        <w:gridCol w:w="166"/>
        <w:gridCol w:w="130"/>
        <w:gridCol w:w="130"/>
        <w:gridCol w:w="130"/>
        <w:gridCol w:w="323"/>
        <w:gridCol w:w="738"/>
        <w:gridCol w:w="166"/>
        <w:gridCol w:w="130"/>
        <w:gridCol w:w="130"/>
        <w:gridCol w:w="130"/>
        <w:gridCol w:w="320"/>
        <w:gridCol w:w="729"/>
        <w:gridCol w:w="246"/>
      </w:tblGrid>
      <w:tr>
        <w:trPr/>
        <w:tc>
          <w:tcPr>
            <w:tcW w:w="1556" w:type="dxa"/>
            <w:tcBorders/>
            <w:vAlign w:val="center"/>
          </w:tcPr>
          <w:p>
            <w:pPr>
              <w:pStyle w:val="TableContents"/>
              <w:bidi w:val="0"/>
              <w:spacing w:before="0" w:after="283"/>
              <w:jc w:val="left"/>
              <w:rPr>
                <w:sz w:val="4"/>
                <w:szCs w:val="4"/>
              </w:rPr>
            </w:pPr>
            <w:r>
              <w:rPr>
                <w:sz w:val="4"/>
                <w:szCs w:val="4"/>
              </w:rPr>
            </w:r>
          </w:p>
        </w:tc>
        <w:tc>
          <w:tcPr>
            <w:tcW w:w="1250" w:type="dxa"/>
            <w:tcBorders/>
            <w:vAlign w:val="center"/>
          </w:tcPr>
          <w:p>
            <w:pPr>
              <w:pStyle w:val="TableContents"/>
              <w:bidi w:val="0"/>
              <w:spacing w:before="0" w:after="283"/>
              <w:jc w:val="left"/>
              <w:rPr>
                <w:sz w:val="4"/>
                <w:szCs w:val="4"/>
              </w:rPr>
            </w:pPr>
            <w:r>
              <w:rPr>
                <w:sz w:val="4"/>
                <w:szCs w:val="4"/>
              </w:rPr>
            </w:r>
          </w:p>
        </w:tc>
        <w:tc>
          <w:tcPr>
            <w:tcW w:w="1253"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738"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738"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738"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729"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r>
      <w:tr>
        <w:trPr/>
        <w:tc>
          <w:tcPr>
            <w:tcW w:w="40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Three Months Ended</w:t>
            </w:r>
          </w:p>
        </w:tc>
        <w:tc>
          <w:tcPr>
            <w:tcW w:w="3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Six Months Ended</w:t>
            </w:r>
          </w:p>
        </w:tc>
      </w:tr>
      <w:tr>
        <w:trPr/>
        <w:tc>
          <w:tcPr>
            <w:tcW w:w="40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June 30, 2026</w:t>
            </w:r>
          </w:p>
        </w:tc>
        <w:tc>
          <w:tcPr>
            <w:tcW w:w="39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June 30, 2025</w:t>
            </w:r>
          </w:p>
        </w:tc>
        <w:tc>
          <w:tcPr>
            <w:tcW w:w="3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June 30, 2026</w:t>
            </w:r>
          </w:p>
        </w:tc>
        <w:tc>
          <w:tcPr>
            <w:tcW w:w="39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June 30, 2025</w:t>
            </w:r>
          </w:p>
        </w:tc>
      </w:tr>
      <w:tr>
        <w:trPr/>
        <w:tc>
          <w:tcPr>
            <w:tcW w:w="40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income attributable to common stockholders</w:t>
            </w:r>
          </w:p>
        </w:tc>
        <w:tc>
          <w:tcPr>
            <w:tcW w:w="3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77 </w:t>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69 </w:t>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99 </w:t>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125 </w:t>
            </w:r>
          </w:p>
        </w:tc>
        <w:tc>
          <w:tcPr>
            <w:tcW w:w="24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Interest expense, net</w:t>
            </w:r>
          </w:p>
        </w:tc>
        <w:tc>
          <w:tcPr>
            <w:tcW w:w="10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43 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42 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87 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82 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Provision for income taxes</w:t>
            </w:r>
          </w:p>
        </w:tc>
        <w:tc>
          <w:tcPr>
            <w:tcW w:w="10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37 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25 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60 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70 </w:t>
            </w:r>
          </w:p>
        </w:tc>
        <w:tc>
          <w:tcPr>
            <w:tcW w:w="2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Depreciation and amortization</w:t>
            </w:r>
          </w:p>
        </w:tc>
        <w:tc>
          <w:tcPr>
            <w:tcW w:w="10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32 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38 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66 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76 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Share-based compensation</w:t>
            </w:r>
          </w:p>
        </w:tc>
        <w:tc>
          <w:tcPr>
            <w:tcW w:w="10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19 </w:t>
            </w:r>
          </w:p>
        </w:tc>
        <w:tc>
          <w:tcPr>
            <w:tcW w:w="2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Amortization of cloud computing software implementation costs</w:t>
            </w:r>
          </w:p>
        </w:tc>
        <w:tc>
          <w:tcPr>
            <w:tcW w:w="10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Certain items:</w:t>
            </w:r>
          </w:p>
        </w:tc>
        <w:tc>
          <w:tcPr>
            <w:tcW w:w="12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Loss (gain) on disposition of hotel, land, and other</w:t>
            </w:r>
          </w:p>
        </w:tc>
        <w:tc>
          <w:tcPr>
            <w:tcW w:w="10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Foreign currency</w:t>
            </w:r>
          </w:p>
        </w:tc>
        <w:tc>
          <w:tcPr>
            <w:tcW w:w="10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w:t>
            </w:r>
          </w:p>
        </w:tc>
        <w:tc>
          <w:tcPr>
            <w:tcW w:w="2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Insurance proceeds</w:t>
            </w:r>
          </w:p>
        </w:tc>
        <w:tc>
          <w:tcPr>
            <w:tcW w:w="10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Change in indemnification asset</w:t>
            </w:r>
          </w:p>
        </w:tc>
        <w:tc>
          <w:tcPr>
            <w:tcW w:w="10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w:t>
            </w:r>
          </w:p>
        </w:tc>
        <w:tc>
          <w:tcPr>
            <w:tcW w:w="2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Change in estimates relating to pre-acquisition contingencies</w:t>
            </w:r>
          </w:p>
        </w:tc>
        <w:tc>
          <w:tcPr>
            <w:tcW w:w="10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w:t>
            </w:r>
          </w:p>
        </w:tc>
        <w:tc>
          <w:tcPr>
            <w:tcW w:w="10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w:t>
            </w:r>
          </w:p>
        </w:tc>
        <w:tc>
          <w:tcPr>
            <w:tcW w:w="2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Losses (gains) and other expense (income), net</w:t>
            </w:r>
          </w:p>
        </w:tc>
        <w:tc>
          <w:tcPr>
            <w:tcW w:w="10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4 </w:t>
            </w:r>
          </w:p>
        </w:tc>
        <w:tc>
          <w:tcPr>
            <w:tcW w:w="16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w:t>
            </w:r>
          </w:p>
        </w:tc>
        <w:tc>
          <w:tcPr>
            <w:tcW w:w="16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2 </w:t>
            </w:r>
          </w:p>
        </w:tc>
        <w:tc>
          <w:tcPr>
            <w:tcW w:w="16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(37)</w:t>
            </w:r>
          </w:p>
        </w:tc>
        <w:tc>
          <w:tcPr>
            <w:tcW w:w="24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59" w:type="dxa"/>
            <w:gridSpan w:val="3"/>
            <w:tcBorders/>
            <w:vAlign w:val="center"/>
          </w:tcPr>
          <w:p>
            <w:pPr>
              <w:pStyle w:val="TableContents"/>
              <w:bidi w:val="0"/>
              <w:spacing w:before="0" w:after="283"/>
              <w:jc w:val="left"/>
              <w:rPr>
                <w:sz w:val="4"/>
                <w:szCs w:val="4"/>
              </w:rPr>
            </w:pPr>
            <w:r>
              <w:rPr>
                <w:sz w:val="4"/>
                <w:szCs w:val="4"/>
              </w:rPr>
            </w:r>
          </w:p>
        </w:tc>
        <w:tc>
          <w:tcPr>
            <w:tcW w:w="1227" w:type="dxa"/>
            <w:gridSpan w:val="3"/>
            <w:tcBorders/>
            <w:vAlign w:val="center"/>
          </w:tcPr>
          <w:p>
            <w:pPr>
              <w:pStyle w:val="TableContents"/>
              <w:bidi w:val="0"/>
              <w:spacing w:before="0" w:after="283"/>
              <w:jc w:val="left"/>
              <w:rPr>
                <w:sz w:val="4"/>
                <w:szCs w:val="4"/>
              </w:rPr>
            </w:pPr>
            <w:r>
              <w:rPr>
                <w:sz w:val="4"/>
                <w:szCs w:val="4"/>
              </w:rPr>
            </w:r>
          </w:p>
        </w:tc>
        <w:tc>
          <w:tcPr>
            <w:tcW w:w="390" w:type="dxa"/>
            <w:gridSpan w:val="3"/>
            <w:tcBorders/>
            <w:vAlign w:val="center"/>
          </w:tcPr>
          <w:p>
            <w:pPr>
              <w:pStyle w:val="TableContents"/>
              <w:bidi w:val="0"/>
              <w:spacing w:before="0" w:after="283"/>
              <w:jc w:val="left"/>
              <w:rPr>
                <w:sz w:val="4"/>
                <w:szCs w:val="4"/>
              </w:rPr>
            </w:pPr>
            <w:r>
              <w:rPr>
                <w:sz w:val="4"/>
                <w:szCs w:val="4"/>
              </w:rPr>
            </w:r>
          </w:p>
        </w:tc>
        <w:tc>
          <w:tcPr>
            <w:tcW w:w="1227" w:type="dxa"/>
            <w:gridSpan w:val="3"/>
            <w:tcBorders/>
            <w:vAlign w:val="center"/>
          </w:tcPr>
          <w:p>
            <w:pPr>
              <w:pStyle w:val="TableContents"/>
              <w:bidi w:val="0"/>
              <w:spacing w:before="0" w:after="283"/>
              <w:jc w:val="left"/>
              <w:rPr>
                <w:sz w:val="4"/>
                <w:szCs w:val="4"/>
              </w:rPr>
            </w:pPr>
            <w:r>
              <w:rPr>
                <w:sz w:val="4"/>
                <w:szCs w:val="4"/>
              </w:rPr>
            </w:r>
          </w:p>
        </w:tc>
        <w:tc>
          <w:tcPr>
            <w:tcW w:w="390" w:type="dxa"/>
            <w:gridSpan w:val="3"/>
            <w:tcBorders/>
            <w:vAlign w:val="center"/>
          </w:tcPr>
          <w:p>
            <w:pPr>
              <w:pStyle w:val="TableContents"/>
              <w:bidi w:val="0"/>
              <w:spacing w:before="0" w:after="283"/>
              <w:jc w:val="left"/>
              <w:rPr>
                <w:sz w:val="4"/>
                <w:szCs w:val="4"/>
              </w:rPr>
            </w:pPr>
            <w:r>
              <w:rPr>
                <w:sz w:val="4"/>
                <w:szCs w:val="4"/>
              </w:rPr>
            </w:r>
          </w:p>
        </w:tc>
        <w:tc>
          <w:tcPr>
            <w:tcW w:w="1227" w:type="dxa"/>
            <w:gridSpan w:val="3"/>
            <w:tcBorders/>
            <w:vAlign w:val="center"/>
          </w:tcPr>
          <w:p>
            <w:pPr>
              <w:pStyle w:val="TableContents"/>
              <w:bidi w:val="0"/>
              <w:spacing w:before="0" w:after="283"/>
              <w:jc w:val="left"/>
              <w:rPr>
                <w:sz w:val="4"/>
                <w:szCs w:val="4"/>
              </w:rPr>
            </w:pPr>
            <w:r>
              <w:rPr>
                <w:sz w:val="4"/>
                <w:szCs w:val="4"/>
              </w:rPr>
            </w:r>
          </w:p>
        </w:tc>
        <w:tc>
          <w:tcPr>
            <w:tcW w:w="390"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r>
      <w:tr>
        <w:trPr/>
        <w:tc>
          <w:tcPr>
            <w:tcW w:w="4059" w:type="dxa"/>
            <w:gridSpan w:val="3"/>
            <w:tcBorders/>
            <w:vAlign w:val="center"/>
          </w:tcPr>
          <w:p>
            <w:pPr>
              <w:pStyle w:val="TableContents"/>
              <w:bidi w:val="0"/>
              <w:spacing w:before="0" w:after="283"/>
              <w:jc w:val="left"/>
              <w:rPr>
                <w:sz w:val="4"/>
                <w:szCs w:val="4"/>
              </w:rPr>
            </w:pPr>
            <w:r>
              <w:rPr>
                <w:sz w:val="4"/>
                <w:szCs w:val="4"/>
              </w:rPr>
            </w:r>
          </w:p>
        </w:tc>
        <w:tc>
          <w:tcPr>
            <w:tcW w:w="1227" w:type="dxa"/>
            <w:gridSpan w:val="3"/>
            <w:tcBorders/>
            <w:vAlign w:val="center"/>
          </w:tcPr>
          <w:p>
            <w:pPr>
              <w:pStyle w:val="TableContents"/>
              <w:bidi w:val="0"/>
              <w:spacing w:before="0" w:after="283"/>
              <w:jc w:val="left"/>
              <w:rPr>
                <w:sz w:val="4"/>
                <w:szCs w:val="4"/>
              </w:rPr>
            </w:pPr>
            <w:r>
              <w:rPr>
                <w:sz w:val="4"/>
                <w:szCs w:val="4"/>
              </w:rPr>
            </w:r>
          </w:p>
        </w:tc>
        <w:tc>
          <w:tcPr>
            <w:tcW w:w="390" w:type="dxa"/>
            <w:gridSpan w:val="3"/>
            <w:tcBorders/>
            <w:vAlign w:val="center"/>
          </w:tcPr>
          <w:p>
            <w:pPr>
              <w:pStyle w:val="TableContents"/>
              <w:bidi w:val="0"/>
              <w:spacing w:before="0" w:after="283"/>
              <w:jc w:val="left"/>
              <w:rPr>
                <w:sz w:val="4"/>
                <w:szCs w:val="4"/>
              </w:rPr>
            </w:pPr>
            <w:r>
              <w:rPr>
                <w:sz w:val="4"/>
                <w:szCs w:val="4"/>
              </w:rPr>
            </w:r>
          </w:p>
        </w:tc>
        <w:tc>
          <w:tcPr>
            <w:tcW w:w="1227" w:type="dxa"/>
            <w:gridSpan w:val="3"/>
            <w:tcBorders/>
            <w:vAlign w:val="center"/>
          </w:tcPr>
          <w:p>
            <w:pPr>
              <w:pStyle w:val="TableContents"/>
              <w:bidi w:val="0"/>
              <w:spacing w:before="0" w:after="283"/>
              <w:jc w:val="left"/>
              <w:rPr>
                <w:sz w:val="4"/>
                <w:szCs w:val="4"/>
              </w:rPr>
            </w:pPr>
            <w:r>
              <w:rPr>
                <w:sz w:val="4"/>
                <w:szCs w:val="4"/>
              </w:rPr>
            </w:r>
          </w:p>
        </w:tc>
        <w:tc>
          <w:tcPr>
            <w:tcW w:w="390" w:type="dxa"/>
            <w:gridSpan w:val="3"/>
            <w:tcBorders/>
            <w:vAlign w:val="center"/>
          </w:tcPr>
          <w:p>
            <w:pPr>
              <w:pStyle w:val="TableContents"/>
              <w:bidi w:val="0"/>
              <w:spacing w:before="0" w:after="283"/>
              <w:jc w:val="left"/>
              <w:rPr>
                <w:sz w:val="4"/>
                <w:szCs w:val="4"/>
              </w:rPr>
            </w:pPr>
            <w:r>
              <w:rPr>
                <w:sz w:val="4"/>
                <w:szCs w:val="4"/>
              </w:rPr>
            </w:r>
          </w:p>
        </w:tc>
        <w:tc>
          <w:tcPr>
            <w:tcW w:w="1227" w:type="dxa"/>
            <w:gridSpan w:val="3"/>
            <w:tcBorders/>
            <w:vAlign w:val="center"/>
          </w:tcPr>
          <w:p>
            <w:pPr>
              <w:pStyle w:val="TableContents"/>
              <w:bidi w:val="0"/>
              <w:spacing w:before="0" w:after="283"/>
              <w:jc w:val="left"/>
              <w:rPr>
                <w:sz w:val="4"/>
                <w:szCs w:val="4"/>
              </w:rPr>
            </w:pPr>
            <w:r>
              <w:rPr>
                <w:sz w:val="4"/>
                <w:szCs w:val="4"/>
              </w:rPr>
            </w:r>
          </w:p>
        </w:tc>
        <w:tc>
          <w:tcPr>
            <w:tcW w:w="390"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r>
      <w:tr>
        <w:trPr/>
        <w:tc>
          <w:tcPr>
            <w:tcW w:w="40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Litigation charges</w:t>
            </w:r>
          </w:p>
        </w:tc>
        <w:tc>
          <w:tcPr>
            <w:tcW w:w="10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12 </w:t>
            </w:r>
          </w:p>
        </w:tc>
        <w:tc>
          <w:tcPr>
            <w:tcW w:w="2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5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Modernization</w:t>
            </w:r>
            <w:r>
              <w:rPr>
                <w:color w:val="000000"/>
              </w:rPr>
              <w:t>†</w:t>
            </w:r>
          </w:p>
        </w:tc>
        <w:tc>
          <w:tcPr>
            <w:tcW w:w="10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34 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26 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44 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5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Restructuring</w:t>
            </w:r>
            <w:r>
              <w:rPr>
                <w:color w:val="000000"/>
              </w:rPr>
              <w:t>†</w:t>
            </w:r>
          </w:p>
        </w:tc>
        <w:tc>
          <w:tcPr>
            <w:tcW w:w="10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5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Impairment</w:t>
            </w:r>
            <w:r>
              <w:rPr>
                <w:color w:val="000000"/>
              </w:rPr>
              <w:t>†</w:t>
            </w:r>
          </w:p>
        </w:tc>
        <w:tc>
          <w:tcPr>
            <w:tcW w:w="10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w:t>
            </w:r>
          </w:p>
        </w:tc>
        <w:tc>
          <w:tcPr>
            <w:tcW w:w="10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Adjusted EBITDA*</w:t>
            </w:r>
          </w:p>
        </w:tc>
        <w:tc>
          <w:tcPr>
            <w:tcW w:w="32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3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215 </w:t>
            </w:r>
          </w:p>
        </w:tc>
        <w:tc>
          <w:tcPr>
            <w:tcW w:w="16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3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203 </w:t>
            </w:r>
          </w:p>
        </w:tc>
        <w:tc>
          <w:tcPr>
            <w:tcW w:w="16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3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376 </w:t>
            </w:r>
          </w:p>
        </w:tc>
        <w:tc>
          <w:tcPr>
            <w:tcW w:w="16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2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395 </w:t>
            </w:r>
          </w:p>
        </w:tc>
        <w:tc>
          <w:tcPr>
            <w:tcW w:w="24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Adjusted EBITDA Margin*</w:t>
            </w:r>
          </w:p>
        </w:tc>
        <w:tc>
          <w:tcPr>
            <w:tcW w:w="1227" w:type="dxa"/>
            <w:gridSpan w:val="3"/>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23.4%</w:t>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7" w:type="dxa"/>
            <w:gridSpan w:val="3"/>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24.3%</w:t>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7" w:type="dxa"/>
            <w:gridSpan w:val="3"/>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21.5%</w:t>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23.7%</w:t>
            </w:r>
          </w:p>
        </w:tc>
      </w:tr>
      <w:tr>
        <w:trPr/>
        <w:tc>
          <w:tcPr>
            <w:tcW w:w="40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24"/>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 Denotes non-GAAP financial measures. Please see “Non-GAAP Financial Measures” for additional information about our reasons for providing these alternative financial measures and limitations on their use.</w:t>
            </w:r>
          </w:p>
        </w:tc>
      </w:tr>
      <w:tr>
        <w:trPr/>
        <w:tc>
          <w:tcPr>
            <w:tcW w:w="40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24"/>
            <w:tcBorders/>
            <w:tcMar>
              <w:top w:w="0" w:type="dxa"/>
              <w:left w:w="0" w:type="dxa"/>
              <w:bottom w:w="0" w:type="dxa"/>
              <w:right w:w="0" w:type="dxa"/>
            </w:tcMar>
            <w:vAlign w:val="center"/>
          </w:tcPr>
          <w:p>
            <w:pPr>
              <w:pStyle w:val="TableContents"/>
              <w:bidi w:val="0"/>
              <w:spacing w:lineRule="auto" w:line="240" w:before="60" w:after="283"/>
              <w:jc w:val="left"/>
              <w:rPr/>
            </w:pPr>
            <w:r>
              <w:rPr>
                <w:color w:val="000000"/>
              </w:rPr>
              <w:t xml:space="preserve">† </w:t>
            </w:r>
            <w:r>
              <w:rPr>
                <w:rFonts w:ascii="Arial;sans-serif" w:hAnsi="Arial;sans-serif"/>
                <w:b w:val="false"/>
                <w:color w:val="000000"/>
                <w:sz w:val="20"/>
              </w:rPr>
              <w:t>Prior year amounts have been reclassified to conform with our current year presentation. Please see “Non-GAAP Financial Measures” for additional information.</w:t>
            </w:r>
          </w:p>
        </w:tc>
      </w:tr>
    </w:tbl>
    <w:p>
      <w:pPr>
        <w:pStyle w:val="TextBody"/>
        <w:bidi w:val="0"/>
        <w:spacing w:before="12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A-5</w:t>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75260"/>
                <wp:effectExtent l="0" t="0" r="0" b="0"/>
                <wp:wrapNone/>
                <wp:docPr id="12" name="Frame1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218.8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MARRIOTT VACATIONS WORLDWIDE CORPORATION</w:t>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(In millions)</w:t>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(Unaudited)</w:t>
      </w:r>
    </w:p>
    <w:p>
      <w:pPr>
        <w:pStyle w:val="TextBody"/>
        <w:bidi w:val="0"/>
        <w:spacing w:lineRule="auto" w:line="288" w:before="240" w:after="283"/>
        <w:jc w:val="center"/>
        <w:rPr>
          <w:rFonts w:ascii="Arial;sans-serif" w:hAnsi="Arial;sans-serif"/>
          <w:b/>
          <w:color w:val="000000"/>
          <w:sz w:val="20"/>
        </w:rPr>
      </w:pPr>
      <w:r>
        <w:rPr>
          <w:rFonts w:ascii="Arial;sans-serif" w:hAnsi="Arial;sans-serif"/>
          <w:b/>
          <w:color w:val="000000"/>
          <w:sz w:val="20"/>
        </w:rPr>
        <w:t>VACATION OWNERSHIP SEGMENT ADJUSTED EBITDA</w:t>
      </w:r>
    </w:p>
    <w:tbl>
      <w:tblPr>
        <w:tblW w:w="10205" w:type="dxa"/>
        <w:jc w:val="center"/>
        <w:tblInd w:w="0" w:type="dxa"/>
        <w:tblLayout w:type="fixed"/>
        <w:tblCellMar>
          <w:top w:w="28" w:type="dxa"/>
          <w:left w:w="28" w:type="dxa"/>
          <w:bottom w:w="28" w:type="dxa"/>
          <w:right w:w="28" w:type="dxa"/>
        </w:tblCellMar>
      </w:tblPr>
      <w:tblGrid>
        <w:gridCol w:w="1687"/>
        <w:gridCol w:w="1431"/>
        <w:gridCol w:w="1435"/>
        <w:gridCol w:w="304"/>
        <w:gridCol w:w="694"/>
        <w:gridCol w:w="156"/>
        <w:gridCol w:w="109"/>
        <w:gridCol w:w="109"/>
        <w:gridCol w:w="109"/>
        <w:gridCol w:w="304"/>
        <w:gridCol w:w="694"/>
        <w:gridCol w:w="156"/>
        <w:gridCol w:w="109"/>
        <w:gridCol w:w="109"/>
        <w:gridCol w:w="109"/>
        <w:gridCol w:w="304"/>
        <w:gridCol w:w="694"/>
        <w:gridCol w:w="156"/>
        <w:gridCol w:w="109"/>
        <w:gridCol w:w="109"/>
        <w:gridCol w:w="109"/>
        <w:gridCol w:w="299"/>
        <w:gridCol w:w="682"/>
        <w:gridCol w:w="228"/>
      </w:tblGrid>
      <w:tr>
        <w:trPr/>
        <w:tc>
          <w:tcPr>
            <w:tcW w:w="1687" w:type="dxa"/>
            <w:tcBorders/>
            <w:vAlign w:val="center"/>
          </w:tcPr>
          <w:p>
            <w:pPr>
              <w:pStyle w:val="TableContents"/>
              <w:bidi w:val="0"/>
              <w:spacing w:before="0" w:after="283"/>
              <w:jc w:val="left"/>
              <w:rPr>
                <w:sz w:val="4"/>
                <w:szCs w:val="4"/>
              </w:rPr>
            </w:pPr>
            <w:r>
              <w:rPr>
                <w:sz w:val="4"/>
                <w:szCs w:val="4"/>
              </w:rPr>
            </w:r>
          </w:p>
        </w:tc>
        <w:tc>
          <w:tcPr>
            <w:tcW w:w="1431" w:type="dxa"/>
            <w:tcBorders/>
            <w:vAlign w:val="center"/>
          </w:tcPr>
          <w:p>
            <w:pPr>
              <w:pStyle w:val="TableContents"/>
              <w:bidi w:val="0"/>
              <w:spacing w:before="0" w:after="283"/>
              <w:jc w:val="left"/>
              <w:rPr>
                <w:sz w:val="4"/>
                <w:szCs w:val="4"/>
              </w:rPr>
            </w:pPr>
            <w:r>
              <w:rPr>
                <w:sz w:val="4"/>
                <w:szCs w:val="4"/>
              </w:rPr>
            </w:r>
          </w:p>
        </w:tc>
        <w:tc>
          <w:tcPr>
            <w:tcW w:w="1435"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694"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694"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694"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682"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r>
      <w:tr>
        <w:trPr/>
        <w:tc>
          <w:tcPr>
            <w:tcW w:w="45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Six Months Ended</w:t>
            </w:r>
          </w:p>
        </w:tc>
      </w:tr>
      <w:tr>
        <w:trPr/>
        <w:tc>
          <w:tcPr>
            <w:tcW w:w="45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June 30,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June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June 30,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June 30, 2025</w:t>
            </w:r>
          </w:p>
        </w:tc>
      </w:tr>
      <w:tr>
        <w:trPr/>
        <w:tc>
          <w:tcPr>
            <w:tcW w:w="455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Segment financial results attributable to common stockholders</w:t>
            </w:r>
            <w:r>
              <w:rPr>
                <w:color w:val="000000"/>
              </w:rPr>
              <w:t xml:space="preserve">† </w:t>
            </w:r>
          </w:p>
        </w:tc>
        <w:tc>
          <w:tcPr>
            <w:tcW w:w="30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9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219 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9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197 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9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386 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8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395 </w:t>
            </w:r>
          </w:p>
        </w:tc>
        <w:tc>
          <w:tcPr>
            <w:tcW w:w="2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Depreciation and amortization</w:t>
            </w:r>
          </w:p>
        </w:tc>
        <w:tc>
          <w:tcPr>
            <w:tcW w:w="9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28 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46 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54 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Share-based compensation</w:t>
            </w:r>
          </w:p>
        </w:tc>
        <w:tc>
          <w:tcPr>
            <w:tcW w:w="9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4 </w:t>
            </w:r>
          </w:p>
        </w:tc>
        <w:tc>
          <w:tcPr>
            <w:tcW w:w="2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Amortization of cloud computing software implementation costs</w:t>
            </w:r>
          </w:p>
        </w:tc>
        <w:tc>
          <w:tcPr>
            <w:tcW w:w="9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Certain items:</w:t>
            </w:r>
          </w:p>
        </w:tc>
        <w:tc>
          <w:tcPr>
            <w:tcW w:w="11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53" w:type="dxa"/>
            <w:gridSpan w:val="3"/>
            <w:tcBorders/>
            <w:vAlign w:val="center"/>
          </w:tcPr>
          <w:p>
            <w:pPr>
              <w:pStyle w:val="TableContents"/>
              <w:bidi w:val="0"/>
              <w:spacing w:before="0" w:after="283"/>
              <w:jc w:val="left"/>
              <w:rPr>
                <w:sz w:val="4"/>
                <w:szCs w:val="4"/>
              </w:rPr>
            </w:pPr>
            <w:r>
              <w:rPr>
                <w:sz w:val="4"/>
                <w:szCs w:val="4"/>
              </w:rPr>
            </w:r>
          </w:p>
        </w:tc>
        <w:tc>
          <w:tcPr>
            <w:tcW w:w="11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9" w:type="dxa"/>
            <w:gridSpan w:val="3"/>
            <w:tcBorders/>
            <w:vAlign w:val="center"/>
          </w:tcPr>
          <w:p>
            <w:pPr>
              <w:pStyle w:val="TableContents"/>
              <w:bidi w:val="0"/>
              <w:spacing w:before="0" w:after="283"/>
              <w:jc w:val="left"/>
              <w:rPr>
                <w:sz w:val="4"/>
                <w:szCs w:val="4"/>
              </w:rPr>
            </w:pPr>
            <w:r>
              <w:rPr>
                <w:sz w:val="4"/>
                <w:szCs w:val="4"/>
              </w:rPr>
            </w:r>
          </w:p>
        </w:tc>
      </w:tr>
      <w:tr>
        <w:trPr/>
        <w:tc>
          <w:tcPr>
            <w:tcW w:w="45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Loss (gain) on disposition of hotel, land, and other</w:t>
            </w:r>
          </w:p>
        </w:tc>
        <w:tc>
          <w:tcPr>
            <w:tcW w:w="9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53" w:type="dxa"/>
            <w:gridSpan w:val="3"/>
            <w:tcBorders/>
            <w:vAlign w:val="center"/>
          </w:tcPr>
          <w:p>
            <w:pPr>
              <w:pStyle w:val="TableContents"/>
              <w:bidi w:val="0"/>
              <w:spacing w:before="0" w:after="283"/>
              <w:jc w:val="left"/>
              <w:rPr>
                <w:sz w:val="4"/>
                <w:szCs w:val="4"/>
              </w:rPr>
            </w:pPr>
            <w:r>
              <w:rPr>
                <w:sz w:val="4"/>
                <w:szCs w:val="4"/>
              </w:rPr>
            </w:r>
          </w:p>
        </w:tc>
        <w:tc>
          <w:tcPr>
            <w:tcW w:w="11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9" w:type="dxa"/>
            <w:gridSpan w:val="3"/>
            <w:tcBorders/>
            <w:vAlign w:val="center"/>
          </w:tcPr>
          <w:p>
            <w:pPr>
              <w:pStyle w:val="TableContents"/>
              <w:bidi w:val="0"/>
              <w:spacing w:before="0" w:after="283"/>
              <w:jc w:val="left"/>
              <w:rPr>
                <w:sz w:val="4"/>
                <w:szCs w:val="4"/>
              </w:rPr>
            </w:pPr>
            <w:r>
              <w:rPr>
                <w:sz w:val="4"/>
                <w:szCs w:val="4"/>
              </w:rPr>
            </w:r>
          </w:p>
        </w:tc>
      </w:tr>
      <w:tr>
        <w:trPr/>
        <w:tc>
          <w:tcPr>
            <w:tcW w:w="45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Insurance proceeds</w:t>
            </w:r>
          </w:p>
        </w:tc>
        <w:tc>
          <w:tcPr>
            <w:tcW w:w="9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w:t>
            </w:r>
          </w:p>
        </w:tc>
        <w:tc>
          <w:tcPr>
            <w:tcW w:w="2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53" w:type="dxa"/>
            <w:gridSpan w:val="3"/>
            <w:tcBorders/>
            <w:vAlign w:val="center"/>
          </w:tcPr>
          <w:p>
            <w:pPr>
              <w:pStyle w:val="TableContents"/>
              <w:bidi w:val="0"/>
              <w:spacing w:before="0" w:after="283"/>
              <w:jc w:val="left"/>
              <w:rPr>
                <w:sz w:val="4"/>
                <w:szCs w:val="4"/>
              </w:rPr>
            </w:pPr>
            <w:r>
              <w:rPr>
                <w:sz w:val="4"/>
                <w:szCs w:val="4"/>
              </w:rPr>
            </w:r>
          </w:p>
        </w:tc>
        <w:tc>
          <w:tcPr>
            <w:tcW w:w="11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9" w:type="dxa"/>
            <w:gridSpan w:val="3"/>
            <w:tcBorders/>
            <w:vAlign w:val="center"/>
          </w:tcPr>
          <w:p>
            <w:pPr>
              <w:pStyle w:val="TableContents"/>
              <w:bidi w:val="0"/>
              <w:spacing w:before="0" w:after="283"/>
              <w:jc w:val="left"/>
              <w:rPr>
                <w:sz w:val="4"/>
                <w:szCs w:val="4"/>
              </w:rPr>
            </w:pPr>
            <w:r>
              <w:rPr>
                <w:sz w:val="4"/>
                <w:szCs w:val="4"/>
              </w:rPr>
            </w:r>
          </w:p>
        </w:tc>
      </w:tr>
      <w:tr>
        <w:trPr/>
        <w:tc>
          <w:tcPr>
            <w:tcW w:w="45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Change in estimates relating to pre-acquisition contingencies</w:t>
            </w:r>
          </w:p>
        </w:tc>
        <w:tc>
          <w:tcPr>
            <w:tcW w:w="9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w:t>
            </w:r>
          </w:p>
        </w:tc>
        <w:tc>
          <w:tcPr>
            <w:tcW w:w="9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w:t>
            </w:r>
          </w:p>
        </w:tc>
        <w:tc>
          <w:tcPr>
            <w:tcW w:w="2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Losses (gains) and other expense (income), net</w:t>
            </w:r>
          </w:p>
        </w:tc>
        <w:tc>
          <w:tcPr>
            <w:tcW w:w="99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w:t>
            </w:r>
          </w:p>
        </w:tc>
        <w:tc>
          <w:tcPr>
            <w:tcW w:w="22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53" w:type="dxa"/>
            <w:gridSpan w:val="3"/>
            <w:tcBorders/>
            <w:vAlign w:val="center"/>
          </w:tcPr>
          <w:p>
            <w:pPr>
              <w:pStyle w:val="TableContents"/>
              <w:bidi w:val="0"/>
              <w:spacing w:before="0" w:after="283"/>
              <w:jc w:val="left"/>
              <w:rPr>
                <w:sz w:val="4"/>
                <w:szCs w:val="4"/>
              </w:rPr>
            </w:pPr>
            <w:r>
              <w:rPr>
                <w:sz w:val="4"/>
                <w:szCs w:val="4"/>
              </w:rPr>
            </w:r>
          </w:p>
        </w:tc>
        <w:tc>
          <w:tcPr>
            <w:tcW w:w="11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9" w:type="dxa"/>
            <w:gridSpan w:val="3"/>
            <w:tcBorders/>
            <w:vAlign w:val="center"/>
          </w:tcPr>
          <w:p>
            <w:pPr>
              <w:pStyle w:val="TableContents"/>
              <w:bidi w:val="0"/>
              <w:spacing w:before="0" w:after="283"/>
              <w:jc w:val="left"/>
              <w:rPr>
                <w:sz w:val="4"/>
                <w:szCs w:val="4"/>
              </w:rPr>
            </w:pPr>
            <w:r>
              <w:rPr>
                <w:sz w:val="4"/>
                <w:szCs w:val="4"/>
              </w:rPr>
            </w:r>
          </w:p>
        </w:tc>
      </w:tr>
      <w:tr>
        <w:trPr/>
        <w:tc>
          <w:tcPr>
            <w:tcW w:w="45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Litigation charges</w:t>
            </w:r>
          </w:p>
        </w:tc>
        <w:tc>
          <w:tcPr>
            <w:tcW w:w="9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7 </w:t>
            </w:r>
          </w:p>
        </w:tc>
        <w:tc>
          <w:tcPr>
            <w:tcW w:w="2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53" w:type="dxa"/>
            <w:gridSpan w:val="3"/>
            <w:tcBorders/>
            <w:vAlign w:val="center"/>
          </w:tcPr>
          <w:p>
            <w:pPr>
              <w:pStyle w:val="TableContents"/>
              <w:bidi w:val="0"/>
              <w:spacing w:before="0" w:after="283"/>
              <w:jc w:val="left"/>
              <w:rPr>
                <w:sz w:val="4"/>
                <w:szCs w:val="4"/>
              </w:rPr>
            </w:pPr>
            <w:r>
              <w:rPr>
                <w:sz w:val="4"/>
                <w:szCs w:val="4"/>
              </w:rPr>
            </w:r>
          </w:p>
        </w:tc>
        <w:tc>
          <w:tcPr>
            <w:tcW w:w="11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9" w:type="dxa"/>
            <w:gridSpan w:val="3"/>
            <w:tcBorders/>
            <w:vAlign w:val="center"/>
          </w:tcPr>
          <w:p>
            <w:pPr>
              <w:pStyle w:val="TableContents"/>
              <w:bidi w:val="0"/>
              <w:spacing w:before="0" w:after="283"/>
              <w:jc w:val="left"/>
              <w:rPr>
                <w:sz w:val="4"/>
                <w:szCs w:val="4"/>
              </w:rPr>
            </w:pPr>
            <w:r>
              <w:rPr>
                <w:sz w:val="4"/>
                <w:szCs w:val="4"/>
              </w:rPr>
            </w:r>
          </w:p>
        </w:tc>
      </w:tr>
      <w:tr>
        <w:trPr/>
        <w:tc>
          <w:tcPr>
            <w:tcW w:w="4553" w:type="dxa"/>
            <w:gridSpan w:val="3"/>
            <w:tcBorders/>
            <w:vAlign w:val="center"/>
          </w:tcPr>
          <w:p>
            <w:pPr>
              <w:pStyle w:val="TableContents"/>
              <w:bidi w:val="0"/>
              <w:spacing w:before="0" w:after="283"/>
              <w:jc w:val="left"/>
              <w:rPr>
                <w:sz w:val="4"/>
                <w:szCs w:val="4"/>
              </w:rPr>
            </w:pPr>
            <w:r>
              <w:rPr>
                <w:sz w:val="4"/>
                <w:szCs w:val="4"/>
              </w:rPr>
            </w:r>
          </w:p>
        </w:tc>
        <w:tc>
          <w:tcPr>
            <w:tcW w:w="11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9" w:type="dxa"/>
            <w:gridSpan w:val="3"/>
            <w:tcBorders/>
            <w:vAlign w:val="center"/>
          </w:tcPr>
          <w:p>
            <w:pPr>
              <w:pStyle w:val="TableContents"/>
              <w:bidi w:val="0"/>
              <w:spacing w:before="0" w:after="283"/>
              <w:jc w:val="left"/>
              <w:rPr>
                <w:sz w:val="4"/>
                <w:szCs w:val="4"/>
              </w:rPr>
            </w:pPr>
            <w:r>
              <w:rPr>
                <w:sz w:val="4"/>
                <w:szCs w:val="4"/>
              </w:rPr>
            </w:r>
          </w:p>
        </w:tc>
      </w:tr>
      <w:tr>
        <w:trPr/>
        <w:tc>
          <w:tcPr>
            <w:tcW w:w="4553" w:type="dxa"/>
            <w:gridSpan w:val="3"/>
            <w:tcBorders/>
            <w:vAlign w:val="center"/>
          </w:tcPr>
          <w:p>
            <w:pPr>
              <w:pStyle w:val="TableContents"/>
              <w:bidi w:val="0"/>
              <w:spacing w:before="0" w:after="283"/>
              <w:jc w:val="left"/>
              <w:rPr>
                <w:sz w:val="4"/>
                <w:szCs w:val="4"/>
              </w:rPr>
            </w:pPr>
            <w:r>
              <w:rPr>
                <w:sz w:val="4"/>
                <w:szCs w:val="4"/>
              </w:rPr>
            </w:r>
          </w:p>
        </w:tc>
        <w:tc>
          <w:tcPr>
            <w:tcW w:w="11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9" w:type="dxa"/>
            <w:gridSpan w:val="3"/>
            <w:tcBorders/>
            <w:vAlign w:val="center"/>
          </w:tcPr>
          <w:p>
            <w:pPr>
              <w:pStyle w:val="TableContents"/>
              <w:bidi w:val="0"/>
              <w:spacing w:before="0" w:after="283"/>
              <w:jc w:val="left"/>
              <w:rPr>
                <w:sz w:val="4"/>
                <w:szCs w:val="4"/>
              </w:rPr>
            </w:pPr>
            <w:r>
              <w:rPr>
                <w:sz w:val="4"/>
                <w:szCs w:val="4"/>
              </w:rPr>
            </w:r>
          </w:p>
        </w:tc>
      </w:tr>
      <w:tr>
        <w:trPr/>
        <w:tc>
          <w:tcPr>
            <w:tcW w:w="4553" w:type="dxa"/>
            <w:gridSpan w:val="3"/>
            <w:tcBorders/>
            <w:vAlign w:val="center"/>
          </w:tcPr>
          <w:p>
            <w:pPr>
              <w:pStyle w:val="TableContents"/>
              <w:bidi w:val="0"/>
              <w:spacing w:before="0" w:after="283"/>
              <w:jc w:val="left"/>
              <w:rPr>
                <w:sz w:val="4"/>
                <w:szCs w:val="4"/>
              </w:rPr>
            </w:pPr>
            <w:r>
              <w:rPr>
                <w:sz w:val="4"/>
                <w:szCs w:val="4"/>
              </w:rPr>
            </w:r>
          </w:p>
        </w:tc>
        <w:tc>
          <w:tcPr>
            <w:tcW w:w="11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9" w:type="dxa"/>
            <w:gridSpan w:val="3"/>
            <w:tcBorders/>
            <w:vAlign w:val="center"/>
          </w:tcPr>
          <w:p>
            <w:pPr>
              <w:pStyle w:val="TableContents"/>
              <w:bidi w:val="0"/>
              <w:spacing w:before="0" w:after="283"/>
              <w:jc w:val="left"/>
              <w:rPr>
                <w:sz w:val="4"/>
                <w:szCs w:val="4"/>
              </w:rPr>
            </w:pPr>
            <w:r>
              <w:rPr>
                <w:sz w:val="4"/>
                <w:szCs w:val="4"/>
              </w:rPr>
            </w:r>
          </w:p>
        </w:tc>
      </w:tr>
      <w:tr>
        <w:trPr/>
        <w:tc>
          <w:tcPr>
            <w:tcW w:w="45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Segment Adjusted EBITDA*</w:t>
            </w:r>
          </w:p>
        </w:tc>
        <w:tc>
          <w:tcPr>
            <w:tcW w:w="30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9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246 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9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231 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9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434 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8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452 </w:t>
            </w:r>
          </w:p>
        </w:tc>
        <w:tc>
          <w:tcPr>
            <w:tcW w:w="22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Segment Adjusted EBITDA Margin*</w:t>
            </w:r>
          </w:p>
        </w:tc>
        <w:tc>
          <w:tcPr>
            <w:tcW w:w="1154" w:type="dxa"/>
            <w:gridSpan w:val="3"/>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28.9%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29.8%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27.0%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9" w:type="dxa"/>
            <w:gridSpan w:val="3"/>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29.5%</w:t>
            </w:r>
          </w:p>
        </w:tc>
      </w:tr>
    </w:tbl>
    <w:p>
      <w:pPr>
        <w:pStyle w:val="TextBody"/>
        <w:bidi w:val="0"/>
        <w:spacing w:lineRule="auto" w:line="288" w:before="300" w:after="283"/>
        <w:jc w:val="center"/>
        <w:rPr>
          <w:rFonts w:ascii="Arial;sans-serif" w:hAnsi="Arial;sans-serif"/>
          <w:b/>
          <w:color w:val="000000"/>
          <w:sz w:val="20"/>
        </w:rPr>
      </w:pPr>
      <w:r>
        <w:rPr>
          <w:rFonts w:ascii="Arial;sans-serif" w:hAnsi="Arial;sans-serif"/>
          <w:b/>
          <w:color w:val="000000"/>
          <w:sz w:val="20"/>
        </w:rPr>
        <w:t>EXCHANGE &amp; THIRD-PARTY MANAGEMENT SEGMENT ADJUSTED EBITDA</w:t>
      </w:r>
    </w:p>
    <w:tbl>
      <w:tblPr>
        <w:tblW w:w="10205" w:type="dxa"/>
        <w:jc w:val="center"/>
        <w:tblInd w:w="0" w:type="dxa"/>
        <w:tblLayout w:type="fixed"/>
        <w:tblCellMar>
          <w:top w:w="28" w:type="dxa"/>
          <w:left w:w="28" w:type="dxa"/>
          <w:bottom w:w="28" w:type="dxa"/>
          <w:right w:w="28" w:type="dxa"/>
        </w:tblCellMar>
      </w:tblPr>
      <w:tblGrid>
        <w:gridCol w:w="1543"/>
        <w:gridCol w:w="1299"/>
        <w:gridCol w:w="1303"/>
        <w:gridCol w:w="363"/>
        <w:gridCol w:w="648"/>
        <w:gridCol w:w="188"/>
        <w:gridCol w:w="137"/>
        <w:gridCol w:w="137"/>
        <w:gridCol w:w="137"/>
        <w:gridCol w:w="363"/>
        <w:gridCol w:w="648"/>
        <w:gridCol w:w="188"/>
        <w:gridCol w:w="132"/>
        <w:gridCol w:w="132"/>
        <w:gridCol w:w="132"/>
        <w:gridCol w:w="363"/>
        <w:gridCol w:w="648"/>
        <w:gridCol w:w="188"/>
        <w:gridCol w:w="132"/>
        <w:gridCol w:w="132"/>
        <w:gridCol w:w="132"/>
        <w:gridCol w:w="357"/>
        <w:gridCol w:w="636"/>
        <w:gridCol w:w="267"/>
      </w:tblGrid>
      <w:tr>
        <w:trPr/>
        <w:tc>
          <w:tcPr>
            <w:tcW w:w="1543" w:type="dxa"/>
            <w:tcBorders/>
            <w:vAlign w:val="center"/>
          </w:tcPr>
          <w:p>
            <w:pPr>
              <w:pStyle w:val="TableContents"/>
              <w:bidi w:val="0"/>
              <w:spacing w:before="0" w:after="283"/>
              <w:jc w:val="left"/>
              <w:rPr>
                <w:sz w:val="4"/>
                <w:szCs w:val="4"/>
              </w:rPr>
            </w:pPr>
            <w:r>
              <w:rPr>
                <w:sz w:val="4"/>
                <w:szCs w:val="4"/>
              </w:rPr>
            </w:r>
          </w:p>
        </w:tc>
        <w:tc>
          <w:tcPr>
            <w:tcW w:w="1299" w:type="dxa"/>
            <w:tcBorders/>
            <w:vAlign w:val="center"/>
          </w:tcPr>
          <w:p>
            <w:pPr>
              <w:pStyle w:val="TableContents"/>
              <w:bidi w:val="0"/>
              <w:spacing w:before="0" w:after="283"/>
              <w:jc w:val="left"/>
              <w:rPr>
                <w:sz w:val="4"/>
                <w:szCs w:val="4"/>
              </w:rPr>
            </w:pPr>
            <w:r>
              <w:rPr>
                <w:sz w:val="4"/>
                <w:szCs w:val="4"/>
              </w:rPr>
            </w:r>
          </w:p>
        </w:tc>
        <w:tc>
          <w:tcPr>
            <w:tcW w:w="1303" w:type="dxa"/>
            <w:tcBorders/>
            <w:vAlign w:val="center"/>
          </w:tcPr>
          <w:p>
            <w:pPr>
              <w:pStyle w:val="TableContents"/>
              <w:bidi w:val="0"/>
              <w:spacing w:before="0" w:after="283"/>
              <w:jc w:val="left"/>
              <w:rPr>
                <w:sz w:val="4"/>
                <w:szCs w:val="4"/>
              </w:rPr>
            </w:pPr>
            <w:r>
              <w:rPr>
                <w:sz w:val="4"/>
                <w:szCs w:val="4"/>
              </w:rPr>
            </w:r>
          </w:p>
        </w:tc>
        <w:tc>
          <w:tcPr>
            <w:tcW w:w="363" w:type="dxa"/>
            <w:tcBorders/>
            <w:vAlign w:val="center"/>
          </w:tcPr>
          <w:p>
            <w:pPr>
              <w:pStyle w:val="TableContents"/>
              <w:bidi w:val="0"/>
              <w:spacing w:before="0" w:after="283"/>
              <w:jc w:val="left"/>
              <w:rPr>
                <w:sz w:val="4"/>
                <w:szCs w:val="4"/>
              </w:rPr>
            </w:pPr>
            <w:r>
              <w:rPr>
                <w:sz w:val="4"/>
                <w:szCs w:val="4"/>
              </w:rPr>
            </w:r>
          </w:p>
        </w:tc>
        <w:tc>
          <w:tcPr>
            <w:tcW w:w="648"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363" w:type="dxa"/>
            <w:tcBorders/>
            <w:vAlign w:val="center"/>
          </w:tcPr>
          <w:p>
            <w:pPr>
              <w:pStyle w:val="TableContents"/>
              <w:bidi w:val="0"/>
              <w:spacing w:before="0" w:after="283"/>
              <w:jc w:val="left"/>
              <w:rPr>
                <w:sz w:val="4"/>
                <w:szCs w:val="4"/>
              </w:rPr>
            </w:pPr>
            <w:r>
              <w:rPr>
                <w:sz w:val="4"/>
                <w:szCs w:val="4"/>
              </w:rPr>
            </w:r>
          </w:p>
        </w:tc>
        <w:tc>
          <w:tcPr>
            <w:tcW w:w="648"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363" w:type="dxa"/>
            <w:tcBorders/>
            <w:vAlign w:val="center"/>
          </w:tcPr>
          <w:p>
            <w:pPr>
              <w:pStyle w:val="TableContents"/>
              <w:bidi w:val="0"/>
              <w:spacing w:before="0" w:after="283"/>
              <w:jc w:val="left"/>
              <w:rPr>
                <w:sz w:val="4"/>
                <w:szCs w:val="4"/>
              </w:rPr>
            </w:pPr>
            <w:r>
              <w:rPr>
                <w:sz w:val="4"/>
                <w:szCs w:val="4"/>
              </w:rPr>
            </w:r>
          </w:p>
        </w:tc>
        <w:tc>
          <w:tcPr>
            <w:tcW w:w="648"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357" w:type="dxa"/>
            <w:tcBorders/>
            <w:vAlign w:val="center"/>
          </w:tcPr>
          <w:p>
            <w:pPr>
              <w:pStyle w:val="TableContents"/>
              <w:bidi w:val="0"/>
              <w:spacing w:before="0" w:after="283"/>
              <w:jc w:val="left"/>
              <w:rPr>
                <w:sz w:val="4"/>
                <w:szCs w:val="4"/>
              </w:rPr>
            </w:pPr>
            <w:r>
              <w:rPr>
                <w:sz w:val="4"/>
                <w:szCs w:val="4"/>
              </w:rPr>
            </w:r>
          </w:p>
        </w:tc>
        <w:tc>
          <w:tcPr>
            <w:tcW w:w="636"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r>
      <w:tr>
        <w:trPr/>
        <w:tc>
          <w:tcPr>
            <w:tcW w:w="41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Three Months Ended</w:t>
            </w:r>
          </w:p>
        </w:tc>
        <w:tc>
          <w:tcPr>
            <w:tcW w:w="3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Six Months Ended</w:t>
            </w:r>
          </w:p>
        </w:tc>
      </w:tr>
      <w:tr>
        <w:trPr/>
        <w:tc>
          <w:tcPr>
            <w:tcW w:w="41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June 30, 2026</w:t>
            </w:r>
          </w:p>
        </w:tc>
        <w:tc>
          <w:tcPr>
            <w:tcW w:w="41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June 30, 2025</w:t>
            </w:r>
          </w:p>
        </w:tc>
        <w:tc>
          <w:tcPr>
            <w:tcW w:w="3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June 30, 2026</w:t>
            </w:r>
          </w:p>
        </w:tc>
        <w:tc>
          <w:tcPr>
            <w:tcW w:w="3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June 30, 2025</w:t>
            </w:r>
          </w:p>
        </w:tc>
      </w:tr>
      <w:tr>
        <w:trPr/>
        <w:tc>
          <w:tcPr>
            <w:tcW w:w="41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Segment financial results attributable to common stockholders</w:t>
            </w:r>
          </w:p>
        </w:tc>
        <w:tc>
          <w:tcPr>
            <w:tcW w:w="36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17 </w:t>
            </w:r>
          </w:p>
        </w:tc>
        <w:tc>
          <w:tcPr>
            <w:tcW w:w="18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16 </w:t>
            </w:r>
          </w:p>
        </w:tc>
        <w:tc>
          <w:tcPr>
            <w:tcW w:w="18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36 </w:t>
            </w:r>
          </w:p>
        </w:tc>
        <w:tc>
          <w:tcPr>
            <w:tcW w:w="18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34 </w:t>
            </w:r>
          </w:p>
        </w:tc>
        <w:tc>
          <w:tcPr>
            <w:tcW w:w="26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Depreciation and amortization</w:t>
            </w:r>
          </w:p>
        </w:tc>
        <w:tc>
          <w:tcPr>
            <w:tcW w:w="10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14 </w:t>
            </w:r>
          </w:p>
        </w:tc>
        <w:tc>
          <w:tcPr>
            <w:tcW w:w="2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45" w:type="dxa"/>
            <w:gridSpan w:val="3"/>
            <w:tcBorders/>
            <w:vAlign w:val="center"/>
          </w:tcPr>
          <w:p>
            <w:pPr>
              <w:pStyle w:val="TableContents"/>
              <w:bidi w:val="0"/>
              <w:spacing w:before="0" w:after="283"/>
              <w:jc w:val="left"/>
              <w:rPr>
                <w:sz w:val="4"/>
                <w:szCs w:val="4"/>
              </w:rPr>
            </w:pPr>
            <w:r>
              <w:rPr>
                <w:sz w:val="4"/>
                <w:szCs w:val="4"/>
              </w:rPr>
            </w:r>
          </w:p>
        </w:tc>
        <w:tc>
          <w:tcPr>
            <w:tcW w:w="1199" w:type="dxa"/>
            <w:gridSpan w:val="3"/>
            <w:tcBorders/>
            <w:vAlign w:val="center"/>
          </w:tcPr>
          <w:p>
            <w:pPr>
              <w:pStyle w:val="TableContents"/>
              <w:bidi w:val="0"/>
              <w:spacing w:before="0" w:after="283"/>
              <w:jc w:val="left"/>
              <w:rPr>
                <w:sz w:val="4"/>
                <w:szCs w:val="4"/>
              </w:rPr>
            </w:pPr>
            <w:r>
              <w:rPr>
                <w:sz w:val="4"/>
                <w:szCs w:val="4"/>
              </w:rPr>
            </w:r>
          </w:p>
        </w:tc>
        <w:tc>
          <w:tcPr>
            <w:tcW w:w="411" w:type="dxa"/>
            <w:gridSpan w:val="3"/>
            <w:tcBorders/>
            <w:vAlign w:val="center"/>
          </w:tcPr>
          <w:p>
            <w:pPr>
              <w:pStyle w:val="TableContents"/>
              <w:bidi w:val="0"/>
              <w:spacing w:before="0" w:after="283"/>
              <w:jc w:val="left"/>
              <w:rPr>
                <w:sz w:val="4"/>
                <w:szCs w:val="4"/>
              </w:rPr>
            </w:pPr>
            <w:r>
              <w:rPr>
                <w:sz w:val="4"/>
                <w:szCs w:val="4"/>
              </w:rPr>
            </w:r>
          </w:p>
        </w:tc>
        <w:tc>
          <w:tcPr>
            <w:tcW w:w="1199" w:type="dxa"/>
            <w:gridSpan w:val="3"/>
            <w:tcBorders/>
            <w:vAlign w:val="center"/>
          </w:tcPr>
          <w:p>
            <w:pPr>
              <w:pStyle w:val="TableContents"/>
              <w:bidi w:val="0"/>
              <w:spacing w:before="0" w:after="283"/>
              <w:jc w:val="left"/>
              <w:rPr>
                <w:sz w:val="4"/>
                <w:szCs w:val="4"/>
              </w:rPr>
            </w:pPr>
            <w:r>
              <w:rPr>
                <w:sz w:val="4"/>
                <w:szCs w:val="4"/>
              </w:rPr>
            </w:r>
          </w:p>
        </w:tc>
        <w:tc>
          <w:tcPr>
            <w:tcW w:w="396" w:type="dxa"/>
            <w:gridSpan w:val="3"/>
            <w:tcBorders/>
            <w:vAlign w:val="center"/>
          </w:tcPr>
          <w:p>
            <w:pPr>
              <w:pStyle w:val="TableContents"/>
              <w:bidi w:val="0"/>
              <w:spacing w:before="0" w:after="283"/>
              <w:jc w:val="left"/>
              <w:rPr>
                <w:sz w:val="4"/>
                <w:szCs w:val="4"/>
              </w:rPr>
            </w:pPr>
            <w:r>
              <w:rPr>
                <w:sz w:val="4"/>
                <w:szCs w:val="4"/>
              </w:rPr>
            </w:r>
          </w:p>
        </w:tc>
        <w:tc>
          <w:tcPr>
            <w:tcW w:w="1199" w:type="dxa"/>
            <w:gridSpan w:val="3"/>
            <w:tcBorders/>
            <w:vAlign w:val="center"/>
          </w:tcPr>
          <w:p>
            <w:pPr>
              <w:pStyle w:val="TableContents"/>
              <w:bidi w:val="0"/>
              <w:spacing w:before="0" w:after="283"/>
              <w:jc w:val="left"/>
              <w:rPr>
                <w:sz w:val="4"/>
                <w:szCs w:val="4"/>
              </w:rPr>
            </w:pPr>
            <w:r>
              <w:rPr>
                <w:sz w:val="4"/>
                <w:szCs w:val="4"/>
              </w:rPr>
            </w:r>
          </w:p>
        </w:tc>
        <w:tc>
          <w:tcPr>
            <w:tcW w:w="396" w:type="dxa"/>
            <w:gridSpan w:val="3"/>
            <w:tcBorders/>
            <w:vAlign w:val="center"/>
          </w:tcPr>
          <w:p>
            <w:pPr>
              <w:pStyle w:val="TableContents"/>
              <w:bidi w:val="0"/>
              <w:spacing w:before="0" w:after="283"/>
              <w:jc w:val="left"/>
              <w:rPr>
                <w:sz w:val="4"/>
                <w:szCs w:val="4"/>
              </w:rPr>
            </w:pPr>
            <w:r>
              <w:rPr>
                <w:sz w:val="4"/>
                <w:szCs w:val="4"/>
              </w:rPr>
            </w:r>
          </w:p>
        </w:tc>
        <w:tc>
          <w:tcPr>
            <w:tcW w:w="1260" w:type="dxa"/>
            <w:gridSpan w:val="3"/>
            <w:tcBorders/>
            <w:vAlign w:val="center"/>
          </w:tcPr>
          <w:p>
            <w:pPr>
              <w:pStyle w:val="TableContents"/>
              <w:bidi w:val="0"/>
              <w:spacing w:before="0" w:after="283"/>
              <w:jc w:val="left"/>
              <w:rPr>
                <w:sz w:val="4"/>
                <w:szCs w:val="4"/>
              </w:rPr>
            </w:pPr>
            <w:r>
              <w:rPr>
                <w:sz w:val="4"/>
                <w:szCs w:val="4"/>
              </w:rPr>
            </w:r>
          </w:p>
        </w:tc>
      </w:tr>
      <w:tr>
        <w:trPr/>
        <w:tc>
          <w:tcPr>
            <w:tcW w:w="41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Share-based compensation</w:t>
            </w:r>
          </w:p>
        </w:tc>
        <w:tc>
          <w:tcPr>
            <w:tcW w:w="10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1 </w:t>
            </w:r>
          </w:p>
        </w:tc>
        <w:tc>
          <w:tcPr>
            <w:tcW w:w="1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1 </w:t>
            </w:r>
          </w:p>
        </w:tc>
        <w:tc>
          <w:tcPr>
            <w:tcW w:w="2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Certain items:</w:t>
            </w:r>
          </w:p>
        </w:tc>
        <w:tc>
          <w:tcPr>
            <w:tcW w:w="11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45" w:type="dxa"/>
            <w:gridSpan w:val="3"/>
            <w:tcBorders/>
            <w:vAlign w:val="center"/>
          </w:tcPr>
          <w:p>
            <w:pPr>
              <w:pStyle w:val="TableContents"/>
              <w:bidi w:val="0"/>
              <w:spacing w:before="0" w:after="283"/>
              <w:jc w:val="left"/>
              <w:rPr>
                <w:sz w:val="4"/>
                <w:szCs w:val="4"/>
              </w:rPr>
            </w:pPr>
            <w:r>
              <w:rPr>
                <w:sz w:val="4"/>
                <w:szCs w:val="4"/>
              </w:rPr>
            </w:r>
          </w:p>
        </w:tc>
        <w:tc>
          <w:tcPr>
            <w:tcW w:w="1199" w:type="dxa"/>
            <w:gridSpan w:val="3"/>
            <w:tcBorders/>
            <w:vAlign w:val="center"/>
          </w:tcPr>
          <w:p>
            <w:pPr>
              <w:pStyle w:val="TableContents"/>
              <w:bidi w:val="0"/>
              <w:spacing w:before="0" w:after="283"/>
              <w:jc w:val="left"/>
              <w:rPr>
                <w:sz w:val="4"/>
                <w:szCs w:val="4"/>
              </w:rPr>
            </w:pPr>
            <w:r>
              <w:rPr>
                <w:sz w:val="4"/>
                <w:szCs w:val="4"/>
              </w:rPr>
            </w:r>
          </w:p>
        </w:tc>
        <w:tc>
          <w:tcPr>
            <w:tcW w:w="411" w:type="dxa"/>
            <w:gridSpan w:val="3"/>
            <w:tcBorders/>
            <w:vAlign w:val="center"/>
          </w:tcPr>
          <w:p>
            <w:pPr>
              <w:pStyle w:val="TableContents"/>
              <w:bidi w:val="0"/>
              <w:spacing w:before="0" w:after="283"/>
              <w:jc w:val="left"/>
              <w:rPr>
                <w:sz w:val="4"/>
                <w:szCs w:val="4"/>
              </w:rPr>
            </w:pPr>
            <w:r>
              <w:rPr>
                <w:sz w:val="4"/>
                <w:szCs w:val="4"/>
              </w:rPr>
            </w:r>
          </w:p>
        </w:tc>
        <w:tc>
          <w:tcPr>
            <w:tcW w:w="1199" w:type="dxa"/>
            <w:gridSpan w:val="3"/>
            <w:tcBorders/>
            <w:vAlign w:val="center"/>
          </w:tcPr>
          <w:p>
            <w:pPr>
              <w:pStyle w:val="TableContents"/>
              <w:bidi w:val="0"/>
              <w:spacing w:before="0" w:after="283"/>
              <w:jc w:val="left"/>
              <w:rPr>
                <w:sz w:val="4"/>
                <w:szCs w:val="4"/>
              </w:rPr>
            </w:pPr>
            <w:r>
              <w:rPr>
                <w:sz w:val="4"/>
                <w:szCs w:val="4"/>
              </w:rPr>
            </w:r>
          </w:p>
        </w:tc>
        <w:tc>
          <w:tcPr>
            <w:tcW w:w="396" w:type="dxa"/>
            <w:gridSpan w:val="3"/>
            <w:tcBorders/>
            <w:vAlign w:val="center"/>
          </w:tcPr>
          <w:p>
            <w:pPr>
              <w:pStyle w:val="TableContents"/>
              <w:bidi w:val="0"/>
              <w:spacing w:before="0" w:after="283"/>
              <w:jc w:val="left"/>
              <w:rPr>
                <w:sz w:val="4"/>
                <w:szCs w:val="4"/>
              </w:rPr>
            </w:pPr>
            <w:r>
              <w:rPr>
                <w:sz w:val="4"/>
                <w:szCs w:val="4"/>
              </w:rPr>
            </w:r>
          </w:p>
        </w:tc>
        <w:tc>
          <w:tcPr>
            <w:tcW w:w="1199" w:type="dxa"/>
            <w:gridSpan w:val="3"/>
            <w:tcBorders/>
            <w:vAlign w:val="center"/>
          </w:tcPr>
          <w:p>
            <w:pPr>
              <w:pStyle w:val="TableContents"/>
              <w:bidi w:val="0"/>
              <w:spacing w:before="0" w:after="283"/>
              <w:jc w:val="left"/>
              <w:rPr>
                <w:sz w:val="4"/>
                <w:szCs w:val="4"/>
              </w:rPr>
            </w:pPr>
            <w:r>
              <w:rPr>
                <w:sz w:val="4"/>
                <w:szCs w:val="4"/>
              </w:rPr>
            </w:r>
          </w:p>
        </w:tc>
        <w:tc>
          <w:tcPr>
            <w:tcW w:w="396" w:type="dxa"/>
            <w:gridSpan w:val="3"/>
            <w:tcBorders/>
            <w:vAlign w:val="center"/>
          </w:tcPr>
          <w:p>
            <w:pPr>
              <w:pStyle w:val="TableContents"/>
              <w:bidi w:val="0"/>
              <w:spacing w:before="0" w:after="283"/>
              <w:jc w:val="left"/>
              <w:rPr>
                <w:sz w:val="4"/>
                <w:szCs w:val="4"/>
              </w:rPr>
            </w:pPr>
            <w:r>
              <w:rPr>
                <w:sz w:val="4"/>
                <w:szCs w:val="4"/>
              </w:rPr>
            </w:r>
          </w:p>
        </w:tc>
        <w:tc>
          <w:tcPr>
            <w:tcW w:w="1260" w:type="dxa"/>
            <w:gridSpan w:val="3"/>
            <w:tcBorders/>
            <w:vAlign w:val="center"/>
          </w:tcPr>
          <w:p>
            <w:pPr>
              <w:pStyle w:val="TableContents"/>
              <w:bidi w:val="0"/>
              <w:spacing w:before="0" w:after="283"/>
              <w:jc w:val="left"/>
              <w:rPr>
                <w:sz w:val="4"/>
                <w:szCs w:val="4"/>
              </w:rPr>
            </w:pPr>
            <w:r>
              <w:rPr>
                <w:sz w:val="4"/>
                <w:szCs w:val="4"/>
              </w:rPr>
            </w:r>
          </w:p>
        </w:tc>
      </w:tr>
      <w:tr>
        <w:trPr/>
        <w:tc>
          <w:tcPr>
            <w:tcW w:w="4145" w:type="dxa"/>
            <w:gridSpan w:val="3"/>
            <w:tcBorders/>
            <w:vAlign w:val="center"/>
          </w:tcPr>
          <w:p>
            <w:pPr>
              <w:pStyle w:val="TableContents"/>
              <w:bidi w:val="0"/>
              <w:spacing w:before="0" w:after="283"/>
              <w:jc w:val="left"/>
              <w:rPr>
                <w:sz w:val="4"/>
                <w:szCs w:val="4"/>
              </w:rPr>
            </w:pPr>
            <w:r>
              <w:rPr>
                <w:sz w:val="4"/>
                <w:szCs w:val="4"/>
              </w:rPr>
            </w:r>
          </w:p>
        </w:tc>
        <w:tc>
          <w:tcPr>
            <w:tcW w:w="1199" w:type="dxa"/>
            <w:gridSpan w:val="3"/>
            <w:tcBorders/>
            <w:vAlign w:val="center"/>
          </w:tcPr>
          <w:p>
            <w:pPr>
              <w:pStyle w:val="TableContents"/>
              <w:bidi w:val="0"/>
              <w:spacing w:before="0" w:after="283"/>
              <w:jc w:val="left"/>
              <w:rPr>
                <w:sz w:val="4"/>
                <w:szCs w:val="4"/>
              </w:rPr>
            </w:pPr>
            <w:r>
              <w:rPr>
                <w:sz w:val="4"/>
                <w:szCs w:val="4"/>
              </w:rPr>
            </w:r>
          </w:p>
        </w:tc>
        <w:tc>
          <w:tcPr>
            <w:tcW w:w="411" w:type="dxa"/>
            <w:gridSpan w:val="3"/>
            <w:tcBorders/>
            <w:vAlign w:val="center"/>
          </w:tcPr>
          <w:p>
            <w:pPr>
              <w:pStyle w:val="TableContents"/>
              <w:bidi w:val="0"/>
              <w:spacing w:before="0" w:after="283"/>
              <w:jc w:val="left"/>
              <w:rPr>
                <w:sz w:val="4"/>
                <w:szCs w:val="4"/>
              </w:rPr>
            </w:pPr>
            <w:r>
              <w:rPr>
                <w:sz w:val="4"/>
                <w:szCs w:val="4"/>
              </w:rPr>
            </w:r>
          </w:p>
        </w:tc>
        <w:tc>
          <w:tcPr>
            <w:tcW w:w="1199" w:type="dxa"/>
            <w:gridSpan w:val="3"/>
            <w:tcBorders/>
            <w:vAlign w:val="center"/>
          </w:tcPr>
          <w:p>
            <w:pPr>
              <w:pStyle w:val="TableContents"/>
              <w:bidi w:val="0"/>
              <w:spacing w:before="0" w:after="283"/>
              <w:jc w:val="left"/>
              <w:rPr>
                <w:sz w:val="4"/>
                <w:szCs w:val="4"/>
              </w:rPr>
            </w:pPr>
            <w:r>
              <w:rPr>
                <w:sz w:val="4"/>
                <w:szCs w:val="4"/>
              </w:rPr>
            </w:r>
          </w:p>
        </w:tc>
        <w:tc>
          <w:tcPr>
            <w:tcW w:w="396" w:type="dxa"/>
            <w:gridSpan w:val="3"/>
            <w:tcBorders/>
            <w:vAlign w:val="center"/>
          </w:tcPr>
          <w:p>
            <w:pPr>
              <w:pStyle w:val="TableContents"/>
              <w:bidi w:val="0"/>
              <w:spacing w:before="0" w:after="283"/>
              <w:jc w:val="left"/>
              <w:rPr>
                <w:sz w:val="4"/>
                <w:szCs w:val="4"/>
              </w:rPr>
            </w:pPr>
            <w:r>
              <w:rPr>
                <w:sz w:val="4"/>
                <w:szCs w:val="4"/>
              </w:rPr>
            </w:r>
          </w:p>
        </w:tc>
        <w:tc>
          <w:tcPr>
            <w:tcW w:w="1199" w:type="dxa"/>
            <w:gridSpan w:val="3"/>
            <w:tcBorders/>
            <w:vAlign w:val="center"/>
          </w:tcPr>
          <w:p>
            <w:pPr>
              <w:pStyle w:val="TableContents"/>
              <w:bidi w:val="0"/>
              <w:spacing w:before="0" w:after="283"/>
              <w:jc w:val="left"/>
              <w:rPr>
                <w:sz w:val="4"/>
                <w:szCs w:val="4"/>
              </w:rPr>
            </w:pPr>
            <w:r>
              <w:rPr>
                <w:sz w:val="4"/>
                <w:szCs w:val="4"/>
              </w:rPr>
            </w:r>
          </w:p>
        </w:tc>
        <w:tc>
          <w:tcPr>
            <w:tcW w:w="396" w:type="dxa"/>
            <w:gridSpan w:val="3"/>
            <w:tcBorders/>
            <w:vAlign w:val="center"/>
          </w:tcPr>
          <w:p>
            <w:pPr>
              <w:pStyle w:val="TableContents"/>
              <w:bidi w:val="0"/>
              <w:spacing w:before="0" w:after="283"/>
              <w:jc w:val="left"/>
              <w:rPr>
                <w:sz w:val="4"/>
                <w:szCs w:val="4"/>
              </w:rPr>
            </w:pPr>
            <w:r>
              <w:rPr>
                <w:sz w:val="4"/>
                <w:szCs w:val="4"/>
              </w:rPr>
            </w:r>
          </w:p>
        </w:tc>
        <w:tc>
          <w:tcPr>
            <w:tcW w:w="1260" w:type="dxa"/>
            <w:gridSpan w:val="3"/>
            <w:tcBorders/>
            <w:vAlign w:val="center"/>
          </w:tcPr>
          <w:p>
            <w:pPr>
              <w:pStyle w:val="TableContents"/>
              <w:bidi w:val="0"/>
              <w:spacing w:before="0" w:after="283"/>
              <w:jc w:val="left"/>
              <w:rPr>
                <w:sz w:val="4"/>
                <w:szCs w:val="4"/>
              </w:rPr>
            </w:pPr>
            <w:r>
              <w:rPr>
                <w:sz w:val="4"/>
                <w:szCs w:val="4"/>
              </w:rPr>
            </w:r>
          </w:p>
        </w:tc>
      </w:tr>
      <w:tr>
        <w:trPr/>
        <w:tc>
          <w:tcPr>
            <w:tcW w:w="4145" w:type="dxa"/>
            <w:gridSpan w:val="3"/>
            <w:tcBorders/>
            <w:vAlign w:val="center"/>
          </w:tcPr>
          <w:p>
            <w:pPr>
              <w:pStyle w:val="TableContents"/>
              <w:bidi w:val="0"/>
              <w:spacing w:before="0" w:after="283"/>
              <w:jc w:val="left"/>
              <w:rPr>
                <w:sz w:val="4"/>
                <w:szCs w:val="4"/>
              </w:rPr>
            </w:pPr>
            <w:r>
              <w:rPr>
                <w:sz w:val="4"/>
                <w:szCs w:val="4"/>
              </w:rPr>
            </w:r>
          </w:p>
        </w:tc>
        <w:tc>
          <w:tcPr>
            <w:tcW w:w="1199" w:type="dxa"/>
            <w:gridSpan w:val="3"/>
            <w:tcBorders/>
            <w:vAlign w:val="center"/>
          </w:tcPr>
          <w:p>
            <w:pPr>
              <w:pStyle w:val="TableContents"/>
              <w:bidi w:val="0"/>
              <w:spacing w:before="0" w:after="283"/>
              <w:jc w:val="left"/>
              <w:rPr>
                <w:sz w:val="4"/>
                <w:szCs w:val="4"/>
              </w:rPr>
            </w:pPr>
            <w:r>
              <w:rPr>
                <w:sz w:val="4"/>
                <w:szCs w:val="4"/>
              </w:rPr>
            </w:r>
          </w:p>
        </w:tc>
        <w:tc>
          <w:tcPr>
            <w:tcW w:w="411" w:type="dxa"/>
            <w:gridSpan w:val="3"/>
            <w:tcBorders/>
            <w:vAlign w:val="center"/>
          </w:tcPr>
          <w:p>
            <w:pPr>
              <w:pStyle w:val="TableContents"/>
              <w:bidi w:val="0"/>
              <w:spacing w:before="0" w:after="283"/>
              <w:jc w:val="left"/>
              <w:rPr>
                <w:sz w:val="4"/>
                <w:szCs w:val="4"/>
              </w:rPr>
            </w:pPr>
            <w:r>
              <w:rPr>
                <w:sz w:val="4"/>
                <w:szCs w:val="4"/>
              </w:rPr>
            </w:r>
          </w:p>
        </w:tc>
        <w:tc>
          <w:tcPr>
            <w:tcW w:w="1199" w:type="dxa"/>
            <w:gridSpan w:val="3"/>
            <w:tcBorders/>
            <w:vAlign w:val="center"/>
          </w:tcPr>
          <w:p>
            <w:pPr>
              <w:pStyle w:val="TableContents"/>
              <w:bidi w:val="0"/>
              <w:spacing w:before="0" w:after="283"/>
              <w:jc w:val="left"/>
              <w:rPr>
                <w:sz w:val="4"/>
                <w:szCs w:val="4"/>
              </w:rPr>
            </w:pPr>
            <w:r>
              <w:rPr>
                <w:sz w:val="4"/>
                <w:szCs w:val="4"/>
              </w:rPr>
            </w:r>
          </w:p>
        </w:tc>
        <w:tc>
          <w:tcPr>
            <w:tcW w:w="396" w:type="dxa"/>
            <w:gridSpan w:val="3"/>
            <w:tcBorders/>
            <w:vAlign w:val="center"/>
          </w:tcPr>
          <w:p>
            <w:pPr>
              <w:pStyle w:val="TableContents"/>
              <w:bidi w:val="0"/>
              <w:spacing w:before="0" w:after="283"/>
              <w:jc w:val="left"/>
              <w:rPr>
                <w:sz w:val="4"/>
                <w:szCs w:val="4"/>
              </w:rPr>
            </w:pPr>
            <w:r>
              <w:rPr>
                <w:sz w:val="4"/>
                <w:szCs w:val="4"/>
              </w:rPr>
            </w:r>
          </w:p>
        </w:tc>
        <w:tc>
          <w:tcPr>
            <w:tcW w:w="1199" w:type="dxa"/>
            <w:gridSpan w:val="3"/>
            <w:tcBorders/>
            <w:vAlign w:val="center"/>
          </w:tcPr>
          <w:p>
            <w:pPr>
              <w:pStyle w:val="TableContents"/>
              <w:bidi w:val="0"/>
              <w:spacing w:before="0" w:after="283"/>
              <w:jc w:val="left"/>
              <w:rPr>
                <w:sz w:val="4"/>
                <w:szCs w:val="4"/>
              </w:rPr>
            </w:pPr>
            <w:r>
              <w:rPr>
                <w:sz w:val="4"/>
                <w:szCs w:val="4"/>
              </w:rPr>
            </w:r>
          </w:p>
        </w:tc>
        <w:tc>
          <w:tcPr>
            <w:tcW w:w="396" w:type="dxa"/>
            <w:gridSpan w:val="3"/>
            <w:tcBorders/>
            <w:vAlign w:val="center"/>
          </w:tcPr>
          <w:p>
            <w:pPr>
              <w:pStyle w:val="TableContents"/>
              <w:bidi w:val="0"/>
              <w:spacing w:before="0" w:after="283"/>
              <w:jc w:val="left"/>
              <w:rPr>
                <w:sz w:val="4"/>
                <w:szCs w:val="4"/>
              </w:rPr>
            </w:pPr>
            <w:r>
              <w:rPr>
                <w:sz w:val="4"/>
                <w:szCs w:val="4"/>
              </w:rPr>
            </w:r>
          </w:p>
        </w:tc>
        <w:tc>
          <w:tcPr>
            <w:tcW w:w="1260" w:type="dxa"/>
            <w:gridSpan w:val="3"/>
            <w:tcBorders/>
            <w:vAlign w:val="center"/>
          </w:tcPr>
          <w:p>
            <w:pPr>
              <w:pStyle w:val="TableContents"/>
              <w:bidi w:val="0"/>
              <w:spacing w:before="0" w:after="283"/>
              <w:jc w:val="left"/>
              <w:rPr>
                <w:sz w:val="4"/>
                <w:szCs w:val="4"/>
              </w:rPr>
            </w:pPr>
            <w:r>
              <w:rPr>
                <w:sz w:val="4"/>
                <w:szCs w:val="4"/>
              </w:rPr>
            </w:r>
          </w:p>
        </w:tc>
      </w:tr>
      <w:tr>
        <w:trPr/>
        <w:tc>
          <w:tcPr>
            <w:tcW w:w="414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Impairment</w:t>
            </w:r>
            <w:r>
              <w:rPr>
                <w:color w:val="000000"/>
              </w:rPr>
              <w:t>†</w:t>
            </w:r>
          </w:p>
        </w:tc>
        <w:tc>
          <w:tcPr>
            <w:tcW w:w="10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2 </w:t>
            </w:r>
          </w:p>
        </w:tc>
        <w:tc>
          <w:tcPr>
            <w:tcW w:w="2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w:t>
            </w:r>
          </w:p>
        </w:tc>
        <w:tc>
          <w:tcPr>
            <w:tcW w:w="10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45" w:type="dxa"/>
            <w:gridSpan w:val="3"/>
            <w:tcBorders/>
            <w:vAlign w:val="center"/>
          </w:tcPr>
          <w:p>
            <w:pPr>
              <w:pStyle w:val="TableContents"/>
              <w:bidi w:val="0"/>
              <w:spacing w:before="0" w:after="283"/>
              <w:jc w:val="left"/>
              <w:rPr>
                <w:sz w:val="4"/>
                <w:szCs w:val="4"/>
              </w:rPr>
            </w:pPr>
            <w:r>
              <w:rPr>
                <w:sz w:val="4"/>
                <w:szCs w:val="4"/>
              </w:rPr>
            </w:r>
          </w:p>
        </w:tc>
        <w:tc>
          <w:tcPr>
            <w:tcW w:w="1199" w:type="dxa"/>
            <w:gridSpan w:val="3"/>
            <w:tcBorders/>
            <w:vAlign w:val="center"/>
          </w:tcPr>
          <w:p>
            <w:pPr>
              <w:pStyle w:val="TableContents"/>
              <w:bidi w:val="0"/>
              <w:spacing w:before="0" w:after="283"/>
              <w:jc w:val="left"/>
              <w:rPr>
                <w:sz w:val="4"/>
                <w:szCs w:val="4"/>
              </w:rPr>
            </w:pPr>
            <w:r>
              <w:rPr>
                <w:sz w:val="4"/>
                <w:szCs w:val="4"/>
              </w:rPr>
            </w:r>
          </w:p>
        </w:tc>
        <w:tc>
          <w:tcPr>
            <w:tcW w:w="411" w:type="dxa"/>
            <w:gridSpan w:val="3"/>
            <w:tcBorders/>
            <w:vAlign w:val="center"/>
          </w:tcPr>
          <w:p>
            <w:pPr>
              <w:pStyle w:val="TableContents"/>
              <w:bidi w:val="0"/>
              <w:spacing w:before="0" w:after="283"/>
              <w:jc w:val="left"/>
              <w:rPr>
                <w:sz w:val="4"/>
                <w:szCs w:val="4"/>
              </w:rPr>
            </w:pPr>
            <w:r>
              <w:rPr>
                <w:sz w:val="4"/>
                <w:szCs w:val="4"/>
              </w:rPr>
            </w:r>
          </w:p>
        </w:tc>
        <w:tc>
          <w:tcPr>
            <w:tcW w:w="1199" w:type="dxa"/>
            <w:gridSpan w:val="3"/>
            <w:tcBorders/>
            <w:vAlign w:val="center"/>
          </w:tcPr>
          <w:p>
            <w:pPr>
              <w:pStyle w:val="TableContents"/>
              <w:bidi w:val="0"/>
              <w:spacing w:before="0" w:after="283"/>
              <w:jc w:val="left"/>
              <w:rPr>
                <w:sz w:val="4"/>
                <w:szCs w:val="4"/>
              </w:rPr>
            </w:pPr>
            <w:r>
              <w:rPr>
                <w:sz w:val="4"/>
                <w:szCs w:val="4"/>
              </w:rPr>
            </w:r>
          </w:p>
        </w:tc>
        <w:tc>
          <w:tcPr>
            <w:tcW w:w="396" w:type="dxa"/>
            <w:gridSpan w:val="3"/>
            <w:tcBorders/>
            <w:vAlign w:val="center"/>
          </w:tcPr>
          <w:p>
            <w:pPr>
              <w:pStyle w:val="TableContents"/>
              <w:bidi w:val="0"/>
              <w:spacing w:before="0" w:after="283"/>
              <w:jc w:val="left"/>
              <w:rPr>
                <w:sz w:val="4"/>
                <w:szCs w:val="4"/>
              </w:rPr>
            </w:pPr>
            <w:r>
              <w:rPr>
                <w:sz w:val="4"/>
                <w:szCs w:val="4"/>
              </w:rPr>
            </w:r>
          </w:p>
        </w:tc>
        <w:tc>
          <w:tcPr>
            <w:tcW w:w="1199" w:type="dxa"/>
            <w:gridSpan w:val="3"/>
            <w:tcBorders/>
            <w:vAlign w:val="center"/>
          </w:tcPr>
          <w:p>
            <w:pPr>
              <w:pStyle w:val="TableContents"/>
              <w:bidi w:val="0"/>
              <w:spacing w:before="0" w:after="283"/>
              <w:jc w:val="left"/>
              <w:rPr>
                <w:sz w:val="4"/>
                <w:szCs w:val="4"/>
              </w:rPr>
            </w:pPr>
            <w:r>
              <w:rPr>
                <w:sz w:val="4"/>
                <w:szCs w:val="4"/>
              </w:rPr>
            </w:r>
          </w:p>
        </w:tc>
        <w:tc>
          <w:tcPr>
            <w:tcW w:w="396" w:type="dxa"/>
            <w:gridSpan w:val="3"/>
            <w:tcBorders/>
            <w:vAlign w:val="center"/>
          </w:tcPr>
          <w:p>
            <w:pPr>
              <w:pStyle w:val="TableContents"/>
              <w:bidi w:val="0"/>
              <w:spacing w:before="0" w:after="283"/>
              <w:jc w:val="left"/>
              <w:rPr>
                <w:sz w:val="4"/>
                <w:szCs w:val="4"/>
              </w:rPr>
            </w:pPr>
            <w:r>
              <w:rPr>
                <w:sz w:val="4"/>
                <w:szCs w:val="4"/>
              </w:rPr>
            </w:r>
          </w:p>
        </w:tc>
        <w:tc>
          <w:tcPr>
            <w:tcW w:w="1260" w:type="dxa"/>
            <w:gridSpan w:val="3"/>
            <w:tcBorders/>
            <w:vAlign w:val="center"/>
          </w:tcPr>
          <w:p>
            <w:pPr>
              <w:pStyle w:val="TableContents"/>
              <w:bidi w:val="0"/>
              <w:spacing w:before="0" w:after="283"/>
              <w:jc w:val="left"/>
              <w:rPr>
                <w:sz w:val="4"/>
                <w:szCs w:val="4"/>
              </w:rPr>
            </w:pPr>
            <w:r>
              <w:rPr>
                <w:sz w:val="4"/>
                <w:szCs w:val="4"/>
              </w:rPr>
            </w:r>
          </w:p>
        </w:tc>
      </w:tr>
      <w:tr>
        <w:trPr/>
        <w:tc>
          <w:tcPr>
            <w:tcW w:w="41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Segment Adjusted EBITDA*</w:t>
            </w:r>
          </w:p>
        </w:tc>
        <w:tc>
          <w:tcPr>
            <w:tcW w:w="36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22 </w:t>
            </w:r>
          </w:p>
        </w:tc>
        <w:tc>
          <w:tcPr>
            <w:tcW w:w="18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23 </w:t>
            </w:r>
          </w:p>
        </w:tc>
        <w:tc>
          <w:tcPr>
            <w:tcW w:w="18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46 </w:t>
            </w:r>
          </w:p>
        </w:tc>
        <w:tc>
          <w:tcPr>
            <w:tcW w:w="18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51 </w:t>
            </w:r>
          </w:p>
        </w:tc>
        <w:tc>
          <w:tcPr>
            <w:tcW w:w="26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Segment Adjusted EBITDA Margin*</w:t>
            </w:r>
          </w:p>
        </w:tc>
        <w:tc>
          <w:tcPr>
            <w:tcW w:w="1199" w:type="dxa"/>
            <w:gridSpan w:val="3"/>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43.3%</w:t>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45.9%</w:t>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44.1%</w:t>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47.5%</w:t>
            </w:r>
          </w:p>
        </w:tc>
      </w:tr>
      <w:tr>
        <w:trPr/>
        <w:tc>
          <w:tcPr>
            <w:tcW w:w="41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24"/>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 Denotes non-GAAP financial measures. Please see “Non-GAAP Financial Measures” for additional information about our reasons for providing these alternative financial measures and limitations on their use.</w:t>
            </w:r>
          </w:p>
        </w:tc>
      </w:tr>
      <w:tr>
        <w:trPr/>
        <w:tc>
          <w:tcPr>
            <w:tcW w:w="41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24"/>
            <w:tcBorders/>
            <w:tcMar>
              <w:top w:w="0" w:type="dxa"/>
              <w:left w:w="0" w:type="dxa"/>
              <w:bottom w:w="0" w:type="dxa"/>
              <w:right w:w="0" w:type="dxa"/>
            </w:tcMar>
            <w:vAlign w:val="center"/>
          </w:tcPr>
          <w:p>
            <w:pPr>
              <w:pStyle w:val="TableContents"/>
              <w:bidi w:val="0"/>
              <w:spacing w:lineRule="auto" w:line="240" w:before="60" w:after="40"/>
              <w:jc w:val="left"/>
              <w:rPr/>
            </w:pPr>
            <w:r>
              <w:rPr>
                <w:color w:val="000000"/>
              </w:rPr>
              <w:t xml:space="preserve">† </w:t>
            </w:r>
            <w:r>
              <w:rPr>
                <w:rFonts w:ascii="Arial;sans-serif" w:hAnsi="Arial;sans-serif"/>
                <w:b w:val="false"/>
                <w:color w:val="000000"/>
                <w:sz w:val="20"/>
              </w:rPr>
              <w:t>Prior year amounts have been reclassified to conform with our current year presentation. Please see “Non-GAAP Financial Measures” for additional information.</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A-6</w:t>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75260"/>
                <wp:effectExtent l="0" t="0" r="0" b="0"/>
                <wp:wrapNone/>
                <wp:docPr id="13" name="Frame1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218.8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MARRIOTT VACATIONS WORLDWIDE CORPORATION</w:t>
      </w:r>
    </w:p>
    <w:p>
      <w:pPr>
        <w:pStyle w:val="TextBody"/>
        <w:bidi w:val="0"/>
        <w:spacing w:lineRule="auto" w:line="288" w:before="120" w:after="283"/>
        <w:jc w:val="center"/>
        <w:rPr>
          <w:rFonts w:ascii="Arial;sans-serif" w:hAnsi="Arial;sans-serif"/>
          <w:b/>
          <w:color w:val="000000"/>
          <w:sz w:val="20"/>
        </w:rPr>
      </w:pPr>
      <w:r>
        <w:rPr>
          <w:rFonts w:ascii="Arial;sans-serif" w:hAnsi="Arial;sans-serif"/>
          <w:b/>
          <w:color w:val="000000"/>
          <w:sz w:val="20"/>
        </w:rPr>
        <w:t>CONTRACT SALES TO DEVELOPMENT PROFIT</w:t>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(In millions)</w:t>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(Unaudited)</w:t>
      </w:r>
    </w:p>
    <w:p>
      <w:pPr>
        <w:pStyle w:val="TextBody"/>
        <w:bidi w:val="0"/>
        <w:spacing w:before="0" w:after="0"/>
        <w:jc w:val="center"/>
        <w:rPr/>
      </w:pPr>
      <w:r>
        <w:rPr/>
      </w:r>
    </w:p>
    <w:tbl>
      <w:tblPr>
        <w:tblW w:w="10205" w:type="dxa"/>
        <w:jc w:val="center"/>
        <w:tblInd w:w="0" w:type="dxa"/>
        <w:tblLayout w:type="fixed"/>
        <w:tblCellMar>
          <w:top w:w="28" w:type="dxa"/>
          <w:left w:w="28" w:type="dxa"/>
          <w:bottom w:w="28" w:type="dxa"/>
          <w:right w:w="28" w:type="dxa"/>
        </w:tblCellMar>
      </w:tblPr>
      <w:tblGrid>
        <w:gridCol w:w="1296"/>
        <w:gridCol w:w="941"/>
        <w:gridCol w:w="949"/>
        <w:gridCol w:w="373"/>
        <w:gridCol w:w="852"/>
        <w:gridCol w:w="192"/>
        <w:gridCol w:w="142"/>
        <w:gridCol w:w="142"/>
        <w:gridCol w:w="142"/>
        <w:gridCol w:w="373"/>
        <w:gridCol w:w="852"/>
        <w:gridCol w:w="192"/>
        <w:gridCol w:w="142"/>
        <w:gridCol w:w="142"/>
        <w:gridCol w:w="142"/>
        <w:gridCol w:w="373"/>
        <w:gridCol w:w="852"/>
        <w:gridCol w:w="192"/>
        <w:gridCol w:w="142"/>
        <w:gridCol w:w="142"/>
        <w:gridCol w:w="142"/>
        <w:gridCol w:w="368"/>
        <w:gridCol w:w="840"/>
        <w:gridCol w:w="282"/>
      </w:tblGrid>
      <w:tr>
        <w:trPr/>
        <w:tc>
          <w:tcPr>
            <w:tcW w:w="1296" w:type="dxa"/>
            <w:tcBorders/>
            <w:vAlign w:val="center"/>
          </w:tcPr>
          <w:p>
            <w:pPr>
              <w:pStyle w:val="TableContents"/>
              <w:bidi w:val="0"/>
              <w:spacing w:before="0" w:after="283"/>
              <w:jc w:val="left"/>
              <w:rPr>
                <w:sz w:val="4"/>
                <w:szCs w:val="4"/>
              </w:rPr>
            </w:pPr>
            <w:r>
              <w:rPr>
                <w:sz w:val="4"/>
                <w:szCs w:val="4"/>
              </w:rPr>
            </w:r>
          </w:p>
        </w:tc>
        <w:tc>
          <w:tcPr>
            <w:tcW w:w="941" w:type="dxa"/>
            <w:tcBorders/>
            <w:vAlign w:val="center"/>
          </w:tcPr>
          <w:p>
            <w:pPr>
              <w:pStyle w:val="TableContents"/>
              <w:bidi w:val="0"/>
              <w:spacing w:before="0" w:after="283"/>
              <w:jc w:val="left"/>
              <w:rPr>
                <w:sz w:val="4"/>
                <w:szCs w:val="4"/>
              </w:rPr>
            </w:pPr>
            <w:r>
              <w:rPr>
                <w:sz w:val="4"/>
                <w:szCs w:val="4"/>
              </w:rPr>
            </w:r>
          </w:p>
        </w:tc>
        <w:tc>
          <w:tcPr>
            <w:tcW w:w="949" w:type="dxa"/>
            <w:tcBorders/>
            <w:vAlign w:val="center"/>
          </w:tcPr>
          <w:p>
            <w:pPr>
              <w:pStyle w:val="TableContents"/>
              <w:bidi w:val="0"/>
              <w:spacing w:before="0" w:after="283"/>
              <w:jc w:val="left"/>
              <w:rPr>
                <w:sz w:val="4"/>
                <w:szCs w:val="4"/>
              </w:rPr>
            </w:pPr>
            <w:r>
              <w:rPr>
                <w:sz w:val="4"/>
                <w:szCs w:val="4"/>
              </w:rPr>
            </w:r>
          </w:p>
        </w:tc>
        <w:tc>
          <w:tcPr>
            <w:tcW w:w="373" w:type="dxa"/>
            <w:tcBorders/>
            <w:vAlign w:val="center"/>
          </w:tcPr>
          <w:p>
            <w:pPr>
              <w:pStyle w:val="TableContents"/>
              <w:bidi w:val="0"/>
              <w:spacing w:before="0" w:after="283"/>
              <w:jc w:val="left"/>
              <w:rPr>
                <w:sz w:val="4"/>
                <w:szCs w:val="4"/>
              </w:rPr>
            </w:pPr>
            <w:r>
              <w:rPr>
                <w:sz w:val="4"/>
                <w:szCs w:val="4"/>
              </w:rPr>
            </w:r>
          </w:p>
        </w:tc>
        <w:tc>
          <w:tcPr>
            <w:tcW w:w="852"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373" w:type="dxa"/>
            <w:tcBorders/>
            <w:vAlign w:val="center"/>
          </w:tcPr>
          <w:p>
            <w:pPr>
              <w:pStyle w:val="TableContents"/>
              <w:bidi w:val="0"/>
              <w:spacing w:before="0" w:after="283"/>
              <w:jc w:val="left"/>
              <w:rPr>
                <w:sz w:val="4"/>
                <w:szCs w:val="4"/>
              </w:rPr>
            </w:pPr>
            <w:r>
              <w:rPr>
                <w:sz w:val="4"/>
                <w:szCs w:val="4"/>
              </w:rPr>
            </w:r>
          </w:p>
        </w:tc>
        <w:tc>
          <w:tcPr>
            <w:tcW w:w="852"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373" w:type="dxa"/>
            <w:tcBorders/>
            <w:vAlign w:val="center"/>
          </w:tcPr>
          <w:p>
            <w:pPr>
              <w:pStyle w:val="TableContents"/>
              <w:bidi w:val="0"/>
              <w:spacing w:before="0" w:after="283"/>
              <w:jc w:val="left"/>
              <w:rPr>
                <w:sz w:val="4"/>
                <w:szCs w:val="4"/>
              </w:rPr>
            </w:pPr>
            <w:r>
              <w:rPr>
                <w:sz w:val="4"/>
                <w:szCs w:val="4"/>
              </w:rPr>
            </w:r>
          </w:p>
        </w:tc>
        <w:tc>
          <w:tcPr>
            <w:tcW w:w="852"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840"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r>
      <w:tr>
        <w:trPr/>
        <w:tc>
          <w:tcPr>
            <w:tcW w:w="31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6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Three Months Ended</w:t>
            </w:r>
          </w:p>
        </w:tc>
        <w:tc>
          <w:tcPr>
            <w:tcW w:w="4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Six Months Ended</w:t>
            </w:r>
          </w:p>
        </w:tc>
      </w:tr>
      <w:tr>
        <w:trPr/>
        <w:tc>
          <w:tcPr>
            <w:tcW w:w="31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June 30, 2026</w:t>
            </w:r>
          </w:p>
        </w:tc>
        <w:tc>
          <w:tcPr>
            <w:tcW w:w="42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June 30, 2025</w:t>
            </w:r>
          </w:p>
        </w:tc>
        <w:tc>
          <w:tcPr>
            <w:tcW w:w="4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June 30, 2026</w:t>
            </w:r>
          </w:p>
        </w:tc>
        <w:tc>
          <w:tcPr>
            <w:tcW w:w="42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June 30, 2025</w:t>
            </w:r>
          </w:p>
        </w:tc>
      </w:tr>
      <w:tr>
        <w:trPr/>
        <w:tc>
          <w:tcPr>
            <w:tcW w:w="3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Contract sales</w:t>
            </w:r>
          </w:p>
        </w:tc>
        <w:tc>
          <w:tcPr>
            <w:tcW w:w="3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545 </w:t>
            </w:r>
          </w:p>
        </w:tc>
        <w:tc>
          <w:tcPr>
            <w:tcW w:w="19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445 </w:t>
            </w:r>
          </w:p>
        </w:tc>
        <w:tc>
          <w:tcPr>
            <w:tcW w:w="19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956 </w:t>
            </w:r>
          </w:p>
        </w:tc>
        <w:tc>
          <w:tcPr>
            <w:tcW w:w="19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865 </w:t>
            </w:r>
          </w:p>
        </w:tc>
        <w:tc>
          <w:tcPr>
            <w:tcW w:w="28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Less resales contract sales</w:t>
            </w:r>
          </w:p>
        </w:tc>
        <w:tc>
          <w:tcPr>
            <w:tcW w:w="12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w:t>
            </w:r>
          </w:p>
        </w:tc>
        <w:tc>
          <w:tcPr>
            <w:tcW w:w="2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Contract sales, net of resales</w:t>
            </w:r>
          </w:p>
        </w:tc>
        <w:tc>
          <w:tcPr>
            <w:tcW w:w="122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535 </w:t>
            </w:r>
          </w:p>
        </w:tc>
        <w:tc>
          <w:tcPr>
            <w:tcW w:w="19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438 </w:t>
            </w:r>
          </w:p>
        </w:tc>
        <w:tc>
          <w:tcPr>
            <w:tcW w:w="19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940 </w:t>
            </w:r>
          </w:p>
        </w:tc>
        <w:tc>
          <w:tcPr>
            <w:tcW w:w="19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849 </w:t>
            </w:r>
          </w:p>
        </w:tc>
        <w:tc>
          <w:tcPr>
            <w:tcW w:w="28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Plus:</w:t>
            </w:r>
          </w:p>
        </w:tc>
        <w:tc>
          <w:tcPr>
            <w:tcW w:w="14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Settlement revenue</w:t>
            </w:r>
          </w:p>
        </w:tc>
        <w:tc>
          <w:tcPr>
            <w:tcW w:w="12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12 </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11 </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22 </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20 </w:t>
            </w:r>
          </w:p>
        </w:tc>
        <w:tc>
          <w:tcPr>
            <w:tcW w:w="2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Resales revenue</w:t>
            </w:r>
          </w:p>
        </w:tc>
        <w:tc>
          <w:tcPr>
            <w:tcW w:w="12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9 </w:t>
            </w:r>
          </w:p>
        </w:tc>
        <w:tc>
          <w:tcPr>
            <w:tcW w:w="2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Revenue recognition adjustments:</w:t>
            </w:r>
          </w:p>
        </w:tc>
        <w:tc>
          <w:tcPr>
            <w:tcW w:w="14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Reportability</w:t>
            </w:r>
          </w:p>
        </w:tc>
        <w:tc>
          <w:tcPr>
            <w:tcW w:w="12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7 </w:t>
            </w:r>
          </w:p>
        </w:tc>
        <w:tc>
          <w:tcPr>
            <w:tcW w:w="2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Sales reserve</w:t>
            </w:r>
          </w:p>
        </w:tc>
        <w:tc>
          <w:tcPr>
            <w:tcW w:w="12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(72)</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(58)</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(122)</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(108)</w:t>
            </w:r>
          </w:p>
        </w:tc>
        <w:tc>
          <w:tcPr>
            <w:tcW w:w="2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8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Other</w:t>
            </w:r>
            <w:r>
              <w:rPr>
                <w:rFonts w:ascii="Arial;sans-serif" w:hAnsi="Arial;sans-serif"/>
                <w:b w:val="false"/>
                <w:color w:val="000000"/>
                <w:sz w:val="13"/>
              </w:rPr>
              <w:t>(1)</w:t>
            </w:r>
          </w:p>
        </w:tc>
        <w:tc>
          <w:tcPr>
            <w:tcW w:w="12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(29)</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(28)</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(51)</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(52)</w:t>
            </w:r>
          </w:p>
        </w:tc>
        <w:tc>
          <w:tcPr>
            <w:tcW w:w="2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Sale of vacation ownership products</w:t>
            </w:r>
          </w:p>
        </w:tc>
        <w:tc>
          <w:tcPr>
            <w:tcW w:w="122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430 </w:t>
            </w:r>
          </w:p>
        </w:tc>
        <w:tc>
          <w:tcPr>
            <w:tcW w:w="19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370 </w:t>
            </w:r>
          </w:p>
        </w:tc>
        <w:tc>
          <w:tcPr>
            <w:tcW w:w="19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773 </w:t>
            </w:r>
          </w:p>
        </w:tc>
        <w:tc>
          <w:tcPr>
            <w:tcW w:w="19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725 </w:t>
            </w:r>
          </w:p>
        </w:tc>
        <w:tc>
          <w:tcPr>
            <w:tcW w:w="28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Less:</w:t>
            </w:r>
          </w:p>
        </w:tc>
        <w:tc>
          <w:tcPr>
            <w:tcW w:w="14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Cost of vacation ownership products</w:t>
            </w:r>
          </w:p>
        </w:tc>
        <w:tc>
          <w:tcPr>
            <w:tcW w:w="12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(43)</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(41)</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(89)</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(83)</w:t>
            </w:r>
          </w:p>
        </w:tc>
        <w:tc>
          <w:tcPr>
            <w:tcW w:w="2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Marketing and sales</w:t>
            </w:r>
          </w:p>
        </w:tc>
        <w:tc>
          <w:tcPr>
            <w:tcW w:w="12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(281)</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(237)</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(523)</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(471)</w:t>
            </w:r>
          </w:p>
        </w:tc>
        <w:tc>
          <w:tcPr>
            <w:tcW w:w="2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Development Profit</w:t>
            </w:r>
          </w:p>
        </w:tc>
        <w:tc>
          <w:tcPr>
            <w:tcW w:w="3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106 </w:t>
            </w:r>
          </w:p>
        </w:tc>
        <w:tc>
          <w:tcPr>
            <w:tcW w:w="19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92 </w:t>
            </w:r>
          </w:p>
        </w:tc>
        <w:tc>
          <w:tcPr>
            <w:tcW w:w="19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161 </w:t>
            </w:r>
          </w:p>
        </w:tc>
        <w:tc>
          <w:tcPr>
            <w:tcW w:w="19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171 </w:t>
            </w:r>
          </w:p>
        </w:tc>
        <w:tc>
          <w:tcPr>
            <w:tcW w:w="28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Development Profit Margin</w:t>
            </w:r>
          </w:p>
        </w:tc>
        <w:tc>
          <w:tcPr>
            <w:tcW w:w="1417" w:type="dxa"/>
            <w:gridSpan w:val="3"/>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24.6%</w:t>
            </w:r>
          </w:p>
        </w:tc>
        <w:tc>
          <w:tcPr>
            <w:tcW w:w="4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7" w:type="dxa"/>
            <w:gridSpan w:val="3"/>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24.7%</w:t>
            </w:r>
          </w:p>
        </w:tc>
        <w:tc>
          <w:tcPr>
            <w:tcW w:w="4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7" w:type="dxa"/>
            <w:gridSpan w:val="3"/>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20.8%</w:t>
            </w:r>
          </w:p>
        </w:tc>
        <w:tc>
          <w:tcPr>
            <w:tcW w:w="4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0" w:type="dxa"/>
            <w:gridSpan w:val="3"/>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23.5%</w:t>
            </w:r>
          </w:p>
        </w:tc>
      </w:tr>
      <w:tr>
        <w:trPr/>
        <w:tc>
          <w:tcPr>
            <w:tcW w:w="31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24"/>
            <w:tcBorders/>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2"/>
              </w:rPr>
              <w:t>(1)</w:t>
            </w:r>
            <w:r>
              <w:rPr>
                <w:color w:val="000000"/>
              </w:rPr>
              <w:t xml:space="preserve"> </w:t>
            </w:r>
            <w:r>
              <w:rPr>
                <w:rFonts w:ascii="Arial;sans-serif" w:hAnsi="Arial;sans-serif"/>
                <w:b w:val="false"/>
                <w:color w:val="000000"/>
                <w:sz w:val="19"/>
              </w:rPr>
              <w:t>Adjustment for sales incentives that will not be recognized as Sale of vacation ownership products revenue and other adjustments to Sale of vacation ownership products revenue.</w:t>
            </w:r>
          </w:p>
        </w:tc>
      </w:tr>
      <w:tr>
        <w:trPr/>
        <w:tc>
          <w:tcPr>
            <w:tcW w:w="31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A-7</w:t>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75260"/>
                <wp:effectExtent l="0" t="0" r="0" b="0"/>
                <wp:wrapNone/>
                <wp:docPr id="14" name="Frame1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218.8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MARRIOTT VACATIONS WORLDWIDE CORPORATION</w:t>
      </w:r>
    </w:p>
    <w:p>
      <w:pPr>
        <w:pStyle w:val="TextBody"/>
        <w:bidi w:val="0"/>
        <w:spacing w:lineRule="auto" w:line="288" w:before="120" w:after="283"/>
        <w:jc w:val="center"/>
        <w:rPr>
          <w:rFonts w:ascii="Arial;sans-serif" w:hAnsi="Arial;sans-serif"/>
          <w:b/>
          <w:color w:val="000000"/>
          <w:sz w:val="20"/>
        </w:rPr>
      </w:pPr>
      <w:r>
        <w:rPr>
          <w:rFonts w:ascii="Arial;sans-serif" w:hAnsi="Arial;sans-serif"/>
          <w:b/>
          <w:color w:val="000000"/>
          <w:sz w:val="20"/>
        </w:rPr>
        <w:t>SUPPLEMENTAL INFORMATION</w:t>
      </w:r>
    </w:p>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(In millions and Unaudited)</w:t>
      </w:r>
    </w:p>
    <w:tbl>
      <w:tblPr>
        <w:tblW w:w="8122" w:type="dxa"/>
        <w:jc w:val="center"/>
        <w:tblInd w:w="0" w:type="dxa"/>
        <w:tblLayout w:type="fixed"/>
        <w:tblCellMar>
          <w:top w:w="28" w:type="dxa"/>
          <w:left w:w="28" w:type="dxa"/>
          <w:bottom w:w="28" w:type="dxa"/>
          <w:right w:w="28" w:type="dxa"/>
        </w:tblCellMar>
      </w:tblPr>
      <w:tblGrid>
        <w:gridCol w:w="1434"/>
        <w:gridCol w:w="1260"/>
        <w:gridCol w:w="1265"/>
        <w:gridCol w:w="346"/>
        <w:gridCol w:w="765"/>
        <w:gridCol w:w="179"/>
        <w:gridCol w:w="109"/>
        <w:gridCol w:w="109"/>
        <w:gridCol w:w="109"/>
        <w:gridCol w:w="346"/>
        <w:gridCol w:w="765"/>
        <w:gridCol w:w="179"/>
        <w:gridCol w:w="109"/>
        <w:gridCol w:w="109"/>
        <w:gridCol w:w="109"/>
        <w:gridCol w:w="271"/>
        <w:gridCol w:w="271"/>
        <w:gridCol w:w="387"/>
      </w:tblGrid>
      <w:tr>
        <w:trPr/>
        <w:tc>
          <w:tcPr>
            <w:tcW w:w="1434" w:type="dxa"/>
            <w:tcBorders/>
            <w:vAlign w:val="center"/>
          </w:tcPr>
          <w:p>
            <w:pPr>
              <w:pStyle w:val="TableContents"/>
              <w:bidi w:val="0"/>
              <w:spacing w:before="0" w:after="283"/>
              <w:jc w:val="left"/>
              <w:rPr>
                <w:sz w:val="4"/>
                <w:szCs w:val="4"/>
              </w:rPr>
            </w:pPr>
            <w:r>
              <w:rPr>
                <w:sz w:val="4"/>
                <w:szCs w:val="4"/>
              </w:rPr>
            </w:r>
          </w:p>
        </w:tc>
        <w:tc>
          <w:tcPr>
            <w:tcW w:w="1260" w:type="dxa"/>
            <w:tcBorders/>
            <w:vAlign w:val="center"/>
          </w:tcPr>
          <w:p>
            <w:pPr>
              <w:pStyle w:val="TableContents"/>
              <w:bidi w:val="0"/>
              <w:spacing w:before="0" w:after="283"/>
              <w:jc w:val="left"/>
              <w:rPr>
                <w:sz w:val="4"/>
                <w:szCs w:val="4"/>
              </w:rPr>
            </w:pPr>
            <w:r>
              <w:rPr>
                <w:sz w:val="4"/>
                <w:szCs w:val="4"/>
              </w:rPr>
            </w:r>
          </w:p>
        </w:tc>
        <w:tc>
          <w:tcPr>
            <w:tcW w:w="1265"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765"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765"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387" w:type="dxa"/>
            <w:tcBorders/>
            <w:vAlign w:val="center"/>
          </w:tcPr>
          <w:p>
            <w:pPr>
              <w:pStyle w:val="TableContents"/>
              <w:bidi w:val="0"/>
              <w:spacing w:before="0" w:after="283"/>
              <w:jc w:val="left"/>
              <w:rPr>
                <w:sz w:val="4"/>
                <w:szCs w:val="4"/>
              </w:rPr>
            </w:pPr>
            <w:r>
              <w:rPr>
                <w:sz w:val="4"/>
                <w:szCs w:val="4"/>
              </w:rPr>
            </w:r>
          </w:p>
        </w:tc>
      </w:tr>
      <w:tr>
        <w:trPr/>
        <w:tc>
          <w:tcPr>
            <w:tcW w:w="39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June 30,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June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Change</w:t>
            </w:r>
          </w:p>
        </w:tc>
      </w:tr>
      <w:tr>
        <w:trPr/>
        <w:tc>
          <w:tcPr>
            <w:tcW w:w="39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DEVELOPMENT PROFIT</w:t>
            </w:r>
          </w:p>
        </w:tc>
        <w:tc>
          <w:tcPr>
            <w:tcW w:w="129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Sale of vacation ownership products revenue</w:t>
            </w:r>
          </w:p>
        </w:tc>
        <w:tc>
          <w:tcPr>
            <w:tcW w:w="34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6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430 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6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370 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16%</w:t>
            </w:r>
          </w:p>
        </w:tc>
      </w:tr>
      <w:tr>
        <w:trPr/>
        <w:tc>
          <w:tcPr>
            <w:tcW w:w="39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Cost of vacation ownership products expense</w:t>
            </w:r>
          </w:p>
        </w:tc>
        <w:tc>
          <w:tcPr>
            <w:tcW w:w="11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(43)</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(41)</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(2%)</w:t>
            </w:r>
          </w:p>
        </w:tc>
      </w:tr>
      <w:tr>
        <w:trPr/>
        <w:tc>
          <w:tcPr>
            <w:tcW w:w="39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Marketing and sales expense</w:t>
            </w:r>
          </w:p>
        </w:tc>
        <w:tc>
          <w:tcPr>
            <w:tcW w:w="11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(281)</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(237)</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(19%)</w:t>
            </w:r>
          </w:p>
        </w:tc>
      </w:tr>
      <w:tr>
        <w:trPr/>
        <w:tc>
          <w:tcPr>
            <w:tcW w:w="39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Development Profit</w:t>
            </w:r>
          </w:p>
        </w:tc>
        <w:tc>
          <w:tcPr>
            <w:tcW w:w="11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106 </w:t>
            </w:r>
          </w:p>
        </w:tc>
        <w:tc>
          <w:tcPr>
            <w:tcW w:w="17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92 </w:t>
            </w:r>
          </w:p>
        </w:tc>
        <w:tc>
          <w:tcPr>
            <w:tcW w:w="17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16%</w:t>
            </w:r>
          </w:p>
        </w:tc>
      </w:tr>
      <w:tr>
        <w:trPr/>
        <w:tc>
          <w:tcPr>
            <w:tcW w:w="39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8"/>
              </w:rPr>
            </w:pPr>
            <w:r>
              <w:rPr>
                <w:rFonts w:ascii="Arial;sans-serif" w:hAnsi="Arial;sans-serif"/>
                <w:b w:val="false"/>
                <w:i/>
                <w:color w:val="000000"/>
                <w:sz w:val="18"/>
              </w:rPr>
              <w:t>Development Profit Margin</w:t>
            </w:r>
          </w:p>
        </w:tc>
        <w:tc>
          <w:tcPr>
            <w:tcW w:w="129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i/>
                <w:color w:val="000000"/>
                <w:sz w:val="18"/>
              </w:rPr>
            </w:pPr>
            <w:r>
              <w:rPr>
                <w:rFonts w:ascii="Arial;sans-serif" w:hAnsi="Arial;sans-serif"/>
                <w:b w:val="false"/>
                <w:i/>
                <w:color w:val="000000"/>
                <w:sz w:val="18"/>
              </w:rPr>
              <w:t>24.6%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i/>
                <w:color w:val="000000"/>
                <w:sz w:val="18"/>
              </w:rPr>
            </w:pPr>
            <w:r>
              <w:rPr>
                <w:rFonts w:ascii="Arial;sans-serif" w:hAnsi="Arial;sans-serif"/>
                <w:b w:val="false"/>
                <w:i/>
                <w:color w:val="000000"/>
                <w:sz w:val="18"/>
              </w:rPr>
              <w:t>24.7%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i/>
                <w:color w:val="000000"/>
                <w:sz w:val="18"/>
              </w:rPr>
            </w:pPr>
            <w:r>
              <w:rPr>
                <w:rFonts w:ascii="Arial;sans-serif" w:hAnsi="Arial;sans-serif"/>
                <w:b w:val="false"/>
                <w:i/>
                <w:color w:val="000000"/>
                <w:sz w:val="18"/>
              </w:rPr>
              <w:t>(10 bps)</w:t>
            </w:r>
          </w:p>
        </w:tc>
      </w:tr>
      <w:tr>
        <w:trPr/>
        <w:tc>
          <w:tcPr>
            <w:tcW w:w="39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MANAGEMENT AND EXCHANGE PROFIT</w:t>
            </w:r>
          </w:p>
        </w:tc>
        <w:tc>
          <w:tcPr>
            <w:tcW w:w="12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Vacation Ownership Segment</w:t>
            </w:r>
          </w:p>
        </w:tc>
        <w:tc>
          <w:tcPr>
            <w:tcW w:w="11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166 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165 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1%</w:t>
            </w:r>
          </w:p>
        </w:tc>
      </w:tr>
      <w:tr>
        <w:trPr/>
        <w:tc>
          <w:tcPr>
            <w:tcW w:w="39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Exchange &amp; Third-Party Management Segment</w:t>
            </w:r>
          </w:p>
        </w:tc>
        <w:tc>
          <w:tcPr>
            <w:tcW w:w="11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42 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41 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2%</w:t>
            </w:r>
          </w:p>
        </w:tc>
      </w:tr>
      <w:tr>
        <w:trPr/>
        <w:tc>
          <w:tcPr>
            <w:tcW w:w="395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rPr>
              <w:t>Corporate and Other</w:t>
            </w:r>
            <w:r>
              <w:rPr>
                <w:rFonts w:ascii="Arial;sans-serif" w:hAnsi="Arial;sans-serif"/>
                <w:b w:val="false"/>
                <w:color w:val="000000"/>
                <w:sz w:val="12"/>
              </w:rPr>
              <w:t>(1)</w:t>
            </w:r>
          </w:p>
        </w:tc>
        <w:tc>
          <w:tcPr>
            <w:tcW w:w="11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31%</w:t>
            </w:r>
          </w:p>
        </w:tc>
      </w:tr>
      <w:tr>
        <w:trPr/>
        <w:tc>
          <w:tcPr>
            <w:tcW w:w="39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Management and Exchange Revenue</w:t>
            </w:r>
          </w:p>
        </w:tc>
        <w:tc>
          <w:tcPr>
            <w:tcW w:w="11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225 </w:t>
            </w:r>
          </w:p>
        </w:tc>
        <w:tc>
          <w:tcPr>
            <w:tcW w:w="17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219 </w:t>
            </w:r>
          </w:p>
        </w:tc>
        <w:tc>
          <w:tcPr>
            <w:tcW w:w="17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3%</w:t>
            </w:r>
          </w:p>
        </w:tc>
      </w:tr>
      <w:tr>
        <w:trPr/>
        <w:tc>
          <w:tcPr>
            <w:tcW w:w="39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Vacation Ownership Segment</w:t>
            </w:r>
          </w:p>
        </w:tc>
        <w:tc>
          <w:tcPr>
            <w:tcW w:w="11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(73)</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(76)</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3%</w:t>
            </w:r>
          </w:p>
        </w:tc>
      </w:tr>
      <w:tr>
        <w:trPr/>
        <w:tc>
          <w:tcPr>
            <w:tcW w:w="39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Exchange &amp; Third-Party Management Segment</w:t>
            </w:r>
          </w:p>
        </w:tc>
        <w:tc>
          <w:tcPr>
            <w:tcW w:w="11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(28)</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(29)</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1%</w:t>
            </w:r>
          </w:p>
        </w:tc>
      </w:tr>
      <w:tr>
        <w:trPr/>
        <w:tc>
          <w:tcPr>
            <w:tcW w:w="395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rPr>
              <w:t>Corporate and Other</w:t>
            </w:r>
            <w:r>
              <w:rPr>
                <w:rFonts w:ascii="Arial;sans-serif" w:hAnsi="Arial;sans-serif"/>
                <w:b w:val="false"/>
                <w:color w:val="000000"/>
                <w:sz w:val="12"/>
              </w:rPr>
              <w:t>(1)</w:t>
            </w:r>
          </w:p>
        </w:tc>
        <w:tc>
          <w:tcPr>
            <w:tcW w:w="11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(21%)</w:t>
            </w:r>
          </w:p>
        </w:tc>
      </w:tr>
      <w:tr>
        <w:trPr/>
        <w:tc>
          <w:tcPr>
            <w:tcW w:w="39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Management and Exchange Expense</w:t>
            </w:r>
          </w:p>
        </w:tc>
        <w:tc>
          <w:tcPr>
            <w:tcW w:w="11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(121)</w:t>
            </w:r>
          </w:p>
        </w:tc>
        <w:tc>
          <w:tcPr>
            <w:tcW w:w="17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(121)</w:t>
            </w:r>
          </w:p>
        </w:tc>
        <w:tc>
          <w:tcPr>
            <w:tcW w:w="17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(1%)</w:t>
            </w:r>
          </w:p>
        </w:tc>
      </w:tr>
      <w:tr>
        <w:trPr/>
        <w:tc>
          <w:tcPr>
            <w:tcW w:w="39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Management and Exchange Profit</w:t>
            </w:r>
          </w:p>
        </w:tc>
        <w:tc>
          <w:tcPr>
            <w:tcW w:w="111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104 </w:t>
            </w:r>
          </w:p>
        </w:tc>
        <w:tc>
          <w:tcPr>
            <w:tcW w:w="17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98 </w:t>
            </w:r>
          </w:p>
        </w:tc>
        <w:tc>
          <w:tcPr>
            <w:tcW w:w="17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6%</w:t>
            </w:r>
          </w:p>
        </w:tc>
      </w:tr>
      <w:tr>
        <w:trPr/>
        <w:tc>
          <w:tcPr>
            <w:tcW w:w="39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8"/>
              </w:rPr>
            </w:pPr>
            <w:r>
              <w:rPr>
                <w:rFonts w:ascii="Arial;sans-serif" w:hAnsi="Arial;sans-serif"/>
                <w:b w:val="false"/>
                <w:i/>
                <w:color w:val="000000"/>
                <w:sz w:val="18"/>
              </w:rPr>
              <w:t>Management and Exchange Profit Margin</w:t>
            </w:r>
          </w:p>
        </w:tc>
        <w:tc>
          <w:tcPr>
            <w:tcW w:w="129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i/>
                <w:color w:val="000000"/>
                <w:sz w:val="18"/>
              </w:rPr>
            </w:pPr>
            <w:r>
              <w:rPr>
                <w:rFonts w:ascii="Arial;sans-serif" w:hAnsi="Arial;sans-serif"/>
                <w:b w:val="false"/>
                <w:i/>
                <w:color w:val="000000"/>
                <w:sz w:val="18"/>
              </w:rPr>
              <w:t>46.1%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i/>
                <w:color w:val="000000"/>
                <w:sz w:val="18"/>
              </w:rPr>
            </w:pPr>
            <w:r>
              <w:rPr>
                <w:rFonts w:ascii="Arial;sans-serif" w:hAnsi="Arial;sans-serif"/>
                <w:b w:val="false"/>
                <w:i/>
                <w:color w:val="000000"/>
                <w:sz w:val="18"/>
              </w:rPr>
              <w:t>44.9%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i/>
                <w:color w:val="000000"/>
                <w:sz w:val="18"/>
              </w:rPr>
            </w:pPr>
            <w:r>
              <w:rPr>
                <w:rFonts w:ascii="Arial;sans-serif" w:hAnsi="Arial;sans-serif"/>
                <w:b w:val="false"/>
                <w:i/>
                <w:color w:val="000000"/>
                <w:sz w:val="18"/>
              </w:rPr>
              <w:t>120 bps</w:t>
            </w:r>
          </w:p>
        </w:tc>
      </w:tr>
      <w:tr>
        <w:trPr/>
        <w:tc>
          <w:tcPr>
            <w:tcW w:w="39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RENTAL PROFIT</w:t>
            </w:r>
          </w:p>
        </w:tc>
        <w:tc>
          <w:tcPr>
            <w:tcW w:w="12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Vacation Ownership Segment</w:t>
            </w:r>
          </w:p>
        </w:tc>
        <w:tc>
          <w:tcPr>
            <w:tcW w:w="11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165 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150 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9%</w:t>
            </w:r>
          </w:p>
        </w:tc>
      </w:tr>
      <w:tr>
        <w:trPr/>
        <w:tc>
          <w:tcPr>
            <w:tcW w:w="39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Exchange &amp; Third-Party Management Segment</w:t>
            </w:r>
          </w:p>
        </w:tc>
        <w:tc>
          <w:tcPr>
            <w:tcW w:w="11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(16%)</w:t>
            </w:r>
          </w:p>
        </w:tc>
      </w:tr>
      <w:tr>
        <w:trPr/>
        <w:tc>
          <w:tcPr>
            <w:tcW w:w="395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rPr>
              <w:t>Corporate and Other</w:t>
            </w:r>
            <w:r>
              <w:rPr>
                <w:rFonts w:ascii="Arial;sans-serif" w:hAnsi="Arial;sans-serif"/>
                <w:b w:val="false"/>
                <w:color w:val="000000"/>
                <w:sz w:val="12"/>
              </w:rPr>
              <w:t>(1)</w:t>
            </w:r>
          </w:p>
        </w:tc>
        <w:tc>
          <w:tcPr>
            <w:tcW w:w="11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NM</w:t>
            </w:r>
          </w:p>
        </w:tc>
      </w:tr>
      <w:tr>
        <w:trPr/>
        <w:tc>
          <w:tcPr>
            <w:tcW w:w="39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Rental Revenue</w:t>
            </w:r>
          </w:p>
        </w:tc>
        <w:tc>
          <w:tcPr>
            <w:tcW w:w="11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173 </w:t>
            </w:r>
          </w:p>
        </w:tc>
        <w:tc>
          <w:tcPr>
            <w:tcW w:w="17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160 </w:t>
            </w:r>
          </w:p>
        </w:tc>
        <w:tc>
          <w:tcPr>
            <w:tcW w:w="17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7%</w:t>
            </w:r>
          </w:p>
        </w:tc>
      </w:tr>
      <w:tr>
        <w:trPr/>
        <w:tc>
          <w:tcPr>
            <w:tcW w:w="39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Vacation Ownership Segment</w:t>
            </w:r>
          </w:p>
        </w:tc>
        <w:tc>
          <w:tcPr>
            <w:tcW w:w="11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(143)</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(129)</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(11%)</w:t>
            </w:r>
          </w:p>
        </w:tc>
      </w:tr>
      <w:tr>
        <w:trPr/>
        <w:tc>
          <w:tcPr>
            <w:tcW w:w="39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Exchange &amp; Third-Party Management Segment</w:t>
            </w:r>
          </w:p>
        </w:tc>
        <w:tc>
          <w:tcPr>
            <w:tcW w:w="11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NM</w:t>
            </w:r>
          </w:p>
        </w:tc>
      </w:tr>
      <w:tr>
        <w:trPr/>
        <w:tc>
          <w:tcPr>
            <w:tcW w:w="395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rPr>
              <w:t>Corporate and Other</w:t>
            </w:r>
            <w:r>
              <w:rPr>
                <w:rFonts w:ascii="Arial;sans-serif" w:hAnsi="Arial;sans-serif"/>
                <w:b w:val="false"/>
                <w:color w:val="000000"/>
                <w:sz w:val="12"/>
              </w:rPr>
              <w:t>(1)</w:t>
            </w:r>
          </w:p>
        </w:tc>
        <w:tc>
          <w:tcPr>
            <w:tcW w:w="11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(19%)</w:t>
            </w:r>
          </w:p>
        </w:tc>
      </w:tr>
      <w:tr>
        <w:trPr/>
        <w:tc>
          <w:tcPr>
            <w:tcW w:w="39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Rental Expense</w:t>
            </w:r>
          </w:p>
        </w:tc>
        <w:tc>
          <w:tcPr>
            <w:tcW w:w="11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(140)</w:t>
            </w:r>
          </w:p>
        </w:tc>
        <w:tc>
          <w:tcPr>
            <w:tcW w:w="17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(125)</w:t>
            </w:r>
          </w:p>
        </w:tc>
        <w:tc>
          <w:tcPr>
            <w:tcW w:w="17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(11%)</w:t>
            </w:r>
          </w:p>
        </w:tc>
      </w:tr>
      <w:tr>
        <w:trPr/>
        <w:tc>
          <w:tcPr>
            <w:tcW w:w="39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Rental Profit</w:t>
            </w:r>
          </w:p>
        </w:tc>
        <w:tc>
          <w:tcPr>
            <w:tcW w:w="111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33 </w:t>
            </w:r>
          </w:p>
        </w:tc>
        <w:tc>
          <w:tcPr>
            <w:tcW w:w="17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35 </w:t>
            </w:r>
          </w:p>
        </w:tc>
        <w:tc>
          <w:tcPr>
            <w:tcW w:w="17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(7%)</w:t>
            </w:r>
          </w:p>
        </w:tc>
      </w:tr>
      <w:tr>
        <w:trPr/>
        <w:tc>
          <w:tcPr>
            <w:tcW w:w="39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8"/>
              </w:rPr>
            </w:pPr>
            <w:r>
              <w:rPr>
                <w:rFonts w:ascii="Arial;sans-serif" w:hAnsi="Arial;sans-serif"/>
                <w:b w:val="false"/>
                <w:i/>
                <w:color w:val="000000"/>
                <w:sz w:val="18"/>
              </w:rPr>
              <w:t>Rental Profit Margin</w:t>
            </w:r>
          </w:p>
        </w:tc>
        <w:tc>
          <w:tcPr>
            <w:tcW w:w="129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i/>
                <w:color w:val="000000"/>
                <w:sz w:val="18"/>
              </w:rPr>
            </w:pPr>
            <w:r>
              <w:rPr>
                <w:rFonts w:ascii="Arial;sans-serif" w:hAnsi="Arial;sans-serif"/>
                <w:b w:val="false"/>
                <w:i/>
                <w:color w:val="000000"/>
                <w:sz w:val="18"/>
              </w:rPr>
              <w:t>19.4%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i/>
                <w:color w:val="000000"/>
                <w:sz w:val="18"/>
              </w:rPr>
            </w:pPr>
            <w:r>
              <w:rPr>
                <w:rFonts w:ascii="Arial;sans-serif" w:hAnsi="Arial;sans-serif"/>
                <w:b w:val="false"/>
                <w:i/>
                <w:color w:val="000000"/>
                <w:sz w:val="18"/>
              </w:rPr>
              <w:t>22.3%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i/>
                <w:color w:val="000000"/>
                <w:sz w:val="18"/>
              </w:rPr>
            </w:pPr>
            <w:r>
              <w:rPr>
                <w:rFonts w:ascii="Arial;sans-serif" w:hAnsi="Arial;sans-serif"/>
                <w:b w:val="false"/>
                <w:i/>
                <w:color w:val="000000"/>
                <w:sz w:val="18"/>
              </w:rPr>
              <w:t>(290 bps)</w:t>
            </w:r>
          </w:p>
        </w:tc>
      </w:tr>
      <w:tr>
        <w:trPr/>
        <w:tc>
          <w:tcPr>
            <w:tcW w:w="39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FINANCING PROFIT</w:t>
            </w:r>
          </w:p>
        </w:tc>
        <w:tc>
          <w:tcPr>
            <w:tcW w:w="12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Financing Revenue</w:t>
            </w:r>
          </w:p>
        </w:tc>
        <w:tc>
          <w:tcPr>
            <w:tcW w:w="11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92 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90 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3%</w:t>
            </w:r>
          </w:p>
        </w:tc>
      </w:tr>
      <w:tr>
        <w:trPr/>
        <w:tc>
          <w:tcPr>
            <w:tcW w:w="39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Financing Expense</w:t>
            </w:r>
          </w:p>
        </w:tc>
        <w:tc>
          <w:tcPr>
            <w:tcW w:w="11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(42)</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(37)</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(14%)</w:t>
            </w:r>
          </w:p>
        </w:tc>
      </w:tr>
      <w:tr>
        <w:trPr/>
        <w:tc>
          <w:tcPr>
            <w:tcW w:w="39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Financing Profit</w:t>
            </w:r>
          </w:p>
        </w:tc>
        <w:tc>
          <w:tcPr>
            <w:tcW w:w="111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50 </w:t>
            </w:r>
          </w:p>
        </w:tc>
        <w:tc>
          <w:tcPr>
            <w:tcW w:w="17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53 </w:t>
            </w:r>
          </w:p>
        </w:tc>
        <w:tc>
          <w:tcPr>
            <w:tcW w:w="17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(5%)</w:t>
            </w:r>
          </w:p>
        </w:tc>
      </w:tr>
      <w:tr>
        <w:trPr/>
        <w:tc>
          <w:tcPr>
            <w:tcW w:w="39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8"/>
              </w:rPr>
            </w:pPr>
            <w:r>
              <w:rPr>
                <w:rFonts w:ascii="Arial;sans-serif" w:hAnsi="Arial;sans-serif"/>
                <w:b w:val="false"/>
                <w:i/>
                <w:color w:val="000000"/>
                <w:sz w:val="18"/>
              </w:rPr>
              <w:t>Financing Profit Margin</w:t>
            </w:r>
          </w:p>
        </w:tc>
        <w:tc>
          <w:tcPr>
            <w:tcW w:w="129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i/>
                <w:color w:val="000000"/>
                <w:sz w:val="18"/>
              </w:rPr>
            </w:pPr>
            <w:r>
              <w:rPr>
                <w:rFonts w:ascii="Arial;sans-serif" w:hAnsi="Arial;sans-serif"/>
                <w:b w:val="false"/>
                <w:i/>
                <w:color w:val="000000"/>
                <w:sz w:val="18"/>
              </w:rPr>
              <w:t>54.3%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i/>
                <w:color w:val="000000"/>
                <w:sz w:val="18"/>
              </w:rPr>
            </w:pPr>
            <w:r>
              <w:rPr>
                <w:rFonts w:ascii="Arial;sans-serif" w:hAnsi="Arial;sans-serif"/>
                <w:b w:val="false"/>
                <w:i/>
                <w:color w:val="000000"/>
                <w:sz w:val="18"/>
              </w:rPr>
              <w:t>58.8%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i/>
                <w:color w:val="000000"/>
                <w:sz w:val="18"/>
              </w:rPr>
            </w:pPr>
            <w:r>
              <w:rPr>
                <w:rFonts w:ascii="Arial;sans-serif" w:hAnsi="Arial;sans-serif"/>
                <w:b w:val="false"/>
                <w:i/>
                <w:color w:val="000000"/>
                <w:sz w:val="18"/>
              </w:rPr>
              <w:t>(450 bps)</w:t>
            </w:r>
          </w:p>
        </w:tc>
      </w:tr>
      <w:tr>
        <w:trPr/>
        <w:tc>
          <w:tcPr>
            <w:tcW w:w="39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OTHER</w:t>
            </w:r>
          </w:p>
        </w:tc>
        <w:tc>
          <w:tcPr>
            <w:tcW w:w="12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General and administrative</w:t>
            </w:r>
          </w:p>
        </w:tc>
        <w:tc>
          <w:tcPr>
            <w:tcW w:w="11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(62)</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(61)</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(3%)</w:t>
            </w:r>
          </w:p>
        </w:tc>
      </w:tr>
      <w:tr>
        <w:trPr/>
        <w:tc>
          <w:tcPr>
            <w:tcW w:w="39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Royalty fee</w:t>
            </w:r>
          </w:p>
        </w:tc>
        <w:tc>
          <w:tcPr>
            <w:tcW w:w="11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(29)</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(28)</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r>
              <w:rPr>
                <w:rFonts w:ascii="Arial;sans-serif" w:hAnsi="Arial;sans-serif"/>
                <w:b w:val="false"/>
                <w:color w:val="000000"/>
                <w:sz w:val="18"/>
              </w:rPr>
              <w:t>%</w:t>
            </w:r>
          </w:p>
        </w:tc>
      </w:tr>
      <w:tr>
        <w:trPr/>
        <w:tc>
          <w:tcPr>
            <w:tcW w:w="395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rPr>
              <w:t>Other</w:t>
            </w:r>
            <w:r>
              <w:rPr>
                <w:rFonts w:ascii="Arial;sans-serif" w:hAnsi="Arial;sans-serif"/>
                <w:b w:val="false"/>
                <w:color w:val="000000"/>
                <w:sz w:val="12"/>
              </w:rPr>
              <w:t>(2)</w:t>
            </w:r>
          </w:p>
        </w:tc>
        <w:tc>
          <w:tcPr>
            <w:tcW w:w="11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(14%)</w:t>
            </w:r>
          </w:p>
        </w:tc>
      </w:tr>
      <w:tr>
        <w:trPr/>
        <w:tc>
          <w:tcPr>
            <w:tcW w:w="39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ADJUSTED EBITDA*</w:t>
            </w:r>
          </w:p>
        </w:tc>
        <w:tc>
          <w:tcPr>
            <w:tcW w:w="3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6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215 </w:t>
            </w:r>
          </w:p>
        </w:tc>
        <w:tc>
          <w:tcPr>
            <w:tcW w:w="17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6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203 </w:t>
            </w:r>
          </w:p>
        </w:tc>
        <w:tc>
          <w:tcPr>
            <w:tcW w:w="17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6%</w:t>
            </w:r>
          </w:p>
        </w:tc>
      </w:tr>
      <w:tr>
        <w:trPr/>
        <w:tc>
          <w:tcPr>
            <w:tcW w:w="39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8"/>
              </w:rPr>
            </w:pPr>
            <w:r>
              <w:rPr>
                <w:rFonts w:ascii="Arial;sans-serif" w:hAnsi="Arial;sans-serif"/>
                <w:b w:val="false"/>
                <w:i/>
                <w:color w:val="000000"/>
                <w:sz w:val="18"/>
              </w:rPr>
              <w:t>Adjusted EBITDA Margin</w:t>
            </w:r>
          </w:p>
        </w:tc>
        <w:tc>
          <w:tcPr>
            <w:tcW w:w="1290" w:type="dxa"/>
            <w:gridSpan w:val="3"/>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i/>
                <w:color w:val="000000"/>
                <w:sz w:val="18"/>
              </w:rPr>
            </w:pPr>
            <w:r>
              <w:rPr>
                <w:rFonts w:ascii="Arial;sans-serif" w:hAnsi="Arial;sans-serif"/>
                <w:b w:val="false"/>
                <w:i/>
                <w:color w:val="000000"/>
                <w:sz w:val="18"/>
              </w:rPr>
              <w:t>23.4%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i/>
                <w:color w:val="000000"/>
                <w:sz w:val="18"/>
              </w:rPr>
            </w:pPr>
            <w:r>
              <w:rPr>
                <w:rFonts w:ascii="Arial;sans-serif" w:hAnsi="Arial;sans-serif"/>
                <w:b w:val="false"/>
                <w:i/>
                <w:color w:val="000000"/>
                <w:sz w:val="18"/>
              </w:rPr>
              <w:t>24.3%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3"/>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i/>
                <w:color w:val="000000"/>
                <w:sz w:val="18"/>
              </w:rPr>
            </w:pPr>
            <w:r>
              <w:rPr>
                <w:rFonts w:ascii="Arial;sans-serif" w:hAnsi="Arial;sans-serif"/>
                <w:b w:val="false"/>
                <w:i/>
                <w:color w:val="000000"/>
                <w:sz w:val="18"/>
              </w:rPr>
              <w:t>(90 bps)</w:t>
            </w:r>
          </w:p>
        </w:tc>
      </w:tr>
    </w:tbl>
    <w:tbl>
      <w:tblPr>
        <w:tblW w:w="10205" w:type="dxa"/>
        <w:jc w:val="center"/>
        <w:tblInd w:w="0" w:type="dxa"/>
        <w:tblLayout w:type="fixed"/>
        <w:tblCellMar>
          <w:top w:w="28" w:type="dxa"/>
          <w:left w:w="28" w:type="dxa"/>
          <w:bottom w:w="28" w:type="dxa"/>
          <w:right w:w="28" w:type="dxa"/>
        </w:tblCellMar>
      </w:tblPr>
      <w:tblGrid>
        <w:gridCol w:w="3347"/>
        <w:gridCol w:w="2830"/>
        <w:gridCol w:w="4028"/>
      </w:tblGrid>
      <w:tr>
        <w:trPr/>
        <w:tc>
          <w:tcPr>
            <w:tcW w:w="3347" w:type="dxa"/>
            <w:tcBorders/>
            <w:vAlign w:val="center"/>
          </w:tcPr>
          <w:p>
            <w:pPr>
              <w:pStyle w:val="TableContents"/>
              <w:bidi w:val="0"/>
              <w:spacing w:before="0" w:after="283"/>
              <w:jc w:val="left"/>
              <w:rPr>
                <w:sz w:val="4"/>
                <w:szCs w:val="4"/>
              </w:rPr>
            </w:pPr>
            <w:r>
              <w:rPr>
                <w:sz w:val="4"/>
                <w:szCs w:val="4"/>
              </w:rPr>
            </w:r>
          </w:p>
        </w:tc>
        <w:tc>
          <w:tcPr>
            <w:tcW w:w="2830" w:type="dxa"/>
            <w:tcBorders/>
            <w:vAlign w:val="center"/>
          </w:tcPr>
          <w:p>
            <w:pPr>
              <w:pStyle w:val="TableContents"/>
              <w:bidi w:val="0"/>
              <w:spacing w:before="0" w:after="283"/>
              <w:jc w:val="left"/>
              <w:rPr>
                <w:sz w:val="4"/>
                <w:szCs w:val="4"/>
              </w:rPr>
            </w:pPr>
            <w:r>
              <w:rPr>
                <w:sz w:val="4"/>
                <w:szCs w:val="4"/>
              </w:rPr>
            </w:r>
          </w:p>
        </w:tc>
        <w:tc>
          <w:tcPr>
            <w:tcW w:w="4028" w:type="dxa"/>
            <w:tcBorders/>
            <w:vAlign w:val="center"/>
          </w:tcPr>
          <w:p>
            <w:pPr>
              <w:pStyle w:val="TableContents"/>
              <w:bidi w:val="0"/>
              <w:spacing w:before="0" w:after="283"/>
              <w:jc w:val="left"/>
              <w:rPr>
                <w:sz w:val="4"/>
                <w:szCs w:val="4"/>
              </w:rPr>
            </w:pPr>
            <w:r>
              <w:rPr>
                <w:sz w:val="4"/>
                <w:szCs w:val="4"/>
              </w:rPr>
            </w:r>
          </w:p>
        </w:tc>
      </w:tr>
      <w:tr>
        <w:trPr/>
        <w:tc>
          <w:tcPr>
            <w:tcW w:w="10205"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16"/>
              </w:rPr>
            </w:pPr>
            <w:r>
              <w:rPr>
                <w:rFonts w:ascii="Arial;sans-serif" w:hAnsi="Arial;sans-serif"/>
                <w:b w:val="false"/>
                <w:color w:val="000000"/>
                <w:sz w:val="16"/>
              </w:rPr>
              <w:t>* Denotes non-GAAP financial measures. Please see “Non-GAAP Financial Measures” for additional information about our reasons for providing these alternative financial measures and limitations on their use.</w:t>
            </w:r>
          </w:p>
        </w:tc>
      </w:tr>
      <w:tr>
        <w:trPr/>
        <w:tc>
          <w:tcPr>
            <w:tcW w:w="102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3"/>
            <w:tcBorders/>
            <w:vAlign w:val="center"/>
          </w:tcPr>
          <w:p>
            <w:pPr>
              <w:pStyle w:val="TableContents"/>
              <w:bidi w:val="0"/>
              <w:spacing w:before="0" w:after="283"/>
              <w:jc w:val="left"/>
              <w:rPr>
                <w:sz w:val="4"/>
                <w:szCs w:val="4"/>
              </w:rPr>
            </w:pPr>
            <w:r>
              <w:rPr>
                <w:sz w:val="4"/>
                <w:szCs w:val="4"/>
              </w:rPr>
            </w:r>
          </w:p>
        </w:tc>
      </w:tr>
      <w:tr>
        <w:trPr/>
        <w:tc>
          <w:tcPr>
            <w:tcW w:w="10205" w:type="dxa"/>
            <w:gridSpan w:val="3"/>
            <w:tcBorders/>
            <w:vAlign w:val="center"/>
          </w:tcPr>
          <w:p>
            <w:pPr>
              <w:pStyle w:val="TableContents"/>
              <w:bidi w:val="0"/>
              <w:spacing w:before="0" w:after="283"/>
              <w:jc w:val="left"/>
              <w:rPr>
                <w:sz w:val="4"/>
                <w:szCs w:val="4"/>
              </w:rPr>
            </w:pPr>
            <w:r>
              <w:rPr>
                <w:sz w:val="4"/>
                <w:szCs w:val="4"/>
              </w:rPr>
            </w:r>
          </w:p>
        </w:tc>
      </w:tr>
      <w:tr>
        <w:trPr/>
        <w:tc>
          <w:tcPr>
            <w:tcW w:w="10205" w:type="dxa"/>
            <w:gridSpan w:val="3"/>
            <w:tcBorders/>
            <w:tcMar>
              <w:top w:w="0" w:type="dxa"/>
              <w:left w:w="0" w:type="dxa"/>
              <w:bottom w:w="0" w:type="dxa"/>
              <w:right w:w="0" w:type="dxa"/>
            </w:tcMar>
            <w:vAlign w:val="center"/>
          </w:tcPr>
          <w:p>
            <w:pPr>
              <w:pStyle w:val="TableContents"/>
              <w:bidi w:val="0"/>
              <w:spacing w:lineRule="auto" w:line="240" w:before="0" w:after="0"/>
              <w:jc w:val="both"/>
              <w:rPr/>
            </w:pPr>
            <w:r>
              <w:rPr>
                <w:rFonts w:ascii="Arial;sans-serif" w:hAnsi="Arial;sans-serif"/>
                <w:b w:val="false"/>
                <w:color w:val="000000"/>
                <w:sz w:val="10"/>
              </w:rPr>
              <w:t>(1)</w:t>
            </w:r>
            <w:r>
              <w:rPr>
                <w:color w:val="000000"/>
              </w:rPr>
              <w:t xml:space="preserve"> </w:t>
            </w:r>
            <w:r>
              <w:rPr>
                <w:rFonts w:ascii="Arial;sans-serif" w:hAnsi="Arial;sans-serif"/>
                <w:b w:val="false"/>
                <w:color w:val="000000"/>
                <w:sz w:val="16"/>
              </w:rPr>
              <w:t>Amounts included in Corporate and other represent the impact of the consolidation of certain owners’ associations under the Financial Accounting Standards Board Accounting Standard Codification Topic 810, “</w:t>
            </w:r>
            <w:r>
              <w:rPr>
                <w:rFonts w:ascii="Arial;sans-serif" w:hAnsi="Arial;sans-serif"/>
                <w:b w:val="false"/>
                <w:i/>
                <w:color w:val="000000"/>
                <w:sz w:val="16"/>
              </w:rPr>
              <w:t>Consolidation</w:t>
            </w:r>
            <w:r>
              <w:rPr>
                <w:rFonts w:ascii="Arial;sans-serif" w:hAnsi="Arial;sans-serif"/>
                <w:b w:val="false"/>
                <w:color w:val="000000"/>
                <w:sz w:val="16"/>
              </w:rPr>
              <w:t>,” and represents the portion attributable to individual or third-party vacation ownership interest owners.</w:t>
            </w:r>
          </w:p>
        </w:tc>
      </w:tr>
      <w:tr>
        <w:trPr/>
        <w:tc>
          <w:tcPr>
            <w:tcW w:w="102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3"/>
            <w:tcBorders/>
            <w:tcMar>
              <w:top w:w="0" w:type="dxa"/>
              <w:left w:w="0" w:type="dxa"/>
              <w:bottom w:w="0" w:type="dxa"/>
              <w:right w:w="0" w:type="dxa"/>
            </w:tcMar>
            <w:vAlign w:val="center"/>
          </w:tcPr>
          <w:p>
            <w:pPr>
              <w:pStyle w:val="TableContents"/>
              <w:bidi w:val="0"/>
              <w:spacing w:lineRule="auto" w:line="240" w:before="0" w:after="0"/>
              <w:jc w:val="both"/>
              <w:rPr/>
            </w:pPr>
            <w:r>
              <w:rPr>
                <w:rFonts w:ascii="Arial;sans-serif" w:hAnsi="Arial;sans-serif"/>
                <w:b w:val="false"/>
                <w:color w:val="000000"/>
                <w:sz w:val="10"/>
              </w:rPr>
              <w:t>(2)</w:t>
            </w:r>
            <w:r>
              <w:rPr>
                <w:color w:val="000000"/>
              </w:rPr>
              <w:t xml:space="preserve"> </w:t>
            </w:r>
            <w:r>
              <w:rPr>
                <w:rFonts w:ascii="Arial;sans-serif" w:hAnsi="Arial;sans-serif"/>
                <w:b w:val="false"/>
                <w:color w:val="000000"/>
                <w:sz w:val="16"/>
              </w:rPr>
              <w:t>Includes share-based compensation, amortization of cloud computing software implementation costs, net income or loss attributable to noncontrolling interests, and other.</w:t>
            </w:r>
          </w:p>
        </w:tc>
      </w:tr>
      <w:tr>
        <w:trPr/>
        <w:tc>
          <w:tcPr>
            <w:tcW w:w="102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16"/>
              </w:rPr>
            </w:pPr>
            <w:r>
              <w:rPr>
                <w:rFonts w:ascii="Arial;sans-serif" w:hAnsi="Arial;sans-serif"/>
                <w:b w:val="false"/>
                <w:color w:val="000000"/>
                <w:sz w:val="16"/>
              </w:rPr>
              <w:t>NM = Not meaningful</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A-8</w:t>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75260"/>
                <wp:effectExtent l="0" t="0" r="0" b="0"/>
                <wp:wrapNone/>
                <wp:docPr id="15" name="Frame1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218.8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MARRIOTT VACATIONS WORLDWIDE CORPORATION</w:t>
      </w:r>
    </w:p>
    <w:p>
      <w:pPr>
        <w:pStyle w:val="TextBody"/>
        <w:bidi w:val="0"/>
        <w:spacing w:lineRule="auto" w:line="288" w:before="120" w:after="283"/>
        <w:jc w:val="center"/>
        <w:rPr>
          <w:rFonts w:ascii="Arial;sans-serif" w:hAnsi="Arial;sans-serif"/>
          <w:b/>
          <w:color w:val="000000"/>
          <w:sz w:val="20"/>
        </w:rPr>
      </w:pPr>
      <w:r>
        <w:rPr>
          <w:rFonts w:ascii="Arial;sans-serif" w:hAnsi="Arial;sans-serif"/>
          <w:b/>
          <w:color w:val="000000"/>
          <w:sz w:val="20"/>
        </w:rPr>
        <w:t>SUPPLEMENTAL INFORMATION</w:t>
      </w:r>
    </w:p>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(In millions and Unaudited)</w:t>
      </w:r>
    </w:p>
    <w:tbl>
      <w:tblPr>
        <w:tblW w:w="8123" w:type="dxa"/>
        <w:jc w:val="center"/>
        <w:tblInd w:w="0" w:type="dxa"/>
        <w:tblLayout w:type="fixed"/>
        <w:tblCellMar>
          <w:top w:w="28" w:type="dxa"/>
          <w:left w:w="28" w:type="dxa"/>
          <w:bottom w:w="28" w:type="dxa"/>
          <w:right w:w="28" w:type="dxa"/>
        </w:tblCellMar>
      </w:tblPr>
      <w:tblGrid>
        <w:gridCol w:w="1434"/>
        <w:gridCol w:w="1260"/>
        <w:gridCol w:w="1265"/>
        <w:gridCol w:w="346"/>
        <w:gridCol w:w="765"/>
        <w:gridCol w:w="179"/>
        <w:gridCol w:w="109"/>
        <w:gridCol w:w="109"/>
        <w:gridCol w:w="109"/>
        <w:gridCol w:w="346"/>
        <w:gridCol w:w="765"/>
        <w:gridCol w:w="179"/>
        <w:gridCol w:w="109"/>
        <w:gridCol w:w="109"/>
        <w:gridCol w:w="109"/>
        <w:gridCol w:w="272"/>
        <w:gridCol w:w="272"/>
        <w:gridCol w:w="386"/>
      </w:tblGrid>
      <w:tr>
        <w:trPr/>
        <w:tc>
          <w:tcPr>
            <w:tcW w:w="1434" w:type="dxa"/>
            <w:tcBorders/>
            <w:vAlign w:val="center"/>
          </w:tcPr>
          <w:p>
            <w:pPr>
              <w:pStyle w:val="TableContents"/>
              <w:bidi w:val="0"/>
              <w:spacing w:before="0" w:after="283"/>
              <w:jc w:val="left"/>
              <w:rPr>
                <w:sz w:val="4"/>
                <w:szCs w:val="4"/>
              </w:rPr>
            </w:pPr>
            <w:r>
              <w:rPr>
                <w:sz w:val="4"/>
                <w:szCs w:val="4"/>
              </w:rPr>
            </w:r>
          </w:p>
        </w:tc>
        <w:tc>
          <w:tcPr>
            <w:tcW w:w="1260" w:type="dxa"/>
            <w:tcBorders/>
            <w:vAlign w:val="center"/>
          </w:tcPr>
          <w:p>
            <w:pPr>
              <w:pStyle w:val="TableContents"/>
              <w:bidi w:val="0"/>
              <w:spacing w:before="0" w:after="283"/>
              <w:jc w:val="left"/>
              <w:rPr>
                <w:sz w:val="4"/>
                <w:szCs w:val="4"/>
              </w:rPr>
            </w:pPr>
            <w:r>
              <w:rPr>
                <w:sz w:val="4"/>
                <w:szCs w:val="4"/>
              </w:rPr>
            </w:r>
          </w:p>
        </w:tc>
        <w:tc>
          <w:tcPr>
            <w:tcW w:w="1265"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765"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765"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sz w:val="4"/>
                <w:szCs w:val="4"/>
              </w:rPr>
            </w:pPr>
            <w:r>
              <w:rPr>
                <w:sz w:val="4"/>
                <w:szCs w:val="4"/>
              </w:rPr>
            </w:r>
          </w:p>
        </w:tc>
      </w:tr>
      <w:tr>
        <w:trPr/>
        <w:tc>
          <w:tcPr>
            <w:tcW w:w="39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Six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June 30,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June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Change</w:t>
            </w:r>
          </w:p>
        </w:tc>
      </w:tr>
      <w:tr>
        <w:trPr/>
        <w:tc>
          <w:tcPr>
            <w:tcW w:w="39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DEVELOPMENT PROFIT</w:t>
            </w:r>
          </w:p>
        </w:tc>
        <w:tc>
          <w:tcPr>
            <w:tcW w:w="129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Sale of vacation ownership products revenue</w:t>
            </w:r>
          </w:p>
        </w:tc>
        <w:tc>
          <w:tcPr>
            <w:tcW w:w="34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6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773 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6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725 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7%</w:t>
            </w:r>
          </w:p>
        </w:tc>
      </w:tr>
      <w:tr>
        <w:trPr/>
        <w:tc>
          <w:tcPr>
            <w:tcW w:w="39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Cost of vacation ownership products expense</w:t>
            </w:r>
          </w:p>
        </w:tc>
        <w:tc>
          <w:tcPr>
            <w:tcW w:w="11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(89)</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(83)</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(6%)</w:t>
            </w:r>
          </w:p>
        </w:tc>
      </w:tr>
      <w:tr>
        <w:trPr/>
        <w:tc>
          <w:tcPr>
            <w:tcW w:w="39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Marketing and sales expense</w:t>
            </w:r>
          </w:p>
        </w:tc>
        <w:tc>
          <w:tcPr>
            <w:tcW w:w="11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(523)</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(471)</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(11%)</w:t>
            </w:r>
          </w:p>
        </w:tc>
      </w:tr>
      <w:tr>
        <w:trPr/>
        <w:tc>
          <w:tcPr>
            <w:tcW w:w="39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Development Profit</w:t>
            </w:r>
          </w:p>
        </w:tc>
        <w:tc>
          <w:tcPr>
            <w:tcW w:w="11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161 </w:t>
            </w:r>
          </w:p>
        </w:tc>
        <w:tc>
          <w:tcPr>
            <w:tcW w:w="17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171 </w:t>
            </w:r>
          </w:p>
        </w:tc>
        <w:tc>
          <w:tcPr>
            <w:tcW w:w="17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(5%)</w:t>
            </w:r>
          </w:p>
        </w:tc>
      </w:tr>
      <w:tr>
        <w:trPr/>
        <w:tc>
          <w:tcPr>
            <w:tcW w:w="39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8"/>
              </w:rPr>
            </w:pPr>
            <w:r>
              <w:rPr>
                <w:rFonts w:ascii="Arial;sans-serif" w:hAnsi="Arial;sans-serif"/>
                <w:b w:val="false"/>
                <w:i/>
                <w:color w:val="000000"/>
                <w:sz w:val="18"/>
              </w:rPr>
              <w:t>Development Profit Margin</w:t>
            </w:r>
          </w:p>
        </w:tc>
        <w:tc>
          <w:tcPr>
            <w:tcW w:w="129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i/>
                <w:color w:val="000000"/>
                <w:sz w:val="18"/>
              </w:rPr>
            </w:pPr>
            <w:r>
              <w:rPr>
                <w:rFonts w:ascii="Arial;sans-serif" w:hAnsi="Arial;sans-serif"/>
                <w:b w:val="false"/>
                <w:i/>
                <w:color w:val="000000"/>
                <w:sz w:val="18"/>
              </w:rPr>
              <w:t>20.8%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i/>
                <w:color w:val="000000"/>
                <w:sz w:val="18"/>
              </w:rPr>
            </w:pPr>
            <w:r>
              <w:rPr>
                <w:rFonts w:ascii="Arial;sans-serif" w:hAnsi="Arial;sans-serif"/>
                <w:b w:val="false"/>
                <w:i/>
                <w:color w:val="000000"/>
                <w:sz w:val="18"/>
              </w:rPr>
              <w:t>23.5%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i/>
                <w:color w:val="000000"/>
                <w:sz w:val="18"/>
              </w:rPr>
            </w:pPr>
            <w:r>
              <w:rPr>
                <w:rFonts w:ascii="Arial;sans-serif" w:hAnsi="Arial;sans-serif"/>
                <w:b w:val="false"/>
                <w:i/>
                <w:color w:val="000000"/>
                <w:sz w:val="18"/>
              </w:rPr>
              <w:t>(270 bps)</w:t>
            </w:r>
          </w:p>
        </w:tc>
      </w:tr>
      <w:tr>
        <w:trPr/>
        <w:tc>
          <w:tcPr>
            <w:tcW w:w="39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MANAGEMENT AND EXCHANGE PROFIT</w:t>
            </w:r>
          </w:p>
        </w:tc>
        <w:tc>
          <w:tcPr>
            <w:tcW w:w="12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Vacation Ownership Segment</w:t>
            </w:r>
          </w:p>
        </w:tc>
        <w:tc>
          <w:tcPr>
            <w:tcW w:w="11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322 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320 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1%</w:t>
            </w:r>
          </w:p>
        </w:tc>
      </w:tr>
      <w:tr>
        <w:trPr/>
        <w:tc>
          <w:tcPr>
            <w:tcW w:w="39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Exchange &amp; Third-Party Management Segment</w:t>
            </w:r>
          </w:p>
        </w:tc>
        <w:tc>
          <w:tcPr>
            <w:tcW w:w="11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86 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87 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(2%)</w:t>
            </w:r>
          </w:p>
        </w:tc>
      </w:tr>
      <w:tr>
        <w:trPr/>
        <w:tc>
          <w:tcPr>
            <w:tcW w:w="395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rPr>
              <w:t>Corporate and Other</w:t>
            </w:r>
            <w:r>
              <w:rPr>
                <w:rFonts w:ascii="Arial;sans-serif" w:hAnsi="Arial;sans-serif"/>
                <w:b w:val="false"/>
                <w:color w:val="000000"/>
                <w:sz w:val="12"/>
              </w:rPr>
              <w:t>(1)</w:t>
            </w:r>
          </w:p>
        </w:tc>
        <w:tc>
          <w:tcPr>
            <w:tcW w:w="11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33 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27 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20%</w:t>
            </w:r>
          </w:p>
        </w:tc>
      </w:tr>
      <w:tr>
        <w:trPr/>
        <w:tc>
          <w:tcPr>
            <w:tcW w:w="39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Management and Exchange Revenue</w:t>
            </w:r>
          </w:p>
        </w:tc>
        <w:tc>
          <w:tcPr>
            <w:tcW w:w="11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441 </w:t>
            </w:r>
          </w:p>
        </w:tc>
        <w:tc>
          <w:tcPr>
            <w:tcW w:w="17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434 </w:t>
            </w:r>
          </w:p>
        </w:tc>
        <w:tc>
          <w:tcPr>
            <w:tcW w:w="17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1%</w:t>
            </w:r>
          </w:p>
        </w:tc>
      </w:tr>
      <w:tr>
        <w:trPr/>
        <w:tc>
          <w:tcPr>
            <w:tcW w:w="39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Vacation Ownership Segment</w:t>
            </w:r>
          </w:p>
        </w:tc>
        <w:tc>
          <w:tcPr>
            <w:tcW w:w="11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(145)</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(148)</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2%</w:t>
            </w:r>
          </w:p>
        </w:tc>
      </w:tr>
      <w:tr>
        <w:trPr/>
        <w:tc>
          <w:tcPr>
            <w:tcW w:w="39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Exchange &amp; Third-Party Management Segment</w:t>
            </w:r>
          </w:p>
        </w:tc>
        <w:tc>
          <w:tcPr>
            <w:tcW w:w="11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(58)</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(58)</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r>
              <w:rPr>
                <w:rFonts w:ascii="Arial;sans-serif" w:hAnsi="Arial;sans-serif"/>
                <w:b w:val="false"/>
                <w:color w:val="000000"/>
                <w:sz w:val="18"/>
              </w:rPr>
              <w:t>%</w:t>
            </w:r>
          </w:p>
        </w:tc>
      </w:tr>
      <w:tr>
        <w:trPr/>
        <w:tc>
          <w:tcPr>
            <w:tcW w:w="395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rPr>
              <w:t>Corporate and Other</w:t>
            </w:r>
            <w:r>
              <w:rPr>
                <w:rFonts w:ascii="Arial;sans-serif" w:hAnsi="Arial;sans-serif"/>
                <w:b w:val="false"/>
                <w:color w:val="000000"/>
                <w:sz w:val="12"/>
              </w:rPr>
              <w:t>(1)</w:t>
            </w:r>
          </w:p>
        </w:tc>
        <w:tc>
          <w:tcPr>
            <w:tcW w:w="11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(38)</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(32)</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(18%)</w:t>
            </w:r>
          </w:p>
        </w:tc>
      </w:tr>
      <w:tr>
        <w:trPr/>
        <w:tc>
          <w:tcPr>
            <w:tcW w:w="39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Management and Exchange Expense</w:t>
            </w:r>
          </w:p>
        </w:tc>
        <w:tc>
          <w:tcPr>
            <w:tcW w:w="11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(241)</w:t>
            </w:r>
          </w:p>
        </w:tc>
        <w:tc>
          <w:tcPr>
            <w:tcW w:w="17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(238)</w:t>
            </w:r>
          </w:p>
        </w:tc>
        <w:tc>
          <w:tcPr>
            <w:tcW w:w="17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(1%)</w:t>
            </w:r>
          </w:p>
        </w:tc>
      </w:tr>
      <w:tr>
        <w:trPr/>
        <w:tc>
          <w:tcPr>
            <w:tcW w:w="39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Management and Exchange Profit</w:t>
            </w:r>
          </w:p>
        </w:tc>
        <w:tc>
          <w:tcPr>
            <w:tcW w:w="111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200 </w:t>
            </w:r>
          </w:p>
        </w:tc>
        <w:tc>
          <w:tcPr>
            <w:tcW w:w="17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196 </w:t>
            </w:r>
          </w:p>
        </w:tc>
        <w:tc>
          <w:tcPr>
            <w:tcW w:w="17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2%</w:t>
            </w:r>
          </w:p>
        </w:tc>
      </w:tr>
      <w:tr>
        <w:trPr/>
        <w:tc>
          <w:tcPr>
            <w:tcW w:w="39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8"/>
              </w:rPr>
            </w:pPr>
            <w:r>
              <w:rPr>
                <w:rFonts w:ascii="Arial;sans-serif" w:hAnsi="Arial;sans-serif"/>
                <w:b w:val="false"/>
                <w:i/>
                <w:color w:val="000000"/>
                <w:sz w:val="18"/>
              </w:rPr>
              <w:t>Management and Exchange Profit Margin</w:t>
            </w:r>
          </w:p>
        </w:tc>
        <w:tc>
          <w:tcPr>
            <w:tcW w:w="129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i/>
                <w:color w:val="000000"/>
                <w:sz w:val="18"/>
              </w:rPr>
            </w:pPr>
            <w:r>
              <w:rPr>
                <w:rFonts w:ascii="Arial;sans-serif" w:hAnsi="Arial;sans-serif"/>
                <w:b w:val="false"/>
                <w:i/>
                <w:color w:val="000000"/>
                <w:sz w:val="18"/>
              </w:rPr>
              <w:t>45.4%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i/>
                <w:color w:val="000000"/>
                <w:sz w:val="18"/>
              </w:rPr>
            </w:pPr>
            <w:r>
              <w:rPr>
                <w:rFonts w:ascii="Arial;sans-serif" w:hAnsi="Arial;sans-serif"/>
                <w:b w:val="false"/>
                <w:i/>
                <w:color w:val="000000"/>
                <w:sz w:val="18"/>
              </w:rPr>
              <w:t>45.3%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i/>
                <w:color w:val="000000"/>
                <w:sz w:val="18"/>
              </w:rPr>
            </w:pPr>
            <w:r>
              <w:rPr>
                <w:rFonts w:ascii="Arial;sans-serif" w:hAnsi="Arial;sans-serif"/>
                <w:b w:val="false"/>
                <w:i/>
                <w:color w:val="000000"/>
                <w:sz w:val="18"/>
              </w:rPr>
              <w:t>10 bps</w:t>
            </w:r>
          </w:p>
        </w:tc>
      </w:tr>
      <w:tr>
        <w:trPr/>
        <w:tc>
          <w:tcPr>
            <w:tcW w:w="39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RENTAL PROFIT</w:t>
            </w:r>
          </w:p>
        </w:tc>
        <w:tc>
          <w:tcPr>
            <w:tcW w:w="12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Vacation Ownership Segment</w:t>
            </w:r>
          </w:p>
        </w:tc>
        <w:tc>
          <w:tcPr>
            <w:tcW w:w="11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332 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309 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7%</w:t>
            </w:r>
          </w:p>
        </w:tc>
      </w:tr>
      <w:tr>
        <w:trPr/>
        <w:tc>
          <w:tcPr>
            <w:tcW w:w="39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Exchange &amp; Third-Party Management Segment</w:t>
            </w:r>
          </w:p>
        </w:tc>
        <w:tc>
          <w:tcPr>
            <w:tcW w:w="11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(14%)</w:t>
            </w:r>
          </w:p>
        </w:tc>
      </w:tr>
      <w:tr>
        <w:trPr/>
        <w:tc>
          <w:tcPr>
            <w:tcW w:w="395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rPr>
              <w:t>Corporate and Other</w:t>
            </w:r>
            <w:r>
              <w:rPr>
                <w:rFonts w:ascii="Arial;sans-serif" w:hAnsi="Arial;sans-serif"/>
                <w:b w:val="false"/>
                <w:color w:val="000000"/>
                <w:sz w:val="12"/>
              </w:rPr>
              <w:t>(1)</w:t>
            </w:r>
          </w:p>
        </w:tc>
        <w:tc>
          <w:tcPr>
            <w:tcW w:w="11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NM</w:t>
            </w:r>
          </w:p>
        </w:tc>
      </w:tr>
      <w:tr>
        <w:trPr/>
        <w:tc>
          <w:tcPr>
            <w:tcW w:w="39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Rental Revenue</w:t>
            </w:r>
          </w:p>
        </w:tc>
        <w:tc>
          <w:tcPr>
            <w:tcW w:w="11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349 </w:t>
            </w:r>
          </w:p>
        </w:tc>
        <w:tc>
          <w:tcPr>
            <w:tcW w:w="17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329 </w:t>
            </w:r>
          </w:p>
        </w:tc>
        <w:tc>
          <w:tcPr>
            <w:tcW w:w="17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6%</w:t>
            </w:r>
          </w:p>
        </w:tc>
      </w:tr>
      <w:tr>
        <w:trPr/>
        <w:tc>
          <w:tcPr>
            <w:tcW w:w="39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Vacation Ownership Segment</w:t>
            </w:r>
          </w:p>
        </w:tc>
        <w:tc>
          <w:tcPr>
            <w:tcW w:w="11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(286)</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(255)</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(12%)</w:t>
            </w:r>
          </w:p>
        </w:tc>
      </w:tr>
      <w:tr>
        <w:trPr/>
        <w:tc>
          <w:tcPr>
            <w:tcW w:w="39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Exchange &amp; Third-Party Management Segment</w:t>
            </w:r>
          </w:p>
        </w:tc>
        <w:tc>
          <w:tcPr>
            <w:tcW w:w="11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NM</w:t>
            </w:r>
          </w:p>
        </w:tc>
      </w:tr>
      <w:tr>
        <w:trPr/>
        <w:tc>
          <w:tcPr>
            <w:tcW w:w="395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rPr>
              <w:t>Corporate and Other</w:t>
            </w:r>
            <w:r>
              <w:rPr>
                <w:rFonts w:ascii="Arial;sans-serif" w:hAnsi="Arial;sans-serif"/>
                <w:b w:val="false"/>
                <w:color w:val="000000"/>
                <w:sz w:val="12"/>
              </w:rPr>
              <w:t>(1)</w:t>
            </w:r>
          </w:p>
        </w:tc>
        <w:tc>
          <w:tcPr>
            <w:tcW w:w="11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(14%)</w:t>
            </w:r>
          </w:p>
        </w:tc>
      </w:tr>
      <w:tr>
        <w:trPr/>
        <w:tc>
          <w:tcPr>
            <w:tcW w:w="39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Rental Expense</w:t>
            </w:r>
          </w:p>
        </w:tc>
        <w:tc>
          <w:tcPr>
            <w:tcW w:w="11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(280)</w:t>
            </w:r>
          </w:p>
        </w:tc>
        <w:tc>
          <w:tcPr>
            <w:tcW w:w="17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(248)</w:t>
            </w:r>
          </w:p>
        </w:tc>
        <w:tc>
          <w:tcPr>
            <w:tcW w:w="17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(13%)</w:t>
            </w:r>
          </w:p>
        </w:tc>
      </w:tr>
      <w:tr>
        <w:trPr/>
        <w:tc>
          <w:tcPr>
            <w:tcW w:w="39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Rental Profit</w:t>
            </w:r>
          </w:p>
        </w:tc>
        <w:tc>
          <w:tcPr>
            <w:tcW w:w="111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69 </w:t>
            </w:r>
          </w:p>
        </w:tc>
        <w:tc>
          <w:tcPr>
            <w:tcW w:w="17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81 </w:t>
            </w:r>
          </w:p>
        </w:tc>
        <w:tc>
          <w:tcPr>
            <w:tcW w:w="17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(15%)</w:t>
            </w:r>
          </w:p>
        </w:tc>
      </w:tr>
      <w:tr>
        <w:trPr/>
        <w:tc>
          <w:tcPr>
            <w:tcW w:w="39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8"/>
              </w:rPr>
            </w:pPr>
            <w:r>
              <w:rPr>
                <w:rFonts w:ascii="Arial;sans-serif" w:hAnsi="Arial;sans-serif"/>
                <w:b w:val="false"/>
                <w:i/>
                <w:color w:val="000000"/>
                <w:sz w:val="18"/>
              </w:rPr>
              <w:t>Rental Profit Margin</w:t>
            </w:r>
          </w:p>
        </w:tc>
        <w:tc>
          <w:tcPr>
            <w:tcW w:w="129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i/>
                <w:color w:val="000000"/>
                <w:sz w:val="18"/>
              </w:rPr>
            </w:pPr>
            <w:r>
              <w:rPr>
                <w:rFonts w:ascii="Arial;sans-serif" w:hAnsi="Arial;sans-serif"/>
                <w:b w:val="false"/>
                <w:i/>
                <w:color w:val="000000"/>
                <w:sz w:val="18"/>
              </w:rPr>
              <w:t>19.8%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i/>
                <w:color w:val="000000"/>
                <w:sz w:val="18"/>
              </w:rPr>
            </w:pPr>
            <w:r>
              <w:rPr>
                <w:rFonts w:ascii="Arial;sans-serif" w:hAnsi="Arial;sans-serif"/>
                <w:b w:val="false"/>
                <w:i/>
                <w:color w:val="000000"/>
                <w:sz w:val="18"/>
              </w:rPr>
              <w:t>24.7%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i/>
                <w:color w:val="000000"/>
                <w:sz w:val="18"/>
              </w:rPr>
            </w:pPr>
            <w:r>
              <w:rPr>
                <w:rFonts w:ascii="Arial;sans-serif" w:hAnsi="Arial;sans-serif"/>
                <w:b w:val="false"/>
                <w:i/>
                <w:color w:val="000000"/>
                <w:sz w:val="18"/>
              </w:rPr>
              <w:t>(490 bps)</w:t>
            </w:r>
          </w:p>
        </w:tc>
      </w:tr>
      <w:tr>
        <w:trPr/>
        <w:tc>
          <w:tcPr>
            <w:tcW w:w="39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FINANCING PROFIT</w:t>
            </w:r>
          </w:p>
        </w:tc>
        <w:tc>
          <w:tcPr>
            <w:tcW w:w="12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Financing Revenue</w:t>
            </w:r>
          </w:p>
        </w:tc>
        <w:tc>
          <w:tcPr>
            <w:tcW w:w="11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184 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178 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4%</w:t>
            </w:r>
          </w:p>
        </w:tc>
      </w:tr>
      <w:tr>
        <w:trPr/>
        <w:tc>
          <w:tcPr>
            <w:tcW w:w="39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Financing Expense</w:t>
            </w:r>
          </w:p>
        </w:tc>
        <w:tc>
          <w:tcPr>
            <w:tcW w:w="11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(83)</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(73)</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(14%)</w:t>
            </w:r>
          </w:p>
        </w:tc>
      </w:tr>
      <w:tr>
        <w:trPr/>
        <w:tc>
          <w:tcPr>
            <w:tcW w:w="39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Financing Profit</w:t>
            </w:r>
          </w:p>
        </w:tc>
        <w:tc>
          <w:tcPr>
            <w:tcW w:w="111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101 </w:t>
            </w:r>
          </w:p>
        </w:tc>
        <w:tc>
          <w:tcPr>
            <w:tcW w:w="17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105 </w:t>
            </w:r>
          </w:p>
        </w:tc>
        <w:tc>
          <w:tcPr>
            <w:tcW w:w="17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(3%)</w:t>
            </w:r>
          </w:p>
        </w:tc>
      </w:tr>
      <w:tr>
        <w:trPr/>
        <w:tc>
          <w:tcPr>
            <w:tcW w:w="39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8"/>
              </w:rPr>
            </w:pPr>
            <w:r>
              <w:rPr>
                <w:rFonts w:ascii="Arial;sans-serif" w:hAnsi="Arial;sans-serif"/>
                <w:b w:val="false"/>
                <w:i/>
                <w:color w:val="000000"/>
                <w:sz w:val="18"/>
              </w:rPr>
              <w:t>Financing Profit Margin</w:t>
            </w:r>
          </w:p>
        </w:tc>
        <w:tc>
          <w:tcPr>
            <w:tcW w:w="129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i/>
                <w:color w:val="000000"/>
                <w:sz w:val="18"/>
              </w:rPr>
            </w:pPr>
            <w:r>
              <w:rPr>
                <w:rFonts w:ascii="Arial;sans-serif" w:hAnsi="Arial;sans-serif"/>
                <w:b w:val="false"/>
                <w:i/>
                <w:color w:val="000000"/>
                <w:sz w:val="18"/>
              </w:rPr>
              <w:t>55.0%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i/>
                <w:color w:val="000000"/>
                <w:sz w:val="18"/>
              </w:rPr>
            </w:pPr>
            <w:r>
              <w:rPr>
                <w:rFonts w:ascii="Arial;sans-serif" w:hAnsi="Arial;sans-serif"/>
                <w:b w:val="false"/>
                <w:i/>
                <w:color w:val="000000"/>
                <w:sz w:val="18"/>
              </w:rPr>
              <w:t>59.0%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i/>
                <w:color w:val="000000"/>
                <w:sz w:val="18"/>
              </w:rPr>
            </w:pPr>
            <w:r>
              <w:rPr>
                <w:rFonts w:ascii="Arial;sans-serif" w:hAnsi="Arial;sans-serif"/>
                <w:b w:val="false"/>
                <w:i/>
                <w:color w:val="000000"/>
                <w:sz w:val="18"/>
              </w:rPr>
              <w:t>(400 bps)</w:t>
            </w:r>
          </w:p>
        </w:tc>
      </w:tr>
      <w:tr>
        <w:trPr/>
        <w:tc>
          <w:tcPr>
            <w:tcW w:w="39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OTHER</w:t>
            </w:r>
          </w:p>
        </w:tc>
        <w:tc>
          <w:tcPr>
            <w:tcW w:w="12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General and administrative</w:t>
            </w:r>
          </w:p>
        </w:tc>
        <w:tc>
          <w:tcPr>
            <w:tcW w:w="11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(126)</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(122)</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(4%)</w:t>
            </w:r>
          </w:p>
        </w:tc>
      </w:tr>
      <w:tr>
        <w:trPr/>
        <w:tc>
          <w:tcPr>
            <w:tcW w:w="39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Royalty fee</w:t>
            </w:r>
          </w:p>
        </w:tc>
        <w:tc>
          <w:tcPr>
            <w:tcW w:w="11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(57)</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(56)</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(1%)</w:t>
            </w:r>
          </w:p>
        </w:tc>
      </w:tr>
      <w:tr>
        <w:trPr/>
        <w:tc>
          <w:tcPr>
            <w:tcW w:w="395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rPr>
              <w:t>Other</w:t>
            </w:r>
            <w:r>
              <w:rPr>
                <w:rFonts w:ascii="Arial;sans-serif" w:hAnsi="Arial;sans-serif"/>
                <w:b w:val="false"/>
                <w:color w:val="000000"/>
                <w:sz w:val="12"/>
              </w:rPr>
              <w:t>(2)</w:t>
            </w:r>
          </w:p>
        </w:tc>
        <w:tc>
          <w:tcPr>
            <w:tcW w:w="11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28 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37%</w:t>
            </w:r>
          </w:p>
        </w:tc>
      </w:tr>
      <w:tr>
        <w:trPr/>
        <w:tc>
          <w:tcPr>
            <w:tcW w:w="39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ADJUSTED EBITDA*</w:t>
            </w:r>
          </w:p>
        </w:tc>
        <w:tc>
          <w:tcPr>
            <w:tcW w:w="3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6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376 </w:t>
            </w:r>
          </w:p>
        </w:tc>
        <w:tc>
          <w:tcPr>
            <w:tcW w:w="17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6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395 </w:t>
            </w:r>
          </w:p>
        </w:tc>
        <w:tc>
          <w:tcPr>
            <w:tcW w:w="17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(5%)</w:t>
            </w:r>
          </w:p>
        </w:tc>
      </w:tr>
      <w:tr>
        <w:trPr/>
        <w:tc>
          <w:tcPr>
            <w:tcW w:w="39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8"/>
              </w:rPr>
            </w:pPr>
            <w:r>
              <w:rPr>
                <w:rFonts w:ascii="Arial;sans-serif" w:hAnsi="Arial;sans-serif"/>
                <w:b w:val="false"/>
                <w:i/>
                <w:color w:val="000000"/>
                <w:sz w:val="18"/>
              </w:rPr>
              <w:t>Adjusted EBITDA Margin</w:t>
            </w:r>
          </w:p>
        </w:tc>
        <w:tc>
          <w:tcPr>
            <w:tcW w:w="1290" w:type="dxa"/>
            <w:gridSpan w:val="3"/>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i/>
                <w:color w:val="000000"/>
                <w:sz w:val="18"/>
              </w:rPr>
            </w:pPr>
            <w:r>
              <w:rPr>
                <w:rFonts w:ascii="Arial;sans-serif" w:hAnsi="Arial;sans-serif"/>
                <w:b w:val="false"/>
                <w:i/>
                <w:color w:val="000000"/>
                <w:sz w:val="18"/>
              </w:rPr>
              <w:t>21.5%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i/>
                <w:color w:val="000000"/>
                <w:sz w:val="18"/>
              </w:rPr>
            </w:pPr>
            <w:r>
              <w:rPr>
                <w:rFonts w:ascii="Arial;sans-serif" w:hAnsi="Arial;sans-serif"/>
                <w:b w:val="false"/>
                <w:i/>
                <w:color w:val="000000"/>
                <w:sz w:val="18"/>
              </w:rPr>
              <w:t>23.7%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3"/>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i/>
                <w:color w:val="000000"/>
                <w:sz w:val="18"/>
              </w:rPr>
            </w:pPr>
            <w:r>
              <w:rPr>
                <w:rFonts w:ascii="Arial;sans-serif" w:hAnsi="Arial;sans-serif"/>
                <w:b w:val="false"/>
                <w:i/>
                <w:color w:val="000000"/>
                <w:sz w:val="18"/>
              </w:rPr>
              <w:t>(220 bps)</w:t>
            </w:r>
          </w:p>
        </w:tc>
      </w:tr>
    </w:tbl>
    <w:tbl>
      <w:tblPr>
        <w:tblW w:w="10205" w:type="dxa"/>
        <w:jc w:val="center"/>
        <w:tblInd w:w="0" w:type="dxa"/>
        <w:tblLayout w:type="fixed"/>
        <w:tblCellMar>
          <w:top w:w="28" w:type="dxa"/>
          <w:left w:w="28" w:type="dxa"/>
          <w:bottom w:w="28" w:type="dxa"/>
          <w:right w:w="28" w:type="dxa"/>
        </w:tblCellMar>
      </w:tblPr>
      <w:tblGrid>
        <w:gridCol w:w="3730"/>
        <w:gridCol w:w="3151"/>
        <w:gridCol w:w="3169"/>
        <w:gridCol w:w="155"/>
      </w:tblGrid>
      <w:tr>
        <w:trPr/>
        <w:tc>
          <w:tcPr>
            <w:tcW w:w="3730" w:type="dxa"/>
            <w:tcBorders/>
            <w:vAlign w:val="center"/>
          </w:tcPr>
          <w:p>
            <w:pPr>
              <w:pStyle w:val="TableContents"/>
              <w:bidi w:val="0"/>
              <w:spacing w:before="0" w:after="283"/>
              <w:jc w:val="left"/>
              <w:rPr>
                <w:sz w:val="4"/>
                <w:szCs w:val="4"/>
              </w:rPr>
            </w:pPr>
            <w:r>
              <w:rPr>
                <w:sz w:val="4"/>
                <w:szCs w:val="4"/>
              </w:rPr>
            </w:r>
          </w:p>
        </w:tc>
        <w:tc>
          <w:tcPr>
            <w:tcW w:w="3151" w:type="dxa"/>
            <w:tcBorders/>
            <w:vAlign w:val="center"/>
          </w:tcPr>
          <w:p>
            <w:pPr>
              <w:pStyle w:val="TableContents"/>
              <w:bidi w:val="0"/>
              <w:spacing w:before="0" w:after="283"/>
              <w:jc w:val="left"/>
              <w:rPr>
                <w:sz w:val="4"/>
                <w:szCs w:val="4"/>
              </w:rPr>
            </w:pPr>
            <w:r>
              <w:rPr>
                <w:sz w:val="4"/>
                <w:szCs w:val="4"/>
              </w:rPr>
            </w:r>
          </w:p>
        </w:tc>
        <w:tc>
          <w:tcPr>
            <w:tcW w:w="316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10050"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18"/>
              </w:rPr>
            </w:pPr>
            <w:r>
              <w:rPr>
                <w:rFonts w:ascii="Arial;sans-serif" w:hAnsi="Arial;sans-serif"/>
                <w:b w:val="false"/>
                <w:color w:val="000000"/>
                <w:sz w:val="18"/>
              </w:rPr>
              <w:t>* Denotes non-GAAP financial measures. Please see “Non-GAAP Financial Measures” for additional information about our reasons for providing these alternative financial measures and limitations on their use.</w:t>
            </w:r>
          </w:p>
        </w:tc>
        <w:tc>
          <w:tcPr>
            <w:tcW w:w="155" w:type="dxa"/>
            <w:tcBorders/>
            <w:vAlign w:val="center"/>
          </w:tcPr>
          <w:p>
            <w:pPr>
              <w:pStyle w:val="TableContents"/>
              <w:bidi w:val="0"/>
              <w:spacing w:before="0" w:after="283"/>
              <w:jc w:val="left"/>
              <w:rPr>
                <w:sz w:val="4"/>
                <w:szCs w:val="4"/>
              </w:rPr>
            </w:pPr>
            <w:r>
              <w:rPr>
                <w:sz w:val="4"/>
                <w:szCs w:val="4"/>
              </w:rPr>
            </w:r>
          </w:p>
        </w:tc>
      </w:tr>
      <w:tr>
        <w:trPr/>
        <w:tc>
          <w:tcPr>
            <w:tcW w:w="100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10050" w:type="dxa"/>
            <w:gridSpan w:val="3"/>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10050" w:type="dxa"/>
            <w:gridSpan w:val="3"/>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10050" w:type="dxa"/>
            <w:gridSpan w:val="3"/>
            <w:tcBorders/>
            <w:tcMar>
              <w:top w:w="0" w:type="dxa"/>
              <w:left w:w="0" w:type="dxa"/>
              <w:bottom w:w="0" w:type="dxa"/>
              <w:right w:w="0" w:type="dxa"/>
            </w:tcMar>
            <w:vAlign w:val="center"/>
          </w:tcPr>
          <w:p>
            <w:pPr>
              <w:pStyle w:val="TableContents"/>
              <w:bidi w:val="0"/>
              <w:spacing w:lineRule="auto" w:line="240" w:before="0" w:after="0"/>
              <w:jc w:val="both"/>
              <w:rPr/>
            </w:pPr>
            <w:r>
              <w:rPr>
                <w:rFonts w:ascii="Arial;sans-serif" w:hAnsi="Arial;sans-serif"/>
                <w:b w:val="false"/>
                <w:color w:val="000000"/>
                <w:sz w:val="12"/>
              </w:rPr>
              <w:t>(1)</w:t>
            </w:r>
            <w:r>
              <w:rPr>
                <w:color w:val="000000"/>
              </w:rPr>
              <w:t xml:space="preserve"> </w:t>
            </w:r>
            <w:r>
              <w:rPr>
                <w:rFonts w:ascii="Arial;sans-serif" w:hAnsi="Arial;sans-serif"/>
                <w:b w:val="false"/>
                <w:color w:val="000000"/>
                <w:sz w:val="18"/>
              </w:rPr>
              <w:t>Amounts included in Corporate and other represent the impact of the consolidation of certain owners’ associations under the Financial Accounting Standards Board Accounting Standard Codification Topic 810, “</w:t>
            </w:r>
            <w:r>
              <w:rPr>
                <w:rFonts w:ascii="Arial;sans-serif" w:hAnsi="Arial;sans-serif"/>
                <w:b w:val="false"/>
                <w:i/>
                <w:color w:val="000000"/>
                <w:sz w:val="18"/>
              </w:rPr>
              <w:t>Consolidation</w:t>
            </w:r>
            <w:r>
              <w:rPr>
                <w:rFonts w:ascii="Arial;sans-serif" w:hAnsi="Arial;sans-serif"/>
                <w:b w:val="false"/>
                <w:color w:val="000000"/>
                <w:sz w:val="18"/>
              </w:rPr>
              <w:t>,” and represents the portion attributable to individual or third-party vacation ownership interest owners.</w:t>
            </w:r>
          </w:p>
        </w:tc>
        <w:tc>
          <w:tcPr>
            <w:tcW w:w="155" w:type="dxa"/>
            <w:tcBorders/>
            <w:vAlign w:val="center"/>
          </w:tcPr>
          <w:p>
            <w:pPr>
              <w:pStyle w:val="TableContents"/>
              <w:bidi w:val="0"/>
              <w:spacing w:before="0" w:after="283"/>
              <w:jc w:val="left"/>
              <w:rPr>
                <w:sz w:val="4"/>
                <w:szCs w:val="4"/>
              </w:rPr>
            </w:pPr>
            <w:r>
              <w:rPr>
                <w:sz w:val="4"/>
                <w:szCs w:val="4"/>
              </w:rPr>
            </w:r>
          </w:p>
        </w:tc>
      </w:tr>
      <w:tr>
        <w:trPr/>
        <w:tc>
          <w:tcPr>
            <w:tcW w:w="100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10050" w:type="dxa"/>
            <w:gridSpan w:val="3"/>
            <w:tcBorders/>
            <w:tcMar>
              <w:top w:w="0" w:type="dxa"/>
              <w:left w:w="0" w:type="dxa"/>
              <w:bottom w:w="0" w:type="dxa"/>
              <w:right w:w="0" w:type="dxa"/>
            </w:tcMar>
            <w:vAlign w:val="center"/>
          </w:tcPr>
          <w:p>
            <w:pPr>
              <w:pStyle w:val="TableContents"/>
              <w:bidi w:val="0"/>
              <w:spacing w:lineRule="auto" w:line="240" w:before="0" w:after="0"/>
              <w:jc w:val="both"/>
              <w:rPr/>
            </w:pPr>
            <w:r>
              <w:rPr>
                <w:rFonts w:ascii="Arial;sans-serif" w:hAnsi="Arial;sans-serif"/>
                <w:b w:val="false"/>
                <w:color w:val="000000"/>
                <w:sz w:val="10"/>
              </w:rPr>
              <w:t>(2)</w:t>
            </w:r>
            <w:r>
              <w:rPr>
                <w:color w:val="000000"/>
              </w:rPr>
              <w:t xml:space="preserve"> </w:t>
            </w:r>
            <w:r>
              <w:rPr>
                <w:rFonts w:ascii="Arial;sans-serif" w:hAnsi="Arial;sans-serif"/>
                <w:b w:val="false"/>
                <w:color w:val="000000"/>
                <w:sz w:val="16"/>
              </w:rPr>
              <w:t>Includes share-based compensation, amortization of cloud computing software implementation costs, net income or loss attributable to noncontrolling interests, and other.</w:t>
            </w:r>
          </w:p>
        </w:tc>
        <w:tc>
          <w:tcPr>
            <w:tcW w:w="155" w:type="dxa"/>
            <w:tcBorders/>
            <w:vAlign w:val="center"/>
          </w:tcPr>
          <w:p>
            <w:pPr>
              <w:pStyle w:val="TableContents"/>
              <w:bidi w:val="0"/>
              <w:spacing w:before="0" w:after="283"/>
              <w:jc w:val="left"/>
              <w:rPr>
                <w:sz w:val="4"/>
                <w:szCs w:val="4"/>
              </w:rPr>
            </w:pPr>
            <w:r>
              <w:rPr>
                <w:sz w:val="4"/>
                <w:szCs w:val="4"/>
              </w:rPr>
            </w:r>
          </w:p>
        </w:tc>
      </w:tr>
      <w:tr>
        <w:trPr/>
        <w:tc>
          <w:tcPr>
            <w:tcW w:w="100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10050"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16"/>
              </w:rPr>
            </w:pPr>
            <w:r>
              <w:rPr>
                <w:rFonts w:ascii="Arial;sans-serif" w:hAnsi="Arial;sans-serif"/>
                <w:b w:val="false"/>
                <w:color w:val="000000"/>
                <w:sz w:val="16"/>
              </w:rPr>
              <w:t>NM = Not meaningful</w:t>
            </w:r>
          </w:p>
        </w:tc>
        <w:tc>
          <w:tcPr>
            <w:tcW w:w="155" w:type="dxa"/>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A-9</w:t>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75260"/>
                <wp:effectExtent l="0" t="0" r="0" b="0"/>
                <wp:wrapNone/>
                <wp:docPr id="16" name="Frame1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218.8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MARRIOTT VACATIONS WORLDWIDE CORPORATION</w:t>
      </w:r>
    </w:p>
    <w:p>
      <w:pPr>
        <w:pStyle w:val="TextBody"/>
        <w:bidi w:val="0"/>
        <w:spacing w:lineRule="auto" w:line="288" w:before="120" w:after="283"/>
        <w:jc w:val="center"/>
        <w:rPr>
          <w:rFonts w:ascii="Arial;sans-serif" w:hAnsi="Arial;sans-serif"/>
          <w:b/>
          <w:color w:val="000000"/>
          <w:sz w:val="20"/>
        </w:rPr>
      </w:pPr>
      <w:r>
        <w:rPr>
          <w:rFonts w:ascii="Arial;sans-serif" w:hAnsi="Arial;sans-serif"/>
          <w:b/>
          <w:color w:val="000000"/>
          <w:sz w:val="20"/>
        </w:rPr>
        <w:t>SUPPLEMENTAL INFORMATION - MANAGEMENT AND EXCHANGE REVENUE</w:t>
      </w:r>
    </w:p>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(In millions and Unaudited)</w:t>
      </w:r>
    </w:p>
    <w:tbl>
      <w:tblPr>
        <w:tblW w:w="8905" w:type="dxa"/>
        <w:jc w:val="center"/>
        <w:tblInd w:w="0" w:type="dxa"/>
        <w:tblLayout w:type="fixed"/>
        <w:tblCellMar>
          <w:top w:w="28" w:type="dxa"/>
          <w:left w:w="28" w:type="dxa"/>
          <w:bottom w:w="28" w:type="dxa"/>
          <w:right w:w="28" w:type="dxa"/>
        </w:tblCellMar>
      </w:tblPr>
      <w:tblGrid>
        <w:gridCol w:w="1761"/>
        <w:gridCol w:w="1547"/>
        <w:gridCol w:w="1552"/>
        <w:gridCol w:w="340"/>
        <w:gridCol w:w="775"/>
        <w:gridCol w:w="175"/>
        <w:gridCol w:w="109"/>
        <w:gridCol w:w="109"/>
        <w:gridCol w:w="109"/>
        <w:gridCol w:w="340"/>
        <w:gridCol w:w="775"/>
        <w:gridCol w:w="175"/>
        <w:gridCol w:w="109"/>
        <w:gridCol w:w="109"/>
        <w:gridCol w:w="109"/>
        <w:gridCol w:w="237"/>
        <w:gridCol w:w="237"/>
        <w:gridCol w:w="337"/>
      </w:tblGrid>
      <w:tr>
        <w:trPr/>
        <w:tc>
          <w:tcPr>
            <w:tcW w:w="1761" w:type="dxa"/>
            <w:tcBorders/>
            <w:vAlign w:val="center"/>
          </w:tcPr>
          <w:p>
            <w:pPr>
              <w:pStyle w:val="TableContents"/>
              <w:bidi w:val="0"/>
              <w:spacing w:before="0" w:after="283"/>
              <w:jc w:val="left"/>
              <w:rPr>
                <w:sz w:val="4"/>
                <w:szCs w:val="4"/>
              </w:rPr>
            </w:pPr>
            <w:r>
              <w:rPr>
                <w:sz w:val="4"/>
                <w:szCs w:val="4"/>
              </w:rPr>
            </w:r>
          </w:p>
        </w:tc>
        <w:tc>
          <w:tcPr>
            <w:tcW w:w="1547" w:type="dxa"/>
            <w:tcBorders/>
            <w:vAlign w:val="center"/>
          </w:tcPr>
          <w:p>
            <w:pPr>
              <w:pStyle w:val="TableContents"/>
              <w:bidi w:val="0"/>
              <w:spacing w:before="0" w:after="283"/>
              <w:jc w:val="left"/>
              <w:rPr>
                <w:sz w:val="4"/>
                <w:szCs w:val="4"/>
              </w:rPr>
            </w:pPr>
            <w:r>
              <w:rPr>
                <w:sz w:val="4"/>
                <w:szCs w:val="4"/>
              </w:rPr>
            </w:r>
          </w:p>
        </w:tc>
        <w:tc>
          <w:tcPr>
            <w:tcW w:w="1552"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c>
          <w:tcPr>
            <w:tcW w:w="775"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c>
          <w:tcPr>
            <w:tcW w:w="775"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left"/>
              <w:rPr>
                <w:sz w:val="4"/>
                <w:szCs w:val="4"/>
              </w:rPr>
            </w:pPr>
            <w:r>
              <w:rPr>
                <w:sz w:val="4"/>
                <w:szCs w:val="4"/>
              </w:rPr>
            </w:r>
          </w:p>
        </w:tc>
      </w:tr>
      <w:tr>
        <w:trPr/>
        <w:tc>
          <w:tcPr>
            <w:tcW w:w="48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June 30,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June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Change</w:t>
            </w:r>
          </w:p>
        </w:tc>
      </w:tr>
      <w:tr>
        <w:trPr/>
        <w:tc>
          <w:tcPr>
            <w:tcW w:w="48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 xml:space="preserve">ANCILLARY REVENUE </w:t>
            </w:r>
          </w:p>
        </w:tc>
        <w:tc>
          <w:tcPr>
            <w:tcW w:w="129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Vacation Ownership Segment</w:t>
            </w:r>
          </w:p>
        </w:tc>
        <w:tc>
          <w:tcPr>
            <w:tcW w:w="34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7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74 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7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75 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(2%)</w:t>
            </w:r>
          </w:p>
        </w:tc>
      </w:tr>
      <w:tr>
        <w:trPr/>
        <w:tc>
          <w:tcPr>
            <w:tcW w:w="48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Exchange &amp; Third-Party Management Segment</w:t>
            </w:r>
          </w:p>
        </w:tc>
        <w:tc>
          <w:tcPr>
            <w:tcW w:w="11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16%</w:t>
            </w:r>
          </w:p>
        </w:tc>
      </w:tr>
      <w:tr>
        <w:trPr/>
        <w:tc>
          <w:tcPr>
            <w:tcW w:w="486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Corporate and Other</w:t>
            </w:r>
            <w:r>
              <w:rPr>
                <w:rFonts w:ascii="Arial;sans-serif" w:hAnsi="Arial;sans-serif"/>
                <w:b w:val="false"/>
                <w:color w:val="000000"/>
                <w:sz w:val="13"/>
              </w:rPr>
              <w:t>(1)</w:t>
            </w:r>
          </w:p>
        </w:tc>
        <w:tc>
          <w:tcPr>
            <w:tcW w:w="11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NM</w:t>
            </w:r>
          </w:p>
        </w:tc>
      </w:tr>
      <w:tr>
        <w:trPr/>
        <w:tc>
          <w:tcPr>
            <w:tcW w:w="48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Ancillary Revenue</w:t>
            </w:r>
          </w:p>
        </w:tc>
        <w:tc>
          <w:tcPr>
            <w:tcW w:w="111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75 </w:t>
            </w:r>
          </w:p>
        </w:tc>
        <w:tc>
          <w:tcPr>
            <w:tcW w:w="17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76 </w:t>
            </w:r>
          </w:p>
        </w:tc>
        <w:tc>
          <w:tcPr>
            <w:tcW w:w="17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w:t>
            </w:r>
          </w:p>
        </w:tc>
      </w:tr>
      <w:tr>
        <w:trPr/>
        <w:tc>
          <w:tcPr>
            <w:tcW w:w="48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MANAGEMENT FEE REVENUE</w:t>
            </w:r>
          </w:p>
        </w:tc>
        <w:tc>
          <w:tcPr>
            <w:tcW w:w="12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Vacation Ownership Segment</w:t>
            </w:r>
          </w:p>
        </w:tc>
        <w:tc>
          <w:tcPr>
            <w:tcW w:w="11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56 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55 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w:t>
            </w:r>
          </w:p>
        </w:tc>
      </w:tr>
      <w:tr>
        <w:trPr/>
        <w:tc>
          <w:tcPr>
            <w:tcW w:w="48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Exchange &amp; Third-Party Management Segment</w:t>
            </w:r>
          </w:p>
        </w:tc>
        <w:tc>
          <w:tcPr>
            <w:tcW w:w="11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84%</w:t>
            </w:r>
          </w:p>
        </w:tc>
      </w:tr>
      <w:tr>
        <w:trPr/>
        <w:tc>
          <w:tcPr>
            <w:tcW w:w="486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Corporate and Other</w:t>
            </w:r>
            <w:r>
              <w:rPr>
                <w:rFonts w:ascii="Arial;sans-serif" w:hAnsi="Arial;sans-serif"/>
                <w:b w:val="false"/>
                <w:color w:val="000000"/>
                <w:sz w:val="13"/>
              </w:rPr>
              <w:t>(1)</w:t>
            </w:r>
          </w:p>
        </w:tc>
        <w:tc>
          <w:tcPr>
            <w:tcW w:w="11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NM</w:t>
            </w:r>
          </w:p>
        </w:tc>
      </w:tr>
      <w:tr>
        <w:trPr/>
        <w:tc>
          <w:tcPr>
            <w:tcW w:w="48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Management Fee Revenue</w:t>
            </w:r>
          </w:p>
        </w:tc>
        <w:tc>
          <w:tcPr>
            <w:tcW w:w="111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58 </w:t>
            </w:r>
          </w:p>
        </w:tc>
        <w:tc>
          <w:tcPr>
            <w:tcW w:w="17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56 </w:t>
            </w:r>
          </w:p>
        </w:tc>
        <w:tc>
          <w:tcPr>
            <w:tcW w:w="17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3%</w:t>
            </w:r>
          </w:p>
        </w:tc>
      </w:tr>
      <w:tr>
        <w:trPr/>
        <w:tc>
          <w:tcPr>
            <w:tcW w:w="48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EXCHANGE AND OTHER SERVICES REVENUE</w:t>
            </w:r>
          </w:p>
        </w:tc>
        <w:tc>
          <w:tcPr>
            <w:tcW w:w="12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Vacation Ownership Segment</w:t>
            </w:r>
          </w:p>
        </w:tc>
        <w:tc>
          <w:tcPr>
            <w:tcW w:w="11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36 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35 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5%</w:t>
            </w:r>
          </w:p>
        </w:tc>
      </w:tr>
      <w:tr>
        <w:trPr/>
        <w:tc>
          <w:tcPr>
            <w:tcW w:w="48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Exchange &amp; Third-Party Management Segment</w:t>
            </w:r>
          </w:p>
        </w:tc>
        <w:tc>
          <w:tcPr>
            <w:tcW w:w="11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39 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39 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w:t>
            </w:r>
          </w:p>
        </w:tc>
      </w:tr>
      <w:tr>
        <w:trPr/>
        <w:tc>
          <w:tcPr>
            <w:tcW w:w="486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Corporate and Other</w:t>
            </w:r>
            <w:r>
              <w:rPr>
                <w:rFonts w:ascii="Arial;sans-serif" w:hAnsi="Arial;sans-serif"/>
                <w:b w:val="false"/>
                <w:color w:val="000000"/>
                <w:sz w:val="13"/>
              </w:rPr>
              <w:t>(1)</w:t>
            </w:r>
          </w:p>
        </w:tc>
        <w:tc>
          <w:tcPr>
            <w:tcW w:w="11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29%</w:t>
            </w:r>
          </w:p>
        </w:tc>
      </w:tr>
      <w:tr>
        <w:trPr/>
        <w:tc>
          <w:tcPr>
            <w:tcW w:w="48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Exchange and Other Services Revenue</w:t>
            </w:r>
          </w:p>
        </w:tc>
        <w:tc>
          <w:tcPr>
            <w:tcW w:w="111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92 </w:t>
            </w:r>
          </w:p>
        </w:tc>
        <w:tc>
          <w:tcPr>
            <w:tcW w:w="17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87 </w:t>
            </w:r>
          </w:p>
        </w:tc>
        <w:tc>
          <w:tcPr>
            <w:tcW w:w="17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6%</w:t>
            </w:r>
          </w:p>
        </w:tc>
      </w:tr>
      <w:tr>
        <w:trPr/>
        <w:tc>
          <w:tcPr>
            <w:tcW w:w="48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TOTAL MANAGEMENT AND EXCHANGE REVENUE</w:t>
            </w:r>
          </w:p>
        </w:tc>
        <w:tc>
          <w:tcPr>
            <w:tcW w:w="34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7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225 </w:t>
            </w:r>
          </w:p>
        </w:tc>
        <w:tc>
          <w:tcPr>
            <w:tcW w:w="17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7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219 </w:t>
            </w:r>
          </w:p>
        </w:tc>
        <w:tc>
          <w:tcPr>
            <w:tcW w:w="17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3%</w:t>
            </w:r>
          </w:p>
        </w:tc>
      </w:tr>
    </w:tbl>
    <w:tbl>
      <w:tblPr>
        <w:tblW w:w="10205" w:type="dxa"/>
        <w:jc w:val="center"/>
        <w:tblInd w:w="0" w:type="dxa"/>
        <w:tblLayout w:type="fixed"/>
        <w:tblCellMar>
          <w:top w:w="28" w:type="dxa"/>
          <w:left w:w="28" w:type="dxa"/>
          <w:bottom w:w="28" w:type="dxa"/>
          <w:right w:w="28" w:type="dxa"/>
        </w:tblCellMar>
      </w:tblPr>
      <w:tblGrid>
        <w:gridCol w:w="3637"/>
        <w:gridCol w:w="3199"/>
        <w:gridCol w:w="3213"/>
        <w:gridCol w:w="156"/>
      </w:tblGrid>
      <w:tr>
        <w:trPr/>
        <w:tc>
          <w:tcPr>
            <w:tcW w:w="3637" w:type="dxa"/>
            <w:tcBorders/>
            <w:vAlign w:val="center"/>
          </w:tcPr>
          <w:p>
            <w:pPr>
              <w:pStyle w:val="TableContents"/>
              <w:bidi w:val="0"/>
              <w:spacing w:before="0" w:after="283"/>
              <w:jc w:val="left"/>
              <w:rPr>
                <w:sz w:val="4"/>
                <w:szCs w:val="4"/>
              </w:rPr>
            </w:pPr>
            <w:r>
              <w:rPr>
                <w:sz w:val="4"/>
                <w:szCs w:val="4"/>
              </w:rPr>
            </w:r>
          </w:p>
        </w:tc>
        <w:tc>
          <w:tcPr>
            <w:tcW w:w="3199" w:type="dxa"/>
            <w:tcBorders/>
            <w:vAlign w:val="center"/>
          </w:tcPr>
          <w:p>
            <w:pPr>
              <w:pStyle w:val="TableContents"/>
              <w:bidi w:val="0"/>
              <w:spacing w:before="0" w:after="283"/>
              <w:jc w:val="left"/>
              <w:rPr>
                <w:sz w:val="4"/>
                <w:szCs w:val="4"/>
              </w:rPr>
            </w:pPr>
            <w:r>
              <w:rPr>
                <w:sz w:val="4"/>
                <w:szCs w:val="4"/>
              </w:rPr>
            </w:r>
          </w:p>
        </w:tc>
        <w:tc>
          <w:tcPr>
            <w:tcW w:w="3213"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10049" w:type="dxa"/>
            <w:gridSpan w:val="3"/>
            <w:tcBorders/>
            <w:tcMar>
              <w:top w:w="0" w:type="dxa"/>
              <w:left w:w="0" w:type="dxa"/>
              <w:bottom w:w="0" w:type="dxa"/>
              <w:right w:w="0" w:type="dxa"/>
            </w:tcMar>
            <w:vAlign w:val="center"/>
          </w:tcPr>
          <w:p>
            <w:pPr>
              <w:pStyle w:val="TableContents"/>
              <w:bidi w:val="0"/>
              <w:spacing w:lineRule="auto" w:line="288" w:before="360" w:after="283"/>
              <w:jc w:val="both"/>
              <w:rPr/>
            </w:pPr>
            <w:r>
              <w:rPr>
                <w:rFonts w:ascii="Arial;sans-serif" w:hAnsi="Arial;sans-serif"/>
                <w:b w:val="false"/>
                <w:color w:val="000000"/>
                <w:sz w:val="13"/>
              </w:rPr>
              <w:t>(1)</w:t>
            </w:r>
            <w:r>
              <w:rPr>
                <w:color w:val="000000"/>
              </w:rPr>
              <w:t xml:space="preserve"> </w:t>
            </w:r>
            <w:r>
              <w:rPr>
                <w:rFonts w:ascii="Arial;sans-serif" w:hAnsi="Arial;sans-serif"/>
                <w:b w:val="false"/>
                <w:color w:val="000000"/>
                <w:sz w:val="20"/>
              </w:rPr>
              <w:t>Amounts included in Corporate and other represent the impact of the consolidation of certain owners’ associations under the Financial Accounting Standards Board Accounting Standard Codification Topic 810, “</w:t>
            </w:r>
            <w:r>
              <w:rPr>
                <w:rFonts w:ascii="Arial;sans-serif" w:hAnsi="Arial;sans-serif"/>
                <w:b w:val="false"/>
                <w:i/>
                <w:color w:val="000000"/>
                <w:sz w:val="20"/>
              </w:rPr>
              <w:t>Consolidation</w:t>
            </w:r>
            <w:r>
              <w:rPr>
                <w:rFonts w:ascii="Arial;sans-serif" w:hAnsi="Arial;sans-serif"/>
                <w:b w:val="false"/>
                <w:color w:val="000000"/>
                <w:sz w:val="20"/>
              </w:rPr>
              <w:t>,” and represents the portion attributable to individual or third-party vacation ownership interest owners.</w:t>
            </w:r>
          </w:p>
        </w:tc>
        <w:tc>
          <w:tcPr>
            <w:tcW w:w="156" w:type="dxa"/>
            <w:tcBorders/>
            <w:vAlign w:val="center"/>
          </w:tcPr>
          <w:p>
            <w:pPr>
              <w:pStyle w:val="TableContents"/>
              <w:bidi w:val="0"/>
              <w:spacing w:before="0" w:after="283"/>
              <w:jc w:val="left"/>
              <w:rPr>
                <w:sz w:val="4"/>
                <w:szCs w:val="4"/>
              </w:rPr>
            </w:pPr>
            <w:r>
              <w:rPr>
                <w:sz w:val="4"/>
                <w:szCs w:val="4"/>
              </w:rPr>
            </w:r>
          </w:p>
        </w:tc>
      </w:tr>
      <w:tr>
        <w:trPr/>
        <w:tc>
          <w:tcPr>
            <w:tcW w:w="100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A-10</w:t>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75260"/>
                <wp:effectExtent l="0" t="0" r="0" b="0"/>
                <wp:wrapNone/>
                <wp:docPr id="17" name="Frame1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216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MARRIOTT VACATIONS WORLDWIDE CORPORATION</w:t>
      </w:r>
    </w:p>
    <w:p>
      <w:pPr>
        <w:pStyle w:val="TextBody"/>
        <w:bidi w:val="0"/>
        <w:spacing w:lineRule="auto" w:line="288" w:before="120" w:after="283"/>
        <w:jc w:val="center"/>
        <w:rPr>
          <w:rFonts w:ascii="Arial;sans-serif" w:hAnsi="Arial;sans-serif"/>
          <w:b/>
          <w:color w:val="000000"/>
          <w:sz w:val="20"/>
        </w:rPr>
      </w:pPr>
      <w:r>
        <w:rPr>
          <w:rFonts w:ascii="Arial;sans-serif" w:hAnsi="Arial;sans-serif"/>
          <w:b/>
          <w:color w:val="000000"/>
          <w:sz w:val="20"/>
        </w:rPr>
        <w:t>SUPPLEMENTAL INFORMATION - MANAGEMENT AND EXCHANGE REVENUE</w:t>
      </w:r>
    </w:p>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(In millions and Unaudited)</w:t>
      </w:r>
    </w:p>
    <w:tbl>
      <w:tblPr>
        <w:tblW w:w="8905" w:type="dxa"/>
        <w:jc w:val="center"/>
        <w:tblInd w:w="0" w:type="dxa"/>
        <w:tblLayout w:type="fixed"/>
        <w:tblCellMar>
          <w:top w:w="28" w:type="dxa"/>
          <w:left w:w="28" w:type="dxa"/>
          <w:bottom w:w="28" w:type="dxa"/>
          <w:right w:w="28" w:type="dxa"/>
        </w:tblCellMar>
      </w:tblPr>
      <w:tblGrid>
        <w:gridCol w:w="1761"/>
        <w:gridCol w:w="1547"/>
        <w:gridCol w:w="1552"/>
        <w:gridCol w:w="340"/>
        <w:gridCol w:w="775"/>
        <w:gridCol w:w="175"/>
        <w:gridCol w:w="109"/>
        <w:gridCol w:w="109"/>
        <w:gridCol w:w="109"/>
        <w:gridCol w:w="340"/>
        <w:gridCol w:w="775"/>
        <w:gridCol w:w="175"/>
        <w:gridCol w:w="109"/>
        <w:gridCol w:w="109"/>
        <w:gridCol w:w="109"/>
        <w:gridCol w:w="237"/>
        <w:gridCol w:w="237"/>
        <w:gridCol w:w="337"/>
      </w:tblGrid>
      <w:tr>
        <w:trPr/>
        <w:tc>
          <w:tcPr>
            <w:tcW w:w="1761" w:type="dxa"/>
            <w:tcBorders/>
            <w:vAlign w:val="center"/>
          </w:tcPr>
          <w:p>
            <w:pPr>
              <w:pStyle w:val="TableContents"/>
              <w:bidi w:val="0"/>
              <w:spacing w:before="0" w:after="283"/>
              <w:jc w:val="left"/>
              <w:rPr>
                <w:sz w:val="4"/>
                <w:szCs w:val="4"/>
              </w:rPr>
            </w:pPr>
            <w:r>
              <w:rPr>
                <w:sz w:val="4"/>
                <w:szCs w:val="4"/>
              </w:rPr>
            </w:r>
          </w:p>
        </w:tc>
        <w:tc>
          <w:tcPr>
            <w:tcW w:w="1547" w:type="dxa"/>
            <w:tcBorders/>
            <w:vAlign w:val="center"/>
          </w:tcPr>
          <w:p>
            <w:pPr>
              <w:pStyle w:val="TableContents"/>
              <w:bidi w:val="0"/>
              <w:spacing w:before="0" w:after="283"/>
              <w:jc w:val="left"/>
              <w:rPr>
                <w:sz w:val="4"/>
                <w:szCs w:val="4"/>
              </w:rPr>
            </w:pPr>
            <w:r>
              <w:rPr>
                <w:sz w:val="4"/>
                <w:szCs w:val="4"/>
              </w:rPr>
            </w:r>
          </w:p>
        </w:tc>
        <w:tc>
          <w:tcPr>
            <w:tcW w:w="1552"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c>
          <w:tcPr>
            <w:tcW w:w="775"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c>
          <w:tcPr>
            <w:tcW w:w="775"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left"/>
              <w:rPr>
                <w:sz w:val="4"/>
                <w:szCs w:val="4"/>
              </w:rPr>
            </w:pPr>
            <w:r>
              <w:rPr>
                <w:sz w:val="4"/>
                <w:szCs w:val="4"/>
              </w:rPr>
            </w:r>
          </w:p>
        </w:tc>
      </w:tr>
      <w:tr>
        <w:trPr/>
        <w:tc>
          <w:tcPr>
            <w:tcW w:w="48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Six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June 30,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June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Change</w:t>
            </w:r>
          </w:p>
        </w:tc>
      </w:tr>
      <w:tr>
        <w:trPr/>
        <w:tc>
          <w:tcPr>
            <w:tcW w:w="48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 xml:space="preserve">ANCILLARY REVENUE </w:t>
            </w:r>
          </w:p>
        </w:tc>
        <w:tc>
          <w:tcPr>
            <w:tcW w:w="129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Vacation Ownership Segment</w:t>
            </w:r>
          </w:p>
        </w:tc>
        <w:tc>
          <w:tcPr>
            <w:tcW w:w="34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7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139 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7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140 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w:t>
            </w:r>
          </w:p>
        </w:tc>
      </w:tr>
      <w:tr>
        <w:trPr/>
        <w:tc>
          <w:tcPr>
            <w:tcW w:w="48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Exchange &amp; Third-Party Management Segment</w:t>
            </w:r>
          </w:p>
        </w:tc>
        <w:tc>
          <w:tcPr>
            <w:tcW w:w="11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8%</w:t>
            </w:r>
          </w:p>
        </w:tc>
      </w:tr>
      <w:tr>
        <w:trPr/>
        <w:tc>
          <w:tcPr>
            <w:tcW w:w="486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Corporate and Other</w:t>
            </w:r>
            <w:r>
              <w:rPr>
                <w:rFonts w:ascii="Arial;sans-serif" w:hAnsi="Arial;sans-serif"/>
                <w:b w:val="false"/>
                <w:color w:val="000000"/>
                <w:sz w:val="13"/>
              </w:rPr>
              <w:t>(1)</w:t>
            </w:r>
          </w:p>
        </w:tc>
        <w:tc>
          <w:tcPr>
            <w:tcW w:w="11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NM</w:t>
            </w:r>
          </w:p>
        </w:tc>
      </w:tr>
      <w:tr>
        <w:trPr/>
        <w:tc>
          <w:tcPr>
            <w:tcW w:w="48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Ancillary Revenue</w:t>
            </w:r>
          </w:p>
        </w:tc>
        <w:tc>
          <w:tcPr>
            <w:tcW w:w="111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141 </w:t>
            </w:r>
          </w:p>
        </w:tc>
        <w:tc>
          <w:tcPr>
            <w:tcW w:w="17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142 </w:t>
            </w:r>
          </w:p>
        </w:tc>
        <w:tc>
          <w:tcPr>
            <w:tcW w:w="17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w:t>
            </w:r>
          </w:p>
        </w:tc>
      </w:tr>
      <w:tr>
        <w:trPr/>
        <w:tc>
          <w:tcPr>
            <w:tcW w:w="48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MANAGEMENT FEE REVENUE</w:t>
            </w:r>
          </w:p>
        </w:tc>
        <w:tc>
          <w:tcPr>
            <w:tcW w:w="12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Vacation Ownership Segment</w:t>
            </w:r>
          </w:p>
        </w:tc>
        <w:tc>
          <w:tcPr>
            <w:tcW w:w="11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112 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110 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w:t>
            </w:r>
          </w:p>
        </w:tc>
      </w:tr>
      <w:tr>
        <w:trPr/>
        <w:tc>
          <w:tcPr>
            <w:tcW w:w="48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Exchange &amp; Third-Party Management Segment</w:t>
            </w:r>
          </w:p>
        </w:tc>
        <w:tc>
          <w:tcPr>
            <w:tcW w:w="11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(9%)</w:t>
            </w:r>
          </w:p>
        </w:tc>
      </w:tr>
      <w:tr>
        <w:trPr/>
        <w:tc>
          <w:tcPr>
            <w:tcW w:w="486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Corporate and Other</w:t>
            </w:r>
            <w:r>
              <w:rPr>
                <w:rFonts w:ascii="Arial;sans-serif" w:hAnsi="Arial;sans-serif"/>
                <w:b w:val="false"/>
                <w:color w:val="000000"/>
                <w:sz w:val="13"/>
              </w:rPr>
              <w:t>(1)</w:t>
            </w:r>
          </w:p>
        </w:tc>
        <w:tc>
          <w:tcPr>
            <w:tcW w:w="11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w:t>
            </w:r>
          </w:p>
        </w:tc>
      </w:tr>
      <w:tr>
        <w:trPr/>
        <w:tc>
          <w:tcPr>
            <w:tcW w:w="48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Management Fee Revenue</w:t>
            </w:r>
          </w:p>
        </w:tc>
        <w:tc>
          <w:tcPr>
            <w:tcW w:w="111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115 </w:t>
            </w:r>
          </w:p>
        </w:tc>
        <w:tc>
          <w:tcPr>
            <w:tcW w:w="17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113 </w:t>
            </w:r>
          </w:p>
        </w:tc>
        <w:tc>
          <w:tcPr>
            <w:tcW w:w="17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w:t>
            </w:r>
          </w:p>
        </w:tc>
      </w:tr>
      <w:tr>
        <w:trPr/>
        <w:tc>
          <w:tcPr>
            <w:tcW w:w="48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EXCHANGE AND OTHER SERVICES REVENUE</w:t>
            </w:r>
          </w:p>
        </w:tc>
        <w:tc>
          <w:tcPr>
            <w:tcW w:w="12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Vacation Ownership Segment</w:t>
            </w:r>
          </w:p>
        </w:tc>
        <w:tc>
          <w:tcPr>
            <w:tcW w:w="11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71 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70 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3%</w:t>
            </w:r>
          </w:p>
        </w:tc>
      </w:tr>
      <w:tr>
        <w:trPr/>
        <w:tc>
          <w:tcPr>
            <w:tcW w:w="48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Exchange &amp; Third-Party Management Segment</w:t>
            </w:r>
          </w:p>
        </w:tc>
        <w:tc>
          <w:tcPr>
            <w:tcW w:w="11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80 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81 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(2%)</w:t>
            </w:r>
          </w:p>
        </w:tc>
      </w:tr>
      <w:tr>
        <w:trPr/>
        <w:tc>
          <w:tcPr>
            <w:tcW w:w="486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Corporate and Other</w:t>
            </w:r>
            <w:r>
              <w:rPr>
                <w:rFonts w:ascii="Arial;sans-serif" w:hAnsi="Arial;sans-serif"/>
                <w:b w:val="false"/>
                <w:color w:val="000000"/>
                <w:sz w:val="13"/>
              </w:rPr>
              <w:t>(1)</w:t>
            </w:r>
          </w:p>
        </w:tc>
        <w:tc>
          <w:tcPr>
            <w:tcW w:w="11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34 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28 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19%</w:t>
            </w:r>
          </w:p>
        </w:tc>
      </w:tr>
      <w:tr>
        <w:trPr/>
        <w:tc>
          <w:tcPr>
            <w:tcW w:w="48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Exchange and Other Services Revenue</w:t>
            </w:r>
          </w:p>
        </w:tc>
        <w:tc>
          <w:tcPr>
            <w:tcW w:w="111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185 </w:t>
            </w:r>
          </w:p>
        </w:tc>
        <w:tc>
          <w:tcPr>
            <w:tcW w:w="17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179 </w:t>
            </w:r>
          </w:p>
        </w:tc>
        <w:tc>
          <w:tcPr>
            <w:tcW w:w="17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4%</w:t>
            </w:r>
          </w:p>
        </w:tc>
      </w:tr>
      <w:tr>
        <w:trPr/>
        <w:tc>
          <w:tcPr>
            <w:tcW w:w="48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TOTAL MANAGEMENT AND EXCHANGE REVENUE</w:t>
            </w:r>
          </w:p>
        </w:tc>
        <w:tc>
          <w:tcPr>
            <w:tcW w:w="34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7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441 </w:t>
            </w:r>
          </w:p>
        </w:tc>
        <w:tc>
          <w:tcPr>
            <w:tcW w:w="17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7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434 </w:t>
            </w:r>
          </w:p>
        </w:tc>
        <w:tc>
          <w:tcPr>
            <w:tcW w:w="17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w:t>
            </w:r>
          </w:p>
        </w:tc>
      </w:tr>
    </w:tbl>
    <w:tbl>
      <w:tblPr>
        <w:tblW w:w="10205" w:type="dxa"/>
        <w:jc w:val="center"/>
        <w:tblInd w:w="0" w:type="dxa"/>
        <w:tblLayout w:type="fixed"/>
        <w:tblCellMar>
          <w:top w:w="28" w:type="dxa"/>
          <w:left w:w="28" w:type="dxa"/>
          <w:bottom w:w="28" w:type="dxa"/>
          <w:right w:w="28" w:type="dxa"/>
        </w:tblCellMar>
      </w:tblPr>
      <w:tblGrid>
        <w:gridCol w:w="3637"/>
        <w:gridCol w:w="3199"/>
        <w:gridCol w:w="3213"/>
        <w:gridCol w:w="156"/>
      </w:tblGrid>
      <w:tr>
        <w:trPr/>
        <w:tc>
          <w:tcPr>
            <w:tcW w:w="3637" w:type="dxa"/>
            <w:tcBorders/>
            <w:vAlign w:val="center"/>
          </w:tcPr>
          <w:p>
            <w:pPr>
              <w:pStyle w:val="TableContents"/>
              <w:bidi w:val="0"/>
              <w:spacing w:before="0" w:after="283"/>
              <w:jc w:val="left"/>
              <w:rPr>
                <w:sz w:val="4"/>
                <w:szCs w:val="4"/>
              </w:rPr>
            </w:pPr>
            <w:r>
              <w:rPr>
                <w:sz w:val="4"/>
                <w:szCs w:val="4"/>
              </w:rPr>
            </w:r>
          </w:p>
        </w:tc>
        <w:tc>
          <w:tcPr>
            <w:tcW w:w="3199" w:type="dxa"/>
            <w:tcBorders/>
            <w:vAlign w:val="center"/>
          </w:tcPr>
          <w:p>
            <w:pPr>
              <w:pStyle w:val="TableContents"/>
              <w:bidi w:val="0"/>
              <w:spacing w:before="0" w:after="283"/>
              <w:jc w:val="left"/>
              <w:rPr>
                <w:sz w:val="4"/>
                <w:szCs w:val="4"/>
              </w:rPr>
            </w:pPr>
            <w:r>
              <w:rPr>
                <w:sz w:val="4"/>
                <w:szCs w:val="4"/>
              </w:rPr>
            </w:r>
          </w:p>
        </w:tc>
        <w:tc>
          <w:tcPr>
            <w:tcW w:w="3213"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10049" w:type="dxa"/>
            <w:gridSpan w:val="3"/>
            <w:tcBorders/>
            <w:tcMar>
              <w:top w:w="0" w:type="dxa"/>
              <w:left w:w="0" w:type="dxa"/>
              <w:bottom w:w="0" w:type="dxa"/>
              <w:right w:w="0" w:type="dxa"/>
            </w:tcMar>
            <w:vAlign w:val="center"/>
          </w:tcPr>
          <w:p>
            <w:pPr>
              <w:pStyle w:val="TableContents"/>
              <w:bidi w:val="0"/>
              <w:spacing w:lineRule="auto" w:line="288" w:before="360" w:after="283"/>
              <w:jc w:val="both"/>
              <w:rPr/>
            </w:pPr>
            <w:r>
              <w:rPr>
                <w:rFonts w:ascii="Arial;sans-serif" w:hAnsi="Arial;sans-serif"/>
                <w:b w:val="false"/>
                <w:color w:val="000000"/>
                <w:sz w:val="13"/>
              </w:rPr>
              <w:t>(1)</w:t>
            </w:r>
            <w:r>
              <w:rPr>
                <w:color w:val="000000"/>
              </w:rPr>
              <w:t xml:space="preserve"> </w:t>
            </w:r>
            <w:r>
              <w:rPr>
                <w:rFonts w:ascii="Arial;sans-serif" w:hAnsi="Arial;sans-serif"/>
                <w:b w:val="false"/>
                <w:color w:val="000000"/>
                <w:sz w:val="20"/>
              </w:rPr>
              <w:t>Amounts included in Corporate and other represent the impact of the consolidation of certain owners’ associations under the Financial Accounting Standards Board Accounting Standard Codification Topic 810, “</w:t>
            </w:r>
            <w:r>
              <w:rPr>
                <w:rFonts w:ascii="Arial;sans-serif" w:hAnsi="Arial;sans-serif"/>
                <w:b w:val="false"/>
                <w:i/>
                <w:color w:val="000000"/>
                <w:sz w:val="20"/>
              </w:rPr>
              <w:t>Consolidation</w:t>
            </w:r>
            <w:r>
              <w:rPr>
                <w:rFonts w:ascii="Arial;sans-serif" w:hAnsi="Arial;sans-serif"/>
                <w:b w:val="false"/>
                <w:color w:val="000000"/>
                <w:sz w:val="20"/>
              </w:rPr>
              <w:t>,” and represents the portion attributable to individual or third-party vacation ownership interest owners.</w:t>
            </w:r>
          </w:p>
        </w:tc>
        <w:tc>
          <w:tcPr>
            <w:tcW w:w="156" w:type="dxa"/>
            <w:tcBorders/>
            <w:vAlign w:val="center"/>
          </w:tcPr>
          <w:p>
            <w:pPr>
              <w:pStyle w:val="TableContents"/>
              <w:bidi w:val="0"/>
              <w:spacing w:before="0" w:after="283"/>
              <w:jc w:val="left"/>
              <w:rPr>
                <w:sz w:val="4"/>
                <w:szCs w:val="4"/>
              </w:rPr>
            </w:pPr>
            <w:r>
              <w:rPr>
                <w:sz w:val="4"/>
                <w:szCs w:val="4"/>
              </w:rPr>
            </w:r>
          </w:p>
        </w:tc>
      </w:tr>
      <w:tr>
        <w:trPr/>
        <w:tc>
          <w:tcPr>
            <w:tcW w:w="100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A-11</w:t>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75260"/>
                <wp:effectExtent l="0" t="0" r="0" b="0"/>
                <wp:wrapNone/>
                <wp:docPr id="18" name="Frame1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216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MARRIOTT VACATIONS WORLDWIDE CORPORATION</w:t>
      </w:r>
    </w:p>
    <w:p>
      <w:pPr>
        <w:pStyle w:val="TextBody"/>
        <w:bidi w:val="0"/>
        <w:spacing w:lineRule="auto" w:line="288" w:before="120" w:after="283"/>
        <w:jc w:val="center"/>
        <w:rPr>
          <w:rFonts w:ascii="Arial;sans-serif" w:hAnsi="Arial;sans-serif"/>
          <w:b/>
          <w:color w:val="000000"/>
          <w:sz w:val="20"/>
        </w:rPr>
      </w:pPr>
      <w:r>
        <w:rPr>
          <w:rFonts w:ascii="Arial;sans-serif" w:hAnsi="Arial;sans-serif"/>
          <w:b/>
          <w:color w:val="000000"/>
          <w:sz w:val="20"/>
        </w:rPr>
        <w:t>INTERIM CONSOLIDATED BALANCE SHEETS</w:t>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(In millions, except share and per share data)</w:t>
      </w:r>
    </w:p>
    <w:tbl>
      <w:tblPr>
        <w:tblW w:w="10205" w:type="dxa"/>
        <w:jc w:val="center"/>
        <w:tblInd w:w="0" w:type="dxa"/>
        <w:tblLayout w:type="fixed"/>
        <w:tblCellMar>
          <w:top w:w="28" w:type="dxa"/>
          <w:left w:w="28" w:type="dxa"/>
          <w:bottom w:w="28" w:type="dxa"/>
          <w:right w:w="28" w:type="dxa"/>
        </w:tblCellMar>
      </w:tblPr>
      <w:tblGrid>
        <w:gridCol w:w="2777"/>
        <w:gridCol w:w="2197"/>
        <w:gridCol w:w="2228"/>
        <w:gridCol w:w="253"/>
        <w:gridCol w:w="778"/>
        <w:gridCol w:w="132"/>
        <w:gridCol w:w="109"/>
        <w:gridCol w:w="109"/>
        <w:gridCol w:w="109"/>
        <w:gridCol w:w="314"/>
        <w:gridCol w:w="964"/>
        <w:gridCol w:w="235"/>
      </w:tblGrid>
      <w:tr>
        <w:trPr/>
        <w:tc>
          <w:tcPr>
            <w:tcW w:w="2777" w:type="dxa"/>
            <w:tcBorders/>
            <w:vAlign w:val="center"/>
          </w:tcPr>
          <w:p>
            <w:pPr>
              <w:pStyle w:val="TableContents"/>
              <w:bidi w:val="0"/>
              <w:spacing w:before="0" w:after="283"/>
              <w:jc w:val="left"/>
              <w:rPr>
                <w:sz w:val="4"/>
                <w:szCs w:val="4"/>
              </w:rPr>
            </w:pPr>
            <w:r>
              <w:rPr>
                <w:sz w:val="4"/>
                <w:szCs w:val="4"/>
              </w:rPr>
            </w:r>
          </w:p>
        </w:tc>
        <w:tc>
          <w:tcPr>
            <w:tcW w:w="2197" w:type="dxa"/>
            <w:tcBorders/>
            <w:vAlign w:val="center"/>
          </w:tcPr>
          <w:p>
            <w:pPr>
              <w:pStyle w:val="TableContents"/>
              <w:bidi w:val="0"/>
              <w:spacing w:before="0" w:after="283"/>
              <w:jc w:val="left"/>
              <w:rPr>
                <w:sz w:val="4"/>
                <w:szCs w:val="4"/>
              </w:rPr>
            </w:pPr>
            <w:r>
              <w:rPr>
                <w:sz w:val="4"/>
                <w:szCs w:val="4"/>
              </w:rPr>
            </w:r>
          </w:p>
        </w:tc>
        <w:tc>
          <w:tcPr>
            <w:tcW w:w="2228"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778"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964"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r>
      <w:tr>
        <w:trPr/>
        <w:tc>
          <w:tcPr>
            <w:tcW w:w="72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Unaudited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December 31, 2025</w:t>
            </w:r>
          </w:p>
        </w:tc>
      </w:tr>
      <w:tr>
        <w:trPr/>
        <w:tc>
          <w:tcPr>
            <w:tcW w:w="72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ASSETS</w:t>
            </w:r>
          </w:p>
        </w:tc>
        <w:tc>
          <w:tcPr>
            <w:tcW w:w="116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Cash and cash equivalents</w:t>
            </w:r>
          </w:p>
        </w:tc>
        <w:tc>
          <w:tcPr>
            <w:tcW w:w="25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7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211 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6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406 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0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Restricted cash (including $87 and $81 from VIEs, respectively)</w:t>
            </w:r>
          </w:p>
        </w:tc>
        <w:tc>
          <w:tcPr>
            <w:tcW w:w="10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302 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327 </w:t>
            </w:r>
          </w:p>
        </w:tc>
        <w:tc>
          <w:tcPr>
            <w:tcW w:w="2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0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Accounts and contracts receivable, net (including $17 and $15 from VIEs, respectively)</w:t>
            </w:r>
          </w:p>
        </w:tc>
        <w:tc>
          <w:tcPr>
            <w:tcW w:w="10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428 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428 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0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Vacation ownership notes receivable, net (including $2,082 and $1,900 from VIEs, respectively)</w:t>
            </w:r>
          </w:p>
        </w:tc>
        <w:tc>
          <w:tcPr>
            <w:tcW w:w="10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2,587 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2,565 </w:t>
            </w:r>
          </w:p>
        </w:tc>
        <w:tc>
          <w:tcPr>
            <w:tcW w:w="2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Inventory</w:t>
            </w:r>
          </w:p>
        </w:tc>
        <w:tc>
          <w:tcPr>
            <w:tcW w:w="10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673 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692 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0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Property and equipment, net</w:t>
            </w:r>
            <w:r>
              <w:rPr>
                <w:rFonts w:ascii="Arial;sans-serif" w:hAnsi="Arial;sans-serif"/>
                <w:b w:val="false"/>
                <w:color w:val="000000"/>
                <w:sz w:val="13"/>
              </w:rPr>
              <w:t>(1)</w:t>
            </w:r>
          </w:p>
        </w:tc>
        <w:tc>
          <w:tcPr>
            <w:tcW w:w="10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940 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950 </w:t>
            </w:r>
          </w:p>
        </w:tc>
        <w:tc>
          <w:tcPr>
            <w:tcW w:w="2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Goodwill</w:t>
            </w:r>
          </w:p>
        </w:tc>
        <w:tc>
          <w:tcPr>
            <w:tcW w:w="10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2,958 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2,958 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Intangibles, net</w:t>
            </w:r>
          </w:p>
        </w:tc>
        <w:tc>
          <w:tcPr>
            <w:tcW w:w="10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681 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711 </w:t>
            </w:r>
          </w:p>
        </w:tc>
        <w:tc>
          <w:tcPr>
            <w:tcW w:w="2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0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Other (including $188 and $168 from VIEs, respectively)</w:t>
            </w:r>
          </w:p>
        </w:tc>
        <w:tc>
          <w:tcPr>
            <w:tcW w:w="10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699 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720 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TOTAL ASSETS</w:t>
            </w:r>
          </w:p>
        </w:tc>
        <w:tc>
          <w:tcPr>
            <w:tcW w:w="2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7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9,479 </w:t>
            </w:r>
          </w:p>
        </w:tc>
        <w:tc>
          <w:tcPr>
            <w:tcW w:w="13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9,757 </w:t>
            </w:r>
          </w:p>
        </w:tc>
        <w:tc>
          <w:tcPr>
            <w:tcW w:w="23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LIABILITIES AND EQUITY</w:t>
            </w:r>
          </w:p>
        </w:tc>
        <w:tc>
          <w:tcPr>
            <w:tcW w:w="11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Accounts payable</w:t>
            </w:r>
          </w:p>
        </w:tc>
        <w:tc>
          <w:tcPr>
            <w:tcW w:w="25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7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227 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6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358 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Advance deposits</w:t>
            </w:r>
          </w:p>
        </w:tc>
        <w:tc>
          <w:tcPr>
            <w:tcW w:w="10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166 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163 </w:t>
            </w:r>
          </w:p>
        </w:tc>
        <w:tc>
          <w:tcPr>
            <w:tcW w:w="2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0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Accrued liabilities (including $4 and $4 from VIEs, respectively)</w:t>
            </w:r>
          </w:p>
        </w:tc>
        <w:tc>
          <w:tcPr>
            <w:tcW w:w="10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372 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376 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Deferred revenue and other</w:t>
            </w:r>
          </w:p>
        </w:tc>
        <w:tc>
          <w:tcPr>
            <w:tcW w:w="10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416 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371 </w:t>
            </w:r>
          </w:p>
        </w:tc>
        <w:tc>
          <w:tcPr>
            <w:tcW w:w="2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Payroll and benefits liability</w:t>
            </w:r>
          </w:p>
        </w:tc>
        <w:tc>
          <w:tcPr>
            <w:tcW w:w="10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215 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218 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Deferred compensation liability</w:t>
            </w:r>
          </w:p>
        </w:tc>
        <w:tc>
          <w:tcPr>
            <w:tcW w:w="10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240 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225 </w:t>
            </w:r>
          </w:p>
        </w:tc>
        <w:tc>
          <w:tcPr>
            <w:tcW w:w="2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0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Securitized debt, net (including $2,381 and $2,173 from VIEs, respectively)</w:t>
            </w:r>
          </w:p>
        </w:tc>
        <w:tc>
          <w:tcPr>
            <w:tcW w:w="10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2,353 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2,146 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Debt, net</w:t>
            </w:r>
          </w:p>
        </w:tc>
        <w:tc>
          <w:tcPr>
            <w:tcW w:w="10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3,100 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3,534 </w:t>
            </w:r>
          </w:p>
        </w:tc>
        <w:tc>
          <w:tcPr>
            <w:tcW w:w="2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w:t>
            </w:r>
          </w:p>
        </w:tc>
        <w:tc>
          <w:tcPr>
            <w:tcW w:w="10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119 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142 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Deferred taxes</w:t>
            </w:r>
          </w:p>
        </w:tc>
        <w:tc>
          <w:tcPr>
            <w:tcW w:w="10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214 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231 </w:t>
            </w:r>
          </w:p>
        </w:tc>
        <w:tc>
          <w:tcPr>
            <w:tcW w:w="2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TOTAL LIABILITIES</w:t>
            </w:r>
          </w:p>
        </w:tc>
        <w:tc>
          <w:tcPr>
            <w:tcW w:w="103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7,422 </w:t>
            </w:r>
          </w:p>
        </w:tc>
        <w:tc>
          <w:tcPr>
            <w:tcW w:w="13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7,764 </w:t>
            </w:r>
          </w:p>
        </w:tc>
        <w:tc>
          <w:tcPr>
            <w:tcW w:w="23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02" w:type="dxa"/>
            <w:gridSpan w:val="3"/>
            <w:tcBorders/>
            <w:vAlign w:val="center"/>
          </w:tcPr>
          <w:p>
            <w:pPr>
              <w:pStyle w:val="TableContents"/>
              <w:bidi w:val="0"/>
              <w:spacing w:before="0" w:after="283"/>
              <w:jc w:val="left"/>
              <w:rPr>
                <w:sz w:val="4"/>
                <w:szCs w:val="4"/>
              </w:rPr>
            </w:pPr>
            <w:r>
              <w:rPr>
                <w:sz w:val="4"/>
                <w:szCs w:val="4"/>
              </w:rPr>
            </w:r>
          </w:p>
        </w:tc>
        <w:tc>
          <w:tcPr>
            <w:tcW w:w="11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13" w:type="dxa"/>
            <w:gridSpan w:val="3"/>
            <w:tcBorders/>
            <w:vAlign w:val="center"/>
          </w:tcPr>
          <w:p>
            <w:pPr>
              <w:pStyle w:val="TableContents"/>
              <w:bidi w:val="0"/>
              <w:spacing w:before="0" w:after="283"/>
              <w:jc w:val="left"/>
              <w:rPr>
                <w:sz w:val="4"/>
                <w:szCs w:val="4"/>
              </w:rPr>
            </w:pPr>
            <w:r>
              <w:rPr>
                <w:sz w:val="4"/>
                <w:szCs w:val="4"/>
              </w:rPr>
            </w:r>
          </w:p>
        </w:tc>
      </w:tr>
      <w:tr>
        <w:trPr/>
        <w:tc>
          <w:tcPr>
            <w:tcW w:w="720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Preferred stock — $0.01 par value; 2,000,000 shares authorized; none issued or outstanding</w:t>
            </w:r>
          </w:p>
        </w:tc>
        <w:tc>
          <w:tcPr>
            <w:tcW w:w="103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02"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Common stock — $0.01 par value; 100,000,000 shares authorized; 75,919,908 and 75,891,531 shares issued, respectively</w:t>
            </w:r>
          </w:p>
        </w:tc>
        <w:tc>
          <w:tcPr>
            <w:tcW w:w="10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0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Treasury stock — at cost; 41,525,622 and 41,767,498 shares, respectively</w:t>
            </w:r>
          </w:p>
        </w:tc>
        <w:tc>
          <w:tcPr>
            <w:tcW w:w="10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(2,413)</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(2,427)</w:t>
            </w:r>
          </w:p>
        </w:tc>
        <w:tc>
          <w:tcPr>
            <w:tcW w:w="2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Additional paid-in capital</w:t>
            </w:r>
          </w:p>
        </w:tc>
        <w:tc>
          <w:tcPr>
            <w:tcW w:w="10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4,001 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3,996 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Accumulated other comprehensive loss</w:t>
            </w:r>
          </w:p>
        </w:tc>
        <w:tc>
          <w:tcPr>
            <w:tcW w:w="10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w:t>
            </w:r>
          </w:p>
        </w:tc>
        <w:tc>
          <w:tcPr>
            <w:tcW w:w="2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Retained earnings</w:t>
            </w:r>
          </w:p>
        </w:tc>
        <w:tc>
          <w:tcPr>
            <w:tcW w:w="10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478 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434 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TOTAL MVW STOCKHOLDERS' EQUITY</w:t>
            </w:r>
          </w:p>
        </w:tc>
        <w:tc>
          <w:tcPr>
            <w:tcW w:w="103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2,057 </w:t>
            </w:r>
          </w:p>
        </w:tc>
        <w:tc>
          <w:tcPr>
            <w:tcW w:w="13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1,993 </w:t>
            </w:r>
          </w:p>
        </w:tc>
        <w:tc>
          <w:tcPr>
            <w:tcW w:w="23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Noncontrolling interests</w:t>
            </w:r>
          </w:p>
        </w:tc>
        <w:tc>
          <w:tcPr>
            <w:tcW w:w="10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TOTAL EQUITY</w:t>
            </w:r>
          </w:p>
        </w:tc>
        <w:tc>
          <w:tcPr>
            <w:tcW w:w="103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2,057 </w:t>
            </w:r>
          </w:p>
        </w:tc>
        <w:tc>
          <w:tcPr>
            <w:tcW w:w="13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1,993 </w:t>
            </w:r>
          </w:p>
        </w:tc>
        <w:tc>
          <w:tcPr>
            <w:tcW w:w="23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TOTAL LIABILITIES AND EQUITY</w:t>
            </w:r>
          </w:p>
        </w:tc>
        <w:tc>
          <w:tcPr>
            <w:tcW w:w="25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7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9,479 </w:t>
            </w:r>
          </w:p>
        </w:tc>
        <w:tc>
          <w:tcPr>
            <w:tcW w:w="13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6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9,757 </w:t>
            </w:r>
          </w:p>
        </w:tc>
        <w:tc>
          <w:tcPr>
            <w:tcW w:w="23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3"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02" w:type="dxa"/>
            <w:gridSpan w:val="3"/>
            <w:tcBorders/>
            <w:tcMar>
              <w:top w:w="0" w:type="dxa"/>
              <w:left w:w="0" w:type="dxa"/>
              <w:bottom w:w="0" w:type="dxa"/>
              <w:right w:w="0" w:type="dxa"/>
            </w:tcMar>
            <w:vAlign w:val="center"/>
          </w:tcPr>
          <w:p>
            <w:pPr>
              <w:pStyle w:val="TableContents"/>
              <w:bidi w:val="0"/>
              <w:spacing w:lineRule="auto" w:line="240" w:before="100" w:after="283"/>
              <w:jc w:val="left"/>
              <w:rPr>
                <w:rFonts w:ascii="Times New Roman;serif" w:hAnsi="Times New Roman;serif"/>
                <w:b w:val="false"/>
                <w:i/>
                <w:color w:val="000000"/>
                <w:sz w:val="20"/>
              </w:rPr>
            </w:pPr>
            <w:r>
              <w:rPr>
                <w:rFonts w:ascii="Times New Roman;serif" w:hAnsi="Times New Roman;serif"/>
                <w:b w:val="false"/>
                <w:i/>
                <w:color w:val="000000"/>
                <w:sz w:val="20"/>
              </w:rPr>
              <w:t>The abbreviation VIEs above means Variable Interest Entities.</w:t>
            </w:r>
          </w:p>
        </w:tc>
        <w:tc>
          <w:tcPr>
            <w:tcW w:w="11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center"/>
        <w:tblInd w:w="0" w:type="dxa"/>
        <w:tblLayout w:type="fixed"/>
        <w:tblCellMar>
          <w:top w:w="28" w:type="dxa"/>
          <w:left w:w="28" w:type="dxa"/>
          <w:bottom w:w="28" w:type="dxa"/>
          <w:right w:w="28" w:type="dxa"/>
        </w:tblCellMar>
      </w:tblPr>
      <w:tblGrid>
        <w:gridCol w:w="3267"/>
        <w:gridCol w:w="2873"/>
        <w:gridCol w:w="4065"/>
      </w:tblGrid>
      <w:tr>
        <w:trPr/>
        <w:tc>
          <w:tcPr>
            <w:tcW w:w="3267" w:type="dxa"/>
            <w:tcBorders/>
            <w:vAlign w:val="center"/>
          </w:tcPr>
          <w:p>
            <w:pPr>
              <w:pStyle w:val="TableContents"/>
              <w:bidi w:val="0"/>
              <w:spacing w:before="0" w:after="283"/>
              <w:jc w:val="left"/>
              <w:rPr>
                <w:sz w:val="4"/>
                <w:szCs w:val="4"/>
              </w:rPr>
            </w:pPr>
            <w:r>
              <w:rPr>
                <w:sz w:val="4"/>
                <w:szCs w:val="4"/>
              </w:rPr>
            </w:r>
          </w:p>
        </w:tc>
        <w:tc>
          <w:tcPr>
            <w:tcW w:w="2873" w:type="dxa"/>
            <w:tcBorders/>
            <w:vAlign w:val="center"/>
          </w:tcPr>
          <w:p>
            <w:pPr>
              <w:pStyle w:val="TableContents"/>
              <w:bidi w:val="0"/>
              <w:spacing w:before="0" w:after="283"/>
              <w:jc w:val="left"/>
              <w:rPr>
                <w:sz w:val="4"/>
                <w:szCs w:val="4"/>
              </w:rPr>
            </w:pPr>
            <w:r>
              <w:rPr>
                <w:sz w:val="4"/>
                <w:szCs w:val="4"/>
              </w:rPr>
            </w:r>
          </w:p>
        </w:tc>
        <w:tc>
          <w:tcPr>
            <w:tcW w:w="4065" w:type="dxa"/>
            <w:tcBorders/>
            <w:vAlign w:val="center"/>
          </w:tcPr>
          <w:p>
            <w:pPr>
              <w:pStyle w:val="TableContents"/>
              <w:bidi w:val="0"/>
              <w:spacing w:before="0" w:after="283"/>
              <w:jc w:val="left"/>
              <w:rPr>
                <w:sz w:val="4"/>
                <w:szCs w:val="4"/>
              </w:rPr>
            </w:pPr>
            <w:r>
              <w:rPr>
                <w:sz w:val="4"/>
                <w:szCs w:val="4"/>
              </w:rPr>
            </w:r>
          </w:p>
        </w:tc>
      </w:tr>
      <w:tr>
        <w:trPr/>
        <w:tc>
          <w:tcPr>
            <w:tcW w:w="10205"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Arial;sans-serif" w:hAnsi="Arial;sans-serif"/>
                <w:b w:val="false"/>
                <w:color w:val="000000"/>
                <w:sz w:val="12"/>
              </w:rPr>
              <w:t xml:space="preserve">(1) </w:t>
            </w:r>
            <w:r>
              <w:rPr>
                <w:rFonts w:ascii="Arial;sans-serif" w:hAnsi="Arial;sans-serif"/>
                <w:b w:val="false"/>
                <w:color w:val="000000"/>
                <w:sz w:val="18"/>
              </w:rPr>
              <w:t>Includes $229 million and $224 million at June 30, 2026 and December 31, 2025, respectively, of completed vacation ownership units which are classified as a component of Property and equipment, net until the time at which they are available and legally registered for sale as vacation ownership products.</w:t>
            </w:r>
          </w:p>
        </w:tc>
      </w:tr>
      <w:tr>
        <w:trPr/>
        <w:tc>
          <w:tcPr>
            <w:tcW w:w="10205" w:type="dxa"/>
            <w:gridSpan w:val="3"/>
            <w:tcBorders/>
            <w:vAlign w:val="center"/>
          </w:tcPr>
          <w:p>
            <w:pPr>
              <w:pStyle w:val="TableContents"/>
              <w:bidi w:val="0"/>
              <w:spacing w:before="0" w:after="283"/>
              <w:jc w:val="left"/>
              <w:rPr>
                <w:sz w:val="4"/>
                <w:szCs w:val="4"/>
              </w:rPr>
            </w:pPr>
            <w:r>
              <w:rPr>
                <w:sz w:val="4"/>
                <w:szCs w:val="4"/>
              </w:rPr>
            </w:r>
          </w:p>
        </w:tc>
      </w:tr>
      <w:tr>
        <w:trPr/>
        <w:tc>
          <w:tcPr>
            <w:tcW w:w="10205" w:type="dxa"/>
            <w:gridSpan w:val="3"/>
            <w:tcBorders/>
            <w:vAlign w:val="center"/>
          </w:tcPr>
          <w:p>
            <w:pPr>
              <w:pStyle w:val="TableContents"/>
              <w:bidi w:val="0"/>
              <w:spacing w:before="0" w:after="283"/>
              <w:jc w:val="left"/>
              <w:rPr>
                <w:sz w:val="4"/>
                <w:szCs w:val="4"/>
              </w:rPr>
            </w:pPr>
            <w:r>
              <w:rPr>
                <w:sz w:val="4"/>
                <w:szCs w:val="4"/>
              </w:rPr>
            </w:r>
          </w:p>
        </w:tc>
      </w:tr>
      <w:tr>
        <w:trPr/>
        <w:tc>
          <w:tcPr>
            <w:tcW w:w="10205" w:type="dxa"/>
            <w:gridSpan w:val="3"/>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A-12</w:t>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75260"/>
                <wp:effectExtent l="0" t="0" r="0" b="0"/>
                <wp:wrapNone/>
                <wp:docPr id="19" name="Frame1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216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MARRIOTT VACATIONS WORLDWIDE CORPORATION</w:t>
      </w:r>
    </w:p>
    <w:p>
      <w:pPr>
        <w:pStyle w:val="TextBody"/>
        <w:bidi w:val="0"/>
        <w:spacing w:lineRule="auto" w:line="288" w:before="120" w:after="283"/>
        <w:jc w:val="center"/>
        <w:rPr>
          <w:rFonts w:ascii="Arial;sans-serif" w:hAnsi="Arial;sans-serif"/>
          <w:b/>
          <w:color w:val="000000"/>
          <w:sz w:val="20"/>
        </w:rPr>
      </w:pPr>
      <w:r>
        <w:rPr>
          <w:rFonts w:ascii="Arial;sans-serif" w:hAnsi="Arial;sans-serif"/>
          <w:b/>
          <w:color w:val="000000"/>
          <w:sz w:val="20"/>
        </w:rPr>
        <w:t>INTERIM CONSOLIDATED STATEMENTS OF CASH FLOWS</w:t>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(In millions and unaudited)</w:t>
      </w:r>
    </w:p>
    <w:tbl>
      <w:tblPr>
        <w:tblW w:w="10205" w:type="dxa"/>
        <w:jc w:val="center"/>
        <w:tblInd w:w="0" w:type="dxa"/>
        <w:tblLayout w:type="fixed"/>
        <w:tblCellMar>
          <w:top w:w="28" w:type="dxa"/>
          <w:left w:w="28" w:type="dxa"/>
          <w:bottom w:w="28" w:type="dxa"/>
          <w:right w:w="28" w:type="dxa"/>
        </w:tblCellMar>
      </w:tblPr>
      <w:tblGrid>
        <w:gridCol w:w="2816"/>
        <w:gridCol w:w="2410"/>
        <w:gridCol w:w="2423"/>
        <w:gridCol w:w="324"/>
        <w:gridCol w:w="578"/>
        <w:gridCol w:w="167"/>
        <w:gridCol w:w="110"/>
        <w:gridCol w:w="110"/>
        <w:gridCol w:w="110"/>
        <w:gridCol w:w="287"/>
        <w:gridCol w:w="656"/>
        <w:gridCol w:w="214"/>
      </w:tblGrid>
      <w:tr>
        <w:trPr/>
        <w:tc>
          <w:tcPr>
            <w:tcW w:w="2816" w:type="dxa"/>
            <w:tcBorders/>
            <w:vAlign w:val="center"/>
          </w:tcPr>
          <w:p>
            <w:pPr>
              <w:pStyle w:val="TableContents"/>
              <w:bidi w:val="0"/>
              <w:spacing w:before="0" w:after="283"/>
              <w:jc w:val="left"/>
              <w:rPr>
                <w:sz w:val="4"/>
                <w:szCs w:val="4"/>
              </w:rPr>
            </w:pPr>
            <w:r>
              <w:rPr>
                <w:sz w:val="4"/>
                <w:szCs w:val="4"/>
              </w:rPr>
            </w:r>
          </w:p>
        </w:tc>
        <w:tc>
          <w:tcPr>
            <w:tcW w:w="2410" w:type="dxa"/>
            <w:tcBorders/>
            <w:vAlign w:val="center"/>
          </w:tcPr>
          <w:p>
            <w:pPr>
              <w:pStyle w:val="TableContents"/>
              <w:bidi w:val="0"/>
              <w:spacing w:before="0" w:after="283"/>
              <w:jc w:val="left"/>
              <w:rPr>
                <w:sz w:val="4"/>
                <w:szCs w:val="4"/>
              </w:rPr>
            </w:pPr>
            <w:r>
              <w:rPr>
                <w:sz w:val="4"/>
                <w:szCs w:val="4"/>
              </w:rPr>
            </w:r>
          </w:p>
        </w:tc>
        <w:tc>
          <w:tcPr>
            <w:tcW w:w="2423"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578"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656"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r>
      <w:tr>
        <w:trPr/>
        <w:tc>
          <w:tcPr>
            <w:tcW w:w="76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Three Months Ended</w:t>
            </w:r>
          </w:p>
        </w:tc>
      </w:tr>
      <w:tr>
        <w:trPr/>
        <w:tc>
          <w:tcPr>
            <w:tcW w:w="76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June 30, 2026</w:t>
            </w:r>
          </w:p>
        </w:tc>
        <w:tc>
          <w:tcPr>
            <w:tcW w:w="3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June 30, 2025</w:t>
            </w:r>
          </w:p>
        </w:tc>
      </w:tr>
      <w:tr>
        <w:trPr/>
        <w:tc>
          <w:tcPr>
            <w:tcW w:w="76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OPERATING ACTIVITIES</w:t>
            </w:r>
          </w:p>
        </w:tc>
        <w:tc>
          <w:tcPr>
            <w:tcW w:w="106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income</w:t>
            </w:r>
          </w:p>
        </w:tc>
        <w:tc>
          <w:tcPr>
            <w:tcW w:w="32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7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99 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126 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Adjustments to reconcile net income to net cash, cash equivalents and restricted cash provided by (used in) operating activities:</w:t>
            </w:r>
          </w:p>
        </w:tc>
        <w:tc>
          <w:tcPr>
            <w:tcW w:w="10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Depreciation and amortization of intangibles</w:t>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66 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76 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Amortization of debt discount and issuance costs</w:t>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12 </w:t>
            </w:r>
          </w:p>
        </w:tc>
        <w:tc>
          <w:tcPr>
            <w:tcW w:w="2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Vacation ownership notes and contracts receivable reserve</w:t>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122 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108 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Share-based compensation</w:t>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19 </w:t>
            </w:r>
          </w:p>
        </w:tc>
        <w:tc>
          <w:tcPr>
            <w:tcW w:w="2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Impairment</w:t>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49" w:type="dxa"/>
            <w:gridSpan w:val="3"/>
            <w:tcBorders/>
            <w:vAlign w:val="center"/>
          </w:tcPr>
          <w:p>
            <w:pPr>
              <w:pStyle w:val="TableContents"/>
              <w:bidi w:val="0"/>
              <w:spacing w:before="0" w:after="283"/>
              <w:jc w:val="left"/>
              <w:rPr>
                <w:sz w:val="4"/>
                <w:szCs w:val="4"/>
              </w:rPr>
            </w:pPr>
            <w:r>
              <w:rPr>
                <w:sz w:val="4"/>
                <w:szCs w:val="4"/>
              </w:rPr>
            </w:r>
          </w:p>
        </w:tc>
        <w:tc>
          <w:tcPr>
            <w:tcW w:w="1069"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r>
      <w:tr>
        <w:trPr/>
        <w:tc>
          <w:tcPr>
            <w:tcW w:w="76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Foreign currency remeasurement loss (gain)</w:t>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w:t>
            </w:r>
          </w:p>
        </w:tc>
        <w:tc>
          <w:tcPr>
            <w:tcW w:w="2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Deferred income taxes</w:t>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change in assets and liabilities:</w:t>
            </w:r>
          </w:p>
        </w:tc>
        <w:tc>
          <w:tcPr>
            <w:tcW w:w="10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Accounts and contracts receivable</w:t>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Vacation ownership notes receivable originations</w:t>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(512)</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(488)</w:t>
            </w:r>
          </w:p>
        </w:tc>
        <w:tc>
          <w:tcPr>
            <w:tcW w:w="2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Vacation ownership notes receivable collections</w:t>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371 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341 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Inventory</w:t>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w:t>
            </w:r>
          </w:p>
        </w:tc>
        <w:tc>
          <w:tcPr>
            <w:tcW w:w="2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assets</w:t>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(49)</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Accounts payable, advance deposits and accrued liabilities</w:t>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(102)</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(108)</w:t>
            </w:r>
          </w:p>
        </w:tc>
        <w:tc>
          <w:tcPr>
            <w:tcW w:w="2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Deferred revenue and other</w:t>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46 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42 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Payroll and benefit liabilities</w:t>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(46)</w:t>
            </w:r>
          </w:p>
        </w:tc>
        <w:tc>
          <w:tcPr>
            <w:tcW w:w="2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Deferred compensation liability</w:t>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liabilities</w:t>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w:t>
            </w:r>
          </w:p>
        </w:tc>
        <w:tc>
          <w:tcPr>
            <w:tcW w:w="2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49" w:type="dxa"/>
            <w:gridSpan w:val="3"/>
            <w:tcBorders/>
            <w:vAlign w:val="center"/>
          </w:tcPr>
          <w:p>
            <w:pPr>
              <w:pStyle w:val="TableContents"/>
              <w:bidi w:val="0"/>
              <w:spacing w:before="0" w:after="283"/>
              <w:jc w:val="left"/>
              <w:rPr>
                <w:sz w:val="4"/>
                <w:szCs w:val="4"/>
              </w:rPr>
            </w:pPr>
            <w:r>
              <w:rPr>
                <w:sz w:val="4"/>
                <w:szCs w:val="4"/>
              </w:rPr>
            </w:r>
          </w:p>
        </w:tc>
        <w:tc>
          <w:tcPr>
            <w:tcW w:w="1069"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r>
      <w:tr>
        <w:trPr/>
        <w:tc>
          <w:tcPr>
            <w:tcW w:w="76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Purchase and development of property for future transfer to inventory</w:t>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(49)</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net</w:t>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cash, cash equivalents and restricted cash provided by (used in) operating activities</w:t>
            </w:r>
          </w:p>
        </w:tc>
        <w:tc>
          <w:tcPr>
            <w:tcW w:w="9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76 </w:t>
            </w:r>
          </w:p>
        </w:tc>
        <w:tc>
          <w:tcPr>
            <w:tcW w:w="16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(40)</w:t>
            </w:r>
          </w:p>
        </w:tc>
        <w:tc>
          <w:tcPr>
            <w:tcW w:w="21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INVESTING ACTIVITIES</w:t>
            </w:r>
          </w:p>
        </w:tc>
        <w:tc>
          <w:tcPr>
            <w:tcW w:w="106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Proceeds from disposition of entity</w:t>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50 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Capital expenditures for property and equipment (excluding inventory)</w:t>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(34)</w:t>
            </w:r>
          </w:p>
        </w:tc>
        <w:tc>
          <w:tcPr>
            <w:tcW w:w="2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Purchase of company owned life insurance</w:t>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49" w:type="dxa"/>
            <w:gridSpan w:val="3"/>
            <w:tcBorders/>
            <w:vAlign w:val="center"/>
          </w:tcPr>
          <w:p>
            <w:pPr>
              <w:pStyle w:val="TableContents"/>
              <w:bidi w:val="0"/>
              <w:spacing w:before="0" w:after="283"/>
              <w:jc w:val="left"/>
              <w:rPr>
                <w:sz w:val="4"/>
                <w:szCs w:val="4"/>
              </w:rPr>
            </w:pPr>
            <w:r>
              <w:rPr>
                <w:sz w:val="4"/>
                <w:szCs w:val="4"/>
              </w:rPr>
            </w:r>
          </w:p>
        </w:tc>
        <w:tc>
          <w:tcPr>
            <w:tcW w:w="1069"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r>
      <w:tr>
        <w:trPr/>
        <w:tc>
          <w:tcPr>
            <w:tcW w:w="76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dispositions, net</w:t>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1 </w:t>
            </w:r>
          </w:p>
        </w:tc>
        <w:tc>
          <w:tcPr>
            <w:tcW w:w="2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49" w:type="dxa"/>
            <w:gridSpan w:val="3"/>
            <w:tcBorders/>
            <w:vAlign w:val="center"/>
          </w:tcPr>
          <w:p>
            <w:pPr>
              <w:pStyle w:val="TableContents"/>
              <w:bidi w:val="0"/>
              <w:spacing w:before="0" w:after="283"/>
              <w:jc w:val="left"/>
              <w:rPr>
                <w:sz w:val="4"/>
                <w:szCs w:val="4"/>
              </w:rPr>
            </w:pPr>
            <w:r>
              <w:rPr>
                <w:sz w:val="4"/>
                <w:szCs w:val="4"/>
              </w:rPr>
            </w:r>
          </w:p>
        </w:tc>
        <w:tc>
          <w:tcPr>
            <w:tcW w:w="1069"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r>
      <w:tr>
        <w:trPr/>
        <w:tc>
          <w:tcPr>
            <w:tcW w:w="76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cash, cash equivalents and restricted cash provided by (used in) investing activities</w:t>
            </w:r>
          </w:p>
        </w:tc>
        <w:tc>
          <w:tcPr>
            <w:tcW w:w="902"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28 </w:t>
            </w:r>
          </w:p>
        </w:tc>
        <w:tc>
          <w:tcPr>
            <w:tcW w:w="167"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(43)</w:t>
            </w:r>
          </w:p>
        </w:tc>
        <w:tc>
          <w:tcPr>
            <w:tcW w:w="214"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A-13</w:t>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75260"/>
                <wp:effectExtent l="0" t="0" r="0" b="0"/>
                <wp:wrapNone/>
                <wp:docPr id="20" name="Frame1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216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MARRIOTT VACATIONS WORLDWIDE CORPORATION</w:t>
      </w:r>
    </w:p>
    <w:p>
      <w:pPr>
        <w:pStyle w:val="TextBody"/>
        <w:bidi w:val="0"/>
        <w:spacing w:lineRule="auto" w:line="288" w:before="120" w:after="283"/>
        <w:jc w:val="center"/>
        <w:rPr>
          <w:rFonts w:ascii="Arial;sans-serif" w:hAnsi="Arial;sans-serif"/>
          <w:b/>
          <w:color w:val="000000"/>
          <w:sz w:val="20"/>
        </w:rPr>
      </w:pPr>
      <w:r>
        <w:rPr>
          <w:rFonts w:ascii="Arial;sans-serif" w:hAnsi="Arial;sans-serif"/>
          <w:b/>
          <w:color w:val="000000"/>
          <w:sz w:val="20"/>
        </w:rPr>
        <w:t>INTERIM CONSOLIDATED STATEMENTS OF CASH FLOWS (CONTINUED)</w:t>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(In millions and unaudited)</w:t>
      </w:r>
    </w:p>
    <w:tbl>
      <w:tblPr>
        <w:tblW w:w="10205" w:type="dxa"/>
        <w:jc w:val="center"/>
        <w:tblInd w:w="0" w:type="dxa"/>
        <w:tblLayout w:type="fixed"/>
        <w:tblCellMar>
          <w:top w:w="28" w:type="dxa"/>
          <w:left w:w="28" w:type="dxa"/>
          <w:bottom w:w="28" w:type="dxa"/>
          <w:right w:w="28" w:type="dxa"/>
        </w:tblCellMar>
      </w:tblPr>
      <w:tblGrid>
        <w:gridCol w:w="2652"/>
        <w:gridCol w:w="2328"/>
        <w:gridCol w:w="2339"/>
        <w:gridCol w:w="331"/>
        <w:gridCol w:w="754"/>
        <w:gridCol w:w="170"/>
        <w:gridCol w:w="109"/>
        <w:gridCol w:w="109"/>
        <w:gridCol w:w="109"/>
        <w:gridCol w:w="324"/>
        <w:gridCol w:w="739"/>
        <w:gridCol w:w="241"/>
      </w:tblGrid>
      <w:tr>
        <w:trPr/>
        <w:tc>
          <w:tcPr>
            <w:tcW w:w="2652" w:type="dxa"/>
            <w:tcBorders/>
            <w:vAlign w:val="center"/>
          </w:tcPr>
          <w:p>
            <w:pPr>
              <w:pStyle w:val="TableContents"/>
              <w:bidi w:val="0"/>
              <w:spacing w:before="0" w:after="283"/>
              <w:jc w:val="left"/>
              <w:rPr>
                <w:sz w:val="4"/>
                <w:szCs w:val="4"/>
              </w:rPr>
            </w:pPr>
            <w:r>
              <w:rPr>
                <w:sz w:val="4"/>
                <w:szCs w:val="4"/>
              </w:rPr>
            </w:r>
          </w:p>
        </w:tc>
        <w:tc>
          <w:tcPr>
            <w:tcW w:w="2328" w:type="dxa"/>
            <w:tcBorders/>
            <w:vAlign w:val="center"/>
          </w:tcPr>
          <w:p>
            <w:pPr>
              <w:pStyle w:val="TableContents"/>
              <w:bidi w:val="0"/>
              <w:spacing w:before="0" w:after="283"/>
              <w:jc w:val="left"/>
              <w:rPr>
                <w:sz w:val="4"/>
                <w:szCs w:val="4"/>
              </w:rPr>
            </w:pPr>
            <w:r>
              <w:rPr>
                <w:sz w:val="4"/>
                <w:szCs w:val="4"/>
              </w:rPr>
            </w:r>
          </w:p>
        </w:tc>
        <w:tc>
          <w:tcPr>
            <w:tcW w:w="2339"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73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r>
      <w:tr>
        <w:trPr/>
        <w:tc>
          <w:tcPr>
            <w:tcW w:w="73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Six Months Ended</w:t>
            </w:r>
          </w:p>
        </w:tc>
      </w:tr>
      <w:tr>
        <w:trPr/>
        <w:tc>
          <w:tcPr>
            <w:tcW w:w="73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June 30,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June 30, 2025</w:t>
            </w:r>
          </w:p>
        </w:tc>
      </w:tr>
      <w:tr>
        <w:trPr/>
        <w:tc>
          <w:tcPr>
            <w:tcW w:w="73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FINANCING ACTIVITIES</w:t>
            </w:r>
          </w:p>
        </w:tc>
        <w:tc>
          <w:tcPr>
            <w:tcW w:w="125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Borrowings from securitization transactions</w:t>
            </w:r>
          </w:p>
        </w:tc>
        <w:tc>
          <w:tcPr>
            <w:tcW w:w="10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982 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814 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Repayment of debt related to securitization transactions</w:t>
            </w:r>
          </w:p>
        </w:tc>
        <w:tc>
          <w:tcPr>
            <w:tcW w:w="10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(774)</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(761)</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Proceeds from debt</w:t>
            </w:r>
          </w:p>
        </w:tc>
        <w:tc>
          <w:tcPr>
            <w:tcW w:w="10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1,410 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805 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Repayments of debt</w:t>
            </w:r>
          </w:p>
        </w:tc>
        <w:tc>
          <w:tcPr>
            <w:tcW w:w="10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(1,844)</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(699)</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Finance lease payment</w:t>
            </w:r>
          </w:p>
        </w:tc>
        <w:tc>
          <w:tcPr>
            <w:tcW w:w="10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Payment of debt and securitized debt issuance costs</w:t>
            </w:r>
          </w:p>
        </w:tc>
        <w:tc>
          <w:tcPr>
            <w:tcW w:w="10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Repurchase of common stock</w:t>
            </w:r>
          </w:p>
        </w:tc>
        <w:tc>
          <w:tcPr>
            <w:tcW w:w="10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(36)</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Payment of dividends</w:t>
            </w:r>
          </w:p>
        </w:tc>
        <w:tc>
          <w:tcPr>
            <w:tcW w:w="10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(82)</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(83)</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Payment of withholding taxes on vesting of restricted stock units</w:t>
            </w:r>
          </w:p>
        </w:tc>
        <w:tc>
          <w:tcPr>
            <w:tcW w:w="10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19" w:type="dxa"/>
            <w:gridSpan w:val="3"/>
            <w:tcBorders/>
            <w:vAlign w:val="center"/>
          </w:tcPr>
          <w:p>
            <w:pPr>
              <w:pStyle w:val="TableContents"/>
              <w:bidi w:val="0"/>
              <w:spacing w:before="0" w:after="283"/>
              <w:jc w:val="left"/>
              <w:rPr>
                <w:sz w:val="4"/>
                <w:szCs w:val="4"/>
              </w:rPr>
            </w:pPr>
            <w:r>
              <w:rPr>
                <w:sz w:val="4"/>
                <w:szCs w:val="4"/>
              </w:rPr>
            </w:r>
          </w:p>
        </w:tc>
        <w:tc>
          <w:tcPr>
            <w:tcW w:w="12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4" w:type="dxa"/>
            <w:gridSpan w:val="3"/>
            <w:tcBorders/>
            <w:vAlign w:val="center"/>
          </w:tcPr>
          <w:p>
            <w:pPr>
              <w:pStyle w:val="TableContents"/>
              <w:bidi w:val="0"/>
              <w:spacing w:before="0" w:after="283"/>
              <w:jc w:val="left"/>
              <w:rPr>
                <w:sz w:val="4"/>
                <w:szCs w:val="4"/>
              </w:rPr>
            </w:pPr>
            <w:r>
              <w:rPr>
                <w:sz w:val="4"/>
                <w:szCs w:val="4"/>
              </w:rPr>
            </w:r>
          </w:p>
        </w:tc>
      </w:tr>
      <w:tr>
        <w:trPr/>
        <w:tc>
          <w:tcPr>
            <w:tcW w:w="73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cash, cash equivalents and restricted cash (used in) provided by financing activities</w:t>
            </w:r>
          </w:p>
        </w:tc>
        <w:tc>
          <w:tcPr>
            <w:tcW w:w="108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(323)</w:t>
            </w:r>
          </w:p>
        </w:tc>
        <w:tc>
          <w:tcPr>
            <w:tcW w:w="17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19 </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Effect of changes in exchange rates on cash, cash equivalents and restricted cash</w:t>
            </w:r>
          </w:p>
        </w:tc>
        <w:tc>
          <w:tcPr>
            <w:tcW w:w="108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w:t>
            </w:r>
          </w:p>
        </w:tc>
        <w:tc>
          <w:tcPr>
            <w:tcW w:w="17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4 </w:t>
            </w:r>
          </w:p>
        </w:tc>
        <w:tc>
          <w:tcPr>
            <w:tcW w:w="24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Change in cash, cash equivalents and restricted cash</w:t>
            </w:r>
          </w:p>
        </w:tc>
        <w:tc>
          <w:tcPr>
            <w:tcW w:w="10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(220)</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(60)</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Cash, cash equivalents and restricted cash, beginning of period</w:t>
            </w:r>
          </w:p>
        </w:tc>
        <w:tc>
          <w:tcPr>
            <w:tcW w:w="10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733 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528 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Cash, cash equivalents and restricted cash, end of period</w:t>
            </w:r>
          </w:p>
        </w:tc>
        <w:tc>
          <w:tcPr>
            <w:tcW w:w="3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513 </w:t>
            </w:r>
          </w:p>
        </w:tc>
        <w:tc>
          <w:tcPr>
            <w:tcW w:w="17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3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468 </w:t>
            </w:r>
          </w:p>
        </w:tc>
        <w:tc>
          <w:tcPr>
            <w:tcW w:w="2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A-14</w:t>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75260"/>
                <wp:effectExtent l="0" t="0" r="0" b="0"/>
                <wp:wrapNone/>
                <wp:docPr id="21" name="Frame2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216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MARRIOTT VACATIONS WORLDWIDE CORPORATION</w:t>
      </w:r>
    </w:p>
    <w:p>
      <w:pPr>
        <w:pStyle w:val="TextBody"/>
        <w:bidi w:val="0"/>
        <w:spacing w:lineRule="auto" w:line="288" w:before="120" w:after="283"/>
        <w:jc w:val="center"/>
        <w:rPr>
          <w:rFonts w:ascii="Arial;sans-serif" w:hAnsi="Arial;sans-serif"/>
          <w:b/>
          <w:color w:val="000000"/>
          <w:sz w:val="20"/>
        </w:rPr>
      </w:pPr>
      <w:r>
        <w:rPr>
          <w:rFonts w:ascii="Arial;sans-serif" w:hAnsi="Arial;sans-serif"/>
          <w:b/>
          <w:color w:val="000000"/>
          <w:sz w:val="20"/>
        </w:rPr>
        <w:t>FREE CASH FLOW AND ADJUSTED FREE CASH FLOW</w:t>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(In millions and unaudited)</w:t>
      </w:r>
    </w:p>
    <w:tbl>
      <w:tblPr>
        <w:tblW w:w="10205" w:type="dxa"/>
        <w:jc w:val="center"/>
        <w:tblInd w:w="0" w:type="dxa"/>
        <w:tblLayout w:type="fixed"/>
        <w:tblCellMar>
          <w:top w:w="28" w:type="dxa"/>
          <w:left w:w="28" w:type="dxa"/>
          <w:bottom w:w="28" w:type="dxa"/>
          <w:right w:w="28" w:type="dxa"/>
        </w:tblCellMar>
      </w:tblPr>
      <w:tblGrid>
        <w:gridCol w:w="2769"/>
        <w:gridCol w:w="2381"/>
        <w:gridCol w:w="2358"/>
        <w:gridCol w:w="309"/>
        <w:gridCol w:w="705"/>
        <w:gridCol w:w="159"/>
        <w:gridCol w:w="109"/>
        <w:gridCol w:w="109"/>
        <w:gridCol w:w="109"/>
        <w:gridCol w:w="317"/>
        <w:gridCol w:w="643"/>
        <w:gridCol w:w="237"/>
      </w:tblGrid>
      <w:tr>
        <w:trPr/>
        <w:tc>
          <w:tcPr>
            <w:tcW w:w="2769" w:type="dxa"/>
            <w:tcBorders/>
            <w:vAlign w:val="center"/>
          </w:tcPr>
          <w:p>
            <w:pPr>
              <w:pStyle w:val="TableContents"/>
              <w:bidi w:val="0"/>
              <w:spacing w:before="0" w:after="283"/>
              <w:jc w:val="left"/>
              <w:rPr>
                <w:sz w:val="4"/>
                <w:szCs w:val="4"/>
              </w:rPr>
            </w:pPr>
            <w:r>
              <w:rPr>
                <w:sz w:val="4"/>
                <w:szCs w:val="4"/>
              </w:rPr>
            </w:r>
          </w:p>
        </w:tc>
        <w:tc>
          <w:tcPr>
            <w:tcW w:w="2381" w:type="dxa"/>
            <w:tcBorders/>
            <w:vAlign w:val="center"/>
          </w:tcPr>
          <w:p>
            <w:pPr>
              <w:pStyle w:val="TableContents"/>
              <w:bidi w:val="0"/>
              <w:spacing w:before="0" w:after="283"/>
              <w:jc w:val="left"/>
              <w:rPr>
                <w:sz w:val="4"/>
                <w:szCs w:val="4"/>
              </w:rPr>
            </w:pPr>
            <w:r>
              <w:rPr>
                <w:sz w:val="4"/>
                <w:szCs w:val="4"/>
              </w:rPr>
            </w:r>
          </w:p>
        </w:tc>
        <w:tc>
          <w:tcPr>
            <w:tcW w:w="2358"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705"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r>
      <w:tr>
        <w:trPr/>
        <w:tc>
          <w:tcPr>
            <w:tcW w:w="75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Six Months Ended</w:t>
            </w:r>
          </w:p>
        </w:tc>
      </w:tr>
      <w:tr>
        <w:trPr/>
        <w:tc>
          <w:tcPr>
            <w:tcW w:w="750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CASH FLOW</w:t>
            </w:r>
          </w:p>
        </w:tc>
        <w:tc>
          <w:tcPr>
            <w:tcW w:w="117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June 30,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June 30, 2025</w:t>
            </w:r>
          </w:p>
        </w:tc>
      </w:tr>
      <w:tr>
        <w:trPr/>
        <w:tc>
          <w:tcPr>
            <w:tcW w:w="75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Cash, cash equivalents, and restricted cash provided by (used in) operating activities</w:t>
            </w:r>
          </w:p>
        </w:tc>
        <w:tc>
          <w:tcPr>
            <w:tcW w:w="30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76 </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(40)</w:t>
            </w:r>
          </w:p>
        </w:tc>
        <w:tc>
          <w:tcPr>
            <w:tcW w:w="23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Capital expenditures for property and equipment (excluding inventory)</w:t>
            </w:r>
          </w:p>
        </w:tc>
        <w:tc>
          <w:tcPr>
            <w:tcW w:w="10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(34)</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Borrowings from securitizations, net of repayments</w:t>
            </w:r>
          </w:p>
        </w:tc>
        <w:tc>
          <w:tcPr>
            <w:tcW w:w="10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208 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53 </w:t>
            </w:r>
          </w:p>
        </w:tc>
        <w:tc>
          <w:tcPr>
            <w:tcW w:w="2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Securitized debt issuance costs</w:t>
            </w:r>
          </w:p>
        </w:tc>
        <w:tc>
          <w:tcPr>
            <w:tcW w:w="10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Free cash flow*</w:t>
            </w:r>
          </w:p>
        </w:tc>
        <w:tc>
          <w:tcPr>
            <w:tcW w:w="101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256 </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(28)</w:t>
            </w:r>
          </w:p>
        </w:tc>
        <w:tc>
          <w:tcPr>
            <w:tcW w:w="23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Adjustments:</w:t>
            </w:r>
          </w:p>
        </w:tc>
        <w:tc>
          <w:tcPr>
            <w:tcW w:w="11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Proceeds from Cancun disposition</w:t>
            </w:r>
          </w:p>
        </w:tc>
        <w:tc>
          <w:tcPr>
            <w:tcW w:w="10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50 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08" w:type="dxa"/>
            <w:gridSpan w:val="3"/>
            <w:tcBorders/>
            <w:vAlign w:val="center"/>
          </w:tcPr>
          <w:p>
            <w:pPr>
              <w:pStyle w:val="TableContents"/>
              <w:bidi w:val="0"/>
              <w:spacing w:before="0" w:after="283"/>
              <w:jc w:val="left"/>
              <w:rPr>
                <w:sz w:val="4"/>
                <w:szCs w:val="4"/>
              </w:rPr>
            </w:pPr>
            <w:r>
              <w:rPr>
                <w:sz w:val="4"/>
                <w:szCs w:val="4"/>
              </w:rPr>
            </w:r>
          </w:p>
        </w:tc>
        <w:tc>
          <w:tcPr>
            <w:tcW w:w="11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7" w:type="dxa"/>
            <w:gridSpan w:val="3"/>
            <w:tcBorders/>
            <w:vAlign w:val="center"/>
          </w:tcPr>
          <w:p>
            <w:pPr>
              <w:pStyle w:val="TableContents"/>
              <w:bidi w:val="0"/>
              <w:spacing w:before="0" w:after="283"/>
              <w:jc w:val="left"/>
              <w:rPr>
                <w:sz w:val="4"/>
                <w:szCs w:val="4"/>
              </w:rPr>
            </w:pPr>
            <w:r>
              <w:rPr>
                <w:sz w:val="4"/>
                <w:szCs w:val="4"/>
              </w:rPr>
            </w:r>
          </w:p>
        </w:tc>
      </w:tr>
      <w:tr>
        <w:trPr/>
        <w:tc>
          <w:tcPr>
            <w:tcW w:w="7508" w:type="dxa"/>
            <w:gridSpan w:val="3"/>
            <w:tcBorders/>
            <w:vAlign w:val="center"/>
          </w:tcPr>
          <w:p>
            <w:pPr>
              <w:pStyle w:val="TableContents"/>
              <w:bidi w:val="0"/>
              <w:spacing w:before="0" w:after="283"/>
              <w:jc w:val="left"/>
              <w:rPr>
                <w:sz w:val="4"/>
                <w:szCs w:val="4"/>
              </w:rPr>
            </w:pPr>
            <w:r>
              <w:rPr>
                <w:sz w:val="4"/>
                <w:szCs w:val="4"/>
              </w:rPr>
            </w:r>
          </w:p>
        </w:tc>
        <w:tc>
          <w:tcPr>
            <w:tcW w:w="11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7" w:type="dxa"/>
            <w:gridSpan w:val="3"/>
            <w:tcBorders/>
            <w:vAlign w:val="center"/>
          </w:tcPr>
          <w:p>
            <w:pPr>
              <w:pStyle w:val="TableContents"/>
              <w:bidi w:val="0"/>
              <w:spacing w:before="0" w:after="283"/>
              <w:jc w:val="left"/>
              <w:rPr>
                <w:sz w:val="4"/>
                <w:szCs w:val="4"/>
              </w:rPr>
            </w:pPr>
            <w:r>
              <w:rPr>
                <w:sz w:val="4"/>
                <w:szCs w:val="4"/>
              </w:rPr>
            </w:r>
          </w:p>
        </w:tc>
      </w:tr>
      <w:tr>
        <w:trPr/>
        <w:tc>
          <w:tcPr>
            <w:tcW w:w="7508" w:type="dxa"/>
            <w:gridSpan w:val="3"/>
            <w:tcBorders/>
            <w:vAlign w:val="center"/>
          </w:tcPr>
          <w:p>
            <w:pPr>
              <w:pStyle w:val="TableContents"/>
              <w:bidi w:val="0"/>
              <w:spacing w:before="0" w:after="283"/>
              <w:jc w:val="left"/>
              <w:rPr>
                <w:sz w:val="4"/>
                <w:szCs w:val="4"/>
              </w:rPr>
            </w:pPr>
            <w:r>
              <w:rPr>
                <w:sz w:val="4"/>
                <w:szCs w:val="4"/>
              </w:rPr>
            </w:r>
          </w:p>
        </w:tc>
        <w:tc>
          <w:tcPr>
            <w:tcW w:w="11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7" w:type="dxa"/>
            <w:gridSpan w:val="3"/>
            <w:tcBorders/>
            <w:vAlign w:val="center"/>
          </w:tcPr>
          <w:p>
            <w:pPr>
              <w:pStyle w:val="TableContents"/>
              <w:bidi w:val="0"/>
              <w:spacing w:before="0" w:after="283"/>
              <w:jc w:val="left"/>
              <w:rPr>
                <w:sz w:val="4"/>
                <w:szCs w:val="4"/>
              </w:rPr>
            </w:pPr>
            <w:r>
              <w:rPr>
                <w:sz w:val="4"/>
                <w:szCs w:val="4"/>
              </w:rPr>
            </w:r>
          </w:p>
        </w:tc>
      </w:tr>
      <w:tr>
        <w:trPr/>
        <w:tc>
          <w:tcPr>
            <w:tcW w:w="7508" w:type="dxa"/>
            <w:gridSpan w:val="3"/>
            <w:tcBorders/>
            <w:vAlign w:val="center"/>
          </w:tcPr>
          <w:p>
            <w:pPr>
              <w:pStyle w:val="TableContents"/>
              <w:bidi w:val="0"/>
              <w:spacing w:before="0" w:after="283"/>
              <w:jc w:val="left"/>
              <w:rPr>
                <w:sz w:val="4"/>
                <w:szCs w:val="4"/>
              </w:rPr>
            </w:pPr>
            <w:r>
              <w:rPr>
                <w:sz w:val="4"/>
                <w:szCs w:val="4"/>
              </w:rPr>
            </w:r>
          </w:p>
        </w:tc>
        <w:tc>
          <w:tcPr>
            <w:tcW w:w="11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7" w:type="dxa"/>
            <w:gridSpan w:val="3"/>
            <w:tcBorders/>
            <w:vAlign w:val="center"/>
          </w:tcPr>
          <w:p>
            <w:pPr>
              <w:pStyle w:val="TableContents"/>
              <w:bidi w:val="0"/>
              <w:spacing w:before="0" w:after="283"/>
              <w:jc w:val="left"/>
              <w:rPr>
                <w:sz w:val="4"/>
                <w:szCs w:val="4"/>
              </w:rPr>
            </w:pPr>
            <w:r>
              <w:rPr>
                <w:sz w:val="4"/>
                <w:szCs w:val="4"/>
              </w:rPr>
            </w:r>
          </w:p>
        </w:tc>
      </w:tr>
      <w:tr>
        <w:trPr/>
        <w:tc>
          <w:tcPr>
            <w:tcW w:w="750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Net change in borrowings available from the securitization of eligible vacation ownership notes receivable</w:t>
            </w:r>
            <w:r>
              <w:rPr>
                <w:rFonts w:ascii="Arial;sans-serif" w:hAnsi="Arial;sans-serif"/>
                <w:b w:val="false"/>
                <w:color w:val="000000"/>
                <w:sz w:val="13"/>
              </w:rPr>
              <w:t>(1)</w:t>
            </w:r>
          </w:p>
        </w:tc>
        <w:tc>
          <w:tcPr>
            <w:tcW w:w="10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(160)</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(48)</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0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Other</w:t>
            </w:r>
            <w:r>
              <w:rPr>
                <w:rFonts w:ascii="Arial;sans-serif" w:hAnsi="Arial;sans-serif"/>
                <w:b w:val="false"/>
                <w:color w:val="000000"/>
                <w:sz w:val="13"/>
              </w:rPr>
              <w:t>(2)</w:t>
            </w:r>
          </w:p>
        </w:tc>
        <w:tc>
          <w:tcPr>
            <w:tcW w:w="10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55 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98 </w:t>
            </w:r>
          </w:p>
        </w:tc>
        <w:tc>
          <w:tcPr>
            <w:tcW w:w="2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08" w:type="dxa"/>
            <w:gridSpan w:val="3"/>
            <w:tcBorders/>
            <w:vAlign w:val="center"/>
          </w:tcPr>
          <w:p>
            <w:pPr>
              <w:pStyle w:val="TableContents"/>
              <w:bidi w:val="0"/>
              <w:spacing w:before="0" w:after="283"/>
              <w:jc w:val="left"/>
              <w:rPr>
                <w:sz w:val="4"/>
                <w:szCs w:val="4"/>
              </w:rPr>
            </w:pPr>
            <w:r>
              <w:rPr>
                <w:sz w:val="4"/>
                <w:szCs w:val="4"/>
              </w:rPr>
            </w:r>
          </w:p>
        </w:tc>
        <w:tc>
          <w:tcPr>
            <w:tcW w:w="11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7" w:type="dxa"/>
            <w:gridSpan w:val="3"/>
            <w:tcBorders/>
            <w:vAlign w:val="center"/>
          </w:tcPr>
          <w:p>
            <w:pPr>
              <w:pStyle w:val="TableContents"/>
              <w:bidi w:val="0"/>
              <w:spacing w:before="0" w:after="283"/>
              <w:jc w:val="left"/>
              <w:rPr>
                <w:sz w:val="4"/>
                <w:szCs w:val="4"/>
              </w:rPr>
            </w:pPr>
            <w:r>
              <w:rPr>
                <w:sz w:val="4"/>
                <w:szCs w:val="4"/>
              </w:rPr>
            </w:r>
          </w:p>
        </w:tc>
      </w:tr>
      <w:tr>
        <w:trPr/>
        <w:tc>
          <w:tcPr>
            <w:tcW w:w="7508" w:type="dxa"/>
            <w:gridSpan w:val="3"/>
            <w:tcBorders/>
            <w:vAlign w:val="center"/>
          </w:tcPr>
          <w:p>
            <w:pPr>
              <w:pStyle w:val="TableContents"/>
              <w:bidi w:val="0"/>
              <w:spacing w:before="0" w:after="283"/>
              <w:jc w:val="left"/>
              <w:rPr>
                <w:sz w:val="4"/>
                <w:szCs w:val="4"/>
              </w:rPr>
            </w:pPr>
            <w:r>
              <w:rPr>
                <w:sz w:val="4"/>
                <w:szCs w:val="4"/>
              </w:rPr>
            </w:r>
          </w:p>
        </w:tc>
        <w:tc>
          <w:tcPr>
            <w:tcW w:w="11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7" w:type="dxa"/>
            <w:gridSpan w:val="3"/>
            <w:tcBorders/>
            <w:vAlign w:val="center"/>
          </w:tcPr>
          <w:p>
            <w:pPr>
              <w:pStyle w:val="TableContents"/>
              <w:bidi w:val="0"/>
              <w:spacing w:before="0" w:after="283"/>
              <w:jc w:val="left"/>
              <w:rPr>
                <w:sz w:val="4"/>
                <w:szCs w:val="4"/>
              </w:rPr>
            </w:pPr>
            <w:r>
              <w:rPr>
                <w:sz w:val="4"/>
                <w:szCs w:val="4"/>
              </w:rPr>
            </w:r>
          </w:p>
        </w:tc>
      </w:tr>
      <w:tr>
        <w:trPr/>
        <w:tc>
          <w:tcPr>
            <w:tcW w:w="75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Adjusted free cash flow*</w:t>
            </w:r>
          </w:p>
        </w:tc>
        <w:tc>
          <w:tcPr>
            <w:tcW w:w="3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0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201 </w:t>
            </w:r>
          </w:p>
        </w:tc>
        <w:tc>
          <w:tcPr>
            <w:tcW w:w="15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22 </w:t>
            </w:r>
          </w:p>
        </w:tc>
        <w:tc>
          <w:tcPr>
            <w:tcW w:w="23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center"/>
        <w:tblInd w:w="0" w:type="dxa"/>
        <w:tblLayout w:type="fixed"/>
        <w:tblCellMar>
          <w:top w:w="28" w:type="dxa"/>
          <w:left w:w="28" w:type="dxa"/>
          <w:bottom w:w="28" w:type="dxa"/>
          <w:right w:w="28" w:type="dxa"/>
        </w:tblCellMar>
      </w:tblPr>
      <w:tblGrid>
        <w:gridCol w:w="3325"/>
        <w:gridCol w:w="2846"/>
        <w:gridCol w:w="4034"/>
      </w:tblGrid>
      <w:tr>
        <w:trPr/>
        <w:tc>
          <w:tcPr>
            <w:tcW w:w="3325" w:type="dxa"/>
            <w:tcBorders/>
            <w:vAlign w:val="center"/>
          </w:tcPr>
          <w:p>
            <w:pPr>
              <w:pStyle w:val="TableContents"/>
              <w:bidi w:val="0"/>
              <w:spacing w:before="0" w:after="283"/>
              <w:jc w:val="left"/>
              <w:rPr>
                <w:sz w:val="4"/>
                <w:szCs w:val="4"/>
              </w:rPr>
            </w:pPr>
            <w:r>
              <w:rPr>
                <w:sz w:val="4"/>
                <w:szCs w:val="4"/>
              </w:rPr>
            </w:r>
          </w:p>
        </w:tc>
        <w:tc>
          <w:tcPr>
            <w:tcW w:w="2846" w:type="dxa"/>
            <w:tcBorders/>
            <w:vAlign w:val="center"/>
          </w:tcPr>
          <w:p>
            <w:pPr>
              <w:pStyle w:val="TableContents"/>
              <w:bidi w:val="0"/>
              <w:spacing w:before="0" w:after="283"/>
              <w:jc w:val="left"/>
              <w:rPr>
                <w:sz w:val="4"/>
                <w:szCs w:val="4"/>
              </w:rPr>
            </w:pPr>
            <w:r>
              <w:rPr>
                <w:sz w:val="4"/>
                <w:szCs w:val="4"/>
              </w:rPr>
            </w:r>
          </w:p>
        </w:tc>
        <w:tc>
          <w:tcPr>
            <w:tcW w:w="4034" w:type="dxa"/>
            <w:tcBorders/>
            <w:vAlign w:val="center"/>
          </w:tcPr>
          <w:p>
            <w:pPr>
              <w:pStyle w:val="TableContents"/>
              <w:bidi w:val="0"/>
              <w:spacing w:before="0" w:after="283"/>
              <w:jc w:val="left"/>
              <w:rPr>
                <w:sz w:val="4"/>
                <w:szCs w:val="4"/>
              </w:rPr>
            </w:pPr>
            <w:r>
              <w:rPr>
                <w:sz w:val="4"/>
                <w:szCs w:val="4"/>
              </w:rPr>
            </w:r>
          </w:p>
        </w:tc>
      </w:tr>
      <w:tr>
        <w:trPr/>
        <w:tc>
          <w:tcPr>
            <w:tcW w:w="1020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 Denotes non-GAAP financial measures. Please see “Non-GAAP Financial Measures” for additional information about our reasons for providing these alternative financial measures and limitations on their use.</w:t>
            </w:r>
          </w:p>
        </w:tc>
      </w:tr>
      <w:tr>
        <w:trPr/>
        <w:tc>
          <w:tcPr>
            <w:tcW w:w="102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3"/>
            <w:tcBorders/>
            <w:vAlign w:val="center"/>
          </w:tcPr>
          <w:p>
            <w:pPr>
              <w:pStyle w:val="TableContents"/>
              <w:bidi w:val="0"/>
              <w:spacing w:before="0" w:after="283"/>
              <w:jc w:val="left"/>
              <w:rPr>
                <w:sz w:val="4"/>
                <w:szCs w:val="4"/>
              </w:rPr>
            </w:pPr>
            <w:r>
              <w:rPr>
                <w:sz w:val="4"/>
                <w:szCs w:val="4"/>
              </w:rPr>
            </w:r>
          </w:p>
        </w:tc>
      </w:tr>
      <w:tr>
        <w:trPr/>
        <w:tc>
          <w:tcPr>
            <w:tcW w:w="10205" w:type="dxa"/>
            <w:gridSpan w:val="3"/>
            <w:tcBorders/>
            <w:vAlign w:val="center"/>
          </w:tcPr>
          <w:p>
            <w:pPr>
              <w:pStyle w:val="TableContents"/>
              <w:bidi w:val="0"/>
              <w:spacing w:before="0" w:after="283"/>
              <w:jc w:val="left"/>
              <w:rPr>
                <w:sz w:val="4"/>
                <w:szCs w:val="4"/>
              </w:rPr>
            </w:pPr>
            <w:r>
              <w:rPr>
                <w:sz w:val="4"/>
                <w:szCs w:val="4"/>
              </w:rPr>
            </w:r>
          </w:p>
        </w:tc>
      </w:tr>
      <w:tr>
        <w:trPr/>
        <w:tc>
          <w:tcPr>
            <w:tcW w:w="10205" w:type="dxa"/>
            <w:gridSpan w:val="3"/>
            <w:tcBorders/>
            <w:vAlign w:val="center"/>
          </w:tcPr>
          <w:p>
            <w:pPr>
              <w:pStyle w:val="TableContents"/>
              <w:bidi w:val="0"/>
              <w:spacing w:before="0" w:after="283"/>
              <w:jc w:val="left"/>
              <w:rPr>
                <w:sz w:val="4"/>
                <w:szCs w:val="4"/>
              </w:rPr>
            </w:pPr>
            <w:r>
              <w:rPr>
                <w:sz w:val="4"/>
                <w:szCs w:val="4"/>
              </w:rPr>
            </w:r>
          </w:p>
        </w:tc>
      </w:tr>
      <w:tr>
        <w:trPr/>
        <w:tc>
          <w:tcPr>
            <w:tcW w:w="10205" w:type="dxa"/>
            <w:gridSpan w:val="3"/>
            <w:tcBorders/>
            <w:vAlign w:val="center"/>
          </w:tcPr>
          <w:p>
            <w:pPr>
              <w:pStyle w:val="TableContents"/>
              <w:bidi w:val="0"/>
              <w:spacing w:before="0" w:after="283"/>
              <w:jc w:val="left"/>
              <w:rPr>
                <w:sz w:val="4"/>
                <w:szCs w:val="4"/>
              </w:rPr>
            </w:pPr>
            <w:r>
              <w:rPr>
                <w:sz w:val="4"/>
                <w:szCs w:val="4"/>
              </w:rPr>
            </w:r>
          </w:p>
        </w:tc>
      </w:tr>
      <w:tr>
        <w:trPr/>
        <w:tc>
          <w:tcPr>
            <w:tcW w:w="10205" w:type="dxa"/>
            <w:gridSpan w:val="3"/>
            <w:tcBorders/>
            <w:vAlign w:val="center"/>
          </w:tcPr>
          <w:p>
            <w:pPr>
              <w:pStyle w:val="TableContents"/>
              <w:bidi w:val="0"/>
              <w:spacing w:before="0" w:after="283"/>
              <w:jc w:val="left"/>
              <w:rPr>
                <w:sz w:val="4"/>
                <w:szCs w:val="4"/>
              </w:rPr>
            </w:pPr>
            <w:r>
              <w:rPr>
                <w:sz w:val="4"/>
                <w:szCs w:val="4"/>
              </w:rPr>
            </w:r>
          </w:p>
        </w:tc>
      </w:tr>
      <w:tr>
        <w:trPr/>
        <w:tc>
          <w:tcPr>
            <w:tcW w:w="10205" w:type="dxa"/>
            <w:gridSpan w:val="3"/>
            <w:tcBorders/>
            <w:vAlign w:val="center"/>
          </w:tcPr>
          <w:p>
            <w:pPr>
              <w:pStyle w:val="TableContents"/>
              <w:bidi w:val="0"/>
              <w:spacing w:before="0" w:after="283"/>
              <w:jc w:val="left"/>
              <w:rPr>
                <w:sz w:val="4"/>
                <w:szCs w:val="4"/>
              </w:rPr>
            </w:pPr>
            <w:r>
              <w:rPr>
                <w:sz w:val="4"/>
                <w:szCs w:val="4"/>
              </w:rPr>
            </w:r>
          </w:p>
        </w:tc>
      </w:tr>
      <w:tr>
        <w:trPr/>
        <w:tc>
          <w:tcPr>
            <w:tcW w:w="10205" w:type="dxa"/>
            <w:gridSpan w:val="3"/>
            <w:tcBorders/>
            <w:vAlign w:val="center"/>
          </w:tcPr>
          <w:p>
            <w:pPr>
              <w:pStyle w:val="TableContents"/>
              <w:bidi w:val="0"/>
              <w:spacing w:before="0" w:after="283"/>
              <w:jc w:val="left"/>
              <w:rPr>
                <w:sz w:val="4"/>
                <w:szCs w:val="4"/>
              </w:rPr>
            </w:pPr>
            <w:r>
              <w:rPr>
                <w:sz w:val="4"/>
                <w:szCs w:val="4"/>
              </w:rPr>
            </w:r>
          </w:p>
        </w:tc>
      </w:tr>
      <w:tr>
        <w:trPr/>
        <w:tc>
          <w:tcPr>
            <w:tcW w:w="10205" w:type="dxa"/>
            <w:gridSpan w:val="3"/>
            <w:tcBorders/>
            <w:vAlign w:val="center"/>
          </w:tcPr>
          <w:p>
            <w:pPr>
              <w:pStyle w:val="TableContents"/>
              <w:bidi w:val="0"/>
              <w:spacing w:before="0" w:after="283"/>
              <w:jc w:val="left"/>
              <w:rPr>
                <w:sz w:val="4"/>
                <w:szCs w:val="4"/>
              </w:rPr>
            </w:pPr>
            <w:r>
              <w:rPr>
                <w:sz w:val="4"/>
                <w:szCs w:val="4"/>
              </w:rPr>
            </w:r>
          </w:p>
        </w:tc>
      </w:tr>
      <w:tr>
        <w:trPr/>
        <w:tc>
          <w:tcPr>
            <w:tcW w:w="10205"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Arial;sans-serif" w:hAnsi="Arial;sans-serif"/>
                <w:b w:val="false"/>
                <w:color w:val="000000"/>
                <w:sz w:val="12"/>
              </w:rPr>
              <w:t>(1)</w:t>
            </w:r>
            <w:r>
              <w:rPr>
                <w:color w:val="000000"/>
              </w:rPr>
              <w:t xml:space="preserve"> </w:t>
            </w:r>
            <w:r>
              <w:rPr>
                <w:rFonts w:ascii="Arial;sans-serif" w:hAnsi="Arial;sans-serif"/>
                <w:b w:val="false"/>
                <w:color w:val="000000"/>
                <w:sz w:val="18"/>
              </w:rPr>
              <w:t>Represents the net change in borrowings available from the securitization of eligible vacation ownership notes receivable compared to the prior year end.</w:t>
            </w:r>
          </w:p>
        </w:tc>
      </w:tr>
      <w:tr>
        <w:trPr/>
        <w:tc>
          <w:tcPr>
            <w:tcW w:w="102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3"/>
            <w:tcBorders/>
            <w:vAlign w:val="center"/>
          </w:tcPr>
          <w:p>
            <w:pPr>
              <w:pStyle w:val="TableContents"/>
              <w:bidi w:val="0"/>
              <w:spacing w:before="0" w:after="283"/>
              <w:jc w:val="left"/>
              <w:rPr>
                <w:sz w:val="4"/>
                <w:szCs w:val="4"/>
              </w:rPr>
            </w:pPr>
            <w:r>
              <w:rPr>
                <w:sz w:val="4"/>
                <w:szCs w:val="4"/>
              </w:rPr>
            </w:r>
          </w:p>
        </w:tc>
      </w:tr>
      <w:tr>
        <w:trPr/>
        <w:tc>
          <w:tcPr>
            <w:tcW w:w="10205" w:type="dxa"/>
            <w:gridSpan w:val="3"/>
            <w:tcBorders/>
            <w:vAlign w:val="center"/>
          </w:tcPr>
          <w:p>
            <w:pPr>
              <w:pStyle w:val="TableContents"/>
              <w:bidi w:val="0"/>
              <w:spacing w:before="0" w:after="283"/>
              <w:jc w:val="left"/>
              <w:rPr>
                <w:sz w:val="4"/>
                <w:szCs w:val="4"/>
              </w:rPr>
            </w:pPr>
            <w:r>
              <w:rPr>
                <w:sz w:val="4"/>
                <w:szCs w:val="4"/>
              </w:rPr>
            </w:r>
          </w:p>
        </w:tc>
      </w:tr>
      <w:tr>
        <w:trPr/>
        <w:tc>
          <w:tcPr>
            <w:tcW w:w="10205"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Arial;sans-serif" w:hAnsi="Arial;sans-serif"/>
                <w:b w:val="false"/>
                <w:color w:val="000000"/>
                <w:sz w:val="12"/>
              </w:rPr>
              <w:t>(2)</w:t>
            </w:r>
            <w:r>
              <w:rPr>
                <w:color w:val="000000"/>
              </w:rPr>
              <w:t xml:space="preserve"> </w:t>
            </w:r>
            <w:r>
              <w:rPr>
                <w:rFonts w:ascii="Arial;sans-serif" w:hAnsi="Arial;sans-serif"/>
                <w:b w:val="false"/>
                <w:color w:val="000000"/>
                <w:sz w:val="18"/>
              </w:rPr>
              <w:t>Includes the after-tax impact of Modernization costs, restructuring costs, and other, as well as the changes in restricted cash.</w:t>
            </w:r>
          </w:p>
        </w:tc>
      </w:tr>
      <w:tr>
        <w:trPr/>
        <w:tc>
          <w:tcPr>
            <w:tcW w:w="10205" w:type="dxa"/>
            <w:gridSpan w:val="3"/>
            <w:tcBorders/>
            <w:vAlign w:val="center"/>
          </w:tcPr>
          <w:p>
            <w:pPr>
              <w:pStyle w:val="TableContents"/>
              <w:bidi w:val="0"/>
              <w:spacing w:before="0" w:after="283"/>
              <w:jc w:val="left"/>
              <w:rPr>
                <w:sz w:val="4"/>
                <w:szCs w:val="4"/>
              </w:rPr>
            </w:pPr>
            <w:r>
              <w:rPr>
                <w:sz w:val="4"/>
                <w:szCs w:val="4"/>
              </w:rPr>
            </w:r>
          </w:p>
        </w:tc>
      </w:tr>
      <w:tr>
        <w:trPr/>
        <w:tc>
          <w:tcPr>
            <w:tcW w:w="102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A-15</w:t>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75260"/>
                <wp:effectExtent l="0" t="0" r="0" b="0"/>
                <wp:wrapNone/>
                <wp:docPr id="22" name="Frame2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216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MARRIOTT VACATIONS WORLDWIDE CORPORATION</w:t>
      </w:r>
    </w:p>
    <w:p>
      <w:pPr>
        <w:pStyle w:val="TextBody"/>
        <w:bidi w:val="0"/>
        <w:spacing w:lineRule="auto" w:line="288" w:before="120" w:after="283"/>
        <w:jc w:val="center"/>
        <w:rPr>
          <w:rFonts w:ascii="Arial;sans-serif" w:hAnsi="Arial;sans-serif"/>
          <w:b/>
          <w:color w:val="000000"/>
          <w:sz w:val="20"/>
        </w:rPr>
      </w:pPr>
      <w:r>
        <w:rPr>
          <w:rFonts w:ascii="Arial;sans-serif" w:hAnsi="Arial;sans-serif"/>
          <w:b/>
          <w:color w:val="000000"/>
          <w:sz w:val="20"/>
        </w:rPr>
        <w:t>2026 ADJUSTED FREE CASH FLOW OUTLOOK</w:t>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(In millions)</w:t>
      </w:r>
    </w:p>
    <w:tbl>
      <w:tblPr>
        <w:tblW w:w="8581" w:type="dxa"/>
        <w:jc w:val="center"/>
        <w:tblInd w:w="0" w:type="dxa"/>
        <w:tblLayout w:type="fixed"/>
        <w:tblCellMar>
          <w:top w:w="28" w:type="dxa"/>
          <w:left w:w="28" w:type="dxa"/>
          <w:bottom w:w="28" w:type="dxa"/>
          <w:right w:w="28" w:type="dxa"/>
        </w:tblCellMar>
      </w:tblPr>
      <w:tblGrid>
        <w:gridCol w:w="999"/>
        <w:gridCol w:w="879"/>
        <w:gridCol w:w="882"/>
        <w:gridCol w:w="109"/>
        <w:gridCol w:w="109"/>
        <w:gridCol w:w="109"/>
        <w:gridCol w:w="280"/>
        <w:gridCol w:w="639"/>
        <w:gridCol w:w="144"/>
        <w:gridCol w:w="144"/>
        <w:gridCol w:w="144"/>
        <w:gridCol w:w="144"/>
        <w:gridCol w:w="280"/>
        <w:gridCol w:w="639"/>
        <w:gridCol w:w="144"/>
        <w:gridCol w:w="109"/>
        <w:gridCol w:w="109"/>
        <w:gridCol w:w="109"/>
        <w:gridCol w:w="279"/>
        <w:gridCol w:w="636"/>
        <w:gridCol w:w="144"/>
        <w:gridCol w:w="144"/>
        <w:gridCol w:w="144"/>
        <w:gridCol w:w="144"/>
        <w:gridCol w:w="279"/>
        <w:gridCol w:w="636"/>
        <w:gridCol w:w="203"/>
      </w:tblGrid>
      <w:tr>
        <w:trPr/>
        <w:tc>
          <w:tcPr>
            <w:tcW w:w="999" w:type="dxa"/>
            <w:tcBorders/>
            <w:vAlign w:val="center"/>
          </w:tcPr>
          <w:p>
            <w:pPr>
              <w:pStyle w:val="TableContents"/>
              <w:bidi w:val="0"/>
              <w:spacing w:before="0" w:after="283"/>
              <w:jc w:val="left"/>
              <w:rPr>
                <w:sz w:val="4"/>
                <w:szCs w:val="4"/>
              </w:rPr>
            </w:pPr>
            <w:r>
              <w:rPr>
                <w:sz w:val="4"/>
                <w:szCs w:val="4"/>
              </w:rPr>
            </w:r>
          </w:p>
        </w:tc>
        <w:tc>
          <w:tcPr>
            <w:tcW w:w="879" w:type="dxa"/>
            <w:tcBorders/>
            <w:vAlign w:val="center"/>
          </w:tcPr>
          <w:p>
            <w:pPr>
              <w:pStyle w:val="TableContents"/>
              <w:bidi w:val="0"/>
              <w:spacing w:before="0" w:after="283"/>
              <w:jc w:val="left"/>
              <w:rPr>
                <w:sz w:val="4"/>
                <w:szCs w:val="4"/>
              </w:rPr>
            </w:pPr>
            <w:r>
              <w:rPr>
                <w:sz w:val="4"/>
                <w:szCs w:val="4"/>
              </w:rPr>
            </w:r>
          </w:p>
        </w:tc>
        <w:tc>
          <w:tcPr>
            <w:tcW w:w="8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639"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639"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636"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636"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r>
      <w:tr>
        <w:trPr/>
        <w:tc>
          <w:tcPr>
            <w:tcW w:w="27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Current</w:t>
              <w:br/>
              <w:t>Fiscal Year 2026 Guidance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Previous</w:t>
              <w:br/>
              <w:t>Fiscal Year 2026 Guidance</w:t>
            </w:r>
          </w:p>
        </w:tc>
      </w:tr>
      <w:tr>
        <w:trPr/>
        <w:tc>
          <w:tcPr>
            <w:tcW w:w="27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Low</w:t>
            </w:r>
          </w:p>
        </w:tc>
        <w:tc>
          <w:tcPr>
            <w:tcW w:w="43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High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Low</w:t>
            </w:r>
          </w:p>
        </w:tc>
        <w:tc>
          <w:tcPr>
            <w:tcW w:w="43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High</w:t>
            </w:r>
          </w:p>
        </w:tc>
      </w:tr>
      <w:tr>
        <w:trPr/>
        <w:tc>
          <w:tcPr>
            <w:tcW w:w="27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Adjusted EBITDA*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805 </w:t>
            </w:r>
          </w:p>
        </w:tc>
        <w:tc>
          <w:tcPr>
            <w:tcW w:w="14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830 </w:t>
            </w:r>
          </w:p>
        </w:tc>
        <w:tc>
          <w:tcPr>
            <w:tcW w:w="14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755 </w:t>
            </w:r>
          </w:p>
        </w:tc>
        <w:tc>
          <w:tcPr>
            <w:tcW w:w="14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780 </w:t>
            </w:r>
          </w:p>
        </w:tc>
        <w:tc>
          <w:tcPr>
            <w:tcW w:w="20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Cash interest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(170)</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(165)</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(170)</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(165)</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Cash taxes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(150)</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(160)</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(115)</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(120)</w:t>
            </w:r>
          </w:p>
        </w:tc>
        <w:tc>
          <w:tcPr>
            <w:tcW w:w="2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Corporate capital expenditures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(60)</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(70)</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(65)</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(80)</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Inventory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30 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15 </w:t>
            </w:r>
          </w:p>
        </w:tc>
        <w:tc>
          <w:tcPr>
            <w:tcW w:w="2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Financing activity and other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(35)</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(30)</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Adjusted free cash flow*</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3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410 </w:t>
            </w:r>
          </w:p>
        </w:tc>
        <w:tc>
          <w:tcPr>
            <w:tcW w:w="14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3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460 </w:t>
            </w:r>
          </w:p>
        </w:tc>
        <w:tc>
          <w:tcPr>
            <w:tcW w:w="14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375 </w:t>
            </w:r>
          </w:p>
        </w:tc>
        <w:tc>
          <w:tcPr>
            <w:tcW w:w="14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425 </w:t>
            </w:r>
          </w:p>
        </w:tc>
        <w:tc>
          <w:tcPr>
            <w:tcW w:w="20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center"/>
        <w:tblInd w:w="0" w:type="dxa"/>
        <w:tblLayout w:type="fixed"/>
        <w:tblCellMar>
          <w:top w:w="28" w:type="dxa"/>
          <w:left w:w="28" w:type="dxa"/>
          <w:bottom w:w="28" w:type="dxa"/>
          <w:right w:w="28" w:type="dxa"/>
        </w:tblCellMar>
      </w:tblPr>
      <w:tblGrid>
        <w:gridCol w:w="124"/>
        <w:gridCol w:w="2943"/>
        <w:gridCol w:w="2943"/>
        <w:gridCol w:w="2950"/>
        <w:gridCol w:w="109"/>
        <w:gridCol w:w="109"/>
        <w:gridCol w:w="109"/>
        <w:gridCol w:w="109"/>
        <w:gridCol w:w="109"/>
        <w:gridCol w:w="109"/>
        <w:gridCol w:w="109"/>
        <w:gridCol w:w="109"/>
        <w:gridCol w:w="109"/>
        <w:gridCol w:w="109"/>
        <w:gridCol w:w="155"/>
      </w:tblGrid>
      <w:tr>
        <w:trPr/>
        <w:tc>
          <w:tcPr>
            <w:tcW w:w="124" w:type="dxa"/>
            <w:tcBorders/>
            <w:vAlign w:val="center"/>
          </w:tcPr>
          <w:p>
            <w:pPr>
              <w:pStyle w:val="TableContents"/>
              <w:bidi w:val="0"/>
              <w:spacing w:before="0" w:after="283"/>
              <w:jc w:val="left"/>
              <w:rPr>
                <w:sz w:val="4"/>
                <w:szCs w:val="4"/>
              </w:rPr>
            </w:pPr>
            <w:r>
              <w:rPr>
                <w:sz w:val="4"/>
                <w:szCs w:val="4"/>
              </w:rPr>
            </w:r>
          </w:p>
        </w:tc>
        <w:tc>
          <w:tcPr>
            <w:tcW w:w="2943" w:type="dxa"/>
            <w:tcBorders/>
            <w:vAlign w:val="center"/>
          </w:tcPr>
          <w:p>
            <w:pPr>
              <w:pStyle w:val="TableContents"/>
              <w:bidi w:val="0"/>
              <w:spacing w:before="0" w:after="283"/>
              <w:jc w:val="left"/>
              <w:rPr>
                <w:sz w:val="4"/>
                <w:szCs w:val="4"/>
              </w:rPr>
            </w:pPr>
            <w:r>
              <w:rPr>
                <w:sz w:val="4"/>
                <w:szCs w:val="4"/>
              </w:rPr>
            </w:r>
          </w:p>
        </w:tc>
        <w:tc>
          <w:tcPr>
            <w:tcW w:w="2943" w:type="dxa"/>
            <w:tcBorders/>
            <w:vAlign w:val="center"/>
          </w:tcPr>
          <w:p>
            <w:pPr>
              <w:pStyle w:val="TableContents"/>
              <w:bidi w:val="0"/>
              <w:spacing w:before="0" w:after="283"/>
              <w:jc w:val="left"/>
              <w:rPr>
                <w:sz w:val="4"/>
                <w:szCs w:val="4"/>
              </w:rPr>
            </w:pPr>
            <w:r>
              <w:rPr>
                <w:sz w:val="4"/>
                <w:szCs w:val="4"/>
              </w:rPr>
            </w:r>
          </w:p>
        </w:tc>
        <w:tc>
          <w:tcPr>
            <w:tcW w:w="29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8836" w:type="dxa"/>
            <w:gridSpan w:val="3"/>
            <w:tcBorders/>
            <w:tcMar>
              <w:top w:w="0" w:type="dxa"/>
              <w:left w:w="0" w:type="dxa"/>
              <w:bottom w:w="0" w:type="dxa"/>
              <w:right w:w="0" w:type="dxa"/>
            </w:tcMar>
            <w:vAlign w:val="center"/>
          </w:tcPr>
          <w:p>
            <w:pPr>
              <w:pStyle w:val="TableContents"/>
              <w:bidi w:val="0"/>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The guidance provided above excludes impacts from certain asset sales, foreign currency changes, restructuring costs, litigation charges, modernization costs, transaction and integration costs, and impairments, each of which the Company cannot forecast with sufficient accuracy to factor them into the guidance provided above and without unreasonable efforts, and which may be significant. As a result, the full year 2026 adjusted free cash flow outlook is presented only on a non-GAAP basis and is not reconciled to the most comparable GAAP measures. Where one or more of the currently unavailable items is applicable, some items could be material, individually or in the aggregate, to GAAP reported results.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88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88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88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883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 Denotes non-GAAP financial measures. Please see “Non-GAAP Financial Measures” for additional information about our reasons for providing these alternative financial measures and limitations on their use.</w:t>
            </w:r>
          </w:p>
        </w:tc>
        <w:tc>
          <w:tcPr>
            <w:tcW w:w="1245" w:type="dxa"/>
            <w:gridSpan w:val="11"/>
            <w:tcBorders/>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A-16</w:t>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75260"/>
                <wp:effectExtent l="0" t="0" r="0" b="0"/>
                <wp:wrapNone/>
                <wp:docPr id="23" name="Frame2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216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MARRIOTT VACATIONS WORLDWIDE CORPORATION</w:t>
      </w:r>
    </w:p>
    <w:p>
      <w:pPr>
        <w:pStyle w:val="TextBody"/>
        <w:bidi w:val="0"/>
        <w:spacing w:lineRule="auto" w:line="288" w:before="120" w:after="283"/>
        <w:jc w:val="center"/>
        <w:rPr>
          <w:rFonts w:ascii="Arial;sans-serif" w:hAnsi="Arial;sans-serif"/>
          <w:b/>
          <w:color w:val="000000"/>
          <w:sz w:val="20"/>
        </w:rPr>
      </w:pPr>
      <w:r>
        <w:rPr>
          <w:rFonts w:ascii="Arial;sans-serif" w:hAnsi="Arial;sans-serif"/>
          <w:b/>
          <w:color w:val="000000"/>
          <w:sz w:val="20"/>
        </w:rPr>
        <w:t>QUARTERLY OPERATING METRICS</w:t>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(Contract sales in millions)</w:t>
      </w:r>
    </w:p>
    <w:tbl>
      <w:tblPr>
        <w:tblW w:w="10156" w:type="dxa"/>
        <w:jc w:val="center"/>
        <w:tblInd w:w="0" w:type="dxa"/>
        <w:tblLayout w:type="fixed"/>
        <w:tblCellMar>
          <w:top w:w="28" w:type="dxa"/>
          <w:left w:w="28" w:type="dxa"/>
          <w:bottom w:w="28" w:type="dxa"/>
          <w:right w:w="28" w:type="dxa"/>
        </w:tblCellMar>
      </w:tblPr>
      <w:tblGrid>
        <w:gridCol w:w="723"/>
        <w:gridCol w:w="634"/>
        <w:gridCol w:w="638"/>
        <w:gridCol w:w="174"/>
        <w:gridCol w:w="174"/>
        <w:gridCol w:w="178"/>
        <w:gridCol w:w="109"/>
        <w:gridCol w:w="109"/>
        <w:gridCol w:w="109"/>
        <w:gridCol w:w="251"/>
        <w:gridCol w:w="770"/>
        <w:gridCol w:w="109"/>
        <w:gridCol w:w="109"/>
        <w:gridCol w:w="109"/>
        <w:gridCol w:w="109"/>
        <w:gridCol w:w="251"/>
        <w:gridCol w:w="770"/>
        <w:gridCol w:w="109"/>
        <w:gridCol w:w="109"/>
        <w:gridCol w:w="109"/>
        <w:gridCol w:w="109"/>
        <w:gridCol w:w="284"/>
        <w:gridCol w:w="872"/>
        <w:gridCol w:w="149"/>
        <w:gridCol w:w="109"/>
        <w:gridCol w:w="109"/>
        <w:gridCol w:w="109"/>
        <w:gridCol w:w="274"/>
        <w:gridCol w:w="842"/>
        <w:gridCol w:w="144"/>
        <w:gridCol w:w="109"/>
        <w:gridCol w:w="109"/>
        <w:gridCol w:w="109"/>
        <w:gridCol w:w="223"/>
        <w:gridCol w:w="798"/>
        <w:gridCol w:w="154"/>
      </w:tblGrid>
      <w:tr>
        <w:trPr/>
        <w:tc>
          <w:tcPr>
            <w:tcW w:w="723"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638"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7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7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872"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842"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798"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Year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6"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Quarter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5"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Full Year</w:t>
            </w:r>
          </w:p>
        </w:tc>
      </w:tr>
      <w:tr>
        <w:trPr/>
        <w:tc>
          <w:tcPr>
            <w:tcW w:w="19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March 31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June 30</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September 30</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5"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9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Vacation Ownership</w:t>
            </w:r>
          </w:p>
        </w:tc>
        <w:tc>
          <w:tcPr>
            <w:tcW w:w="5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Contract sales</w:t>
            </w:r>
          </w:p>
        </w:tc>
        <w:tc>
          <w:tcPr>
            <w:tcW w:w="5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7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7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7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7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7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439 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4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458 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9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1,762 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7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7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7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459 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4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477 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9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1,813 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VPG</w:t>
            </w:r>
          </w:p>
        </w:tc>
        <w:tc>
          <w:tcPr>
            <w:tcW w:w="5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7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4,016 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7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4,477 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7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3,979 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7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3,631 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7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3,700 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4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3,894 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9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3,794 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7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4,129 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7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3,741 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7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3,888 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4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3,916 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9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3,911 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Tours</w:t>
            </w:r>
          </w:p>
        </w:tc>
        <w:tc>
          <w:tcPr>
            <w:tcW w:w="5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95,250 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112,721 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97,998 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114,402 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109,609 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109,965 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431,974 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96,579 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111,752 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110,557 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113,828 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432,716 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8" w:type="dxa"/>
            <w:gridSpan w:val="12"/>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Exchange &amp; Third-Party Management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35" w:type="dxa"/>
            <w:gridSpan w:val="18"/>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Total active Interval International members</w:t>
            </w:r>
            <w:r>
              <w:rPr>
                <w:rFonts w:ascii="Arial;sans-serif" w:hAnsi="Arial;sans-serif"/>
                <w:b w:val="false"/>
                <w:color w:val="000000"/>
                <w:sz w:val="13"/>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1,507,043 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1,474,816 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1,537,561 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1,507,051 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1,499,208 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1,507,345 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1,507,345 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1,565,558 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1,530,490 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1,544,835 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1,545,638 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1,545,638 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35" w:type="dxa"/>
            <w:gridSpan w:val="18"/>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Average revenue per Interval International member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7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39.13 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7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36.83 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7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39.94 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7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37.40 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7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37.91 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4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35.30 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9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150.51 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7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41.74 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7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38.30 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7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38.93 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4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35.36 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9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154.34 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156" w:type="dxa"/>
            <w:gridSpan w:val="36"/>
            <w:tcBorders/>
            <w:tcMar>
              <w:top w:w="0" w:type="dxa"/>
              <w:left w:w="0" w:type="dxa"/>
              <w:bottom w:w="0" w:type="dxa"/>
              <w:right w:w="0" w:type="dxa"/>
            </w:tcMar>
            <w:vAlign w:val="center"/>
          </w:tcPr>
          <w:p>
            <w:pPr>
              <w:pStyle w:val="TableContents"/>
              <w:bidi w:val="0"/>
              <w:spacing w:lineRule="auto" w:line="240" w:before="0" w:after="40"/>
              <w:jc w:val="left"/>
              <w:rPr/>
            </w:pPr>
            <w:r>
              <w:rPr>
                <w:rFonts w:ascii="Arial;sans-serif" w:hAnsi="Arial;sans-serif"/>
                <w:b w:val="false"/>
                <w:color w:val="000000"/>
                <w:sz w:val="13"/>
              </w:rPr>
              <w:t>(1)</w:t>
            </w:r>
            <w:r>
              <w:rPr>
                <w:color w:val="000000"/>
              </w:rPr>
              <w:t xml:space="preserve"> </w:t>
            </w:r>
            <w:r>
              <w:rPr>
                <w:rFonts w:ascii="Arial;sans-serif" w:hAnsi="Arial;sans-serif"/>
                <w:b w:val="false"/>
                <w:color w:val="000000"/>
                <w:sz w:val="20"/>
              </w:rPr>
              <w:t>Includes members at the end of each period.</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A-17</w:t>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75260"/>
                <wp:effectExtent l="0" t="0" r="0" b="0"/>
                <wp:wrapNone/>
                <wp:docPr id="24" name="Frame2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216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MARRIOTT VACATIONS WORLDWIDE CORPORATION</w:t>
      </w:r>
    </w:p>
    <w:p>
      <w:pPr>
        <w:pStyle w:val="TextBody"/>
        <w:bidi w:val="0"/>
        <w:spacing w:lineRule="auto" w:line="288" w:before="120" w:after="283"/>
        <w:jc w:val="center"/>
        <w:rPr>
          <w:rFonts w:ascii="Arial;sans-serif" w:hAnsi="Arial;sans-serif"/>
          <w:b/>
          <w:color w:val="000000"/>
          <w:sz w:val="20"/>
        </w:rPr>
      </w:pPr>
      <w:r>
        <w:rPr>
          <w:rFonts w:ascii="Arial;sans-serif" w:hAnsi="Arial;sans-serif"/>
          <w:b/>
          <w:color w:val="000000"/>
          <w:sz w:val="20"/>
        </w:rPr>
        <w:t>NON-GAAP FINANCIAL MEASURES</w:t>
      </w:r>
    </w:p>
    <w:p>
      <w:pPr>
        <w:pStyle w:val="TextBody"/>
        <w:bidi w:val="0"/>
        <w:spacing w:lineRule="auto" w:line="312" w:before="180" w:after="283"/>
        <w:jc w:val="both"/>
        <w:rPr>
          <w:rFonts w:ascii="Arial;sans-serif" w:hAnsi="Arial;sans-serif"/>
          <w:b w:val="false"/>
          <w:color w:val="000000"/>
          <w:sz w:val="20"/>
        </w:rPr>
      </w:pPr>
      <w:r>
        <w:rPr>
          <w:rFonts w:ascii="Arial;sans-serif" w:hAnsi="Arial;sans-serif"/>
          <w:b w:val="false"/>
          <w:color w:val="000000"/>
          <w:sz w:val="20"/>
        </w:rPr>
        <w:t>In our press release and schedules, and on the related conference call, we report certain financial measures that are not prescribed by GAAP. We discuss our reasons for reporting these non-GAAP financial measures below, and the financial schedules included herein reconcile the most directly comparable GAAP financial measure to each non-GAAP financial measure that we report (identified by an asterisk (“*”) on the preceding pages). Although we evaluate and present these non-GAAP financial measures for the reasons described below, please be aware that these non-GAAP financial measures have limitations and should not be considered in isolation or as a substitute for revenues, net income or loss attributable to common stockholders, earnings or loss per share or any other comparable operating measure prescribed by GAAP. In addition, other companies in our industry may calculate these non-GAAP financial measures differently than we do or may not calculate them at all, limiting their usefulness as comparative measures.</w:t>
      </w:r>
    </w:p>
    <w:p>
      <w:pPr>
        <w:pStyle w:val="TextBody"/>
        <w:bidi w:val="0"/>
        <w:spacing w:lineRule="auto" w:line="324" w:before="240" w:after="283"/>
        <w:jc w:val="both"/>
        <w:rPr>
          <w:rFonts w:ascii="Arial;sans-serif" w:hAnsi="Arial;sans-serif"/>
          <w:b/>
          <w:color w:val="000000"/>
          <w:sz w:val="20"/>
        </w:rPr>
      </w:pPr>
      <w:r>
        <w:rPr>
          <w:rFonts w:ascii="Arial;sans-serif" w:hAnsi="Arial;sans-serif"/>
          <w:b/>
          <w:color w:val="000000"/>
          <w:sz w:val="20"/>
        </w:rPr>
        <w:t>Reclassifications</w:t>
      </w:r>
    </w:p>
    <w:p>
      <w:pPr>
        <w:pStyle w:val="TextBody"/>
        <w:bidi w:val="0"/>
        <w:spacing w:lineRule="auto" w:line="312" w:before="120" w:after="283"/>
        <w:jc w:val="both"/>
        <w:rPr>
          <w:rFonts w:ascii="Arial;sans-serif" w:hAnsi="Arial;sans-serif"/>
          <w:b w:val="false"/>
          <w:color w:val="000000"/>
          <w:sz w:val="20"/>
        </w:rPr>
      </w:pPr>
      <w:r>
        <w:rPr>
          <w:rFonts w:ascii="Arial;sans-serif" w:hAnsi="Arial;sans-serif"/>
          <w:b w:val="false"/>
          <w:color w:val="000000"/>
          <w:sz w:val="20"/>
        </w:rPr>
        <w:t>Beginning in the third quarter of 2025, we began separately presenting Modernization expense in our Income Statements. As a result, prior year amounts for the three and six months ended June 30, 2025 were reclassified from Restructuring expense to conform with our current year presentation. Additionally, for the six months ended June 30, 2025, we reclassified $2 million related to the impairment of an operating lease and related assets from Restructuring expense to Impairment expense to conform with our current year presentation.</w:t>
      </w:r>
    </w:p>
    <w:p>
      <w:pPr>
        <w:pStyle w:val="TextBody"/>
        <w:bidi w:val="0"/>
        <w:spacing w:lineRule="auto" w:line="324" w:before="240" w:after="283"/>
        <w:jc w:val="both"/>
        <w:rPr>
          <w:rFonts w:ascii="Arial;sans-serif" w:hAnsi="Arial;sans-serif"/>
          <w:b/>
          <w:color w:val="000000"/>
          <w:sz w:val="20"/>
        </w:rPr>
      </w:pPr>
      <w:r>
        <w:rPr>
          <w:rFonts w:ascii="Arial;sans-serif" w:hAnsi="Arial;sans-serif"/>
          <w:b/>
          <w:color w:val="000000"/>
          <w:sz w:val="20"/>
        </w:rPr>
        <w:t>Certain Items Excluded from Non-GAAP Financial Measures</w:t>
      </w:r>
    </w:p>
    <w:p>
      <w:pPr>
        <w:pStyle w:val="TextBody"/>
        <w:bidi w:val="0"/>
        <w:spacing w:lineRule="auto" w:line="324" w:before="120" w:after="283"/>
        <w:jc w:val="both"/>
        <w:rPr>
          <w:rFonts w:ascii="Arial;sans-serif" w:hAnsi="Arial;sans-serif"/>
          <w:b w:val="false"/>
          <w:color w:val="000000"/>
          <w:sz w:val="20"/>
        </w:rPr>
      </w:pPr>
      <w:r>
        <w:rPr>
          <w:rFonts w:ascii="Arial;sans-serif" w:hAnsi="Arial;sans-serif"/>
          <w:b w:val="false"/>
          <w:color w:val="000000"/>
          <w:sz w:val="20"/>
        </w:rPr>
        <w:t>We evaluate non-GAAP financial measures, including those identified by an asterisk (“*”) on the preceding pages, that exclude certain items as further described in the financial schedules included herein, and believe these measures provide useful information to investors because these non-GAAP financial measures allow for period-over-period comparisons of our ongoing core operations before the impact of these items. These non-GAAP financial measures also facilitate the comparison of results from our ongoing core operations before these items with results from other companies.</w:t>
      </w:r>
    </w:p>
    <w:p>
      <w:pPr>
        <w:pStyle w:val="TextBody"/>
        <w:bidi w:val="0"/>
        <w:spacing w:lineRule="auto" w:line="288" w:before="240" w:after="283"/>
        <w:jc w:val="left"/>
        <w:rPr>
          <w:rFonts w:ascii="Arial;sans-serif" w:hAnsi="Arial;sans-serif"/>
          <w:b/>
          <w:color w:val="000000"/>
          <w:sz w:val="20"/>
        </w:rPr>
      </w:pPr>
      <w:r>
        <w:rPr>
          <w:rFonts w:ascii="Arial;sans-serif" w:hAnsi="Arial;sans-serif"/>
          <w:b/>
          <w:color w:val="000000"/>
          <w:sz w:val="20"/>
        </w:rPr>
        <w:t>Adjusted Development Profit and Adjusted Development Profit Margin</w:t>
      </w:r>
    </w:p>
    <w:p>
      <w:pPr>
        <w:pStyle w:val="TextBody"/>
        <w:bidi w:val="0"/>
        <w:spacing w:lineRule="auto" w:line="324" w:before="120" w:after="283"/>
        <w:jc w:val="both"/>
        <w:rPr>
          <w:rFonts w:ascii="Arial;sans-serif" w:hAnsi="Arial;sans-serif"/>
          <w:b w:val="false"/>
          <w:color w:val="000000"/>
          <w:sz w:val="20"/>
        </w:rPr>
      </w:pPr>
      <w:r>
        <w:rPr>
          <w:rFonts w:ascii="Arial;sans-serif" w:hAnsi="Arial;sans-serif"/>
          <w:b w:val="false"/>
          <w:color w:val="000000"/>
          <w:sz w:val="20"/>
        </w:rPr>
        <w:t>We evaluate Adjusted development profit (Adjusted sale of vacation ownership products, net of expenses) and Adjusted development profit margin as indicators of operating performance. Adjusted development profit margin is calculated by dividing Adjusted development profit by revenues from the Sale of vacation ownership products. Adjusted development profit and Adjusted development profit margin adjust Sale of vacation ownership products revenues for the impact of revenue reportability, include corresponding adjustments to Cost of vacation ownership products associated with the change in revenues from the Sale of vacation ownership products, and may include adjustments for certain items as necessary. We evaluate Adjusted development profit and Adjusted development profit margin and believe they provide useful information to investors because they allow for period-over-period comparisons of our ongoing core operations before the impact of revenue reportability and certain items to our Development profit and Development profit margin.</w:t>
      </w:r>
    </w:p>
    <w:p>
      <w:pPr>
        <w:pStyle w:val="TextBody"/>
        <w:bidi w:val="0"/>
        <w:spacing w:lineRule="auto" w:line="288" w:before="240" w:after="283"/>
        <w:jc w:val="both"/>
        <w:rPr>
          <w:rFonts w:ascii="Arial;sans-serif" w:hAnsi="Arial;sans-serif"/>
          <w:b/>
          <w:color w:val="000000"/>
          <w:sz w:val="20"/>
        </w:rPr>
      </w:pPr>
      <w:r>
        <w:rPr>
          <w:rFonts w:ascii="Arial;sans-serif" w:hAnsi="Arial;sans-serif"/>
          <w:b/>
          <w:color w:val="000000"/>
          <w:sz w:val="20"/>
        </w:rPr>
        <w:t>Earnings Before Interest Expense, Taxes, Depreciation and Amortization (“EBITDA”) and Adjusted EBITDA</w:t>
      </w:r>
    </w:p>
    <w:p>
      <w:pPr>
        <w:pStyle w:val="TextBody"/>
        <w:bidi w:val="0"/>
        <w:spacing w:lineRule="auto" w:line="324" w:before="120" w:after="283"/>
        <w:jc w:val="both"/>
        <w:rPr>
          <w:rFonts w:ascii="Arial;sans-serif" w:hAnsi="Arial;sans-serif"/>
          <w:b w:val="false"/>
          <w:color w:val="000000"/>
          <w:sz w:val="20"/>
        </w:rPr>
      </w:pPr>
      <w:r>
        <w:rPr>
          <w:rFonts w:ascii="Arial;sans-serif" w:hAnsi="Arial;sans-serif"/>
          <w:b w:val="false"/>
          <w:color w:val="000000"/>
          <w:sz w:val="20"/>
        </w:rPr>
        <w:t xml:space="preserve">EBITDA, a financial measure that is not prescribed by GAAP, is defined as earnings, or net income or loss attributable to common stockholders, before interest expense, net (excluding consumer financing interest expense), income taxes, depreciation and amortization. Adjusted EBITDA reflects additional adjustments for certain items and excludes share-based compensation expense and amortization of cloud computing software implementation costs. Share-based compensation expense is excluded to address considerable variability among companies in recording compensation expense because companies use share-based payment awards differently, both in the type and quantity of awards granted. Amortization of cloud computing software implementation costs, which are not included in depreciation and amortization expense, are </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A-18</w:t>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75260"/>
                <wp:effectExtent l="0" t="0" r="0" b="0"/>
                <wp:wrapNone/>
                <wp:docPr id="25" name="Frame2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216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324" w:before="120" w:after="283"/>
        <w:jc w:val="both"/>
        <w:rPr>
          <w:rFonts w:ascii="Arial;sans-serif" w:hAnsi="Arial;sans-serif"/>
          <w:b w:val="false"/>
          <w:color w:val="000000"/>
          <w:sz w:val="20"/>
        </w:rPr>
      </w:pPr>
      <w:r>
        <w:rPr>
          <w:rFonts w:ascii="Arial;sans-serif" w:hAnsi="Arial;sans-serif"/>
          <w:b w:val="false"/>
          <w:color w:val="000000"/>
          <w:sz w:val="20"/>
        </w:rPr>
        <w:t>excluded from Adjusted EBITDA for comparability purposes to address the considerable variability among companies in the utilization of productive assets.</w:t>
      </w:r>
    </w:p>
    <w:p>
      <w:pPr>
        <w:pStyle w:val="TextBody"/>
        <w:bidi w:val="0"/>
        <w:spacing w:lineRule="auto" w:line="324" w:before="120" w:after="283"/>
        <w:jc w:val="both"/>
        <w:rPr>
          <w:rFonts w:ascii="Arial;sans-serif" w:hAnsi="Arial;sans-serif"/>
          <w:b w:val="false"/>
          <w:color w:val="000000"/>
          <w:sz w:val="20"/>
        </w:rPr>
      </w:pPr>
      <w:r>
        <w:rPr>
          <w:rFonts w:ascii="Arial;sans-serif" w:hAnsi="Arial;sans-serif"/>
          <w:b w:val="false"/>
          <w:color w:val="000000"/>
          <w:sz w:val="20"/>
        </w:rPr>
        <w:t xml:space="preserve">For purposes of our EBITDA and Adjusted EBITDA calculations, we do not adjust for consumer financing interest expense because we consider it to be an operating expense of our business. We consider Adjusted EBITDA to be an indicator of operating performance, which we use to measure our ability to service debt, fund capital expenditures, expand our business, and return cash to stockholders. </w:t>
      </w:r>
    </w:p>
    <w:p>
      <w:pPr>
        <w:pStyle w:val="TextBody"/>
        <w:bidi w:val="0"/>
        <w:spacing w:lineRule="auto" w:line="324" w:before="120" w:after="283"/>
        <w:jc w:val="both"/>
        <w:rPr>
          <w:rFonts w:ascii="Arial;sans-serif" w:hAnsi="Arial;sans-serif"/>
          <w:b w:val="false"/>
          <w:color w:val="000000"/>
          <w:sz w:val="20"/>
        </w:rPr>
      </w:pPr>
      <w:r>
        <w:rPr>
          <w:rFonts w:ascii="Arial;sans-serif" w:hAnsi="Arial;sans-serif"/>
          <w:b w:val="false"/>
          <w:color w:val="000000"/>
          <w:sz w:val="20"/>
        </w:rPr>
        <w:t>We also use Adjusted EBITDA, as do analysts, lenders, investors and others, because this measure excludes certain items that can vary widely across different industries or among companies within the same industry. For example, interest expense can be dependent on a company’s capital structure, debt levels and credit ratings. Accordingly, the impact of interest expense on earnings can vary significantly among companies. The tax positions of companies can also vary because of their differing abilities to take advantage of tax benefits and because of the tax policies of the jurisdictions in which they operate. As a result, effective tax rates and provisions for income taxes can vary considerably among companies. Adjusted EBITDA also excludes depreciation and amortization, as well as amortization of cloud computing software implementation costs because companies utilize productive assets of different ages and use different methods of both acquiring and depreciating or amortizing productive assets. These differences can result in considerable variability in the relative costs of productive assets and the depreciation and amortization expense among companies. We believe Adjusted EBITDA is useful as an indicator of operating performance because it allows for period-over-period comparisons of our ongoing core operations before the impact of the excluded items. Adjusted EBITDA also facilitates comparison by us, analysts, investors, and others, of results from our ongoing core operations before the impact of these items with results from other companies.</w:t>
      </w:r>
    </w:p>
    <w:p>
      <w:pPr>
        <w:pStyle w:val="TextBody"/>
        <w:bidi w:val="0"/>
        <w:spacing w:lineRule="auto" w:line="324" w:before="120" w:after="283"/>
        <w:jc w:val="both"/>
        <w:rPr>
          <w:rFonts w:ascii="Arial;sans-serif" w:hAnsi="Arial;sans-serif"/>
          <w:b w:val="false"/>
          <w:color w:val="000000"/>
          <w:sz w:val="20"/>
        </w:rPr>
      </w:pPr>
      <w:r>
        <w:rPr>
          <w:rFonts w:ascii="Arial;sans-serif" w:hAnsi="Arial;sans-serif"/>
          <w:b w:val="false"/>
          <w:color w:val="000000"/>
          <w:sz w:val="20"/>
        </w:rPr>
        <w:t>Commencing in the first quarter of 2026, interest expense associated with our Warehouse Credit Facility is included as a component of Consumer financing interest expense within Financing expense. For the three and six months ended June 30, 2025, interest expense associated with our Warehouse Credit Facility is included as a component of Interest expense, net. Interest expense on our Warehouse Credit Facility was $2 million and $5 million for the three and six months ended June 30, 2026, respectively, and $3 million and $7 million for the three and six months ended June 30, 2025, respectively.</w:t>
      </w:r>
    </w:p>
    <w:p>
      <w:pPr>
        <w:pStyle w:val="TextBody"/>
        <w:bidi w:val="0"/>
        <w:spacing w:lineRule="auto" w:line="324" w:before="240" w:after="283"/>
        <w:jc w:val="both"/>
        <w:rPr>
          <w:rFonts w:ascii="Arial;sans-serif" w:hAnsi="Arial;sans-serif"/>
          <w:b/>
          <w:color w:val="000000"/>
          <w:sz w:val="20"/>
        </w:rPr>
      </w:pPr>
      <w:r>
        <w:rPr>
          <w:rFonts w:ascii="Arial;sans-serif" w:hAnsi="Arial;sans-serif"/>
          <w:b/>
          <w:color w:val="000000"/>
          <w:sz w:val="20"/>
        </w:rPr>
        <w:t>Adjusted EBITDA Margin and Segment Adjusted EBITDA Margin</w:t>
      </w:r>
    </w:p>
    <w:p>
      <w:pPr>
        <w:pStyle w:val="TextBody"/>
        <w:bidi w:val="0"/>
        <w:spacing w:lineRule="auto" w:line="324" w:before="120" w:after="283"/>
        <w:jc w:val="both"/>
        <w:rPr>
          <w:rFonts w:ascii="Arial;sans-serif" w:hAnsi="Arial;sans-serif"/>
          <w:b w:val="false"/>
          <w:color w:val="000000"/>
          <w:sz w:val="20"/>
        </w:rPr>
      </w:pPr>
      <w:r>
        <w:rPr>
          <w:rFonts w:ascii="Arial;sans-serif" w:hAnsi="Arial;sans-serif"/>
          <w:b w:val="false"/>
          <w:color w:val="000000"/>
          <w:sz w:val="20"/>
        </w:rPr>
        <w:t>We evaluate Adjusted EBITDA margin and Segment Adjusted EBITDA margin as indicators of operating profitability. Adjusted EBITDA margin represents Adjusted EBITDA divided by the Company’s total revenues less cost reimbursement revenues. Segment Adjusted EBITDA margin represents Segment Adjusted EBITDA divided by the applicable segment’s total revenues less cost reimbursement revenues. We evaluate Adjusted EBITDA margin and Segment Adjusted EBITDA margin and believe it provides useful information to investors because it allows for period-over-period comparisons of our ongoing core operations before the impact of excluded items.</w:t>
      </w:r>
    </w:p>
    <w:p>
      <w:pPr>
        <w:pStyle w:val="TextBody"/>
        <w:bidi w:val="0"/>
        <w:spacing w:lineRule="auto" w:line="324" w:before="240" w:after="283"/>
        <w:jc w:val="both"/>
        <w:rPr>
          <w:rFonts w:ascii="Arial;sans-serif" w:hAnsi="Arial;sans-serif"/>
          <w:b/>
          <w:color w:val="000000"/>
          <w:sz w:val="20"/>
        </w:rPr>
      </w:pPr>
      <w:r>
        <w:rPr>
          <w:rFonts w:ascii="Arial;sans-serif" w:hAnsi="Arial;sans-serif"/>
          <w:b/>
          <w:color w:val="000000"/>
          <w:sz w:val="20"/>
        </w:rPr>
        <w:t>Adjusted Pretax Income, Adjusted Net Income Attributable to Common Stockholders, and Adjusted Earnings per Share - Diluted</w:t>
      </w:r>
    </w:p>
    <w:p>
      <w:pPr>
        <w:pStyle w:val="TextBody"/>
        <w:bidi w:val="0"/>
        <w:spacing w:lineRule="auto" w:line="324" w:before="120" w:after="283"/>
        <w:jc w:val="both"/>
        <w:rPr>
          <w:rFonts w:ascii="Arial;sans-serif" w:hAnsi="Arial;sans-serif"/>
          <w:b w:val="false"/>
          <w:color w:val="000000"/>
          <w:sz w:val="20"/>
        </w:rPr>
      </w:pPr>
      <w:r>
        <w:rPr>
          <w:rFonts w:ascii="Arial;sans-serif" w:hAnsi="Arial;sans-serif"/>
          <w:b w:val="false"/>
          <w:color w:val="000000"/>
          <w:sz w:val="20"/>
        </w:rPr>
        <w:t>We evaluate Adjusted pretax income, Adjusted net income attributable to common stockholders, and Adjusted earnings per share - diluted as indicators of operating performance. Adjusted pretax income is calculated as Adjusted EBITDA less depreciation and amortization, interest expense, net of interest income, share-based compensation expense and amortization of cloud computing software implementation costs. Adjusted net income attributable to common stockholders is calculated as Adjusted pretax income less provision for income tax adjusted for certain items and Adjusted earnings per share - diluted equals adjusted net income attributable to common stockholders divided by diluted shares. We evaluate these measures because we believe they provide useful information to investors because they allow for period-over-period comparisons of our ongoing core operations before the impact of certain non-recurring items such as impacts from asset sales, foreign currency changes, restructuring costs, litigation charges, modernization costs, transaction and integration costs, and impairments, and also facilitate the comparison of results from our ongoing core operations before these items with results from other companies.</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A-19</w:t>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75260"/>
                <wp:effectExtent l="0" t="0" r="0" b="0"/>
                <wp:wrapNone/>
                <wp:docPr id="26" name="Frame2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216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324" w:before="240" w:after="283"/>
        <w:jc w:val="both"/>
        <w:rPr>
          <w:rFonts w:ascii="Arial;sans-serif" w:hAnsi="Arial;sans-serif"/>
          <w:b/>
          <w:color w:val="000000"/>
          <w:sz w:val="20"/>
        </w:rPr>
      </w:pPr>
      <w:r>
        <w:rPr>
          <w:rFonts w:ascii="Arial;sans-serif" w:hAnsi="Arial;sans-serif"/>
          <w:b/>
          <w:color w:val="000000"/>
          <w:sz w:val="20"/>
        </w:rPr>
        <w:t>Free Cash Flow and Adjusted Free Cash Flow</w:t>
      </w:r>
    </w:p>
    <w:p>
      <w:pPr>
        <w:pStyle w:val="TextBody"/>
        <w:bidi w:val="0"/>
        <w:spacing w:lineRule="auto" w:line="324" w:before="120" w:after="283"/>
        <w:jc w:val="both"/>
        <w:rPr>
          <w:rFonts w:ascii="Arial;sans-serif" w:hAnsi="Arial;sans-serif"/>
          <w:b w:val="false"/>
          <w:color w:val="000000"/>
          <w:sz w:val="20"/>
        </w:rPr>
      </w:pPr>
      <w:r>
        <w:rPr>
          <w:rFonts w:ascii="Arial;sans-serif" w:hAnsi="Arial;sans-serif"/>
          <w:b w:val="false"/>
          <w:color w:val="000000"/>
          <w:sz w:val="20"/>
        </w:rPr>
        <w:t>We evaluate Free Cash Flow and Adjusted Free Cash Flow as liquidity measures that provide useful information to management and investors about the amount of cash provided by operating activities after capital expenditures for property and equipment and the borrowing and repayment activity related to our term securitizations, which cash can be used for, among other purposes, strategic opportunities, including acquisitions and strengthening the balance sheet. Adjusted Free Cash Flow, which reflects additional adjustments to Free Cash Flow for the impact of transaction, integration, restructuring, and modernization costs, litigation charges, insurance proceeds, impact of borrowings available from the securitization of eligible vacation ownership notes receivable, and changes in restricted cash and other items, allows for period-over-period comparisons of the cash generated by our business before the impact of these items. Analysis of Free Cash Flow and Adjusted Free Cash Flow also facilitates management’s comparison of our results with our competitors’ results.</w:t>
      </w:r>
    </w:p>
    <w:p>
      <w:pPr>
        <w:pStyle w:val="TextBody"/>
        <w:bidi w:val="0"/>
        <w:spacing w:lineRule="auto" w:line="324" w:before="120" w:after="283"/>
        <w:jc w:val="both"/>
        <w:rPr>
          <w:rFonts w:ascii="Arial;sans-serif" w:hAnsi="Arial;sans-serif"/>
          <w:b/>
          <w:color w:val="000000"/>
          <w:sz w:val="20"/>
        </w:rPr>
      </w:pPr>
      <w:r>
        <w:rPr>
          <w:rFonts w:ascii="Arial;sans-serif" w:hAnsi="Arial;sans-serif"/>
          <w:b/>
          <w:color w:val="000000"/>
          <w:sz w:val="20"/>
        </w:rPr>
        <w:t>Net Corporate Leverage</w:t>
      </w:r>
    </w:p>
    <w:p>
      <w:pPr>
        <w:pStyle w:val="TextBody"/>
        <w:bidi w:val="0"/>
        <w:spacing w:lineRule="auto" w:line="324" w:before="120" w:after="283"/>
        <w:jc w:val="both"/>
        <w:rPr>
          <w:rFonts w:ascii="Arial;sans-serif" w:hAnsi="Arial;sans-serif"/>
          <w:b w:val="false"/>
          <w:color w:val="000000"/>
          <w:sz w:val="20"/>
        </w:rPr>
      </w:pPr>
      <w:r>
        <w:rPr>
          <w:rFonts w:ascii="Arial;sans-serif" w:hAnsi="Arial;sans-serif"/>
          <w:b w:val="false"/>
          <w:color w:val="000000"/>
          <w:sz w:val="20"/>
        </w:rPr>
        <w:t>Net corporate leverage ratio represents gross corporate debt, less cash and cash equivalents, divided by Adjusted EBITDA realized over the last twelve months. The Company’s corporate debt is composed of its corporate credit facility, senior unsecured notes, convertible notes, and finance leases. Management uses this measure to evaluate balance sheet strength, financial flexibility, and progress toward its leverage objectives. We believe net corporate leverage is an important measure of financial strength because it provides insight into our ability to invest in growth and return capital to shareholders.</w:t>
      </w:r>
    </w:p>
    <w:p>
      <w:pPr>
        <w:pStyle w:val="TextBody"/>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75260"/>
                <wp:effectExtent l="0" t="0" r="0" b="0"/>
                <wp:wrapNone/>
                <wp:docPr id="27" name="Frame2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Arial">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25</Pages>
  <Words>7898</Words>
  <Characters>44756</Characters>
  <CharactersWithSpaces>51390</CharactersWithSpaces>
  <Paragraphs>2056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