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7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001-35219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Marriott Vacations Worldwide Corporation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tbl>
      <w:tblPr>
        <w:tblW w:w="5892" w:type="dxa"/>
        <w:jc w:val="center"/>
        <w:tblInd w:w="0" w:type="dxa"/>
        <w:tblLayout w:type="fixed"/>
        <w:tblCellMar>
          <w:top w:w="28" w:type="dxa"/>
          <w:left w:w="28" w:type="dxa"/>
          <w:bottom w:w="28" w:type="dxa"/>
          <w:right w:w="28" w:type="dxa"/>
        </w:tblCellMar>
      </w:tblPr>
      <w:tblGrid>
        <w:gridCol w:w="178"/>
        <w:gridCol w:w="156"/>
        <w:gridCol w:w="156"/>
        <w:gridCol w:w="609"/>
        <w:gridCol w:w="609"/>
        <w:gridCol w:w="611"/>
        <w:gridCol w:w="275"/>
        <w:gridCol w:w="275"/>
        <w:gridCol w:w="276"/>
        <w:gridCol w:w="156"/>
        <w:gridCol w:w="156"/>
        <w:gridCol w:w="156"/>
        <w:gridCol w:w="156"/>
        <w:gridCol w:w="156"/>
        <w:gridCol w:w="156"/>
        <w:gridCol w:w="109"/>
        <w:gridCol w:w="109"/>
        <w:gridCol w:w="109"/>
        <w:gridCol w:w="433"/>
        <w:gridCol w:w="433"/>
        <w:gridCol w:w="618"/>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45-2598330</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7812 Palm Parkway</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Orlando</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32836</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pPr>
      <w:r>
        <w:rPr>
          <w:rFonts w:ascii="Times New Roman;sans-serif" w:hAnsi="Times New Roman;sans-serif"/>
          <w:b/>
          <w:color w:val="000000"/>
          <w:sz w:val="20"/>
        </w:rPr>
        <w:t xml:space="preserve">(407) 206-6000 </w:t>
      </w:r>
      <w:r>
        <w:rPr>
          <w:rFonts w:ascii="Times New Roman;sans-serif" w:hAnsi="Times New Roman;sans-serif"/>
          <w:b/>
          <w:color w:val="000000"/>
          <w:sz w:val="16"/>
        </w:rPr>
        <w:t>(Registrant’s telephone number, including area code)</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New York Stock Exchange</w:t>
            </w:r>
          </w:p>
        </w:tc>
      </w:tr>
    </w:tbl>
    <w:p>
      <w:pPr>
        <w:pStyle w:val="TextBody"/>
        <w:bidi w:val="0"/>
        <w:spacing w:lineRule="auto" w:line="288" w:before="120" w:after="283"/>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666"/>
        <w:gridCol w:w="586"/>
        <w:gridCol w:w="588"/>
        <w:gridCol w:w="109"/>
        <w:gridCol w:w="109"/>
        <w:gridCol w:w="109"/>
        <w:gridCol w:w="109"/>
        <w:gridCol w:w="109"/>
        <w:gridCol w:w="109"/>
        <w:gridCol w:w="109"/>
        <w:gridCol w:w="109"/>
        <w:gridCol w:w="109"/>
        <w:gridCol w:w="432"/>
        <w:gridCol w:w="432"/>
        <w:gridCol w:w="434"/>
        <w:gridCol w:w="109"/>
        <w:gridCol w:w="109"/>
        <w:gridCol w:w="109"/>
        <w:gridCol w:w="109"/>
        <w:gridCol w:w="109"/>
        <w:gridCol w:w="109"/>
        <w:gridCol w:w="109"/>
        <w:gridCol w:w="109"/>
        <w:gridCol w:w="109"/>
        <w:gridCol w:w="552"/>
        <w:gridCol w:w="552"/>
        <w:gridCol w:w="554"/>
        <w:gridCol w:w="109"/>
        <w:gridCol w:w="109"/>
        <w:gridCol w:w="109"/>
        <w:gridCol w:w="109"/>
        <w:gridCol w:w="109"/>
        <w:gridCol w:w="109"/>
        <w:gridCol w:w="109"/>
        <w:gridCol w:w="109"/>
        <w:gridCol w:w="109"/>
        <w:gridCol w:w="587"/>
        <w:gridCol w:w="587"/>
        <w:gridCol w:w="589"/>
        <w:gridCol w:w="109"/>
        <w:gridCol w:w="109"/>
        <w:gridCol w:w="109"/>
        <w:gridCol w:w="109"/>
        <w:gridCol w:w="109"/>
        <w:gridCol w:w="158"/>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9"/>
        </w:rPr>
        <w:t>Indicate by check mark whether the registrant is a shell company (as defined in Rule 12b-2 of the Exchange Act).</w:t>
      </w:r>
      <w:r>
        <w:rPr>
          <w:color w:val="000000"/>
        </w:rPr>
        <w:t> </w:t>
      </w:r>
      <w:r>
        <w:rPr>
          <w:rFonts w:ascii="Times New Roman;sans-serif" w:hAnsi="Times New Roman;sans-serif"/>
          <w:b w:val="false"/>
          <w:color w:val="000000"/>
          <w:sz w:val="19"/>
        </w:rPr>
        <w:t>Yes</w:t>
      </w:r>
      <w:r>
        <w:rPr>
          <w:color w:val="000000"/>
        </w:rPr>
        <w:t xml:space="preserve"> ☐ </w:t>
      </w:r>
      <w:r>
        <w:rPr>
          <w:rFonts w:ascii="Times New Roman;sans-serif" w:hAnsi="Times New Roman;sans-serif"/>
          <w:b w:val="false"/>
          <w:color w:val="000000"/>
          <w:sz w:val="19"/>
        </w:rPr>
        <w:t>No</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number of shares outstanding of the issuer’s common stock, par value $0.01 per share, as of July 26, 2024 was 35,056,762.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before="120" w:after="283"/>
        <w:ind w:left="0" w:right="0" w:firstLine="720"/>
        <w:jc w:val="center"/>
        <w:rPr/>
      </w:pPr>
      <w:r>
        <w:rPr/>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FORM 10-Q TABLE OF CONTENTS</w:t>
      </w:r>
    </w:p>
    <w:tbl>
      <w:tblPr>
        <w:tblW w:w="8686" w:type="dxa"/>
        <w:jc w:val="center"/>
        <w:tblInd w:w="0" w:type="dxa"/>
        <w:tblLayout w:type="fixed"/>
        <w:tblCellMar>
          <w:top w:w="28" w:type="dxa"/>
          <w:left w:w="28" w:type="dxa"/>
          <w:bottom w:w="28" w:type="dxa"/>
          <w:right w:w="28" w:type="dxa"/>
        </w:tblCellMar>
      </w:tblPr>
      <w:tblGrid>
        <w:gridCol w:w="293"/>
        <w:gridCol w:w="258"/>
        <w:gridCol w:w="259"/>
        <w:gridCol w:w="2453"/>
        <w:gridCol w:w="2453"/>
        <w:gridCol w:w="2459"/>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10">
              <w:r>
                <w:rPr>
                  <w:rStyle w:val="InternetLink"/>
                  <w:rFonts w:ascii="Times New Roman;sans-serif" w:hAnsi="Times New Roman;sans-serif"/>
                  <w:b/>
                  <w:color w:val="0000FF"/>
                  <w:sz w:val="19"/>
                  <w:u w:val="singl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38c52bd95a046e6b76f3b8eb75f7fc5_10">
              <w:r>
                <w:rPr>
                  <w:rStyle w:val="InternetLink"/>
                  <w:rFonts w:ascii="Times New Roman;sans-serif" w:hAnsi="Times New Roman;sans-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13">
              <w:r>
                <w:rPr>
                  <w:rStyle w:val="InternetLink"/>
                  <w:rFonts w:ascii="Times New Roman;sans-serif" w:hAnsi="Times New Roman;sans-serif"/>
                  <w:b w:val="false"/>
                  <w:color w:val="0000FF"/>
                  <w:sz w:val="19"/>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13">
              <w:r>
                <w:rPr>
                  <w:rStyle w:val="InternetLink"/>
                  <w:rFonts w:ascii="Times New Roman;sans-serif" w:hAnsi="Times New Roman;sans-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16">
              <w:r>
                <w:rPr>
                  <w:rStyle w:val="InternetLink"/>
                  <w:rFonts w:ascii="Times New Roman;sans-serif" w:hAnsi="Times New Roman;sans-serif"/>
                  <w:b w:val="false"/>
                  <w:color w:val="0000FF"/>
                  <w:sz w:val="19"/>
                  <w:u w:val="single"/>
                </w:rPr>
                <w:t>Interim Consolidated Statements of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16">
              <w:r>
                <w:rPr>
                  <w:rStyle w:val="InternetLink"/>
                  <w:rFonts w:ascii="Times New Roman;sans-serif" w:hAnsi="Times New Roman;sans-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19">
              <w:r>
                <w:rPr>
                  <w:rStyle w:val="InternetLink"/>
                  <w:rFonts w:ascii="Times New Roman;sans-serif" w:hAnsi="Times New Roman;sans-serif"/>
                  <w:b w:val="false"/>
                  <w:color w:val="0000FF"/>
                  <w:sz w:val="19"/>
                  <w:u w:val="single"/>
                </w:rPr>
                <w:t>Interim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19">
              <w:r>
                <w:rPr>
                  <w:rStyle w:val="InternetLink"/>
                  <w:rFonts w:ascii="Times New Roman;sans-serif" w:hAnsi="Times New Roman;sans-serif"/>
                  <w:b w:val="false"/>
                  <w:color w:val="0000FF"/>
                  <w:sz w:val="19"/>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2">
              <w:r>
                <w:rPr>
                  <w:rStyle w:val="InternetLink"/>
                  <w:rFonts w:ascii="Times New Roman;sans-serif" w:hAnsi="Times New Roman;sans-serif"/>
                  <w:b w:val="false"/>
                  <w:color w:val="0000FF"/>
                  <w:sz w:val="19"/>
                  <w:u w:val="single"/>
                </w:rPr>
                <w:t>Interim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2">
              <w:r>
                <w:rPr>
                  <w:rStyle w:val="InternetLink"/>
                  <w:rFonts w:ascii="Times New Roman;sans-serif" w:hAnsi="Times New Roman;sans-serif"/>
                  <w:b w:val="false"/>
                  <w:color w:val="0000FF"/>
                  <w:sz w:val="19"/>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5">
              <w:r>
                <w:rPr>
                  <w:rStyle w:val="InternetLink"/>
                  <w:rFonts w:ascii="Times New Roman;sans-serif" w:hAnsi="Times New Roman;sans-serif"/>
                  <w:b w:val="false"/>
                  <w:color w:val="0000FF"/>
                  <w:sz w:val="19"/>
                  <w:u w:val="single"/>
                </w:rPr>
                <w:t>Interim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5">
              <w:r>
                <w:rPr>
                  <w:rStyle w:val="InternetLink"/>
                  <w:rFonts w:ascii="Times New Roman;sans-serif" w:hAnsi="Times New Roman;sans-serif"/>
                  <w:b w:val="false"/>
                  <w:color w:val="0000FF"/>
                  <w:sz w:val="19"/>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8">
              <w:r>
                <w:rPr>
                  <w:rStyle w:val="InternetLink"/>
                  <w:rFonts w:ascii="Times New Roman;sans-serif" w:hAnsi="Times New Roman;sans-serif"/>
                  <w:b w:val="false"/>
                  <w:color w:val="0000FF"/>
                  <w:sz w:val="19"/>
                  <w:u w:val="single"/>
                </w:rPr>
                <w:t>Interim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8">
              <w:r>
                <w:rPr>
                  <w:rStyle w:val="InternetLink"/>
                  <w:rFonts w:ascii="Times New Roman;sans-serif" w:hAnsi="Times New Roman;sans-serif"/>
                  <w:b w:val="false"/>
                  <w:color w:val="0000FF"/>
                  <w:sz w:val="19"/>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34">
              <w:r>
                <w:rPr>
                  <w:rStyle w:val="InternetLink"/>
                  <w:rFonts w:ascii="Times New Roman;sans-serif" w:hAnsi="Times New Roman;sans-serif"/>
                  <w:b w:val="false"/>
                  <w:color w:val="0000FF"/>
                  <w:sz w:val="19"/>
                  <w:u w:val="single"/>
                </w:rPr>
                <w:t>Interim Condensed 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34">
              <w:r>
                <w:rPr>
                  <w:rStyle w:val="InternetLink"/>
                  <w:rFonts w:ascii="Times New Roman;sans-serif" w:hAnsi="Times New Roman;sans-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37">
              <w:r>
                <w:rPr>
                  <w:rStyle w:val="InternetLink"/>
                  <w:rFonts w:ascii="Times New Roman;sans-serif" w:hAnsi="Times New Roman;sans-serif"/>
                  <w:b w:val="false"/>
                  <w:color w:val="0000FF"/>
                  <w:sz w:val="19"/>
                  <w:u w:val="single"/>
                </w:rPr>
                <w:t>1. Basis of Presentation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37">
              <w:r>
                <w:rPr>
                  <w:rStyle w:val="InternetLink"/>
                  <w:rFonts w:ascii="Times New Roman;sans-serif" w:hAnsi="Times New Roman;sans-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40">
              <w:r>
                <w:rPr>
                  <w:rStyle w:val="InternetLink"/>
                  <w:rFonts w:ascii="Times New Roman;sans-serif" w:hAnsi="Times New Roman;sans-serif"/>
                  <w:b w:val="false"/>
                  <w:color w:val="0000FF"/>
                  <w:sz w:val="19"/>
                  <w:u w:val="single"/>
                </w:rPr>
                <w:t>2. Significant Accounting Policies and Recent Accounting Standards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40">
              <w:r>
                <w:rPr>
                  <w:rStyle w:val="InternetLink"/>
                  <w:rFonts w:ascii="Times New Roman;sans-serif" w:hAnsi="Times New Roman;sans-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43">
              <w:r>
                <w:rPr>
                  <w:rStyle w:val="InternetLink"/>
                  <w:rFonts w:ascii="Times New Roman;sans-serif" w:hAnsi="Times New Roman;sans-serif"/>
                  <w:b w:val="false"/>
                  <w:color w:val="0000FF"/>
                  <w:sz w:val="19"/>
                  <w:u w:val="single"/>
                </w:rPr>
                <w:t>3. Acquisitions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43">
              <w:r>
                <w:rPr>
                  <w:rStyle w:val="InternetLink"/>
                  <w:rFonts w:ascii="Times New Roman;sans-serif" w:hAnsi="Times New Roman;sans-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46">
              <w:r>
                <w:rPr>
                  <w:rStyle w:val="InternetLink"/>
                  <w:rFonts w:ascii="Times New Roman;sans-serif" w:hAnsi="Times New Roman;sans-serif"/>
                  <w:b w:val="false"/>
                  <w:color w:val="0000FF"/>
                  <w:sz w:val="19"/>
                  <w:u w:val="single"/>
                </w:rPr>
                <w:t>4. Revenue and Receivables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46">
              <w:r>
                <w:rPr>
                  <w:rStyle w:val="InternetLink"/>
                  <w:rFonts w:ascii="Times New Roman;sans-serif" w:hAnsi="Times New Roman;sans-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52">
              <w:r>
                <w:rPr>
                  <w:rStyle w:val="InternetLink"/>
                  <w:rFonts w:ascii="Times New Roman;sans-serif" w:hAnsi="Times New Roman;sans-serif"/>
                  <w:b w:val="false"/>
                  <w:color w:val="0000FF"/>
                  <w:sz w:val="19"/>
                  <w:u w:val="single"/>
                </w:rPr>
                <w:t>5.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52">
              <w:r>
                <w:rPr>
                  <w:rStyle w:val="InternetLink"/>
                  <w:rFonts w:ascii="Times New Roman;sans-serif" w:hAnsi="Times New Roman;sans-serif"/>
                  <w:b w:val="false"/>
                  <w:color w:val="0000FF"/>
                  <w:sz w:val="19"/>
                  <w:u w:val="single"/>
                </w:rPr>
                <w:t>12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55">
              <w:r>
                <w:rPr>
                  <w:rStyle w:val="InternetLink"/>
                  <w:rFonts w:ascii="Times New Roman;sans-serif" w:hAnsi="Times New Roman;sans-serif"/>
                  <w:b w:val="false"/>
                  <w:color w:val="0000FF"/>
                  <w:sz w:val="19"/>
                  <w:u w:val="single"/>
                </w:rPr>
                <w:t>6. Vacation Ownership Notes Receivable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55">
              <w:r>
                <w:rPr>
                  <w:rStyle w:val="InternetLink"/>
                  <w:rFonts w:ascii="Times New Roman;sans-serif" w:hAnsi="Times New Roman;sans-serif"/>
                  <w:b w:val="false"/>
                  <w:color w:val="0000FF"/>
                  <w:sz w:val="19"/>
                  <w:u w:val="single"/>
                </w:rPr>
                <w:t>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58">
              <w:r>
                <w:rPr>
                  <w:rStyle w:val="InternetLink"/>
                  <w:rFonts w:ascii="Times New Roman;sans-serif" w:hAnsi="Times New Roman;sans-serif"/>
                  <w:b w:val="false"/>
                  <w:color w:val="0000FF"/>
                  <w:sz w:val="19"/>
                  <w:u w:val="single"/>
                </w:rPr>
                <w:t>7.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58">
              <w:r>
                <w:rPr>
                  <w:rStyle w:val="InternetLink"/>
                  <w:rFonts w:ascii="Times New Roman;sans-serif" w:hAnsi="Times New Roman;sans-serif"/>
                  <w:b w:val="false"/>
                  <w:color w:val="0000FF"/>
                  <w:sz w:val="19"/>
                  <w:u w:val="single"/>
                </w:rPr>
                <w:t>17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61">
              <w:r>
                <w:rPr>
                  <w:rStyle w:val="InternetLink"/>
                  <w:rFonts w:ascii="Times New Roman;sans-serif" w:hAnsi="Times New Roman;sans-serif"/>
                  <w:b w:val="false"/>
                  <w:color w:val="0000FF"/>
                  <w:sz w:val="19"/>
                  <w:u w:val="single"/>
                </w:rPr>
                <w:t>8. Earnings Per Share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61">
              <w:r>
                <w:rPr>
                  <w:rStyle w:val="InternetLink"/>
                  <w:rFonts w:ascii="Times New Roman;sans-serif" w:hAnsi="Times New Roman;sans-serif"/>
                  <w:b w:val="false"/>
                  <w:color w:val="0000FF"/>
                  <w:sz w:val="19"/>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64">
              <w:r>
                <w:rPr>
                  <w:rStyle w:val="InternetLink"/>
                  <w:rFonts w:ascii="Times New Roman;sans-serif" w:hAnsi="Times New Roman;sans-serif"/>
                  <w:b w:val="false"/>
                  <w:color w:val="0000FF"/>
                  <w:sz w:val="19"/>
                  <w:u w:val="single"/>
                </w:rPr>
                <w:t>9. Inventory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64">
              <w:r>
                <w:rPr>
                  <w:rStyle w:val="InternetLink"/>
                  <w:rFonts w:ascii="Times New Roman;sans-serif" w:hAnsi="Times New Roman;sans-serif"/>
                  <w:b w:val="false"/>
                  <w:color w:val="0000FF"/>
                  <w:sz w:val="19"/>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67">
              <w:r>
                <w:rPr>
                  <w:rStyle w:val="InternetLink"/>
                  <w:rFonts w:ascii="Times New Roman;sans-serif" w:hAnsi="Times New Roman;sans-serif"/>
                  <w:b w:val="false"/>
                  <w:color w:val="0000FF"/>
                  <w:sz w:val="19"/>
                  <w:u w:val="single"/>
                </w:rPr>
                <w:t>10. Contingencies and Commitments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67">
              <w:r>
                <w:rPr>
                  <w:rStyle w:val="InternetLink"/>
                  <w:rFonts w:ascii="Times New Roman;sans-serif" w:hAnsi="Times New Roman;sans-serif"/>
                  <w:b w:val="false"/>
                  <w:color w:val="0000FF"/>
                  <w:sz w:val="19"/>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70">
              <w:r>
                <w:rPr>
                  <w:rStyle w:val="InternetLink"/>
                  <w:rFonts w:ascii="Times New Roman;sans-serif" w:hAnsi="Times New Roman;sans-serif"/>
                  <w:b w:val="false"/>
                  <w:color w:val="0000FF"/>
                  <w:sz w:val="19"/>
                  <w:u w:val="single"/>
                </w:rPr>
                <w:t>11. Securitized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70">
              <w:r>
                <w:rPr>
                  <w:rStyle w:val="InternetLink"/>
                  <w:rFonts w:ascii="Times New Roman;sans-serif" w:hAnsi="Times New Roman;sans-serif"/>
                  <w:b w:val="false"/>
                  <w:color w:val="0000FF"/>
                  <w:sz w:val="19"/>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73">
              <w:r>
                <w:rPr>
                  <w:rStyle w:val="InternetLink"/>
                  <w:rFonts w:ascii="Times New Roman;sans-serif" w:hAnsi="Times New Roman;sans-serif"/>
                  <w:b w:val="false"/>
                  <w:color w:val="0000FF"/>
                  <w:sz w:val="19"/>
                  <w:u w:val="single"/>
                </w:rPr>
                <w:t>12.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73">
              <w:r>
                <w:rPr>
                  <w:rStyle w:val="InternetLink"/>
                  <w:rFonts w:ascii="Times New Roman;sans-serif" w:hAnsi="Times New Roman;sans-serif"/>
                  <w:b w:val="false"/>
                  <w:color w:val="0000FF"/>
                  <w:sz w:val="19"/>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79">
              <w:r>
                <w:rPr>
                  <w:rStyle w:val="InternetLink"/>
                  <w:rFonts w:ascii="Times New Roman;sans-serif" w:hAnsi="Times New Roman;sans-serif"/>
                  <w:b w:val="false"/>
                  <w:color w:val="0000FF"/>
                  <w:sz w:val="19"/>
                  <w:u w:val="single"/>
                </w:rPr>
                <w:t>13.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79">
              <w:r>
                <w:rPr>
                  <w:rStyle w:val="InternetLink"/>
                  <w:rFonts w:ascii="Times New Roman;sans-serif" w:hAnsi="Times New Roman;sans-serif"/>
                  <w:b w:val="false"/>
                  <w:color w:val="0000FF"/>
                  <w:sz w:val="19"/>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82">
              <w:r>
                <w:rPr>
                  <w:rStyle w:val="InternetLink"/>
                  <w:rFonts w:ascii="Times New Roman;sans-serif" w:hAnsi="Times New Roman;sans-serif"/>
                  <w:b w:val="false"/>
                  <w:color w:val="0000FF"/>
                  <w:sz w:val="19"/>
                  <w:u w:val="single"/>
                </w:rPr>
                <w:t>14. Share-Based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82">
              <w:r>
                <w:rPr>
                  <w:rStyle w:val="InternetLink"/>
                  <w:rFonts w:ascii="Times New Roman;sans-serif" w:hAnsi="Times New Roman;sans-serif"/>
                  <w:b w:val="false"/>
                  <w:color w:val="0000FF"/>
                  <w:sz w:val="19"/>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85">
              <w:r>
                <w:rPr>
                  <w:rStyle w:val="InternetLink"/>
                  <w:rFonts w:ascii="Times New Roman;sans-serif" w:hAnsi="Times New Roman;sans-serif"/>
                  <w:b w:val="false"/>
                  <w:color w:val="0000FF"/>
                  <w:sz w:val="19"/>
                  <w:u w:val="single"/>
                </w:rPr>
                <w:t>15. Variable Interest Entities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85">
              <w:r>
                <w:rPr>
                  <w:rStyle w:val="InternetLink"/>
                  <w:rFonts w:ascii="Times New Roman;sans-serif" w:hAnsi="Times New Roman;sans-serif"/>
                  <w:b w:val="false"/>
                  <w:color w:val="0000FF"/>
                  <w:sz w:val="19"/>
                  <w:u w:val="single"/>
                </w:rPr>
                <w:t>28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91">
              <w:r>
                <w:rPr>
                  <w:rStyle w:val="InternetLink"/>
                  <w:rFonts w:ascii="Times New Roman;sans-serif" w:hAnsi="Times New Roman;sans-serif"/>
                  <w:b w:val="false"/>
                  <w:color w:val="0000FF"/>
                  <w:sz w:val="19"/>
                  <w:u w:val="single"/>
                </w:rPr>
                <w:t>16. Business Segments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91">
              <w:r>
                <w:rPr>
                  <w:rStyle w:val="InternetLink"/>
                  <w:rFonts w:ascii="Times New Roman;sans-serif" w:hAnsi="Times New Roman;sans-serif"/>
                  <w:b w:val="false"/>
                  <w:color w:val="0000FF"/>
                  <w:sz w:val="19"/>
                  <w:u w:val="single"/>
                </w:rPr>
                <w:t>30</w:t>
              </w:r>
            </w:hyperlink>
          </w:p>
        </w:tc>
      </w:tr>
      <w:tr>
        <w:trPr/>
        <w:tc>
          <w:tcPr>
            <w:tcW w:w="81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94">
              <w:r>
                <w:rPr>
                  <w:rStyle w:val="InternetLink"/>
                  <w:rFonts w:ascii="Times New Roman;sans-serif" w:hAnsi="Times New Roman;sans-serif"/>
                  <w:b w:val="false"/>
                  <w:color w:val="0000FF"/>
                  <w:sz w:val="19"/>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94">
              <w:r>
                <w:rPr>
                  <w:rStyle w:val="InternetLink"/>
                  <w:rFonts w:ascii="Times New Roman;sans-serif" w:hAnsi="Times New Roman;sans-serif"/>
                  <w:b w:val="false"/>
                  <w:color w:val="0000FF"/>
                  <w:sz w:val="19"/>
                  <w:u w:val="singl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83">
              <w:r>
                <w:rPr>
                  <w:rStyle w:val="InternetLink"/>
                  <w:rFonts w:ascii="Times New Roman;sans-serif" w:hAnsi="Times New Roman;sans-serif"/>
                  <w:b w:val="false"/>
                  <w:color w:val="0000FF"/>
                  <w:sz w:val="19"/>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83">
              <w:r>
                <w:rPr>
                  <w:rStyle w:val="InternetLink"/>
                  <w:rFonts w:ascii="Times New Roman;sans-serif" w:hAnsi="Times New Roman;sans-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86">
              <w:r>
                <w:rPr>
                  <w:rStyle w:val="InternetLink"/>
                  <w:rFonts w:ascii="Times New Roman;sans-serif" w:hAnsi="Times New Roman;sans-serif"/>
                  <w:b w:val="false"/>
                  <w:color w:val="0000FF"/>
                  <w:sz w:val="19"/>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86">
              <w:r>
                <w:rPr>
                  <w:rStyle w:val="InternetLink"/>
                  <w:rFonts w:ascii="Times New Roman;sans-serif" w:hAnsi="Times New Roman;sans-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89">
              <w:r>
                <w:rPr>
                  <w:rStyle w:val="InternetLink"/>
                  <w:rFonts w:ascii="Times New Roman;sans-serif" w:hAnsi="Times New Roman;sans-serif"/>
                  <w:b/>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89">
              <w:r>
                <w:rPr>
                  <w:rStyle w:val="InternetLink"/>
                  <w:rFonts w:ascii="Times New Roman;sans-serif" w:hAnsi="Times New Roman;sans-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92">
              <w:r>
                <w:rPr>
                  <w:rStyle w:val="InternetLink"/>
                  <w:rFonts w:ascii="Times New Roman;sans-serif" w:hAnsi="Times New Roman;sans-serif"/>
                  <w:b w:val="false"/>
                  <w:color w:val="0000FF"/>
                  <w:sz w:val="19"/>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92">
              <w:r>
                <w:rPr>
                  <w:rStyle w:val="InternetLink"/>
                  <w:rFonts w:ascii="Times New Roman;sans-serif" w:hAnsi="Times New Roman;sans-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95">
              <w:r>
                <w:rPr>
                  <w:rStyle w:val="InternetLink"/>
                  <w:rFonts w:ascii="Times New Roman;sans-serif" w:hAnsi="Times New Roman;sans-serif"/>
                  <w:b w:val="false"/>
                  <w:color w:val="0000FF"/>
                  <w:sz w:val="19"/>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95">
              <w:r>
                <w:rPr>
                  <w:rStyle w:val="InternetLink"/>
                  <w:rFonts w:ascii="Times New Roman;sans-serif" w:hAnsi="Times New Roman;sans-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298">
              <w:r>
                <w:rPr>
                  <w:rStyle w:val="InternetLink"/>
                  <w:rFonts w:ascii="Times New Roman;sans-serif" w:hAnsi="Times New Roman;sans-serif"/>
                  <w:b w:val="false"/>
                  <w:color w:val="0000FF"/>
                  <w:sz w:val="19"/>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298">
              <w:r>
                <w:rPr>
                  <w:rStyle w:val="InternetLink"/>
                  <w:rFonts w:ascii="Times New Roman;sans-serif" w:hAnsi="Times New Roman;sans-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301">
              <w:r>
                <w:rPr>
                  <w:rStyle w:val="InternetLink"/>
                  <w:rFonts w:ascii="Times New Roman;sans-serif" w:hAnsi="Times New Roman;sans-serif"/>
                  <w:b w:val="false"/>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301">
              <w:r>
                <w:rPr>
                  <w:rStyle w:val="InternetLink"/>
                  <w:rFonts w:ascii="Times New Roman;sans-serif" w:hAnsi="Times New Roman;sans-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304">
              <w:r>
                <w:rPr>
                  <w:rStyle w:val="InternetLink"/>
                  <w:rFonts w:ascii="Times New Roman;sans-serif" w:hAnsi="Times New Roman;sans-serif"/>
                  <w:b w:val="false"/>
                  <w:color w:val="0000FF"/>
                  <w:sz w:val="19"/>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304">
              <w:r>
                <w:rPr>
                  <w:rStyle w:val="InternetLink"/>
                  <w:rFonts w:ascii="Times New Roman;sans-serif" w:hAnsi="Times New Roman;sans-serif"/>
                  <w:b w:val="false"/>
                  <w:color w:val="0000FF"/>
                  <w:sz w:val="19"/>
                  <w:u w:val="single"/>
                </w:rPr>
                <w:t>57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8c52bd95a046e6b76f3b8eb75f7fc5_307">
              <w:r>
                <w:rPr>
                  <w:rStyle w:val="InternetLink"/>
                  <w:rFonts w:ascii="Times New Roman;sans-serif" w:hAnsi="Times New Roman;sans-serif"/>
                  <w:b w:val="false"/>
                  <w:color w:val="0000FF"/>
                  <w:sz w:val="19"/>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38c52bd95a046e6b76f3b8eb75f7fc5_307">
              <w:r>
                <w:rPr>
                  <w:rStyle w:val="InternetLink"/>
                  <w:rFonts w:ascii="Times New Roman;sans-serif" w:hAnsi="Times New Roman;sans-serif"/>
                  <w:b w:val="false"/>
                  <w:color w:val="0000FF"/>
                  <w:sz w:val="19"/>
                  <w:u w:val="single"/>
                </w:rPr>
                <w:t>59</w:t>
              </w:r>
            </w:hyperlink>
          </w:p>
        </w:tc>
      </w:tr>
    </w:tbl>
    <w:p>
      <w:pPr>
        <w:pStyle w:val="TextBody"/>
        <w:bidi w:val="0"/>
        <w:spacing w:lineRule="auto" w:line="288" w:before="120" w:after="283"/>
        <w:jc w:val="left"/>
        <w:rPr/>
      </w:pPr>
      <w:r>
        <w:rPr>
          <w:rFonts w:ascii="Times New Roman;sans-serif" w:hAnsi="Times New Roman;sans-serif"/>
          <w:b w:val="false"/>
          <w:color w:val="000000"/>
          <w:sz w:val="20"/>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symbols, however, such references are not intended to indicate in any way that MVW or the owner, as applicable, will not assert, to the fullest extent under applicable law, all rights to such trademarks, trade names, and service marks.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7"/>
        <w:gridCol w:w="1506"/>
        <w:gridCol w:w="1510"/>
        <w:gridCol w:w="262"/>
        <w:gridCol w:w="635"/>
        <w:gridCol w:w="135"/>
        <w:gridCol w:w="109"/>
        <w:gridCol w:w="109"/>
        <w:gridCol w:w="109"/>
        <w:gridCol w:w="262"/>
        <w:gridCol w:w="635"/>
        <w:gridCol w:w="135"/>
        <w:gridCol w:w="109"/>
        <w:gridCol w:w="109"/>
        <w:gridCol w:w="109"/>
        <w:gridCol w:w="262"/>
        <w:gridCol w:w="635"/>
        <w:gridCol w:w="135"/>
        <w:gridCol w:w="109"/>
        <w:gridCol w:w="109"/>
        <w:gridCol w:w="109"/>
        <w:gridCol w:w="259"/>
        <w:gridCol w:w="629"/>
        <w:gridCol w:w="197"/>
      </w:tblGrid>
      <w:tr>
        <w:trPr/>
        <w:tc>
          <w:tcPr>
            <w:tcW w:w="202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vacation ownership products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fee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and other (expense) income, net</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NONCONTROLLING INTERESTS</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COMMON STOCKHOLDERS</w:t>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DIVIDENDS DECLARED PER SHARE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08"/>
        <w:gridCol w:w="1545"/>
        <w:gridCol w:w="1553"/>
        <w:gridCol w:w="296"/>
        <w:gridCol w:w="506"/>
        <w:gridCol w:w="152"/>
        <w:gridCol w:w="111"/>
        <w:gridCol w:w="111"/>
        <w:gridCol w:w="111"/>
        <w:gridCol w:w="296"/>
        <w:gridCol w:w="506"/>
        <w:gridCol w:w="152"/>
        <w:gridCol w:w="109"/>
        <w:gridCol w:w="109"/>
        <w:gridCol w:w="109"/>
        <w:gridCol w:w="296"/>
        <w:gridCol w:w="506"/>
        <w:gridCol w:w="152"/>
        <w:gridCol w:w="109"/>
        <w:gridCol w:w="109"/>
        <w:gridCol w:w="109"/>
        <w:gridCol w:w="264"/>
        <w:gridCol w:w="585"/>
        <w:gridCol w:w="201"/>
      </w:tblGrid>
      <w:tr>
        <w:trPr/>
        <w:tc>
          <w:tcPr>
            <w:tcW w:w="220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 net of tax</w:t>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 NET OF TAX</w:t>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NONCONTROLLING INTERESTS</w:t>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COMMON STOCKHOLDERS</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821"/>
        <w:gridCol w:w="2278"/>
        <w:gridCol w:w="2297"/>
        <w:gridCol w:w="244"/>
        <w:gridCol w:w="714"/>
        <w:gridCol w:w="126"/>
        <w:gridCol w:w="109"/>
        <w:gridCol w:w="109"/>
        <w:gridCol w:w="109"/>
        <w:gridCol w:w="300"/>
        <w:gridCol w:w="876"/>
        <w:gridCol w:w="222"/>
      </w:tblGrid>
      <w:tr>
        <w:trPr/>
        <w:tc>
          <w:tcPr>
            <w:tcW w:w="282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(including $74 and $79 from VIEs,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 net (including $17 and $15 from VIEs,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 (including $1,906 and $1,912 from VIEs,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(including $118 and $99 from VIEs,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deposits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(including $4 and $4 from VIEs,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 liability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 net (including $2,124 and $2,121 from VIEs,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Contingencies and Commitments (Note 10)</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$0.01 par value; 2,000,000 shares authorized; none issued or outstanding</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100,000,000 shares authorized; 75,847,792 and 75,807,882 shares issued, respectively</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 at cost; 40,791,747 and 40,488,576 shares, respectively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MVW STOCKHOLDERS' EQUITY</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abbreviation VIEs above means Variable Interest Entities.</w:t>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8"/>
        <w:gridCol w:w="2458"/>
        <w:gridCol w:w="2465"/>
        <w:gridCol w:w="323"/>
        <w:gridCol w:w="552"/>
        <w:gridCol w:w="167"/>
        <w:gridCol w:w="109"/>
        <w:gridCol w:w="109"/>
        <w:gridCol w:w="109"/>
        <w:gridCol w:w="282"/>
        <w:gridCol w:w="624"/>
        <w:gridCol w:w="209"/>
      </w:tblGrid>
      <w:tr>
        <w:trPr/>
        <w:tc>
          <w:tcPr>
            <w:tcW w:w="2798"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cash equivalents and restricted cash provided by operating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intangibles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reserve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and other income,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assets and liabilities: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originations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collections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advance deposits and accrued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for future transfer to inventory</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cash equivalents and restricted cash provided by operating activities</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property and equipment (excluding inventory)</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company owned life insurance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development of property for future sale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dispositions,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cash equivalents and restricted cash used in investing activities</w:t>
            </w:r>
          </w:p>
        </w:tc>
        <w:tc>
          <w:tcPr>
            <w:tcW w:w="87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STATEMENTS OF CASH FLOWS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96" w:type="dxa"/>
        <w:jc w:val="center"/>
        <w:tblInd w:w="0" w:type="dxa"/>
        <w:tblLayout w:type="fixed"/>
        <w:tblCellMar>
          <w:top w:w="28" w:type="dxa"/>
          <w:left w:w="28" w:type="dxa"/>
          <w:bottom w:w="28" w:type="dxa"/>
          <w:right w:w="28" w:type="dxa"/>
        </w:tblCellMar>
      </w:tblPr>
      <w:tblGrid>
        <w:gridCol w:w="2399"/>
        <w:gridCol w:w="2103"/>
        <w:gridCol w:w="2113"/>
        <w:gridCol w:w="310"/>
        <w:gridCol w:w="685"/>
        <w:gridCol w:w="160"/>
        <w:gridCol w:w="109"/>
        <w:gridCol w:w="109"/>
        <w:gridCol w:w="109"/>
        <w:gridCol w:w="304"/>
        <w:gridCol w:w="673"/>
        <w:gridCol w:w="222"/>
      </w:tblGrid>
      <w:tr>
        <w:trPr/>
        <w:tc>
          <w:tcPr>
            <w:tcW w:w="239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securitization transactions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related to securitization transactions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incentive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dividends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withholding taxes on vesting of restricted stock units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cash equivalents and restricted cash used in financing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changes in exchange rates on cash, cash equivalents and restricted cash</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issuance of treasury stock for employee stock purchase plan</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transfer from inventory to property and equipment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transfer from property and equipment to inventory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obtained in exchange for finance lease obligation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issuance of debt in connection with finance 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net of amounts capitalized</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net of refunds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2931"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425"/>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404"/>
        <w:gridCol w:w="692"/>
        <w:gridCol w:w="210"/>
        <w:gridCol w:w="109"/>
        <w:gridCol w:w="109"/>
        <w:gridCol w:w="109"/>
        <w:gridCol w:w="217"/>
        <w:gridCol w:w="480"/>
        <w:gridCol w:w="114"/>
        <w:gridCol w:w="109"/>
        <w:gridCol w:w="109"/>
        <w:gridCol w:w="109"/>
        <w:gridCol w:w="260"/>
        <w:gridCol w:w="760"/>
        <w:gridCol w:w="136"/>
        <w:gridCol w:w="109"/>
        <w:gridCol w:w="109"/>
        <w:gridCol w:w="109"/>
        <w:gridCol w:w="366"/>
        <w:gridCol w:w="705"/>
        <w:gridCol w:w="19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931"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425"/>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404"/>
        <w:gridCol w:w="692"/>
        <w:gridCol w:w="210"/>
        <w:gridCol w:w="109"/>
        <w:gridCol w:w="109"/>
        <w:gridCol w:w="109"/>
        <w:gridCol w:w="217"/>
        <w:gridCol w:w="480"/>
        <w:gridCol w:w="114"/>
        <w:gridCol w:w="109"/>
        <w:gridCol w:w="109"/>
        <w:gridCol w:w="109"/>
        <w:gridCol w:w="260"/>
        <w:gridCol w:w="760"/>
        <w:gridCol w:w="136"/>
        <w:gridCol w:w="109"/>
        <w:gridCol w:w="109"/>
        <w:gridCol w:w="109"/>
        <w:gridCol w:w="461"/>
        <w:gridCol w:w="560"/>
        <w:gridCol w:w="24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plans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MARRIOTT VACATIONS WORLDWIDE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36" w:type="dxa"/>
        <w:jc w:val="left"/>
        <w:tblInd w:w="0" w:type="dxa"/>
        <w:tblLayout w:type="fixed"/>
        <w:tblCellMar>
          <w:top w:w="28" w:type="dxa"/>
          <w:left w:w="28" w:type="dxa"/>
          <w:bottom w:w="28" w:type="dxa"/>
          <w:right w:w="28" w:type="dxa"/>
        </w:tblCellMar>
      </w:tblPr>
      <w:tblGrid>
        <w:gridCol w:w="124"/>
        <w:gridCol w:w="109"/>
        <w:gridCol w:w="109"/>
        <w:gridCol w:w="759"/>
        <w:gridCol w:w="759"/>
        <w:gridCol w:w="1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2023 (the “2023 Annual Report”). We also use certain other terms that are defined within these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 continuing high interest rates, mixed economic indicators, increased consumer debt and continuing global insecurity, have made it more challenging to make these estimates. Actual results could differ from our estimates, and such differences may be material.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2023 Annual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Westin-brands and the term “Hyatt Vacation Ownership” to refer to our Hyatt-brands.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reclassified certain prior year amounts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7977" w:type="dxa"/>
        <w:jc w:val="left"/>
        <w:tblInd w:w="0" w:type="dxa"/>
        <w:tblLayout w:type="fixed"/>
        <w:tblCellMar>
          <w:top w:w="28" w:type="dxa"/>
          <w:left w:w="28" w:type="dxa"/>
          <w:bottom w:w="28" w:type="dxa"/>
          <w:right w:w="28" w:type="dxa"/>
        </w:tblCellMar>
      </w:tblPr>
      <w:tblGrid>
        <w:gridCol w:w="124"/>
        <w:gridCol w:w="109"/>
        <w:gridCol w:w="109"/>
        <w:gridCol w:w="2237"/>
        <w:gridCol w:w="2237"/>
        <w:gridCol w:w="3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2. </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 AND RECENT ACCOUNTING STANDARDS</w:t>
            </w:r>
          </w:p>
        </w:tc>
      </w:tr>
    </w:tbl>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Future Adoption of Accounting Standards</w:t>
      </w:r>
    </w:p>
    <w:p>
      <w:pPr>
        <w:pStyle w:val="TextBody"/>
        <w:bidi w:val="0"/>
        <w:spacing w:lineRule="auto" w:line="288" w:before="120" w:after="283"/>
        <w:jc w:val="left"/>
        <w:rPr/>
      </w:pPr>
      <w:r>
        <w:rPr>
          <w:rFonts w:ascii="Times New Roman;sans-serif" w:hAnsi="Times New Roman;sans-serif"/>
          <w:b w:val="false"/>
          <w:color w:val="000000"/>
          <w:sz w:val="20"/>
        </w:rPr>
        <w:t>Accounting Standards Update 2023-07 –</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(“ASU 2023-07”)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which updates reportable segment disclosure requirements, primarily through enhanced disclosures about significant segment expenses and information used to assess segment performance. This update is effective for fiscal years beginning after December 15, 2023, and interim periods within fiscal years beginning after December 15, 2024, with early adoption permitted. This update will be applied retrospectively for all prior periods presented in the financial statements. We will begin providing the enhanced disclosures required by this standard with our Annual Report on Form 10-K for the year ending December 31, 2024.</w:t>
      </w:r>
    </w:p>
    <w:p>
      <w:pPr>
        <w:pStyle w:val="TextBody"/>
        <w:bidi w:val="0"/>
        <w:spacing w:lineRule="auto" w:line="288" w:before="120" w:after="283"/>
        <w:jc w:val="left"/>
        <w:rPr/>
      </w:pPr>
      <w:r>
        <w:rPr>
          <w:rFonts w:ascii="Times New Roman;sans-serif" w:hAnsi="Times New Roman;sans-serif"/>
          <w:b w:val="false"/>
          <w:color w:val="000000"/>
          <w:sz w:val="20"/>
        </w:rPr>
        <w:t>Accounting Standards Update 2023-09 –</w:t>
      </w:r>
      <w:r>
        <w:rPr>
          <w:color w:val="000000"/>
        </w:rPr>
        <w:t xml:space="preserve">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2023-09”)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will begin providing the enhanced disclosures required by this standard with our Annual Report on Form 10-K for the year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03" w:type="dxa"/>
        <w:jc w:val="left"/>
        <w:tblInd w:w="0" w:type="dxa"/>
        <w:tblLayout w:type="fixed"/>
        <w:tblCellMar>
          <w:top w:w="28" w:type="dxa"/>
          <w:left w:w="28" w:type="dxa"/>
          <w:bottom w:w="28" w:type="dxa"/>
          <w:right w:w="28" w:type="dxa"/>
        </w:tblCellMar>
      </w:tblPr>
      <w:tblGrid>
        <w:gridCol w:w="124"/>
        <w:gridCol w:w="109"/>
        <w:gridCol w:w="109"/>
        <w:gridCol w:w="457"/>
        <w:gridCol w:w="457"/>
        <w:gridCol w:w="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3. </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ACQUISITIONS</w:t>
            </w:r>
          </w:p>
        </w:tc>
      </w:tr>
    </w:tbl>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Charleston, South Carolina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we acquired a parcel of land and an adjacent retail space in Charleston, South Carolina for $17 million. We plan to develop the parcel of land into a 50-unit vacation ownership property and use a portion of the retail space to operate a sales center. The transaction was accounted for as an asset acquisition and was recorded in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27" w:type="dxa"/>
        <w:jc w:val="left"/>
        <w:tblInd w:w="0" w:type="dxa"/>
        <w:tblLayout w:type="fixed"/>
        <w:tblCellMar>
          <w:top w:w="28" w:type="dxa"/>
          <w:left w:w="28" w:type="dxa"/>
          <w:bottom w:w="28" w:type="dxa"/>
          <w:right w:w="28" w:type="dxa"/>
        </w:tblCellMar>
      </w:tblPr>
      <w:tblGrid>
        <w:gridCol w:w="124"/>
        <w:gridCol w:w="109"/>
        <w:gridCol w:w="109"/>
        <w:gridCol w:w="873"/>
        <w:gridCol w:w="873"/>
        <w:gridCol w:w="1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4.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AND RECEIVABLES</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Sources of Revenue by Segment</w:t>
      </w:r>
    </w:p>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other services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other services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other services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other services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Timing of Revenue from Contracts with Customers by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timing of revenue from contracts with customers by segment for the time periods presented.</w:t>
      </w:r>
    </w:p>
    <w:tbl>
      <w:tblPr>
        <w:tblW w:w="10205" w:type="dxa"/>
        <w:jc w:val="center"/>
        <w:tblInd w:w="0" w:type="dxa"/>
        <w:tblLayout w:type="fixed"/>
        <w:tblCellMar>
          <w:top w:w="28" w:type="dxa"/>
          <w:left w:w="28" w:type="dxa"/>
          <w:bottom w:w="28" w:type="dxa"/>
          <w:right w:w="28" w:type="dxa"/>
        </w:tblCellMar>
      </w:tblPr>
      <w:tblGrid>
        <w:gridCol w:w="1064"/>
        <w:gridCol w:w="934"/>
        <w:gridCol w:w="891"/>
        <w:gridCol w:w="386"/>
        <w:gridCol w:w="856"/>
        <w:gridCol w:w="203"/>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or services transferred at a point in time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or services transferred at a point in time</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or services transferred at a point in time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Goods or services transferred at a point in time</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 of Vacation Ownership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were reduced during the second quarter and first half of 2024 by $60 million and $64 million, respectively, due to changes in our estimates of variable consideration for performance obligations that were satisfied in prior periods.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Receivables from Contracts with Customers, Contract Assets, &amp; Contract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composition of our receivables from contracts with customers and contract liabilities. We had no contract assets at either June 30, 2024 or December 31, 2023. </w:t>
      </w:r>
    </w:p>
    <w:tbl>
      <w:tblPr>
        <w:tblW w:w="7359" w:type="dxa"/>
        <w:jc w:val="center"/>
        <w:tblInd w:w="0" w:type="dxa"/>
        <w:tblLayout w:type="fixed"/>
        <w:tblCellMar>
          <w:top w:w="28" w:type="dxa"/>
          <w:left w:w="28" w:type="dxa"/>
          <w:bottom w:w="28" w:type="dxa"/>
          <w:right w:w="28" w:type="dxa"/>
        </w:tblCellMar>
      </w:tblPr>
      <w:tblGrid>
        <w:gridCol w:w="1380"/>
        <w:gridCol w:w="1211"/>
        <w:gridCol w:w="1218"/>
        <w:gridCol w:w="314"/>
        <w:gridCol w:w="918"/>
        <w:gridCol w:w="162"/>
        <w:gridCol w:w="109"/>
        <w:gridCol w:w="109"/>
        <w:gridCol w:w="109"/>
        <w:gridCol w:w="393"/>
        <w:gridCol w:w="1149"/>
        <w:gridCol w:w="28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Receivables from Contracts with Customers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 net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deposits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during the second quarter and first half of 2024 that was included in our contract liabilities balance at December 31, 2023 was $95 million and $216 million,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Remaining Performance Obligations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remaining performance obligations represent the expected transaction price allocated to our contracts that we expect to recognize as revenue in future periods when we perform under the contracts. At June 30, 2024, approximately 92% of this amount is expected to be recognized as revenue over the next two years.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Accounts and Contracts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tbl>
      <w:tblPr>
        <w:tblW w:w="7464" w:type="dxa"/>
        <w:jc w:val="center"/>
        <w:tblInd w:w="0" w:type="dxa"/>
        <w:tblLayout w:type="fixed"/>
        <w:tblCellMar>
          <w:top w:w="28" w:type="dxa"/>
          <w:left w:w="28" w:type="dxa"/>
          <w:bottom w:w="28" w:type="dxa"/>
          <w:right w:w="28" w:type="dxa"/>
        </w:tblCellMar>
      </w:tblPr>
      <w:tblGrid>
        <w:gridCol w:w="1416"/>
        <w:gridCol w:w="1244"/>
        <w:gridCol w:w="1254"/>
        <w:gridCol w:w="374"/>
        <w:gridCol w:w="827"/>
        <w:gridCol w:w="193"/>
        <w:gridCol w:w="109"/>
        <w:gridCol w:w="109"/>
        <w:gridCol w:w="109"/>
        <w:gridCol w:w="463"/>
        <w:gridCol w:w="1025"/>
        <w:gridCol w:w="341"/>
      </w:tblGrid>
      <w:tr>
        <w:trPr/>
        <w:tc>
          <w:tcPr>
            <w:tcW w:w="1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contracts with customers, net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tax credit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991" w:type="dxa"/>
        <w:jc w:val="left"/>
        <w:tblInd w:w="0" w:type="dxa"/>
        <w:tblLayout w:type="fixed"/>
        <w:tblCellMar>
          <w:top w:w="28" w:type="dxa"/>
          <w:left w:w="28" w:type="dxa"/>
          <w:bottom w:w="28" w:type="dxa"/>
          <w:right w:w="28" w:type="dxa"/>
        </w:tblCellMar>
      </w:tblPr>
      <w:tblGrid>
        <w:gridCol w:w="124"/>
        <w:gridCol w:w="109"/>
        <w:gridCol w:w="109"/>
        <w:gridCol w:w="482"/>
        <w:gridCol w:w="482"/>
        <w:gridCol w:w="6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5.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income taxes is calculated using an estimated annual effective tax rate (“AETR”), based upon expected annual income less losses in certain jurisdictions, non-deductible expenses under federal and local tax laws, statutory rates and planned tax strategies in the various jurisdictions in which we operate. Certain items that do not relate directly to ordinary income are excluded from the AETR and included in the period in which they occur.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was 22.0% and 35.4% for the three months ended June 30, 2024 and June 30, 2023, respectively, and 35.2% and 33.9% for the six months ended June 30, 2024 and June 30, 2023,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June 30, 2024 differed from the blended statutory tax rate for the same period due to income tax adjustments for discrete items, including a $13 million decrease for the expiration of statutes of limitation on certain unrecognized tax benefits, partially offset by a $4 million increase related to prior year true-up adjustments in non-U.S. jurisdictions.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June 30, 2023 differed from the blended statutory tax rate for the same period due to income tax adjustments for discrete items, including a $5 million adjustment in stock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six months ended June 30, 2024 differed from the blended statutory tax rate for the same period due to income tax adjustments for discrete items, including a $20 million increase to remove the permanent reinvestment assertion for certain non-U.S. entities and a $5 million increase related to prior year true-up adjustments in non-U.S. jurisdictions, partially offset by a $22 million decrease for the expiration of statutes of limitation on certain unrecognized tax benefits.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six months ended June 30, 2023 differed from the blended statutory tax rate for the same period due to income tax adjustments for discrete items, including an $18 million increase to pre-acquisition reserves for unrecognized tax benefits.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our unrecognized tax benefits (excluding interest and penalties) during the six months ended June 30, 2024.</w:t>
      </w:r>
    </w:p>
    <w:tbl>
      <w:tblPr>
        <w:tblW w:w="9533" w:type="dxa"/>
        <w:jc w:val="center"/>
        <w:tblInd w:w="0" w:type="dxa"/>
        <w:tblLayout w:type="fixed"/>
        <w:tblCellMar>
          <w:top w:w="28" w:type="dxa"/>
          <w:left w:w="28" w:type="dxa"/>
          <w:bottom w:w="28" w:type="dxa"/>
          <w:right w:w="28" w:type="dxa"/>
        </w:tblCellMar>
      </w:tblPr>
      <w:tblGrid>
        <w:gridCol w:w="2316"/>
        <w:gridCol w:w="2032"/>
        <w:gridCol w:w="2036"/>
        <w:gridCol w:w="657"/>
        <w:gridCol w:w="1453"/>
        <w:gridCol w:w="340"/>
        <w:gridCol w:w="109"/>
        <w:gridCol w:w="109"/>
        <w:gridCol w:w="109"/>
        <w:gridCol w:w="109"/>
        <w:gridCol w:w="109"/>
        <w:gridCol w:w="154"/>
      </w:tblGrid>
      <w:tr>
        <w:trPr/>
        <w:tc>
          <w:tcPr>
            <w:tcW w:w="231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2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2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vAlign w:val="center"/>
          </w:tcPr>
          <w:p>
            <w:pPr>
              <w:pStyle w:val="TableContents"/>
              <w:bidi w:val="0"/>
              <w:spacing w:before="0" w:after="283"/>
              <w:jc w:val="left"/>
              <w:rPr>
                <w:sz w:val="4"/>
                <w:szCs w:val="4"/>
              </w:rPr>
            </w:pPr>
            <w:r>
              <w:rPr>
                <w:sz w:val="4"/>
                <w:szCs w:val="4"/>
              </w:rPr>
            </w:r>
          </w:p>
        </w:tc>
        <w:tc>
          <w:tcPr>
            <w:tcW w:w="2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Decreases to tax positions related to a prior period</w:t>
            </w:r>
            <w:r>
              <w:rPr>
                <w:rFonts w:ascii="Times New Roman;sans-serif" w:hAnsi="Times New Roman;sans-serif"/>
                <w:b w:val="false"/>
                <w:color w:val="000000"/>
                <w:sz w:val="13"/>
              </w:rPr>
              <w:t>(1)</w:t>
            </w:r>
          </w:p>
        </w:tc>
        <w:tc>
          <w:tcPr>
            <w:tcW w:w="2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as a result of a lapse of the applicable statute of limitation</w:t>
            </w:r>
          </w:p>
        </w:tc>
        <w:tc>
          <w:tcPr>
            <w:tcW w:w="2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6"/>
            <w:tcBorders/>
            <w:tcMar>
              <w:top w:w="0" w:type="dxa"/>
              <w:left w:w="0" w:type="dxa"/>
              <w:bottom w:w="0" w:type="dxa"/>
              <w:right w:w="0" w:type="dxa"/>
            </w:tcMar>
            <w:vAlign w:val="center"/>
          </w:tcPr>
          <w:p>
            <w:pPr>
              <w:pStyle w:val="TableContents"/>
              <w:bidi w:val="0"/>
              <w:spacing w:lineRule="auto" w:line="240" w:before="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Decrease due to filing of an automatic tax method change with the IRS during the second quarter of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amount of gross interest and penalties accrued related to unrecognized tax benefits was $33 million at June 30, 2024 and $48 million at December 31, 2023, a decrease of $15 million, which is predominantly attributable to the expiration of statutes of limitation, partially offset by additional interest and penalties related to non-U.S. uncertain tax positions. At June 30, 2024, unrecognized tax benefits (including interest and penalties) of $16 million, net of indemnification, would impact the effective tax rate if recognized.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$34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4812" w:type="dxa"/>
        <w:jc w:val="left"/>
        <w:tblInd w:w="0" w:type="dxa"/>
        <w:tblLayout w:type="fixed"/>
        <w:tblCellMar>
          <w:top w:w="28" w:type="dxa"/>
          <w:left w:w="28" w:type="dxa"/>
          <w:bottom w:w="28" w:type="dxa"/>
          <w:right w:w="28" w:type="dxa"/>
        </w:tblCellMar>
      </w:tblPr>
      <w:tblGrid>
        <w:gridCol w:w="124"/>
        <w:gridCol w:w="109"/>
        <w:gridCol w:w="109"/>
        <w:gridCol w:w="1309"/>
        <w:gridCol w:w="1309"/>
        <w:gridCol w:w="1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6. </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VACATION OWNERSHIP NOTES RECEIVABLE</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composition of our vacation ownership notes receivable balances, net of reserves. </w:t>
      </w:r>
    </w:p>
    <w:tbl>
      <w:tblPr>
        <w:tblW w:w="10205" w:type="dxa"/>
        <w:jc w:val="center"/>
        <w:tblInd w:w="0" w:type="dxa"/>
        <w:tblLayout w:type="fixed"/>
        <w:tblCellMar>
          <w:top w:w="28" w:type="dxa"/>
          <w:left w:w="28" w:type="dxa"/>
          <w:bottom w:w="28" w:type="dxa"/>
          <w:right w:w="28" w:type="dxa"/>
        </w:tblCellMar>
      </w:tblPr>
      <w:tblGrid>
        <w:gridCol w:w="987"/>
        <w:gridCol w:w="824"/>
        <w:gridCol w:w="670"/>
        <w:gridCol w:w="229"/>
        <w:gridCol w:w="672"/>
        <w:gridCol w:w="118"/>
        <w:gridCol w:w="118"/>
        <w:gridCol w:w="118"/>
        <w:gridCol w:w="118"/>
        <w:gridCol w:w="241"/>
        <w:gridCol w:w="534"/>
        <w:gridCol w:w="126"/>
        <w:gridCol w:w="118"/>
        <w:gridCol w:w="118"/>
        <w:gridCol w:w="118"/>
        <w:gridCol w:w="229"/>
        <w:gridCol w:w="672"/>
        <w:gridCol w:w="118"/>
        <w:gridCol w:w="118"/>
        <w:gridCol w:w="118"/>
        <w:gridCol w:w="118"/>
        <w:gridCol w:w="229"/>
        <w:gridCol w:w="672"/>
        <w:gridCol w:w="118"/>
        <w:gridCol w:w="118"/>
        <w:gridCol w:w="118"/>
        <w:gridCol w:w="118"/>
        <w:gridCol w:w="241"/>
        <w:gridCol w:w="534"/>
        <w:gridCol w:w="126"/>
        <w:gridCol w:w="118"/>
        <w:gridCol w:w="118"/>
        <w:gridCol w:w="118"/>
        <w:gridCol w:w="229"/>
        <w:gridCol w:w="672"/>
        <w:gridCol w:w="194"/>
      </w:tblGrid>
      <w:tr>
        <w:trPr/>
        <w:tc>
          <w:tcPr>
            <w:tcW w:w="98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Eligible for securitization</w:t>
            </w:r>
            <w:r>
              <w:rPr>
                <w:rFonts w:ascii="Times New Roman;sans-serif" w:hAnsi="Times New Roman;sans-serif"/>
                <w:b w:val="false"/>
                <w:color w:val="000000"/>
                <w:sz w:val="12"/>
              </w:rPr>
              <w:t>(1)</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 eligible for securitization</w:t>
            </w:r>
            <w:r>
              <w:rPr>
                <w:rFonts w:ascii="Times New Roman;sans-serif" w:hAnsi="Times New Roman;sans-serif"/>
                <w:b w:val="false"/>
                <w:color w:val="000000"/>
                <w:sz w:val="12"/>
              </w:rPr>
              <w:t>(1)</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Non-securitized</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Refer to Footnote 7 “Financial Instruments” for discussion of eligibility of our vacation ownership notes receivable for securitization.</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reflect interest income associated with vacation ownership notes receivable on our Income Statements in the Financing revenues caption. The following table summarizes interest income associated with vacation ownership notes receivable.</w:t>
      </w:r>
    </w:p>
    <w:tbl>
      <w:tblPr>
        <w:tblW w:w="10205" w:type="dxa"/>
        <w:jc w:val="center"/>
        <w:tblInd w:w="0" w:type="dxa"/>
        <w:tblLayout w:type="fixed"/>
        <w:tblCellMar>
          <w:top w:w="28" w:type="dxa"/>
          <w:left w:w="28" w:type="dxa"/>
          <w:bottom w:w="28" w:type="dxa"/>
          <w:right w:w="28" w:type="dxa"/>
        </w:tblCellMar>
      </w:tblPr>
      <w:tblGrid>
        <w:gridCol w:w="1944"/>
        <w:gridCol w:w="1597"/>
        <w:gridCol w:w="1568"/>
        <w:gridCol w:w="309"/>
        <w:gridCol w:w="529"/>
        <w:gridCol w:w="159"/>
        <w:gridCol w:w="111"/>
        <w:gridCol w:w="111"/>
        <w:gridCol w:w="111"/>
        <w:gridCol w:w="309"/>
        <w:gridCol w:w="529"/>
        <w:gridCol w:w="159"/>
        <w:gridCol w:w="109"/>
        <w:gridCol w:w="109"/>
        <w:gridCol w:w="109"/>
        <w:gridCol w:w="277"/>
        <w:gridCol w:w="612"/>
        <w:gridCol w:w="143"/>
        <w:gridCol w:w="109"/>
        <w:gridCol w:w="109"/>
        <w:gridCol w:w="109"/>
        <w:gridCol w:w="273"/>
        <w:gridCol w:w="604"/>
        <w:gridCol w:w="206"/>
      </w:tblGrid>
      <w:tr>
        <w:trPr/>
        <w:tc>
          <w:tcPr>
            <w:tcW w:w="194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associated with securitized vacation ownership notes receivable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associated with non-securitized vacation ownership notes receivable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associated with vacation ownership notes receivable</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Credit Quality Indicators - Vacation Ownership Notes Receivable</w:t>
      </w:r>
    </w:p>
    <w:p>
      <w:pPr>
        <w:pStyle w:val="TextBody"/>
        <w:bidi w:val="0"/>
        <w:spacing w:lineRule="auto" w:line="288" w:before="120" w:after="283"/>
        <w:jc w:val="left"/>
        <w:rPr/>
      </w:pPr>
      <w:r>
        <w:rPr>
          <w:rFonts w:ascii="Times New Roman;sans-serif" w:hAnsi="Times New Roman;sans-serif"/>
          <w:b w:val="false"/>
          <w:color w:val="000000"/>
          <w:sz w:val="20"/>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r>
        <w:rPr>
          <w:color w:val="EE2724"/>
        </w:rPr>
        <w:t xml:space="preserve"> </w:t>
      </w:r>
      <w:r>
        <w:rPr>
          <w:rFonts w:ascii="Times New Roman;sans-serif" w:hAnsi="Times New Roman;sans-serif"/>
          <w:b w:val="false"/>
          <w:color w:val="000000"/>
          <w:sz w:val="20"/>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increased our vacation ownership notes receivable reserve to reflect then-current trends in delinquencies and default rates. We estimated the amount of the increase in our sales reserve primarily using a historical period of increased defaults. The additional reserves recorded in 2023 adjusted our future default rate estimate to reflect then-current macroeconomic conditions, including inflation outpacing wage growth, continuing high interest rates, mixed economic indicators and increased global insecurity. Subsequent to the third quarter of 2023, we increased our sales reserve rate to provide for higher expected cumulative losses on new originations.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cumulative impact of inflation on consumers and the related impact on year-over-year increases in maintenance fees for 2023 and 2024 are driving continued elevated delinquencies and defaults. As a result, during the second quarter of 2024, we increased our sales reserve by $70 million to reflect increases in expected cumulative loss rates for our vacation ownership notes receivable originated during 2021-2024. In estimating the increase in the sales reserve, we considered current macroeconomic conditions, including higher consumer debt levels, moderating inflation, continued high interest rates, uncertainty around timing and frequency of interest rate adjustments and continued mixed economic indicators.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FICO score within our consolidated vacation ownership notes receivable pool was 724 and 723, at June 30, 2024 and December 31, 2023, respectively, based upon the FICO score of the borrower at the time of origination.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Acquired Vacation Ownership Notes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vacation ownership notes receivable represent vacation ownership notes receivable acquired as part of the ILG Acquisition and the Welk Acquisition. The following table shows future contractual principal payments, net of a $12 million reserve, and interest rates for our acquired vacation ownership notes receivable at June 30, 2024.</w:t>
      </w:r>
    </w:p>
    <w:tbl>
      <w:tblPr>
        <w:tblW w:w="7941" w:type="dxa"/>
        <w:jc w:val="center"/>
        <w:tblInd w:w="0" w:type="dxa"/>
        <w:tblLayout w:type="fixed"/>
        <w:tblCellMar>
          <w:top w:w="28" w:type="dxa"/>
          <w:left w:w="28" w:type="dxa"/>
          <w:bottom w:w="28" w:type="dxa"/>
          <w:right w:w="28" w:type="dxa"/>
        </w:tblCellMar>
      </w:tblPr>
      <w:tblGrid>
        <w:gridCol w:w="1125"/>
        <w:gridCol w:w="989"/>
        <w:gridCol w:w="990"/>
        <w:gridCol w:w="413"/>
        <w:gridCol w:w="708"/>
        <w:gridCol w:w="215"/>
        <w:gridCol w:w="141"/>
        <w:gridCol w:w="141"/>
        <w:gridCol w:w="141"/>
        <w:gridCol w:w="350"/>
        <w:gridCol w:w="775"/>
        <w:gridCol w:w="180"/>
        <w:gridCol w:w="141"/>
        <w:gridCol w:w="141"/>
        <w:gridCol w:w="141"/>
        <w:gridCol w:w="342"/>
        <w:gridCol w:w="758"/>
        <w:gridCol w:w="250"/>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Acquired Vacation Ownership Notes Receivable</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stated interest rate</w:t>
            </w:r>
          </w:p>
        </w:tc>
        <w:tc>
          <w:tcPr>
            <w:tcW w:w="13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Range of stated interest rates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21.9%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21.9%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21.9%</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acquired vacation ownership notes receivable, before reserves, by brand and borrower FICO score at origination.</w:t>
      </w:r>
    </w:p>
    <w:tbl>
      <w:tblPr>
        <w:tblW w:w="7970" w:type="dxa"/>
        <w:jc w:val="center"/>
        <w:tblInd w:w="0" w:type="dxa"/>
        <w:tblLayout w:type="fixed"/>
        <w:tblCellMar>
          <w:top w:w="28" w:type="dxa"/>
          <w:left w:w="28" w:type="dxa"/>
          <w:bottom w:w="28" w:type="dxa"/>
          <w:right w:w="28" w:type="dxa"/>
        </w:tblCellMar>
      </w:tblPr>
      <w:tblGrid>
        <w:gridCol w:w="902"/>
        <w:gridCol w:w="792"/>
        <w:gridCol w:w="795"/>
        <w:gridCol w:w="242"/>
        <w:gridCol w:w="414"/>
        <w:gridCol w:w="125"/>
        <w:gridCol w:w="125"/>
        <w:gridCol w:w="125"/>
        <w:gridCol w:w="125"/>
        <w:gridCol w:w="246"/>
        <w:gridCol w:w="421"/>
        <w:gridCol w:w="127"/>
        <w:gridCol w:w="125"/>
        <w:gridCol w:w="125"/>
        <w:gridCol w:w="125"/>
        <w:gridCol w:w="242"/>
        <w:gridCol w:w="293"/>
        <w:gridCol w:w="125"/>
        <w:gridCol w:w="125"/>
        <w:gridCol w:w="125"/>
        <w:gridCol w:w="125"/>
        <w:gridCol w:w="291"/>
        <w:gridCol w:w="353"/>
        <w:gridCol w:w="150"/>
        <w:gridCol w:w="125"/>
        <w:gridCol w:w="125"/>
        <w:gridCol w:w="125"/>
        <w:gridCol w:w="242"/>
        <w:gridCol w:w="534"/>
        <w:gridCol w:w="176"/>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Acquired Vacation Ownership Notes Receivable as of June 30, 2024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700+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600 - 699</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 600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 Score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 Ownership</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Hyatt Vacation Ownership</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11" w:type="dxa"/>
        <w:jc w:val="center"/>
        <w:tblInd w:w="0" w:type="dxa"/>
        <w:tblLayout w:type="fixed"/>
        <w:tblCellMar>
          <w:top w:w="28" w:type="dxa"/>
          <w:left w:w="28" w:type="dxa"/>
          <w:bottom w:w="28" w:type="dxa"/>
          <w:right w:w="28" w:type="dxa"/>
        </w:tblCellMar>
      </w:tblPr>
      <w:tblGrid>
        <w:gridCol w:w="902"/>
        <w:gridCol w:w="792"/>
        <w:gridCol w:w="795"/>
        <w:gridCol w:w="254"/>
        <w:gridCol w:w="434"/>
        <w:gridCol w:w="131"/>
        <w:gridCol w:w="131"/>
        <w:gridCol w:w="131"/>
        <w:gridCol w:w="131"/>
        <w:gridCol w:w="254"/>
        <w:gridCol w:w="434"/>
        <w:gridCol w:w="131"/>
        <w:gridCol w:w="131"/>
        <w:gridCol w:w="131"/>
        <w:gridCol w:w="131"/>
        <w:gridCol w:w="254"/>
        <w:gridCol w:w="308"/>
        <w:gridCol w:w="131"/>
        <w:gridCol w:w="131"/>
        <w:gridCol w:w="131"/>
        <w:gridCol w:w="131"/>
        <w:gridCol w:w="254"/>
        <w:gridCol w:w="434"/>
        <w:gridCol w:w="131"/>
        <w:gridCol w:w="131"/>
        <w:gridCol w:w="131"/>
        <w:gridCol w:w="131"/>
        <w:gridCol w:w="254"/>
        <w:gridCol w:w="561"/>
        <w:gridCol w:w="18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Acquired Vacation Ownership Notes Receivable as of December 31, 2023</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700+</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600 - 699</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 600</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 Score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 Ownership</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Hyatt Vacation Ownership</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Originated Vacation Ownership Notes Receivable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June 30, 2024.</w:t>
      </w:r>
    </w:p>
    <w:tbl>
      <w:tblPr>
        <w:tblW w:w="7862" w:type="dxa"/>
        <w:jc w:val="center"/>
        <w:tblInd w:w="0" w:type="dxa"/>
        <w:tblLayout w:type="fixed"/>
        <w:tblCellMar>
          <w:top w:w="28" w:type="dxa"/>
          <w:left w:w="28" w:type="dxa"/>
          <w:bottom w:w="28" w:type="dxa"/>
          <w:right w:w="28" w:type="dxa"/>
        </w:tblCellMar>
      </w:tblPr>
      <w:tblGrid>
        <w:gridCol w:w="1125"/>
        <w:gridCol w:w="989"/>
        <w:gridCol w:w="990"/>
        <w:gridCol w:w="358"/>
        <w:gridCol w:w="792"/>
        <w:gridCol w:w="186"/>
        <w:gridCol w:w="128"/>
        <w:gridCol w:w="128"/>
        <w:gridCol w:w="128"/>
        <w:gridCol w:w="294"/>
        <w:gridCol w:w="859"/>
        <w:gridCol w:w="151"/>
        <w:gridCol w:w="128"/>
        <w:gridCol w:w="128"/>
        <w:gridCol w:w="128"/>
        <w:gridCol w:w="290"/>
        <w:gridCol w:w="848"/>
        <w:gridCol w:w="212"/>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stated interest rate</w:t>
            </w:r>
          </w:p>
        </w:tc>
        <w:tc>
          <w:tcPr>
            <w:tcW w:w="13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Range of stated interest rates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 to 20.9%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our originated vacation ownership notes receivable reserve.</w:t>
      </w:r>
    </w:p>
    <w:tbl>
      <w:tblPr>
        <w:tblW w:w="10205" w:type="dxa"/>
        <w:jc w:val="center"/>
        <w:tblInd w:w="0" w:type="dxa"/>
        <w:tblLayout w:type="fixed"/>
        <w:tblCellMar>
          <w:top w:w="28" w:type="dxa"/>
          <w:left w:w="28" w:type="dxa"/>
          <w:bottom w:w="28" w:type="dxa"/>
          <w:right w:w="28" w:type="dxa"/>
        </w:tblCellMar>
      </w:tblPr>
      <w:tblGrid>
        <w:gridCol w:w="1872"/>
        <w:gridCol w:w="1363"/>
        <w:gridCol w:w="1297"/>
        <w:gridCol w:w="480"/>
        <w:gridCol w:w="1063"/>
        <w:gridCol w:w="249"/>
        <w:gridCol w:w="180"/>
        <w:gridCol w:w="180"/>
        <w:gridCol w:w="180"/>
        <w:gridCol w:w="423"/>
        <w:gridCol w:w="812"/>
        <w:gridCol w:w="180"/>
        <w:gridCol w:w="180"/>
        <w:gridCol w:w="180"/>
        <w:gridCol w:w="180"/>
        <w:gridCol w:w="349"/>
        <w:gridCol w:w="773"/>
        <w:gridCol w:w="264"/>
      </w:tblGrid>
      <w:tr>
        <w:trPr/>
        <w:tc>
          <w:tcPr>
            <w:tcW w:w="18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 Reserve</w:t>
            </w:r>
          </w:p>
        </w:tc>
      </w:tr>
      <w:tr>
        <w:trPr/>
        <w:tc>
          <w:tcPr>
            <w:tcW w:w="4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vacation ownership notes receivable reserve</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Clean-up call</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Defaulted vacation ownership notes receivable repurchase activity</w:t>
            </w:r>
            <w:r>
              <w:rPr>
                <w:rFonts w:ascii="Times New Roman;sans-serif" w:hAnsi="Times New Roman;sans-serif"/>
                <w:b w:val="false"/>
                <w:color w:val="000000"/>
                <w:sz w:val="12"/>
              </w:rPr>
              <w:t>(1)</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originated vacation ownership notes receivable, before reserves, by brand and borrower FICO score at origination.</w:t>
      </w:r>
    </w:p>
    <w:tbl>
      <w:tblPr>
        <w:tblW w:w="7983" w:type="dxa"/>
        <w:jc w:val="center"/>
        <w:tblInd w:w="0" w:type="dxa"/>
        <w:tblLayout w:type="fixed"/>
        <w:tblCellMar>
          <w:top w:w="28" w:type="dxa"/>
          <w:left w:w="28" w:type="dxa"/>
          <w:bottom w:w="28" w:type="dxa"/>
          <w:right w:w="28" w:type="dxa"/>
        </w:tblCellMar>
      </w:tblPr>
      <w:tblGrid>
        <w:gridCol w:w="902"/>
        <w:gridCol w:w="792"/>
        <w:gridCol w:w="795"/>
        <w:gridCol w:w="211"/>
        <w:gridCol w:w="616"/>
        <w:gridCol w:w="109"/>
        <w:gridCol w:w="109"/>
        <w:gridCol w:w="109"/>
        <w:gridCol w:w="109"/>
        <w:gridCol w:w="213"/>
        <w:gridCol w:w="471"/>
        <w:gridCol w:w="110"/>
        <w:gridCol w:w="109"/>
        <w:gridCol w:w="109"/>
        <w:gridCol w:w="109"/>
        <w:gridCol w:w="211"/>
        <w:gridCol w:w="361"/>
        <w:gridCol w:w="109"/>
        <w:gridCol w:w="109"/>
        <w:gridCol w:w="109"/>
        <w:gridCol w:w="109"/>
        <w:gridCol w:w="213"/>
        <w:gridCol w:w="471"/>
        <w:gridCol w:w="110"/>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 as of June 30, 2024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700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600 - 699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 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 Score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 Ownership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Hyatt Vacation Ownership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7" w:type="dxa"/>
        <w:jc w:val="center"/>
        <w:tblInd w:w="0" w:type="dxa"/>
        <w:tblLayout w:type="fixed"/>
        <w:tblCellMar>
          <w:top w:w="28" w:type="dxa"/>
          <w:left w:w="28" w:type="dxa"/>
          <w:bottom w:w="28" w:type="dxa"/>
          <w:right w:w="28" w:type="dxa"/>
        </w:tblCellMar>
      </w:tblPr>
      <w:tblGrid>
        <w:gridCol w:w="902"/>
        <w:gridCol w:w="792"/>
        <w:gridCol w:w="795"/>
        <w:gridCol w:w="224"/>
        <w:gridCol w:w="656"/>
        <w:gridCol w:w="116"/>
        <w:gridCol w:w="116"/>
        <w:gridCol w:w="116"/>
        <w:gridCol w:w="116"/>
        <w:gridCol w:w="224"/>
        <w:gridCol w:w="496"/>
        <w:gridCol w:w="116"/>
        <w:gridCol w:w="116"/>
        <w:gridCol w:w="116"/>
        <w:gridCol w:w="116"/>
        <w:gridCol w:w="224"/>
        <w:gridCol w:w="384"/>
        <w:gridCol w:w="116"/>
        <w:gridCol w:w="116"/>
        <w:gridCol w:w="116"/>
        <w:gridCol w:w="116"/>
        <w:gridCol w:w="224"/>
        <w:gridCol w:w="496"/>
        <w:gridCol w:w="116"/>
        <w:gridCol w:w="116"/>
        <w:gridCol w:w="116"/>
        <w:gridCol w:w="116"/>
        <w:gridCol w:w="224"/>
        <w:gridCol w:w="656"/>
        <w:gridCol w:w="16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 as of December 31, 2023</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700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600 - 699</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 600</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 Score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 Ownership</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Hyatt Vacation Ownership</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origination year of our originated vacation ownership notes receivable, before reserves, by brand and borrower FICO score at origination as of June 30, 2024, and gross write-offs by brand for the first half of 2024.</w:t>
      </w:r>
    </w:p>
    <w:tbl>
      <w:tblPr>
        <w:tblW w:w="8233" w:type="dxa"/>
        <w:jc w:val="center"/>
        <w:tblInd w:w="0" w:type="dxa"/>
        <w:tblLayout w:type="fixed"/>
        <w:tblCellMar>
          <w:top w:w="28" w:type="dxa"/>
          <w:left w:w="28" w:type="dxa"/>
          <w:bottom w:w="28" w:type="dxa"/>
          <w:right w:w="28" w:type="dxa"/>
        </w:tblCellMar>
      </w:tblPr>
      <w:tblGrid>
        <w:gridCol w:w="500"/>
        <w:gridCol w:w="439"/>
        <w:gridCol w:w="44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4"/>
        <w:gridCol w:w="649"/>
        <w:gridCol w:w="151"/>
        <w:gridCol w:w="109"/>
        <w:gridCol w:w="109"/>
        <w:gridCol w:w="109"/>
        <w:gridCol w:w="21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 - Marriott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 &amp;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600 - 699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&lt; 600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Score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write-offs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7870" w:type="dxa"/>
        <w:jc w:val="center"/>
        <w:tblInd w:w="0" w:type="dxa"/>
        <w:tblLayout w:type="fixed"/>
        <w:tblCellMar>
          <w:top w:w="28" w:type="dxa"/>
          <w:left w:w="28" w:type="dxa"/>
          <w:bottom w:w="28" w:type="dxa"/>
          <w:right w:w="28" w:type="dxa"/>
        </w:tblCellMar>
      </w:tblPr>
      <w:tblGrid>
        <w:gridCol w:w="500"/>
        <w:gridCol w:w="439"/>
        <w:gridCol w:w="440"/>
        <w:gridCol w:w="218"/>
        <w:gridCol w:w="419"/>
        <w:gridCol w:w="112"/>
        <w:gridCol w:w="112"/>
        <w:gridCol w:w="112"/>
        <w:gridCol w:w="112"/>
        <w:gridCol w:w="218"/>
        <w:gridCol w:w="373"/>
        <w:gridCol w:w="112"/>
        <w:gridCol w:w="112"/>
        <w:gridCol w:w="112"/>
        <w:gridCol w:w="112"/>
        <w:gridCol w:w="218"/>
        <w:gridCol w:w="373"/>
        <w:gridCol w:w="112"/>
        <w:gridCol w:w="112"/>
        <w:gridCol w:w="112"/>
        <w:gridCol w:w="112"/>
        <w:gridCol w:w="218"/>
        <w:gridCol w:w="373"/>
        <w:gridCol w:w="112"/>
        <w:gridCol w:w="112"/>
        <w:gridCol w:w="112"/>
        <w:gridCol w:w="112"/>
        <w:gridCol w:w="318"/>
        <w:gridCol w:w="613"/>
        <w:gridCol w:w="163"/>
        <w:gridCol w:w="112"/>
        <w:gridCol w:w="112"/>
        <w:gridCol w:w="112"/>
        <w:gridCol w:w="218"/>
        <w:gridCol w:w="482"/>
        <w:gridCol w:w="159"/>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Originated Vacation Ownership Notes Receivable - Hyatt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 &amp; Prior</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600 - 699</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&lt; 600</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Score</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write-offs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Vacation Ownership Notes Receivable on Non-Accrual Status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both non-securitized and securitized vacation ownership notes receivable, we estimated the average remaining default rates of 14.77% as of June 30, 2024 and 13.00% as of December 31, 2023. A 0.5 percentage point increase in the estimated default rate would have resulted in an increase in the related vacation ownership notes receivable reserve of $13 million as of both June 30, 2024 and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recorded investment in non-accrual vacation ownership notes receivable, which are vacation ownership notes receivable that are 90 days or more past due.</w:t>
      </w:r>
    </w:p>
    <w:tbl>
      <w:tblPr>
        <w:tblW w:w="10205" w:type="dxa"/>
        <w:jc w:val="center"/>
        <w:tblInd w:w="0" w:type="dxa"/>
        <w:tblLayout w:type="fixed"/>
        <w:tblCellMar>
          <w:top w:w="28" w:type="dxa"/>
          <w:left w:w="28" w:type="dxa"/>
          <w:bottom w:w="28" w:type="dxa"/>
          <w:right w:w="28" w:type="dxa"/>
        </w:tblCellMar>
      </w:tblPr>
      <w:tblGrid>
        <w:gridCol w:w="2340"/>
        <w:gridCol w:w="2026"/>
        <w:gridCol w:w="2026"/>
        <w:gridCol w:w="358"/>
        <w:gridCol w:w="792"/>
        <w:gridCol w:w="186"/>
        <w:gridCol w:w="112"/>
        <w:gridCol w:w="112"/>
        <w:gridCol w:w="112"/>
        <w:gridCol w:w="293"/>
        <w:gridCol w:w="501"/>
        <w:gridCol w:w="152"/>
        <w:gridCol w:w="112"/>
        <w:gridCol w:w="112"/>
        <w:gridCol w:w="112"/>
        <w:gridCol w:w="217"/>
        <w:gridCol w:w="480"/>
        <w:gridCol w:w="162"/>
      </w:tblGrid>
      <w:tr>
        <w:trPr/>
        <w:tc>
          <w:tcPr>
            <w:tcW w:w="234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 Notes Receivable</w:t>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vacation ownership notes receivable on non-accrual status at June 30, 2024</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vacation ownership notes receivable on non-accrual status at December 31, 2023</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aging of the recorded investment in principal, before reserves, in vacation ownership notes receivable as of June 30, 2024 and December 31, 2023.</w:t>
      </w:r>
    </w:p>
    <w:tbl>
      <w:tblPr>
        <w:tblW w:w="10205" w:type="dxa"/>
        <w:jc w:val="center"/>
        <w:tblInd w:w="0" w:type="dxa"/>
        <w:tblLayout w:type="fixed"/>
        <w:tblCellMar>
          <w:top w:w="28" w:type="dxa"/>
          <w:left w:w="28" w:type="dxa"/>
          <w:bottom w:w="28" w:type="dxa"/>
          <w:right w:w="28" w:type="dxa"/>
        </w:tblCellMar>
      </w:tblPr>
      <w:tblGrid>
        <w:gridCol w:w="860"/>
        <w:gridCol w:w="613"/>
        <w:gridCol w:w="614"/>
        <w:gridCol w:w="358"/>
        <w:gridCol w:w="792"/>
        <w:gridCol w:w="186"/>
        <w:gridCol w:w="109"/>
        <w:gridCol w:w="109"/>
        <w:gridCol w:w="109"/>
        <w:gridCol w:w="213"/>
        <w:gridCol w:w="622"/>
        <w:gridCol w:w="111"/>
        <w:gridCol w:w="109"/>
        <w:gridCol w:w="109"/>
        <w:gridCol w:w="109"/>
        <w:gridCol w:w="211"/>
        <w:gridCol w:w="616"/>
        <w:gridCol w:w="109"/>
        <w:gridCol w:w="109"/>
        <w:gridCol w:w="109"/>
        <w:gridCol w:w="109"/>
        <w:gridCol w:w="358"/>
        <w:gridCol w:w="792"/>
        <w:gridCol w:w="186"/>
        <w:gridCol w:w="109"/>
        <w:gridCol w:w="109"/>
        <w:gridCol w:w="109"/>
        <w:gridCol w:w="213"/>
        <w:gridCol w:w="622"/>
        <w:gridCol w:w="111"/>
        <w:gridCol w:w="109"/>
        <w:gridCol w:w="109"/>
        <w:gridCol w:w="109"/>
        <w:gridCol w:w="211"/>
        <w:gridCol w:w="616"/>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6782" w:type="dxa"/>
            <w:gridSpan w:val="30"/>
            <w:tcBorders/>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90 days past due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 – 120 days past due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120 days past due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vacation ownership notes receivable</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3027" w:type="dxa"/>
        <w:jc w:val="left"/>
        <w:tblInd w:w="0" w:type="dxa"/>
        <w:tblLayout w:type="fixed"/>
        <w:tblCellMar>
          <w:top w:w="28" w:type="dxa"/>
          <w:left w:w="28" w:type="dxa"/>
          <w:bottom w:w="28" w:type="dxa"/>
          <w:right w:w="28" w:type="dxa"/>
        </w:tblCellMar>
      </w:tblPr>
      <w:tblGrid>
        <w:gridCol w:w="124"/>
        <w:gridCol w:w="109"/>
        <w:gridCol w:w="109"/>
        <w:gridCol w:w="786"/>
        <w:gridCol w:w="786"/>
        <w:gridCol w:w="11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7. </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and Accrued liabilities, all of which had fair values approximating their carrying amounts due to the short maturities and liquidity of these instruments.</w:t>
      </w:r>
    </w:p>
    <w:tbl>
      <w:tblPr>
        <w:tblW w:w="9029" w:type="dxa"/>
        <w:jc w:val="center"/>
        <w:tblInd w:w="0" w:type="dxa"/>
        <w:tblLayout w:type="fixed"/>
        <w:tblCellMar>
          <w:top w:w="28" w:type="dxa"/>
          <w:left w:w="28" w:type="dxa"/>
          <w:bottom w:w="28" w:type="dxa"/>
          <w:right w:w="28" w:type="dxa"/>
        </w:tblCellMar>
      </w:tblPr>
      <w:tblGrid>
        <w:gridCol w:w="1435"/>
        <w:gridCol w:w="1260"/>
        <w:gridCol w:w="126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receivable for financed VOI sales,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Corporate Credit Facility,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Convertible Notes,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Convertible Notes,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note payable,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Vacation Ownership Notes Receivable </w:t>
      </w:r>
    </w:p>
    <w:tbl>
      <w:tblPr>
        <w:tblW w:w="7289" w:type="dxa"/>
        <w:jc w:val="center"/>
        <w:tblInd w:w="0" w:type="dxa"/>
        <w:tblLayout w:type="fixed"/>
        <w:tblCellMar>
          <w:top w:w="28" w:type="dxa"/>
          <w:left w:w="28" w:type="dxa"/>
          <w:bottom w:w="28" w:type="dxa"/>
          <w:right w:w="28" w:type="dxa"/>
        </w:tblCellMar>
      </w:tblPr>
      <w:tblGrid>
        <w:gridCol w:w="961"/>
        <w:gridCol w:w="845"/>
        <w:gridCol w:w="71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Eligible for securitization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eligible for securitization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Non-securitized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Contracts Receivable for Financed VOI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288" w:before="120" w:after="283"/>
        <w:jc w:val="left"/>
        <w:rPr/>
      </w:pPr>
      <w:r>
        <w:rPr>
          <w:rFonts w:ascii="Times New Roman;sans-serif" w:hAnsi="Times New Roman;sans-serif"/>
          <w:b w:val="false"/>
          <w:color w:val="000000"/>
          <w:sz w:val="20"/>
        </w:rPr>
        <w:t>Other assets include $118 million and $99 million of company owned insurance policies (the “COLI policies”) acquired on the lives of certain participants in the Marriott Vacations Worldwide Deferred Compensation Plan (the “Deferred Compensation Plan”) at June 30, 2024 and December 31, 2023, respectively, that are held in a rabbi trust. The carrying value of the COLI policies is equal to their cash surrender value (Level 2 inputs).</w:t>
      </w:r>
      <w:r>
        <w:rPr>
          <w:color w:val="EE2724"/>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Securitized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Revolving Corporate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our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2637" w:type="dxa"/>
        <w:jc w:val="left"/>
        <w:tblInd w:w="0" w:type="dxa"/>
        <w:tblLayout w:type="fixed"/>
        <w:tblCellMar>
          <w:top w:w="28" w:type="dxa"/>
          <w:left w:w="28" w:type="dxa"/>
          <w:bottom w:w="28" w:type="dxa"/>
          <w:right w:w="28" w:type="dxa"/>
        </w:tblCellMar>
      </w:tblPr>
      <w:tblGrid>
        <w:gridCol w:w="124"/>
        <w:gridCol w:w="109"/>
        <w:gridCol w:w="109"/>
        <w:gridCol w:w="671"/>
        <w:gridCol w:w="671"/>
        <w:gridCol w:w="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8.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attributable to common stockholders is calculated by dividing net income attributable to common stockholders by the weighted average number of shares of common stock outstanding during the reporting period. Diluted earnings per common share attributable to common stockholders reflects the assumed conversion of all dilutive securities, calculated using the treasury stock method.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illustrates the reconciliation of the earnings and number of shares used in our calculation of basic earnings per share attributable to common stockholders.</w:t>
      </w:r>
    </w:p>
    <w:tbl>
      <w:tblPr>
        <w:tblW w:w="9722" w:type="dxa"/>
        <w:jc w:val="center"/>
        <w:tblInd w:w="0" w:type="dxa"/>
        <w:tblLayout w:type="fixed"/>
        <w:tblCellMar>
          <w:top w:w="28" w:type="dxa"/>
          <w:left w:w="28" w:type="dxa"/>
          <w:bottom w:w="28" w:type="dxa"/>
          <w:right w:w="28" w:type="dxa"/>
        </w:tblCellMar>
      </w:tblPr>
      <w:tblGrid>
        <w:gridCol w:w="1477"/>
        <w:gridCol w:w="1295"/>
        <w:gridCol w:w="1307"/>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14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for basic earnings per share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illustrates the reconciliation of the earnings and number of shares used in our calculation of diluted earnings per share attributable to common stockholders.</w:t>
      </w:r>
    </w:p>
    <w:tbl>
      <w:tblPr>
        <w:tblW w:w="10205" w:type="dxa"/>
        <w:jc w:val="center"/>
        <w:tblInd w:w="0" w:type="dxa"/>
        <w:tblLayout w:type="fixed"/>
        <w:tblCellMar>
          <w:top w:w="28" w:type="dxa"/>
          <w:left w:w="28" w:type="dxa"/>
          <w:bottom w:w="28" w:type="dxa"/>
          <w:right w:w="28" w:type="dxa"/>
        </w:tblCellMar>
      </w:tblPr>
      <w:tblGrid>
        <w:gridCol w:w="1784"/>
        <w:gridCol w:w="1496"/>
        <w:gridCol w:w="1510"/>
        <w:gridCol w:w="278"/>
        <w:gridCol w:w="674"/>
        <w:gridCol w:w="143"/>
        <w:gridCol w:w="109"/>
        <w:gridCol w:w="109"/>
        <w:gridCol w:w="109"/>
        <w:gridCol w:w="278"/>
        <w:gridCol w:w="674"/>
        <w:gridCol w:w="143"/>
        <w:gridCol w:w="109"/>
        <w:gridCol w:w="109"/>
        <w:gridCol w:w="109"/>
        <w:gridCol w:w="278"/>
        <w:gridCol w:w="674"/>
        <w:gridCol w:w="143"/>
        <w:gridCol w:w="109"/>
        <w:gridCol w:w="109"/>
        <w:gridCol w:w="109"/>
        <w:gridCol w:w="275"/>
        <w:gridCol w:w="666"/>
        <w:gridCol w:w="208"/>
      </w:tblGrid>
      <w:tr>
        <w:trPr/>
        <w:tc>
          <w:tcPr>
            <w:tcW w:w="178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of interest expense related to convertible notes, net of tax</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used to calculate diluted earnings per share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for basic earnings per share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shares outstanding</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SARs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Convertible Notes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2027 Convertible Notes </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for diluted earnings per share</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computations of diluted earnings per share attributable to common stockholders in the table above exclude approximately 393,000 and 213,000 shares of common stock, the maximum number of shares issuable as of June 30, 2024 and June 30, 2023, respectively, upon the vesting of certain performance-based awards, because the performance conditions required to be met for the shares subject to such awards to vest were not achieved by the end of the reporting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applicable accounting guidance for calculating earnings per share, for the second quarter of 2024, we excluded from our calculation of diluted earnings per share 559,444 shares underlying stock appreciation rights (“SARs”) that may settle in shares of common stock because the exercise prices of such SARs, which ranged from $96.82 to $173.88, were greater than the average market price of our common stock for the applicable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half of 2024, we excluded from our calculation of diluted earnings per share 646,203 shares underlying SARs that may settle in shares of common stock because the exercise prices of such SARs, which ranged from $93.73 to $173.88, were greater than the average market price of our common stock for the applicable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each of the second quarter and first half of 2023, we excluded from our calculation of diluted earnings per share 289,750 shares underlying SARs that may settle in shares of common stock because the exercise prices of such SARs, which ranged from $143.38 to $173.88, were greater than the average market price of our common stock for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663" w:type="dxa"/>
        <w:jc w:val="left"/>
        <w:tblInd w:w="0" w:type="dxa"/>
        <w:tblLayout w:type="fixed"/>
        <w:tblCellMar>
          <w:top w:w="28" w:type="dxa"/>
          <w:left w:w="28" w:type="dxa"/>
          <w:bottom w:w="28" w:type="dxa"/>
          <w:right w:w="28" w:type="dxa"/>
        </w:tblCellMar>
      </w:tblPr>
      <w:tblGrid>
        <w:gridCol w:w="124"/>
        <w:gridCol w:w="109"/>
        <w:gridCol w:w="109"/>
        <w:gridCol w:w="387"/>
        <w:gridCol w:w="387"/>
        <w:gridCol w:w="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9.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composition of our inventory balances:</w:t>
      </w:r>
    </w:p>
    <w:tbl>
      <w:tblPr>
        <w:tblW w:w="10205" w:type="dxa"/>
        <w:jc w:val="center"/>
        <w:tblInd w:w="0" w:type="dxa"/>
        <w:tblLayout w:type="fixed"/>
        <w:tblCellMar>
          <w:top w:w="28" w:type="dxa"/>
          <w:left w:w="28" w:type="dxa"/>
          <w:bottom w:w="28" w:type="dxa"/>
          <w:right w:w="28" w:type="dxa"/>
        </w:tblCellMar>
      </w:tblPr>
      <w:tblGrid>
        <w:gridCol w:w="1628"/>
        <w:gridCol w:w="1012"/>
        <w:gridCol w:w="1016"/>
        <w:gridCol w:w="688"/>
        <w:gridCol w:w="1522"/>
        <w:gridCol w:w="355"/>
        <w:gridCol w:w="225"/>
        <w:gridCol w:w="225"/>
        <w:gridCol w:w="225"/>
        <w:gridCol w:w="836"/>
        <w:gridCol w:w="1852"/>
        <w:gridCol w:w="621"/>
      </w:tblGrid>
      <w:tr>
        <w:trPr/>
        <w:tc>
          <w:tcPr>
            <w:tcW w:w="162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rFonts w:ascii="Times New Roman;sans-serif" w:hAnsi="Times New Roman;sans-serif"/>
                <w:b w:val="false"/>
                <w:color w:val="000000"/>
                <w:sz w:val="10"/>
              </w:rPr>
              <w:t>(1)</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Work-in-progress</w:t>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inventory</w:t>
            </w:r>
          </w:p>
        </w:tc>
        <w:tc>
          <w:tcPr>
            <w:tcW w:w="2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completed inventory that is registered for sale as VOIs and vacation ownership inventory expected to be reacquired pursuant to estimated future defaults on originated vacation ownership notes receivable.</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cost true-up activity relating to vacation ownership products increased carrying values of inventory by $20 million during the first half of 2024 and $15 million during the first half of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at June 30, 2024 and December 31, 2023, we had $345 million and $370 million, respectively, of completed vacation ownership units which are classified as a component of Property and equipment, net until the time at which they are available and legally registered for sale as vacation ownership products. We also had deposits on future purchases of inventory of $25 million at June 30, 2024, of which $21 million was included in Other assets and $4 million was included in Accounts and contracts receivable, net on our Balance Sheet, and $3 million at December 31, 2023, which was included in Other assets on our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45" w:type="dxa"/>
        <w:jc w:val="left"/>
        <w:tblInd w:w="0" w:type="dxa"/>
        <w:tblLayout w:type="fixed"/>
        <w:tblCellMar>
          <w:top w:w="28" w:type="dxa"/>
          <w:left w:w="28" w:type="dxa"/>
          <w:bottom w:w="28" w:type="dxa"/>
          <w:right w:w="28" w:type="dxa"/>
        </w:tblCellMar>
      </w:tblPr>
      <w:tblGrid>
        <w:gridCol w:w="152"/>
        <w:gridCol w:w="134"/>
        <w:gridCol w:w="134"/>
        <w:gridCol w:w="1120"/>
        <w:gridCol w:w="1120"/>
        <w:gridCol w:w="158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10.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CONTINGENCIES AND COMMITMENTS</w:t>
            </w:r>
          </w:p>
        </w:tc>
      </w:tr>
    </w:tbl>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and Letters of Credit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the following commitments outstanding: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various contracts for the use of information technology hardware and software that we use in the normal course of business. Our aggregate commitment under these contracts was $79 million, of which we expect $24 million, $29 million, $18 million, $6 million, and $2 million will be paid in the remainder of 2024, 2025, 2026, 2027, and 2028,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have remaining commitments of $34 million to purchase vacation ownership units located in Bali, Indonesia in two separate transactions, contingent upon completion of construction to agreed-upon standards within specified timeframes, for use in our Vacation Ownership segment. We expect to complete the acquisition of 32 vacation ownership units in 2025 pursuant to one of the commitments, and to make remaining payments with respect to these units when specific construction milestones are completed as follows: $2 million in the remainder of 2024, $10 million in 2025, and $1 million in 2026. We expect to complete the acquisition of 26 vacation ownership units in 2026 pursuant to the other commitment, and to make remaining payments with respect to these units when specific construction milestones are completed as follows: $4 million in the remainder of 2024, $2 million in 2025, $14 million in 2026, and $1 million in 2027.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We expect to make remaining payments when specific construction milestones are completed as follows: $4 million in 2025, $31 million in 2026, and $2 million in 2027.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$134 million of commitments to purchase property and vacation ownership units located in the continental United States, subject to various contingencies, that include, but are not limited to, the receipt of financing by third-party developers, governmental approvals, and the completion of construction to agreed-upon standards within specified timeframes. We expect to complete these acquisitions by 2027. We expect to make remaining payments when specific approvals are received and construction milestones are completed as follows: $13 million in the remainder of 2024, $13 million in 2026, and $108 million in 2027.</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have a commitment to acquire real estate in Waikiki, Hawaii for use in our Vacation Ownership segment via our involvement with a VIE. Refer to Footnote 15 “Variable Interest Entities” for additional information and our activities relating to the VIE involved in this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$32 million of letters of credit outstanding under our Revolving Corporate Credit Facility (as defined in Footnote 12 “Debt”), of which $31 million were related to and in lieu of reserves required for our most recent outstanding securitization transactions completed during the first quarter of 2024 and the fourth quarter of 2023. In addition, as of June 30, 2024, we had $1 million in letters of credit outstanding that were not issued pursuant to, nor do they impact our borrowing capacity under, the Revolving Corporate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 issued as of June 30, 2024 totaled $129 million, the majority of which were requested by federal, state or local governments in connection with our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June 30, 2024, our maximum exposure under fixed dollar guarantees was $4 million, of which $1 million, $1 million, $1 million, $1 million, and less than $1 million relate to the remainder of 2024, 2025, 2026, 2027, and 2028,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June 30, 2024, our expected commitment for the remainder of 2024 is $10 million, which will ultimately be recorded as a component of rental expense on our income statement.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Loss Contingencies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Plaintiff’s appeal of the September 2023 ruling was dismissed as untimely by the appellate court on June 10,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accrued for the matter described above and we cannot estimate a range of the potential liability associated with this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asserted, unfavorable rulings could occur that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90" w:type="dxa"/>
        <w:jc w:val="left"/>
        <w:tblInd w:w="0" w:type="dxa"/>
        <w:tblLayout w:type="fixed"/>
        <w:tblCellMar>
          <w:top w:w="28" w:type="dxa"/>
          <w:left w:w="28" w:type="dxa"/>
          <w:bottom w:w="28" w:type="dxa"/>
          <w:right w:w="28" w:type="dxa"/>
        </w:tblCellMar>
      </w:tblPr>
      <w:tblGrid>
        <w:gridCol w:w="152"/>
        <w:gridCol w:w="134"/>
        <w:gridCol w:w="134"/>
        <w:gridCol w:w="606"/>
        <w:gridCol w:w="606"/>
        <w:gridCol w:w="85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11.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SECURITIZED DEBT</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on our securitized debt, net of unamortized debt discount and issuance costs.</w:t>
      </w:r>
    </w:p>
    <w:tbl>
      <w:tblPr>
        <w:tblW w:w="8767" w:type="dxa"/>
        <w:jc w:val="center"/>
        <w:tblInd w:w="0" w:type="dxa"/>
        <w:tblLayout w:type="fixed"/>
        <w:tblCellMar>
          <w:top w:w="28" w:type="dxa"/>
          <w:left w:w="28" w:type="dxa"/>
          <w:bottom w:w="28" w:type="dxa"/>
          <w:right w:w="28" w:type="dxa"/>
        </w:tblCellMar>
      </w:tblPr>
      <w:tblGrid>
        <w:gridCol w:w="945"/>
        <w:gridCol w:w="831"/>
        <w:gridCol w:w="831"/>
        <w:gridCol w:w="831"/>
        <w:gridCol w:w="831"/>
        <w:gridCol w:w="857"/>
        <w:gridCol w:w="322"/>
        <w:gridCol w:w="943"/>
        <w:gridCol w:w="166"/>
        <w:gridCol w:w="111"/>
        <w:gridCol w:w="111"/>
        <w:gridCol w:w="111"/>
        <w:gridCol w:w="403"/>
        <w:gridCol w:w="1180"/>
        <w:gridCol w:w="29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5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51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Vacation ownership notes receivable securitizations, gross</w:t>
            </w:r>
            <w:r>
              <w:rPr>
                <w:rFonts w:ascii="Times New Roman;sans-serif" w:hAnsi="Times New Roman;sans-serif"/>
                <w:b w:val="false"/>
                <w:color w:val="000000"/>
                <w:sz w:val="12"/>
              </w:rPr>
              <w:t>(1)</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Warehouse Credit Facility, gross</w:t>
            </w:r>
            <w:r>
              <w:rPr>
                <w:rFonts w:ascii="Times New Roman;sans-serif" w:hAnsi="Times New Roman;sans-serif"/>
                <w:b w:val="false"/>
                <w:color w:val="000000"/>
                <w:sz w:val="12"/>
              </w:rPr>
              <w:t>(2)</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6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7"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rates as of June 30, 2024 range from 1.5% to 6.6%, with a weighted average interest rate of 4.7%.</w:t>
            </w:r>
          </w:p>
        </w:tc>
      </w:tr>
      <w:tr>
        <w:trPr/>
        <w:tc>
          <w:tcPr>
            <w:tcW w:w="8767"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The effective interest rate as of June 30, 2024 was 6.6%. </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our securitized debt is non-recourse. See Footnote 15 “Variable Interest Entities” for a discussion of the collateral for the non-recourse debt associated with our securitized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anticipated future principal payments for our securitized debt as of June 30, 2024.</w:t>
      </w:r>
    </w:p>
    <w:tbl>
      <w:tblPr>
        <w:tblW w:w="7604" w:type="dxa"/>
        <w:jc w:val="center"/>
        <w:tblInd w:w="0" w:type="dxa"/>
        <w:tblLayout w:type="fixed"/>
        <w:tblCellMar>
          <w:top w:w="28" w:type="dxa"/>
          <w:left w:w="28" w:type="dxa"/>
          <w:bottom w:w="28" w:type="dxa"/>
          <w:right w:w="28" w:type="dxa"/>
        </w:tblCellMar>
      </w:tblPr>
      <w:tblGrid>
        <w:gridCol w:w="527"/>
        <w:gridCol w:w="463"/>
        <w:gridCol w:w="464"/>
        <w:gridCol w:w="577"/>
        <w:gridCol w:w="1688"/>
        <w:gridCol w:w="300"/>
        <w:gridCol w:w="109"/>
        <w:gridCol w:w="109"/>
        <w:gridCol w:w="109"/>
        <w:gridCol w:w="406"/>
        <w:gridCol w:w="897"/>
        <w:gridCol w:w="211"/>
        <w:gridCol w:w="109"/>
        <w:gridCol w:w="109"/>
        <w:gridCol w:w="109"/>
        <w:gridCol w:w="109"/>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br/>
              <w:t>Notes Receivable 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Warehouse Credit</w:t>
            </w:r>
          </w:p>
          <w:p>
            <w:pPr>
              <w:pStyle w:val="TableContents"/>
              <w:bidi w:val="0"/>
              <w:spacing w:lineRule="auto" w:line="240" w:before="0" w:after="0"/>
              <w:jc w:val="center"/>
              <w:rPr/>
            </w:pPr>
            <w:r>
              <w:rPr>
                <w:rFonts w:ascii="Times New Roman;sans-serif" w:hAnsi="Times New Roman;sans-serif"/>
                <w:b/>
                <w:color w:val="000000"/>
                <w:sz w:val="18"/>
              </w:rPr>
              <w:t>Facility</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Payment Year</w:t>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1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6296" w:type="dxa"/>
            <w:gridSpan w:val="16"/>
            <w:tcBorders/>
            <w:tcMar>
              <w:top w:w="0" w:type="dxa"/>
              <w:left w:w="0" w:type="dxa"/>
              <w:bottom w:w="0" w:type="dxa"/>
              <w:right w:w="0" w:type="dxa"/>
            </w:tcMar>
            <w:vAlign w:val="center"/>
          </w:tcPr>
          <w:p>
            <w:pPr>
              <w:pStyle w:val="TableContents"/>
              <w:bidi w:val="0"/>
              <w:spacing w:lineRule="auto" w:line="240" w:before="60" w:after="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future Warehouse Credit Facility renewals.</w:t>
            </w:r>
          </w:p>
        </w:tc>
        <w:tc>
          <w:tcPr>
            <w:tcW w:w="1308"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Vacation Ownership Notes Receivable Securitizations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2024, and as of June 30, 2024, we had 14 securitized vacation ownership notes receivable pools outstanding, none of which were out of compliance with their respective established parameters.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we securitized a pool of $439 million of vacation ownership notes receivable. In connection with the securitization, $430 million in vacation ownership loan backed notes were issued by MVW 2024-1 LLC (the “2024-1 LLC”) in a private placement. Three classes of vacation ownership loan backed notes were issued by the 2024-1 LLC: $284 million of Class A Notes, $89 million of Class B Notes, and $57 million of Class C Notes.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Notes have an interest rate of 5.32%, the Class B Notes have an interest rate of 5.51%, and the Class C Notes have an interest rate of 6.20%, for an overall weighted average interest rate of 5.48%. Proceeds from the transaction, net of fees and a reserve, were used to repay the outstanding obligations on our warehouse credit facility (the “Warehouse Credit Facility”) and for other general corporate purposes.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Warehouse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we amended certain agreements associated with our Warehouse Credit Facility (the “Warehouse Amendment”). The Warehouse Amendment extended the revolving period from May 31, 2025 to June 11, 2026, and modified the benchmark interest rate applicable to most borrowings under the Warehouse Credit Facility to the Secured Overnight Financing Rate (“SOFR”). The Warehouse Amendment removed the use of Adjusted SOFR, which was defined as SOFR plus a 0.10% adjustment. Additionally, as part of the Warehouse Amendment, the credit spread was changed from 135 basis points over Adjusted SOFR to 115 basis points over SOFR. The Warehouse Amendment made no other material changes to the Warehouse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11" w:type="dxa"/>
        <w:jc w:val="left"/>
        <w:tblInd w:w="0" w:type="dxa"/>
        <w:tblLayout w:type="fixed"/>
        <w:tblCellMar>
          <w:top w:w="28" w:type="dxa"/>
          <w:left w:w="28" w:type="dxa"/>
          <w:bottom w:w="28" w:type="dxa"/>
          <w:right w:w="28" w:type="dxa"/>
        </w:tblCellMar>
      </w:tblPr>
      <w:tblGrid>
        <w:gridCol w:w="152"/>
        <w:gridCol w:w="134"/>
        <w:gridCol w:w="134"/>
        <w:gridCol w:w="202"/>
        <w:gridCol w:w="202"/>
        <w:gridCol w:w="28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12.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on our debt balances, net of unamortized debt discount and issuance costs.</w:t>
      </w:r>
    </w:p>
    <w:tbl>
      <w:tblPr>
        <w:tblW w:w="8561" w:type="dxa"/>
        <w:jc w:val="center"/>
        <w:tblInd w:w="0" w:type="dxa"/>
        <w:tblLayout w:type="fixed"/>
        <w:tblCellMar>
          <w:top w:w="28" w:type="dxa"/>
          <w:left w:w="28" w:type="dxa"/>
          <w:bottom w:w="28" w:type="dxa"/>
          <w:right w:w="28" w:type="dxa"/>
        </w:tblCellMar>
      </w:tblPr>
      <w:tblGrid>
        <w:gridCol w:w="425"/>
        <w:gridCol w:w="373"/>
        <w:gridCol w:w="373"/>
        <w:gridCol w:w="1735"/>
        <w:gridCol w:w="1046"/>
        <w:gridCol w:w="1059"/>
        <w:gridCol w:w="314"/>
        <w:gridCol w:w="918"/>
        <w:gridCol w:w="162"/>
        <w:gridCol w:w="109"/>
        <w:gridCol w:w="109"/>
        <w:gridCol w:w="109"/>
        <w:gridCol w:w="393"/>
        <w:gridCol w:w="1149"/>
        <w:gridCol w:w="287"/>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 Credit Facility</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w:t>
            </w:r>
            <w:r>
              <w:rPr>
                <w:rFonts w:ascii="Times New Roman;sans-serif" w:hAnsi="Times New Roman;sans-serif"/>
                <w:b w:val="false"/>
                <w:color w:val="000000"/>
                <w:sz w:val="12"/>
              </w:rPr>
              <w:t>(1)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Corporate Credit Facility</w:t>
            </w:r>
            <w:r>
              <w:rPr>
                <w:rFonts w:ascii="Times New Roman;sans-serif" w:hAnsi="Times New Roman;sans-serif"/>
                <w:b w:val="false"/>
                <w:color w:val="000000"/>
                <w:sz w:val="12"/>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Unsecured Notes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Convertible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Convertible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note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1"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effective interest rate as of June 30, 2024 was 7.6%.</w:t>
            </w:r>
          </w:p>
        </w:tc>
      </w:tr>
      <w:tr>
        <w:trPr/>
        <w:tc>
          <w:tcPr>
            <w:tcW w:w="8561"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effective interest rate as of June 30, 2024 was 7.4%.</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390" w:type="dxa"/>
            <w:gridSpan w:val="1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scheduled principal payments for our debt, excluding finance leases, as of June 30, 2024.</w:t>
      </w:r>
    </w:p>
    <w:tbl>
      <w:tblPr>
        <w:tblW w:w="10205" w:type="dxa"/>
        <w:jc w:val="center"/>
        <w:tblInd w:w="0" w:type="dxa"/>
        <w:tblLayout w:type="fixed"/>
        <w:tblCellMar>
          <w:top w:w="28" w:type="dxa"/>
          <w:left w:w="28" w:type="dxa"/>
          <w:bottom w:w="28" w:type="dxa"/>
          <w:right w:w="28" w:type="dxa"/>
        </w:tblCellMar>
      </w:tblPr>
      <w:tblGrid>
        <w:gridCol w:w="851"/>
        <w:gridCol w:w="707"/>
        <w:gridCol w:w="658"/>
        <w:gridCol w:w="429"/>
        <w:gridCol w:w="521"/>
        <w:gridCol w:w="223"/>
        <w:gridCol w:w="109"/>
        <w:gridCol w:w="109"/>
        <w:gridCol w:w="109"/>
        <w:gridCol w:w="211"/>
        <w:gridCol w:w="25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7"/>
      </w:tblGrid>
      <w:tr>
        <w:trPr/>
        <w:tc>
          <w:tcPr>
            <w:tcW w:w="85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Year</w:t>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Corporate Credit Facility</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Convertible Notes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Convertible Notes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Corporate Credit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credit facility (“Corporate Credit Facility”), which provides support for our business, including ongoing liquidity and letters of credit, includes a term loan facility (the “Term Loan”), and a revolving credit facility with a borrowing capacity of $750 million (the “Revolving Corporate Credit Facility”), which includes a letter of credit sub-facility of $75 million, that terminates on March 31, 2027.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we entered into an amendment to the Corporate Credit Facility (the “Amendment”), which, among other things, provided for a new $800 million term loan facility scheduled to mature on April 1, 2031 (the “New Term Loan”). Prior to the Amendment, the Corporate Credit Facility included a $900 million term loan facility. The proceeds of the New Term Loan were used to refinance, in full, the Term Loan, which had a balance of $784 million as of March 31, 2024 and was scheduled to mature on August 31, 2025. The interest rate applicable to the New Term Loan is SOFR plus 2.25%. There were no changes to the borrowing capacity or the termination date of the Revolving Corporate Credit Facility or its letter of credit sub-facility.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2024, $200 million of interest rate swaps and a $100 million interest rate collar that were entered into prior to 2023 to hedge a portion of our interest rate risk on the Term Loan expired and are no longer recorded on our Balance Sheet as of June 30, 2024. Both the interest rate swap and the interest rate collar were designated and qualified as cash flow hedges of interest rate risk and were recorded in Other assets on our Balance Sheets as of December 31, 2023. We characterized payments we made or received in connection with these derivative instruments as interest expense and a reclassification of accumulated other comprehensive income or loss for presentation purposes.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activity in accumulated other comprehensive income or loss related to our derivative instruments during the first half of 2024 and 2023. There were no reclassifications to the Income Statement for any of the periods presented below.</w:t>
      </w:r>
    </w:p>
    <w:tbl>
      <w:tblPr>
        <w:tblW w:w="6159" w:type="dxa"/>
        <w:jc w:val="center"/>
        <w:tblInd w:w="0" w:type="dxa"/>
        <w:tblLayout w:type="fixed"/>
        <w:tblCellMar>
          <w:top w:w="28" w:type="dxa"/>
          <w:left w:w="28" w:type="dxa"/>
          <w:bottom w:w="28" w:type="dxa"/>
          <w:right w:w="28" w:type="dxa"/>
        </w:tblCellMar>
      </w:tblPr>
      <w:tblGrid>
        <w:gridCol w:w="1588"/>
        <w:gridCol w:w="1394"/>
        <w:gridCol w:w="1398"/>
        <w:gridCol w:w="211"/>
        <w:gridCol w:w="406"/>
        <w:gridCol w:w="109"/>
        <w:gridCol w:w="109"/>
        <w:gridCol w:w="109"/>
        <w:gridCol w:w="109"/>
        <w:gridCol w:w="211"/>
        <w:gridCol w:w="361"/>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 balance,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 balance, March 31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 adjustment balance,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notes include: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$350 million aggregate principal amount of 4.750% Senior Unsecured Notes due 2028 issued in the fourth quarter of 2019 with a maturity date of January 15, 2028 (the “2028 Notes”).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$500 million aggregate principal amount of 4.500% Senior Unsecured Notes due 2029 issued in the second quarter of 2021 with a maturity date of June 15, 2029 (the “2029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2026 Convertible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rate of the 2026 Convertible Notes is subject to adjustment for certain events as described in the indenture governing the notes and was subject to adjustment as of June 30, 2024 to 6.2577 shares of common stock per $1,000 principal amount of 2026 Convertible Notes (equivalent to a conversion price of $159.80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June 30, 2024, the effective interest rate was 0.55%.</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interest expense information related to the 2026 Convertible Notes.</w:t>
      </w:r>
    </w:p>
    <w:tbl>
      <w:tblPr>
        <w:tblW w:w="8715" w:type="dxa"/>
        <w:jc w:val="center"/>
        <w:tblInd w:w="0" w:type="dxa"/>
        <w:tblLayout w:type="fixed"/>
        <w:tblCellMar>
          <w:top w:w="28" w:type="dxa"/>
          <w:left w:w="28" w:type="dxa"/>
          <w:bottom w:w="28" w:type="dxa"/>
          <w:right w:w="28" w:type="dxa"/>
        </w:tblCellMar>
      </w:tblPr>
      <w:tblGrid>
        <w:gridCol w:w="1086"/>
        <w:gridCol w:w="952"/>
        <w:gridCol w:w="962"/>
        <w:gridCol w:w="423"/>
        <w:gridCol w:w="513"/>
        <w:gridCol w:w="218"/>
        <w:gridCol w:w="129"/>
        <w:gridCol w:w="129"/>
        <w:gridCol w:w="129"/>
        <w:gridCol w:w="423"/>
        <w:gridCol w:w="513"/>
        <w:gridCol w:w="218"/>
        <w:gridCol w:w="109"/>
        <w:gridCol w:w="109"/>
        <w:gridCol w:w="109"/>
        <w:gridCol w:w="423"/>
        <w:gridCol w:w="514"/>
        <w:gridCol w:w="217"/>
        <w:gridCol w:w="113"/>
        <w:gridCol w:w="113"/>
        <w:gridCol w:w="113"/>
        <w:gridCol w:w="408"/>
        <w:gridCol w:w="495"/>
        <w:gridCol w:w="297"/>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2026 Convertible Note Hedges and Warrants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2026 Convertible Notes, we concurrently entered into the following privately-negotiated separate transactions: convertible note hedge transactions with respect to our common stock (the “2026 Convertible Note Hedges”), covering a total of 3.6 million shares of our common stock, and warrant transactions (the “2026 Warrants”), whereby we sold to the counterparties to the 2026 Convertible Note Hedges warrants to acquire 3.6 million shares of our common stock, in each case, as of June 30, 2024. The strike prices of the 2026 Convertible Note Hedges and the 2026 Warrants were subject to adjustment to $159.80 and $199.75, respectively, as of June 30, 2024, and no 2026 Convertible Note Hedges or 2026 Warrants have been exercised.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2027 Convertible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rate of the 2027 Convertible Notes is subject to adjustment for certain events as described in the indenture governing the notes and was subject to adjustment as of June 30, 2024 to 5.2798 shares of common stock per $1,000 principal amount of 2027 Convertible Notes (equivalent to a conversion price of $189.40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June 30, 2024, the effective interest rate was 3.88%.</w:t>
      </w:r>
    </w:p>
    <w:p>
      <w:pPr>
        <w:pStyle w:val="TextBody"/>
        <w:bidi w:val="0"/>
        <w:spacing w:lineRule="auto" w:line="288" w:before="120" w:after="283"/>
        <w:jc w:val="left"/>
        <w:rPr/>
      </w:pPr>
      <w:r>
        <w:rPr>
          <w:rFonts w:ascii="Times New Roman;sans-serif" w:hAnsi="Times New Roman;sans-serif"/>
          <w:b w:val="false"/>
          <w:color w:val="000000"/>
          <w:sz w:val="20"/>
        </w:rPr>
        <w:t>The following table shows interest expense information related to the 2027 Convertible Notes</w:t>
      </w:r>
      <w:r>
        <w:rPr>
          <w:rFonts w:ascii="Times New Roman;sans-serif" w:hAnsi="Times New Roman;sans-serif"/>
          <w:b w:val="false"/>
          <w:color w:val="EE2724"/>
          <w:sz w:val="20"/>
        </w:rPr>
        <w:t>.</w:t>
      </w:r>
    </w:p>
    <w:tbl>
      <w:tblPr>
        <w:tblW w:w="8704" w:type="dxa"/>
        <w:jc w:val="center"/>
        <w:tblInd w:w="0" w:type="dxa"/>
        <w:tblLayout w:type="fixed"/>
        <w:tblCellMar>
          <w:top w:w="28" w:type="dxa"/>
          <w:left w:w="28" w:type="dxa"/>
          <w:bottom w:w="28" w:type="dxa"/>
          <w:right w:w="28" w:type="dxa"/>
        </w:tblCellMar>
      </w:tblPr>
      <w:tblGrid>
        <w:gridCol w:w="1088"/>
        <w:gridCol w:w="955"/>
        <w:gridCol w:w="957"/>
        <w:gridCol w:w="423"/>
        <w:gridCol w:w="513"/>
        <w:gridCol w:w="218"/>
        <w:gridCol w:w="129"/>
        <w:gridCol w:w="129"/>
        <w:gridCol w:w="129"/>
        <w:gridCol w:w="423"/>
        <w:gridCol w:w="513"/>
        <w:gridCol w:w="218"/>
        <w:gridCol w:w="109"/>
        <w:gridCol w:w="109"/>
        <w:gridCol w:w="109"/>
        <w:gridCol w:w="358"/>
        <w:gridCol w:w="612"/>
        <w:gridCol w:w="185"/>
        <w:gridCol w:w="109"/>
        <w:gridCol w:w="109"/>
        <w:gridCol w:w="109"/>
        <w:gridCol w:w="349"/>
        <w:gridCol w:w="597"/>
        <w:gridCol w:w="254"/>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2027 Convertible Note Hedges and Warrants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June 30, 2024. The strike prices of the 2027 Convertible Note Hedges and the 2027 Warrants were subject to adjustment to $189.40 and $285.89, respectively, as of June 30, 2024, and no 2027 Convertible Note Hedges or 2027 Warrants have been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Security and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60" w:type="dxa"/>
        <w:jc w:val="left"/>
        <w:tblInd w:w="0" w:type="dxa"/>
        <w:tblLayout w:type="fixed"/>
        <w:tblCellMar>
          <w:top w:w="28" w:type="dxa"/>
          <w:left w:w="28" w:type="dxa"/>
          <w:bottom w:w="28" w:type="dxa"/>
          <w:right w:w="28" w:type="dxa"/>
        </w:tblCellMar>
      </w:tblPr>
      <w:tblGrid>
        <w:gridCol w:w="152"/>
        <w:gridCol w:w="134"/>
        <w:gridCol w:w="134"/>
        <w:gridCol w:w="773"/>
        <w:gridCol w:w="773"/>
        <w:gridCol w:w="10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13.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Vacations Worldwide has 100,000,000 authorized shares of common stock, par value of $0.01 per share. At June 30, 2024, there were 75,847,792 shares of Marriott Vacations Worldwide common stock issued, of which 35,056,045 shares were outstanding and 40,791,747 shares were held as treasury stock. At December 31, 2023, there were 75,807,882 shares of Marriott Vacations Worldwide common stock issued, of which 35,319,306 shares were outstanding and 40,488,576 shares were held as treasury stock. Marriott Vacations Worldwide has 2,000,000 authorized shares of preferred stock, par value of $0.01 per share, none of which were issued or outstanding as of June 30, 2024 or December 31,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jc w:val="left"/>
        <w:rPr/>
      </w:pPr>
      <w:r>
        <w:rPr>
          <w:rFonts w:ascii="Times New Roman;sans-serif" w:hAnsi="Times New Roman;sans-serif"/>
          <w:b w:val="false"/>
          <w:color w:val="000000"/>
          <w:sz w:val="20"/>
        </w:rPr>
        <w:t>From time to time, with the approval of our Board of Directors, we may undertake programs to purchase shares of our common stock (each, a “Share Repurchase Program”).</w:t>
      </w:r>
      <w:r>
        <w:rPr>
          <w:color w:val="EE2724"/>
        </w:rPr>
        <w:t xml:space="preserve"> </w:t>
      </w:r>
      <w:r>
        <w:rPr>
          <w:rFonts w:ascii="Times New Roman;sans-serif" w:hAnsi="Times New Roman;sans-serif"/>
          <w:b w:val="false"/>
          <w:color w:val="000000"/>
          <w:sz w:val="20"/>
        </w:rPr>
        <w:t xml:space="preserve">As of June 30, 2024, approximately $402 million remained available for share repurchases under the current Share Repurchase Program, which authorizes share repurchases through December 31,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25,141,073 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half of 2024</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410,377 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25,551,450 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declared cash dividends to holders of common stock during the first half of 2024 as follows. Any future dividend payments will be subject to the restrictions imposed under the agreements covering our debt and approval of our Board of Directors. There can be no assurance that we will pay dividends in the future.</w:t>
      </w:r>
    </w:p>
    <w:tbl>
      <w:tblPr>
        <w:tblW w:w="7729"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3570" w:type="dxa"/>
        <w:jc w:val="left"/>
        <w:tblInd w:w="0" w:type="dxa"/>
        <w:tblLayout w:type="fixed"/>
        <w:tblCellMar>
          <w:top w:w="28" w:type="dxa"/>
          <w:left w:w="28" w:type="dxa"/>
          <w:bottom w:w="28" w:type="dxa"/>
          <w:right w:w="28" w:type="dxa"/>
        </w:tblCellMar>
      </w:tblPr>
      <w:tblGrid>
        <w:gridCol w:w="152"/>
        <w:gridCol w:w="134"/>
        <w:gridCol w:w="134"/>
        <w:gridCol w:w="923"/>
        <w:gridCol w:w="923"/>
        <w:gridCol w:w="130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14.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SHARE-BASED COMPENSATION</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our stockholders approved the Amended and Restated Marriott Vacations Worldwide Corporation 2020 Equity Incentive Plan (the “MVW Equity Plan”). 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are authorized for issuance pursuant to grants under the MVW Equity Plan. As of June 30, 2024, approximately 2 million shares were available for grants under the MVW Equity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share-based compensation expense related to award grants to our officers, directors, and employees:</w:t>
      </w:r>
    </w:p>
    <w:tbl>
      <w:tblPr>
        <w:tblW w:w="7803" w:type="dxa"/>
        <w:jc w:val="center"/>
        <w:tblInd w:w="0" w:type="dxa"/>
        <w:tblLayout w:type="fixed"/>
        <w:tblCellMar>
          <w:top w:w="28" w:type="dxa"/>
          <w:left w:w="28" w:type="dxa"/>
          <w:bottom w:w="28" w:type="dxa"/>
          <w:right w:w="28" w:type="dxa"/>
        </w:tblCellMar>
      </w:tblPr>
      <w:tblGrid>
        <w:gridCol w:w="777"/>
        <w:gridCol w:w="682"/>
        <w:gridCol w:w="686"/>
        <w:gridCol w:w="358"/>
        <w:gridCol w:w="613"/>
        <w:gridCol w:w="184"/>
        <w:gridCol w:w="113"/>
        <w:gridCol w:w="113"/>
        <w:gridCol w:w="113"/>
        <w:gridCol w:w="358"/>
        <w:gridCol w:w="613"/>
        <w:gridCol w:w="184"/>
        <w:gridCol w:w="109"/>
        <w:gridCol w:w="109"/>
        <w:gridCol w:w="109"/>
        <w:gridCol w:w="358"/>
        <w:gridCol w:w="612"/>
        <w:gridCol w:w="185"/>
        <w:gridCol w:w="109"/>
        <w:gridCol w:w="109"/>
        <w:gridCol w:w="109"/>
        <w:gridCol w:w="349"/>
        <w:gridCol w:w="597"/>
        <w:gridCol w:w="2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RSUs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RSUs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deferred compensation costs related to unvested awards:</w:t>
      </w:r>
    </w:p>
    <w:tbl>
      <w:tblPr>
        <w:tblW w:w="5696" w:type="dxa"/>
        <w:jc w:val="center"/>
        <w:tblInd w:w="0" w:type="dxa"/>
        <w:tblLayout w:type="fixed"/>
        <w:tblCellMar>
          <w:top w:w="28" w:type="dxa"/>
          <w:left w:w="28" w:type="dxa"/>
          <w:bottom w:w="28" w:type="dxa"/>
          <w:right w:w="28" w:type="dxa"/>
        </w:tblCellMar>
      </w:tblPr>
      <w:tblGrid>
        <w:gridCol w:w="777"/>
        <w:gridCol w:w="682"/>
        <w:gridCol w:w="686"/>
        <w:gridCol w:w="432"/>
        <w:gridCol w:w="740"/>
        <w:gridCol w:w="223"/>
        <w:gridCol w:w="109"/>
        <w:gridCol w:w="109"/>
        <w:gridCol w:w="109"/>
        <w:gridCol w:w="531"/>
        <w:gridCol w:w="909"/>
        <w:gridCol w:w="389"/>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RSUs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RSUs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granted 399,680 service-based RSUs, which are subject to time-based vesting conditions, with a weighted average grant-date fair value of $87.62, to our employees and non-employee directors during the first half of 2024. During the first half of 2024, we also granted performance-based RSUs, which are subject to performance-based vesting conditions, to members of management. A maximum of 204,020 RSUs may be earned under the performance-based RSU awards granted during the first half of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granted 86,759 SARs, with a weighted average grant-date fair value of $34.58 and a weighted average exercise price of $93.73, to members of management during the first half of 2024.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the assumptions used to estimate the fair value of grants during the first half of 2024:</w:t>
      </w:r>
    </w:p>
    <w:tbl>
      <w:tblPr>
        <w:tblW w:w="2865" w:type="dxa"/>
        <w:jc w:val="center"/>
        <w:tblInd w:w="0" w:type="dxa"/>
        <w:tblLayout w:type="fixed"/>
        <w:tblCellMar>
          <w:top w:w="28" w:type="dxa"/>
          <w:left w:w="28" w:type="dxa"/>
          <w:bottom w:w="28" w:type="dxa"/>
          <w:right w:w="28" w:type="dxa"/>
        </w:tblCellMar>
      </w:tblPr>
      <w:tblGrid>
        <w:gridCol w:w="756"/>
        <w:gridCol w:w="663"/>
        <w:gridCol w:w="666"/>
        <w:gridCol w:w="228"/>
        <w:gridCol w:w="228"/>
        <w:gridCol w:w="32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45.78%</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3599" w:type="dxa"/>
        <w:jc w:val="left"/>
        <w:tblInd w:w="0" w:type="dxa"/>
        <w:tblLayout w:type="fixed"/>
        <w:tblCellMar>
          <w:top w:w="28" w:type="dxa"/>
          <w:left w:w="28" w:type="dxa"/>
          <w:bottom w:w="28" w:type="dxa"/>
          <w:right w:w="28" w:type="dxa"/>
        </w:tblCellMar>
      </w:tblPr>
      <w:tblGrid>
        <w:gridCol w:w="152"/>
        <w:gridCol w:w="134"/>
        <w:gridCol w:w="134"/>
        <w:gridCol w:w="931"/>
        <w:gridCol w:w="931"/>
        <w:gridCol w:w="131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15.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Variable Interest Entities Related to Our Vacation Ownership Notes Receivable Securitizations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consolidated assets, which are collateral for the obligations of the VIEs related to our vacation ownership notes receivable securitizations, and consolidated liabilities included on our Balance Sheet at June 30, 2024:</w:t>
      </w:r>
    </w:p>
    <w:tbl>
      <w:tblPr>
        <w:tblW w:w="8879" w:type="dxa"/>
        <w:jc w:val="center"/>
        <w:tblInd w:w="0" w:type="dxa"/>
        <w:tblLayout w:type="fixed"/>
        <w:tblCellMar>
          <w:top w:w="28" w:type="dxa"/>
          <w:left w:w="28" w:type="dxa"/>
          <w:bottom w:w="28" w:type="dxa"/>
          <w:right w:w="28" w:type="dxa"/>
        </w:tblCellMar>
      </w:tblPr>
      <w:tblGrid>
        <w:gridCol w:w="1577"/>
        <w:gridCol w:w="1382"/>
        <w:gridCol w:w="1391"/>
        <w:gridCol w:w="381"/>
        <w:gridCol w:w="1115"/>
        <w:gridCol w:w="198"/>
        <w:gridCol w:w="109"/>
        <w:gridCol w:w="109"/>
        <w:gridCol w:w="109"/>
        <w:gridCol w:w="322"/>
        <w:gridCol w:w="711"/>
        <w:gridCol w:w="167"/>
        <w:gridCol w:w="109"/>
        <w:gridCol w:w="109"/>
        <w:gridCol w:w="109"/>
        <w:gridCol w:w="211"/>
        <w:gridCol w:w="61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Assets</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 of reserves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Liabilities</w:t>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interest income and expense recognized as a result of our involvement with these VIEs during the second quarter of 2024:</w:t>
      </w:r>
    </w:p>
    <w:tbl>
      <w:tblPr>
        <w:tblW w:w="6972" w:type="dxa"/>
        <w:jc w:val="center"/>
        <w:tblInd w:w="0" w:type="dxa"/>
        <w:tblLayout w:type="fixed"/>
        <w:tblCellMar>
          <w:top w:w="28" w:type="dxa"/>
          <w:left w:w="28" w:type="dxa"/>
          <w:bottom w:w="28" w:type="dxa"/>
          <w:right w:w="28" w:type="dxa"/>
        </w:tblCellMar>
      </w:tblPr>
      <w:tblGrid>
        <w:gridCol w:w="979"/>
        <w:gridCol w:w="858"/>
        <w:gridCol w:w="862"/>
        <w:gridCol w:w="524"/>
        <w:gridCol w:w="898"/>
        <w:gridCol w:w="272"/>
        <w:gridCol w:w="109"/>
        <w:gridCol w:w="109"/>
        <w:gridCol w:w="109"/>
        <w:gridCol w:w="439"/>
        <w:gridCol w:w="532"/>
        <w:gridCol w:w="228"/>
        <w:gridCol w:w="109"/>
        <w:gridCol w:w="109"/>
        <w:gridCol w:w="109"/>
        <w:gridCol w:w="211"/>
        <w:gridCol w:w="361"/>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 amortization</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interest income and expense recognized as a result of our involvement with these VIEs during the first half of 2024:</w:t>
      </w:r>
    </w:p>
    <w:tbl>
      <w:tblPr>
        <w:tblW w:w="7078" w:type="dxa"/>
        <w:jc w:val="center"/>
        <w:tblInd w:w="0" w:type="dxa"/>
        <w:tblLayout w:type="fixed"/>
        <w:tblCellMar>
          <w:top w:w="28" w:type="dxa"/>
          <w:left w:w="28" w:type="dxa"/>
          <w:bottom w:w="28" w:type="dxa"/>
          <w:right w:w="28" w:type="dxa"/>
        </w:tblCellMar>
      </w:tblPr>
      <w:tblGrid>
        <w:gridCol w:w="979"/>
        <w:gridCol w:w="858"/>
        <w:gridCol w:w="862"/>
        <w:gridCol w:w="454"/>
        <w:gridCol w:w="1004"/>
        <w:gridCol w:w="236"/>
        <w:gridCol w:w="109"/>
        <w:gridCol w:w="109"/>
        <w:gridCol w:w="109"/>
        <w:gridCol w:w="348"/>
        <w:gridCol w:w="670"/>
        <w:gridCol w:w="182"/>
        <w:gridCol w:w="109"/>
        <w:gridCol w:w="109"/>
        <w:gridCol w:w="109"/>
        <w:gridCol w:w="211"/>
        <w:gridCol w:w="46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 amortization</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expenses</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cash flows between us and the vacation ownership notes receivable securitization VIEs:</w:t>
      </w:r>
    </w:p>
    <w:tbl>
      <w:tblPr>
        <w:tblW w:w="8635" w:type="dxa"/>
        <w:jc w:val="center"/>
        <w:tblInd w:w="0" w:type="dxa"/>
        <w:tblLayout w:type="fixed"/>
        <w:tblCellMar>
          <w:top w:w="28" w:type="dxa"/>
          <w:left w:w="28" w:type="dxa"/>
          <w:bottom w:w="28" w:type="dxa"/>
          <w:right w:w="28" w:type="dxa"/>
        </w:tblCellMar>
      </w:tblPr>
      <w:tblGrid>
        <w:gridCol w:w="2465"/>
        <w:gridCol w:w="1740"/>
        <w:gridCol w:w="1749"/>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Outflows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clean-up call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cash flows between us and the Warehouse Credit Facility VIE:</w:t>
      </w:r>
    </w:p>
    <w:tbl>
      <w:tblPr>
        <w:tblW w:w="8636" w:type="dxa"/>
        <w:jc w:val="center"/>
        <w:tblInd w:w="0" w:type="dxa"/>
        <w:tblLayout w:type="fixed"/>
        <w:tblCellMar>
          <w:top w:w="28" w:type="dxa"/>
          <w:left w:w="28" w:type="dxa"/>
          <w:bottom w:w="28" w:type="dxa"/>
          <w:right w:w="28" w:type="dxa"/>
        </w:tblCellMar>
      </w:tblPr>
      <w:tblGrid>
        <w:gridCol w:w="2465"/>
        <w:gridCol w:w="1740"/>
        <w:gridCol w:w="1750"/>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Outflows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Warehouse Credit Facility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Variable Interest Entities</w:t>
      </w:r>
    </w:p>
    <w:p>
      <w:pPr>
        <w:pStyle w:val="TextBody"/>
        <w:bidi w:val="0"/>
        <w:spacing w:lineRule="auto" w:line="288" w:before="120" w:after="283"/>
        <w:jc w:val="left"/>
        <w:rPr/>
      </w:pPr>
      <w:r>
        <w:rPr>
          <w:rFonts w:ascii="Times New Roman;sans-serif" w:hAnsi="Times New Roman;sans-serif"/>
          <w:b w:val="false"/>
          <w:color w:val="000000"/>
          <w:sz w:val="20"/>
        </w:rPr>
        <w:t>We have a commitment to purchase a property located in Waikiki, Hawaii.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We expect to acquire the property over time and as of June 30, 2024, we expect to make remaining payments for the property as follows: $65 million during the third quarter of 2024, $82 million in 2025, and $41 million in 2026. As of June 30, 2024, our Balance Sheet reflected $1 million in Accounts and contracts receivable, net, including a note receivable of less than $1 million, $14 million in Property and equipment, net, and $1 million in the Other line within liabilities on our Balance Sheets. We believe that our maximum exposure to loss as a result of our involvement with this VIE is approximately $16 million</w:t>
      </w:r>
      <w:r>
        <w:rPr>
          <w:color w:val="EE2724"/>
        </w:rPr>
        <w:t xml:space="preserve"> </w:t>
      </w:r>
      <w:r>
        <w:rPr>
          <w:rFonts w:ascii="Times New Roman;sans-serif" w:hAnsi="Times New Roman;sans-serif"/>
          <w:b w:val="false"/>
          <w:color w:val="000000"/>
          <w:sz w:val="20"/>
        </w:rPr>
        <w:t>as of June 30, 2024.</w:t>
      </w:r>
      <w:r>
        <w:rPr>
          <w:color w:val="EE2724"/>
        </w:rPr>
        <w:t xml:space="preserve"> </w:t>
      </w:r>
      <w:r>
        <w:rPr>
          <w:rFonts w:ascii="Times New Roman;sans-serif" w:hAnsi="Times New Roman;sans-serif"/>
          <w:b w:val="false"/>
          <w:color w:val="000000"/>
          <w:sz w:val="20"/>
        </w:rPr>
        <w:t>During the first half of 2024, we fulfilled our outstanding commitment to purchase retail space for $48 million and incurred $1 million of cost related to the fit-out of this space. We have an agreement to sell the retail space to a third party, at cost, upon completion of construction, which we expect to occur in the second half of 2024.</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Deferred Compensation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consolidate the liabilities of the Deferred Compensation Plan and the related assets, which consist of the COLI policies held in a rabbi trust. The rabbi trust is considered a VIE. We are the primary beneficiary of the rabbi trust because we direct the activities of the trust and are the beneficiary of the trust. At June 30, 2024 and December 31, 2023, the value of the assets held in the rabbi trust was $118 million and $99 million, respectively, and was included in the Other line within assets on our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152"/>
        <w:gridCol w:w="134"/>
        <w:gridCol w:w="134"/>
        <w:gridCol w:w="645"/>
        <w:gridCol w:w="645"/>
        <w:gridCol w:w="91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16.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pStyle w:val="TextBody"/>
        <w:bidi w:val="0"/>
        <w:spacing w:lineRule="auto" w:line="288" w:before="120" w:after="283"/>
        <w:jc w:val="left"/>
        <w:rPr/>
      </w:pPr>
      <w:r>
        <w:rPr>
          <w:rFonts w:ascii="Times New Roman;sans-serif" w:hAnsi="Times New Roman;sans-serif"/>
          <w:b w:val="false"/>
          <w:color w:val="000000"/>
          <w:sz w:val="20"/>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w:t>
      </w:r>
      <w:r>
        <w:rPr>
          <w:color w:val="EE2724"/>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attributable to common stockholders is presented below.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377" w:type="dxa"/>
        <w:jc w:val="center"/>
        <w:tblInd w:w="0" w:type="dxa"/>
        <w:tblLayout w:type="fixed"/>
        <w:tblCellMar>
          <w:top w:w="28" w:type="dxa"/>
          <w:left w:w="28" w:type="dxa"/>
          <w:bottom w:w="28" w:type="dxa"/>
          <w:right w:w="28" w:type="dxa"/>
        </w:tblCellMar>
      </w:tblPr>
      <w:tblGrid>
        <w:gridCol w:w="1353"/>
        <w:gridCol w:w="1188"/>
        <w:gridCol w:w="1193"/>
        <w:gridCol w:w="260"/>
        <w:gridCol w:w="760"/>
        <w:gridCol w:w="134"/>
        <w:gridCol w:w="109"/>
        <w:gridCol w:w="109"/>
        <w:gridCol w:w="109"/>
        <w:gridCol w:w="260"/>
        <w:gridCol w:w="760"/>
        <w:gridCol w:w="134"/>
        <w:gridCol w:w="109"/>
        <w:gridCol w:w="109"/>
        <w:gridCol w:w="109"/>
        <w:gridCol w:w="260"/>
        <w:gridCol w:w="760"/>
        <w:gridCol w:w="134"/>
        <w:gridCol w:w="109"/>
        <w:gridCol w:w="109"/>
        <w:gridCol w:w="109"/>
        <w:gridCol w:w="258"/>
        <w:gridCol w:w="754"/>
        <w:gridCol w:w="188"/>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&amp; Third-Party Management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Property Owners’ Associations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Adjusted EBITDA and Reconciliation to Net Income Attributable to Common Stockholders</w:t>
      </w:r>
    </w:p>
    <w:tbl>
      <w:tblPr>
        <w:tblW w:w="10205" w:type="dxa"/>
        <w:jc w:val="center"/>
        <w:tblInd w:w="0" w:type="dxa"/>
        <w:tblLayout w:type="fixed"/>
        <w:tblCellMar>
          <w:top w:w="28" w:type="dxa"/>
          <w:left w:w="28" w:type="dxa"/>
          <w:bottom w:w="28" w:type="dxa"/>
          <w:right w:w="28" w:type="dxa"/>
        </w:tblCellMar>
      </w:tblPr>
      <w:tblGrid>
        <w:gridCol w:w="1680"/>
        <w:gridCol w:w="1466"/>
        <w:gridCol w:w="1466"/>
        <w:gridCol w:w="306"/>
        <w:gridCol w:w="677"/>
        <w:gridCol w:w="158"/>
        <w:gridCol w:w="109"/>
        <w:gridCol w:w="109"/>
        <w:gridCol w:w="109"/>
        <w:gridCol w:w="306"/>
        <w:gridCol w:w="677"/>
        <w:gridCol w:w="158"/>
        <w:gridCol w:w="109"/>
        <w:gridCol w:w="109"/>
        <w:gridCol w:w="109"/>
        <w:gridCol w:w="306"/>
        <w:gridCol w:w="677"/>
        <w:gridCol w:w="158"/>
        <w:gridCol w:w="109"/>
        <w:gridCol w:w="109"/>
        <w:gridCol w:w="109"/>
        <w:gridCol w:w="300"/>
        <w:gridCol w:w="665"/>
        <w:gridCol w:w="224"/>
      </w:tblGrid>
      <w:tr>
        <w:trPr/>
        <w:tc>
          <w:tcPr>
            <w:tcW w:w="168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Vacation Ownership</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Exchange &amp; Third-Party Management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items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bl>
      <w:tblPr>
        <w:tblW w:w="6759" w:type="dxa"/>
        <w:jc w:val="center"/>
        <w:tblInd w:w="0" w:type="dxa"/>
        <w:tblLayout w:type="fixed"/>
        <w:tblCellMar>
          <w:top w:w="28" w:type="dxa"/>
          <w:left w:w="28" w:type="dxa"/>
          <w:bottom w:w="28" w:type="dxa"/>
          <w:right w:w="28" w:type="dxa"/>
        </w:tblCellMar>
      </w:tblPr>
      <w:tblGrid>
        <w:gridCol w:w="1163"/>
        <w:gridCol w:w="1021"/>
        <w:gridCol w:w="1025"/>
        <w:gridCol w:w="314"/>
        <w:gridCol w:w="918"/>
        <w:gridCol w:w="162"/>
        <w:gridCol w:w="109"/>
        <w:gridCol w:w="109"/>
        <w:gridCol w:w="109"/>
        <w:gridCol w:w="393"/>
        <w:gridCol w:w="1149"/>
        <w:gridCol w:w="287"/>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&amp; Third-Party Management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 Excluding Cost Reimbursements</w:t>
      </w:r>
    </w:p>
    <w:tbl>
      <w:tblPr>
        <w:tblW w:w="7280" w:type="dxa"/>
        <w:jc w:val="center"/>
        <w:tblInd w:w="0" w:type="dxa"/>
        <w:tblLayout w:type="fixed"/>
        <w:tblCellMar>
          <w:top w:w="28" w:type="dxa"/>
          <w:left w:w="28" w:type="dxa"/>
          <w:bottom w:w="28" w:type="dxa"/>
          <w:right w:w="28" w:type="dxa"/>
        </w:tblCellMar>
      </w:tblPr>
      <w:tblGrid>
        <w:gridCol w:w="593"/>
        <w:gridCol w:w="520"/>
        <w:gridCol w:w="522"/>
        <w:gridCol w:w="310"/>
        <w:gridCol w:w="685"/>
        <w:gridCol w:w="160"/>
        <w:gridCol w:w="109"/>
        <w:gridCol w:w="109"/>
        <w:gridCol w:w="109"/>
        <w:gridCol w:w="310"/>
        <w:gridCol w:w="685"/>
        <w:gridCol w:w="160"/>
        <w:gridCol w:w="109"/>
        <w:gridCol w:w="109"/>
        <w:gridCol w:w="109"/>
        <w:gridCol w:w="260"/>
        <w:gridCol w:w="760"/>
        <w:gridCol w:w="134"/>
        <w:gridCol w:w="109"/>
        <w:gridCol w:w="109"/>
        <w:gridCol w:w="109"/>
        <w:gridCol w:w="258"/>
        <w:gridCol w:w="754"/>
        <w:gridCol w:w="188"/>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timing of payments related to purchase commitments; our possible or assumed future results of operations, financial condition, leverage, the ratio of our corporate debt, net of cash and equivalents, to Adjusted EBITDA, liquidity, returns on investments, margins including financing profit and development profit margins; dividend payments; business strategies; financing plans; our competitive position; our plans to pursue growth opportunities; potential operating performance, including our expectations regarding contract sales, including contract sales from our Maui sales centers; our expectation that consumer financing interest expense will remain higher than our average outstanding interest rates on existing securitization transactions; our expectation that inventory spending will exceed cost of sales for the remainder of 2024 due to our commitment to acquire property in Waikiki and the quantity and impact of inventory repurchases on the future cost of our vacation ownership products; indemnification; capital requirements; taxes, including the impact of Pillar 2; our ability to securitize consumer loans and related default rates and reserve requirements; the pace of originations of vacation ownership notes receivable compared to payoffs of existing notes receivable; and the rate of maintenance fee increases.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a future health crisis and responses to such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changes in privacy laws; the impact of a future banking crisis; impacts from natural or man-made disasters and wildfires, including the Maui wildfires;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political or social strife; and other matters referred to under the heading “Risk Factors” contained herein and also in our 2023 Annual Report, and which may be updated in our future periodic filings with the U.S. Securities and Exchange Commission (the “SEC”).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You should not put undue reliance on any forward-looking statements in this Quarterly Report. We do not have any intention or obligation to update forward-looking statements after the date of this Quarterly Report, except as required by law.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risk factors discussed in “Risk Factors” in our 2023 Annual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(as defined below), which we discuss below, reflect our historical financial condition, results of operations and cash flows. However, the financial information discussed below and included in this Quarterly Report may not necessarily reflect what our financial condition, results of operations or cash flows may be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that portion of our results that are not allocable to our segments, including those relating to consolidated property owners’ associations (“Consolidated Property Owners’ Associations”).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Performance Measures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measure operating performance using the key metrics described below: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Contract sales</w:t>
      </w:r>
      <w:r>
        <w:rPr>
          <w:color w:val="000000"/>
        </w:rPr>
        <w:t xml:space="preserve"> </w:t>
      </w:r>
      <w:r>
        <w:rPr>
          <w:rFonts w:ascii="Times New Roman;sans-serif" w:hAnsi="Times New Roman;sans-serif"/>
          <w:b w:val="false"/>
          <w:color w:val="000000"/>
          <w:sz w:val="20"/>
        </w:rPr>
        <w:t>from the sale of vacation ownership products, which consists of the total amount of vacation ownership product sales under contracts signed 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Total contract sales include contract sales from the sale of vacation ownership products including non-consolidated joint ventures.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Consolidated contract sales exclude contract sales from the sale of vacation ownership products for non-consolidated joint ventures.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i/>
          <w:color w:val="000000"/>
          <w:sz w:val="20"/>
        </w:rPr>
        <w:t>Volume per guest</w:t>
      </w:r>
      <w:r>
        <w:rPr>
          <w:color w:val="000000"/>
        </w:rPr>
        <w:t xml:space="preserve"> </w:t>
      </w:r>
      <w:r>
        <w:rPr>
          <w:rFonts w:ascii="Times New Roman;sans-serif" w:hAnsi="Times New Roman;sans-serif"/>
          <w:b w:val="false"/>
          <w:color w:val="000000"/>
          <w:sz w:val="20"/>
        </w:rPr>
        <w:t>(“VPG”) is calculated by dividing consolidated vacation ownership contract sales, excluding fractional sales, telesales, resales, and other sales that are not attributed to a tour, by the number of tours in a given period. We believe that this operating metric is valuable in evaluating the effectiveness of the sales process as it combines the impact of average contract price with the number of touring guests who make a purchase.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 xml:space="preserve">Development profit margin </w:t>
      </w:r>
      <w:r>
        <w:rPr>
          <w:rFonts w:ascii="Times New Roman;sans-serif" w:hAnsi="Times New Roman;sans-serif"/>
          <w:b w:val="false"/>
          <w:color w:val="000000"/>
          <w:sz w:val="20"/>
        </w:rPr>
        <w:t>is calculated by dividing Development profit by revenues from the sale of vacation ownership products. We refer to revenues from 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Total active members</w:t>
      </w:r>
      <w:r>
        <w:rPr>
          <w:color w:val="000000"/>
        </w:rPr>
        <w:t xml:space="preserve"> </w:t>
      </w:r>
      <w:r>
        <w:rPr>
          <w:rFonts w:ascii="Times New Roman;sans-serif" w:hAnsi="Times New Roman;sans-serif"/>
          <w:b w:val="false"/>
          <w:color w:val="000000"/>
          <w:sz w:val="20"/>
        </w:rPr>
        <w:t>is the number of Interval Network active members at the end of the applicable period. We consider active members to be an important metric because it represents the population of owners eligible to book transactions using the Interval Network.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Average revenue per member</w:t>
      </w:r>
      <w:r>
        <w:rPr>
          <w:color w:val="000000"/>
        </w:rPr>
        <w:t xml:space="preserve"> </w:t>
      </w:r>
      <w:r>
        <w:rPr>
          <w:rFonts w:ascii="Times New Roman;sans-serif" w:hAnsi="Times New Roman;sans-serif"/>
          <w:b w:val="false"/>
          <w:color w:val="000000"/>
          <w:sz w:val="20"/>
        </w:rPr>
        <w:t>is calculated by dividing membership fee revenue, transaction revenue, rental revenue, and other member revenue for the Interval Network by the monthly weighted average number of Interval Network active members during the applicable period. We believe this metric is valuable in measuring the overall engagement of our Interval Network active members.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Segment financial results attributable to common stockholders</w:t>
      </w:r>
      <w:r>
        <w:rPr>
          <w:color w:val="000000"/>
        </w:rPr>
        <w:t xml:space="preserve"> </w:t>
      </w:r>
      <w:r>
        <w:rPr>
          <w:rFonts w:ascii="Times New Roman;sans-serif" w:hAnsi="Times New Roman;sans-serif"/>
          <w:b w:val="false"/>
          <w:color w:val="000000"/>
          <w:sz w:val="20"/>
        </w:rPr>
        <w:t xml:space="preserve">represents revenues less expenses directly attributable to each applicable reportable business segment (Vacation Ownership and Exchange &amp; Third-Party Management). We consider this measure to be important in evaluating the performance of our reportable business segments. See Footnote 16 “Business Segments” to our Financial Statements for further information on our reportable business segments.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Adjusted EBITDA margin</w:t>
      </w:r>
      <w:r>
        <w:rPr>
          <w:color w:val="000000"/>
        </w:rPr>
        <w:t xml:space="preserve"> </w:t>
      </w:r>
      <w:r>
        <w:rPr>
          <w:rFonts w:ascii="Times New Roman;sans-serif" w:hAnsi="Times New Roman;sans-serif"/>
          <w:b w:val="false"/>
          <w:color w:val="000000"/>
          <w:sz w:val="20"/>
        </w:rPr>
        <w:t>is calculated by dividing Adjusted EBITDA by total revenues less cost reimbursement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Segment Adjusted EBITDA</w:t>
      </w:r>
      <w:r>
        <w:rPr>
          <w:color w:val="000000"/>
        </w:rPr>
        <w:t xml:space="preserve"> </w:t>
      </w:r>
      <w:r>
        <w:rPr>
          <w:rFonts w:ascii="Times New Roman;sans-serif" w:hAnsi="Times New Roman;sans-serif"/>
          <w:b w:val="false"/>
          <w:i/>
          <w:color w:val="000000"/>
          <w:sz w:val="20"/>
        </w:rPr>
        <w:t>margin</w:t>
      </w:r>
      <w:r>
        <w:rPr>
          <w:color w:val="000000"/>
        </w:rPr>
        <w:t xml:space="preserve"> </w:t>
      </w:r>
      <w:r>
        <w:rPr>
          <w:rFonts w:ascii="Times New Roman;sans-serif" w:hAnsi="Times New Roman;sans-serif"/>
          <w:b w:val="false"/>
          <w:color w:val="000000"/>
          <w:sz w:val="20"/>
        </w:rPr>
        <w:t xml:space="preserve">is calculated by dividing Segment Adjusted EBITDA by the applicable segment’s total revenues less cost reimbursement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w:t>
      </w:r>
    </w:p>
    <w:tbl>
      <w:tblPr>
        <w:tblW w:w="10205" w:type="dxa"/>
        <w:jc w:val="center"/>
        <w:tblInd w:w="0" w:type="dxa"/>
        <w:tblLayout w:type="fixed"/>
        <w:tblCellMar>
          <w:top w:w="28" w:type="dxa"/>
          <w:left w:w="28" w:type="dxa"/>
          <w:bottom w:w="28" w:type="dxa"/>
          <w:right w:w="28" w:type="dxa"/>
        </w:tblCellMar>
      </w:tblPr>
      <w:tblGrid>
        <w:gridCol w:w="2039"/>
        <w:gridCol w:w="1521"/>
        <w:gridCol w:w="1534"/>
        <w:gridCol w:w="274"/>
        <w:gridCol w:w="605"/>
        <w:gridCol w:w="141"/>
        <w:gridCol w:w="109"/>
        <w:gridCol w:w="109"/>
        <w:gridCol w:w="109"/>
        <w:gridCol w:w="274"/>
        <w:gridCol w:w="605"/>
        <w:gridCol w:w="141"/>
        <w:gridCol w:w="109"/>
        <w:gridCol w:w="109"/>
        <w:gridCol w:w="109"/>
        <w:gridCol w:w="274"/>
        <w:gridCol w:w="605"/>
        <w:gridCol w:w="141"/>
        <w:gridCol w:w="109"/>
        <w:gridCol w:w="109"/>
        <w:gridCol w:w="109"/>
        <w:gridCol w:w="270"/>
        <w:gridCol w:w="597"/>
        <w:gridCol w:w="203"/>
      </w:tblGrid>
      <w:tr>
        <w:trPr/>
        <w:tc>
          <w:tcPr>
            <w:tcW w:w="203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vacation ownership products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fee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and other (expense) income, net</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NONCONTROLLING INTERESTS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Statistics</w:t>
      </w:r>
    </w:p>
    <w:tbl>
      <w:tblPr>
        <w:tblW w:w="10205" w:type="dxa"/>
        <w:jc w:val="center"/>
        <w:tblInd w:w="0" w:type="dxa"/>
        <w:tblLayout w:type="fixed"/>
        <w:tblCellMar>
          <w:top w:w="28" w:type="dxa"/>
          <w:left w:w="28" w:type="dxa"/>
          <w:bottom w:w="28" w:type="dxa"/>
          <w:right w:w="28" w:type="dxa"/>
        </w:tblCellMar>
      </w:tblPr>
      <w:tblGrid>
        <w:gridCol w:w="895"/>
        <w:gridCol w:w="339"/>
        <w:gridCol w:w="328"/>
        <w:gridCol w:w="215"/>
        <w:gridCol w:w="627"/>
        <w:gridCol w:w="111"/>
        <w:gridCol w:w="109"/>
        <w:gridCol w:w="109"/>
        <w:gridCol w:w="109"/>
        <w:gridCol w:w="215"/>
        <w:gridCol w:w="627"/>
        <w:gridCol w:w="111"/>
        <w:gridCol w:w="109"/>
        <w:gridCol w:w="109"/>
        <w:gridCol w:w="109"/>
        <w:gridCol w:w="211"/>
        <w:gridCol w:w="530"/>
        <w:gridCol w:w="109"/>
        <w:gridCol w:w="109"/>
        <w:gridCol w:w="109"/>
        <w:gridCol w:w="109"/>
        <w:gridCol w:w="158"/>
        <w:gridCol w:w="117"/>
        <w:gridCol w:w="118"/>
        <w:gridCol w:w="109"/>
        <w:gridCol w:w="109"/>
        <w:gridCol w:w="109"/>
        <w:gridCol w:w="215"/>
        <w:gridCol w:w="627"/>
        <w:gridCol w:w="111"/>
        <w:gridCol w:w="109"/>
        <w:gridCol w:w="109"/>
        <w:gridCol w:w="109"/>
        <w:gridCol w:w="215"/>
        <w:gridCol w:w="627"/>
        <w:gridCol w:w="111"/>
        <w:gridCol w:w="109"/>
        <w:gridCol w:w="109"/>
        <w:gridCol w:w="109"/>
        <w:gridCol w:w="211"/>
        <w:gridCol w:w="530"/>
        <w:gridCol w:w="109"/>
        <w:gridCol w:w="109"/>
        <w:gridCol w:w="109"/>
        <w:gridCol w:w="109"/>
        <w:gridCol w:w="157"/>
        <w:gridCol w:w="116"/>
        <w:gridCol w:w="176"/>
      </w:tblGrid>
      <w:tr>
        <w:trPr/>
        <w:tc>
          <w:tcPr>
            <w:tcW w:w="8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(Contract sales $ in millions)</w:t>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Change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Vacation Ownership</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sales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contract sales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contract sales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VPG</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Exchange &amp; Third-Party Management</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members at end of period (000's)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member</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tbl>
      <w:tblPr>
        <w:tblW w:w="10205" w:type="dxa"/>
        <w:jc w:val="center"/>
        <w:tblInd w:w="0" w:type="dxa"/>
        <w:tblLayout w:type="fixed"/>
        <w:tblCellMar>
          <w:top w:w="28" w:type="dxa"/>
          <w:left w:w="28" w:type="dxa"/>
          <w:bottom w:w="28" w:type="dxa"/>
          <w:right w:w="28" w:type="dxa"/>
        </w:tblCellMar>
      </w:tblPr>
      <w:tblGrid>
        <w:gridCol w:w="784"/>
        <w:gridCol w:w="534"/>
        <w:gridCol w:w="429"/>
        <w:gridCol w:w="220"/>
        <w:gridCol w:w="645"/>
        <w:gridCol w:w="114"/>
        <w:gridCol w:w="109"/>
        <w:gridCol w:w="109"/>
        <w:gridCol w:w="109"/>
        <w:gridCol w:w="220"/>
        <w:gridCol w:w="645"/>
        <w:gridCol w:w="114"/>
        <w:gridCol w:w="109"/>
        <w:gridCol w:w="109"/>
        <w:gridCol w:w="109"/>
        <w:gridCol w:w="211"/>
        <w:gridCol w:w="388"/>
        <w:gridCol w:w="109"/>
        <w:gridCol w:w="109"/>
        <w:gridCol w:w="109"/>
        <w:gridCol w:w="109"/>
        <w:gridCol w:w="199"/>
        <w:gridCol w:w="128"/>
        <w:gridCol w:w="129"/>
        <w:gridCol w:w="109"/>
        <w:gridCol w:w="109"/>
        <w:gridCol w:w="109"/>
        <w:gridCol w:w="220"/>
        <w:gridCol w:w="645"/>
        <w:gridCol w:w="114"/>
        <w:gridCol w:w="109"/>
        <w:gridCol w:w="109"/>
        <w:gridCol w:w="109"/>
        <w:gridCol w:w="384"/>
        <w:gridCol w:w="262"/>
        <w:gridCol w:w="206"/>
        <w:gridCol w:w="109"/>
        <w:gridCol w:w="109"/>
        <w:gridCol w:w="109"/>
        <w:gridCol w:w="211"/>
        <w:gridCol w:w="388"/>
        <w:gridCol w:w="109"/>
        <w:gridCol w:w="109"/>
        <w:gridCol w:w="109"/>
        <w:gridCol w:w="109"/>
        <w:gridCol w:w="188"/>
        <w:gridCol w:w="129"/>
        <w:gridCol w:w="191"/>
      </w:tblGrid>
      <w:tr>
        <w:trPr/>
        <w:tc>
          <w:tcPr>
            <w:tcW w:w="78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&amp; Third-Party Management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Property Owners’ Associations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Expense, Taxes, Depreciation and Amortization (“EBITDA”) and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performance. 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We believe Adjusted EBITDA margin is useful as an indicator of operating profitability because it allows for period-over-period comparisons of the profitability of our on-going core operations before the impact of the excluded items.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margin also facilitate comparisons by us, analysts, investors, and others of results from our on-going core operations before the impact of these items with results from other companies.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 The table below shows our EBITDA and Adjusted EBITDA calculation and reconciles these measures with Net income attributable to common stockholders, which is the most directly comparable 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768"/>
        <w:gridCol w:w="605"/>
        <w:gridCol w:w="612"/>
        <w:gridCol w:w="236"/>
        <w:gridCol w:w="522"/>
        <w:gridCol w:w="122"/>
        <w:gridCol w:w="109"/>
        <w:gridCol w:w="109"/>
        <w:gridCol w:w="109"/>
        <w:gridCol w:w="236"/>
        <w:gridCol w:w="522"/>
        <w:gridCol w:w="122"/>
        <w:gridCol w:w="109"/>
        <w:gridCol w:w="109"/>
        <w:gridCol w:w="109"/>
        <w:gridCol w:w="211"/>
        <w:gridCol w:w="392"/>
        <w:gridCol w:w="109"/>
        <w:gridCol w:w="109"/>
        <w:gridCol w:w="109"/>
        <w:gridCol w:w="109"/>
        <w:gridCol w:w="177"/>
        <w:gridCol w:w="144"/>
        <w:gridCol w:w="145"/>
        <w:gridCol w:w="109"/>
        <w:gridCol w:w="109"/>
        <w:gridCol w:w="109"/>
        <w:gridCol w:w="236"/>
        <w:gridCol w:w="522"/>
        <w:gridCol w:w="122"/>
        <w:gridCol w:w="109"/>
        <w:gridCol w:w="109"/>
        <w:gridCol w:w="109"/>
        <w:gridCol w:w="236"/>
        <w:gridCol w:w="522"/>
        <w:gridCol w:w="122"/>
        <w:gridCol w:w="109"/>
        <w:gridCol w:w="109"/>
        <w:gridCol w:w="109"/>
        <w:gridCol w:w="211"/>
        <w:gridCol w:w="392"/>
        <w:gridCol w:w="109"/>
        <w:gridCol w:w="109"/>
        <w:gridCol w:w="109"/>
        <w:gridCol w:w="109"/>
        <w:gridCol w:w="173"/>
        <w:gridCol w:w="139"/>
        <w:gridCol w:w="209"/>
      </w:tblGrid>
      <w:tr>
        <w:trPr/>
        <w:tc>
          <w:tcPr>
            <w:tcW w:w="76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items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8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components of Certain items for the periods presented.</w:t>
      </w:r>
    </w:p>
    <w:tbl>
      <w:tblPr>
        <w:tblW w:w="10205" w:type="dxa"/>
        <w:jc w:val="center"/>
        <w:tblInd w:w="0" w:type="dxa"/>
        <w:tblLayout w:type="fixed"/>
        <w:tblCellMar>
          <w:top w:w="28" w:type="dxa"/>
          <w:left w:w="28" w:type="dxa"/>
          <w:bottom w:w="28" w:type="dxa"/>
          <w:right w:w="28" w:type="dxa"/>
        </w:tblCellMar>
      </w:tblPr>
      <w:tblGrid>
        <w:gridCol w:w="1068"/>
        <w:gridCol w:w="738"/>
        <w:gridCol w:w="690"/>
        <w:gridCol w:w="211"/>
        <w:gridCol w:w="406"/>
        <w:gridCol w:w="109"/>
        <w:gridCol w:w="109"/>
        <w:gridCol w:w="109"/>
        <w:gridCol w:w="109"/>
        <w:gridCol w:w="211"/>
        <w:gridCol w:w="361"/>
        <w:gridCol w:w="109"/>
        <w:gridCol w:w="109"/>
        <w:gridCol w:w="109"/>
        <w:gridCol w:w="109"/>
        <w:gridCol w:w="211"/>
        <w:gridCol w:w="256"/>
        <w:gridCol w:w="109"/>
        <w:gridCol w:w="109"/>
        <w:gridCol w:w="109"/>
        <w:gridCol w:w="109"/>
        <w:gridCol w:w="211"/>
        <w:gridCol w:w="406"/>
        <w:gridCol w:w="109"/>
        <w:gridCol w:w="109"/>
        <w:gridCol w:w="109"/>
        <w:gridCol w:w="109"/>
        <w:gridCol w:w="211"/>
        <w:gridCol w:w="406"/>
        <w:gridCol w:w="109"/>
        <w:gridCol w:w="109"/>
        <w:gridCol w:w="109"/>
        <w:gridCol w:w="109"/>
        <w:gridCol w:w="211"/>
        <w:gridCol w:w="361"/>
        <w:gridCol w:w="109"/>
        <w:gridCol w:w="109"/>
        <w:gridCol w:w="109"/>
        <w:gridCol w:w="109"/>
        <w:gridCol w:w="211"/>
        <w:gridCol w:w="361"/>
        <w:gridCol w:w="109"/>
        <w:gridCol w:w="109"/>
        <w:gridCol w:w="109"/>
        <w:gridCol w:w="109"/>
        <w:gridCol w:w="211"/>
        <w:gridCol w:w="256"/>
        <w:gridCol w:w="156"/>
      </w:tblGrid>
      <w:tr>
        <w:trPr/>
        <w:tc>
          <w:tcPr>
            <w:tcW w:w="106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ILG integration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Welk acquisition and integration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Early redemption of senior secured notes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hotel, land and 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proceeds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indemnification asset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and other expense (income), net</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Certain items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Commencing in the second quarter of 2024, we discontinued classifying adjustments related to Welk purchase accounting as Purchase accounting adjustments. Ongoing costs associated with the continued integration of Welk will be reflected in our operating results commencing in the third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tbl>
      <w:tblPr>
        <w:tblW w:w="10205" w:type="dxa"/>
        <w:jc w:val="center"/>
        <w:tblInd w:w="0" w:type="dxa"/>
        <w:tblLayout w:type="fixed"/>
        <w:tblCellMar>
          <w:top w:w="28" w:type="dxa"/>
          <w:left w:w="28" w:type="dxa"/>
          <w:bottom w:w="28" w:type="dxa"/>
          <w:right w:w="28" w:type="dxa"/>
        </w:tblCellMar>
      </w:tblPr>
      <w:tblGrid>
        <w:gridCol w:w="841"/>
        <w:gridCol w:w="581"/>
        <w:gridCol w:w="493"/>
        <w:gridCol w:w="243"/>
        <w:gridCol w:w="537"/>
        <w:gridCol w:w="125"/>
        <w:gridCol w:w="109"/>
        <w:gridCol w:w="109"/>
        <w:gridCol w:w="109"/>
        <w:gridCol w:w="243"/>
        <w:gridCol w:w="537"/>
        <w:gridCol w:w="125"/>
        <w:gridCol w:w="109"/>
        <w:gridCol w:w="109"/>
        <w:gridCol w:w="109"/>
        <w:gridCol w:w="211"/>
        <w:gridCol w:w="395"/>
        <w:gridCol w:w="109"/>
        <w:gridCol w:w="109"/>
        <w:gridCol w:w="109"/>
        <w:gridCol w:w="109"/>
        <w:gridCol w:w="149"/>
        <w:gridCol w:w="149"/>
        <w:gridCol w:w="150"/>
        <w:gridCol w:w="109"/>
        <w:gridCol w:w="109"/>
        <w:gridCol w:w="109"/>
        <w:gridCol w:w="243"/>
        <w:gridCol w:w="537"/>
        <w:gridCol w:w="125"/>
        <w:gridCol w:w="109"/>
        <w:gridCol w:w="109"/>
        <w:gridCol w:w="109"/>
        <w:gridCol w:w="243"/>
        <w:gridCol w:w="537"/>
        <w:gridCol w:w="125"/>
        <w:gridCol w:w="109"/>
        <w:gridCol w:w="109"/>
        <w:gridCol w:w="109"/>
        <w:gridCol w:w="211"/>
        <w:gridCol w:w="395"/>
        <w:gridCol w:w="109"/>
        <w:gridCol w:w="109"/>
        <w:gridCol w:w="109"/>
        <w:gridCol w:w="109"/>
        <w:gridCol w:w="144"/>
        <w:gridCol w:w="144"/>
        <w:gridCol w:w="215"/>
      </w:tblGrid>
      <w:tr>
        <w:trPr/>
        <w:tc>
          <w:tcPr>
            <w:tcW w:w="8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&amp; Third-Party Management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segment financial results attributable to common stockholders reconciled to segment Adjusted EBITDA.</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903"/>
        <w:gridCol w:w="446"/>
        <w:gridCol w:w="441"/>
        <w:gridCol w:w="241"/>
        <w:gridCol w:w="532"/>
        <w:gridCol w:w="124"/>
        <w:gridCol w:w="109"/>
        <w:gridCol w:w="109"/>
        <w:gridCol w:w="109"/>
        <w:gridCol w:w="241"/>
        <w:gridCol w:w="532"/>
        <w:gridCol w:w="124"/>
        <w:gridCol w:w="109"/>
        <w:gridCol w:w="109"/>
        <w:gridCol w:w="109"/>
        <w:gridCol w:w="211"/>
        <w:gridCol w:w="395"/>
        <w:gridCol w:w="109"/>
        <w:gridCol w:w="109"/>
        <w:gridCol w:w="109"/>
        <w:gridCol w:w="109"/>
        <w:gridCol w:w="178"/>
        <w:gridCol w:w="147"/>
        <w:gridCol w:w="148"/>
        <w:gridCol w:w="109"/>
        <w:gridCol w:w="109"/>
        <w:gridCol w:w="109"/>
        <w:gridCol w:w="241"/>
        <w:gridCol w:w="532"/>
        <w:gridCol w:w="124"/>
        <w:gridCol w:w="109"/>
        <w:gridCol w:w="109"/>
        <w:gridCol w:w="109"/>
        <w:gridCol w:w="241"/>
        <w:gridCol w:w="532"/>
        <w:gridCol w:w="124"/>
        <w:gridCol w:w="109"/>
        <w:gridCol w:w="109"/>
        <w:gridCol w:w="109"/>
        <w:gridCol w:w="211"/>
        <w:gridCol w:w="499"/>
        <w:gridCol w:w="109"/>
        <w:gridCol w:w="109"/>
        <w:gridCol w:w="109"/>
        <w:gridCol w:w="109"/>
        <w:gridCol w:w="174"/>
        <w:gridCol w:w="142"/>
        <w:gridCol w:w="215"/>
      </w:tblGrid>
      <w:tr>
        <w:trPr/>
        <w:tc>
          <w:tcPr>
            <w:tcW w:w="90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financial results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items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Margin</w:t>
            </w:r>
          </w:p>
        </w:tc>
        <w:tc>
          <w:tcPr>
            <w:tcW w:w="8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components of Certain items for Vacation Ownership segment financial results.</w:t>
      </w:r>
    </w:p>
    <w:tbl>
      <w:tblPr>
        <w:tblW w:w="10205" w:type="dxa"/>
        <w:jc w:val="center"/>
        <w:tblInd w:w="0" w:type="dxa"/>
        <w:tblLayout w:type="fixed"/>
        <w:tblCellMar>
          <w:top w:w="28" w:type="dxa"/>
          <w:left w:w="28" w:type="dxa"/>
          <w:bottom w:w="28" w:type="dxa"/>
          <w:right w:w="28" w:type="dxa"/>
        </w:tblCellMar>
      </w:tblPr>
      <w:tblGrid>
        <w:gridCol w:w="1208"/>
        <w:gridCol w:w="1002"/>
        <w:gridCol w:w="1003"/>
        <w:gridCol w:w="202"/>
        <w:gridCol w:w="204"/>
        <w:gridCol w:w="109"/>
        <w:gridCol w:w="109"/>
        <w:gridCol w:w="109"/>
        <w:gridCol w:w="109"/>
        <w:gridCol w:w="211"/>
        <w:gridCol w:w="406"/>
        <w:gridCol w:w="109"/>
        <w:gridCol w:w="109"/>
        <w:gridCol w:w="109"/>
        <w:gridCol w:w="109"/>
        <w:gridCol w:w="202"/>
        <w:gridCol w:w="204"/>
        <w:gridCol w:w="109"/>
        <w:gridCol w:w="109"/>
        <w:gridCol w:w="109"/>
        <w:gridCol w:w="109"/>
        <w:gridCol w:w="211"/>
        <w:gridCol w:w="319"/>
        <w:gridCol w:w="109"/>
        <w:gridCol w:w="109"/>
        <w:gridCol w:w="109"/>
        <w:gridCol w:w="109"/>
        <w:gridCol w:w="202"/>
        <w:gridCol w:w="204"/>
        <w:gridCol w:w="109"/>
        <w:gridCol w:w="109"/>
        <w:gridCol w:w="109"/>
        <w:gridCol w:w="109"/>
        <w:gridCol w:w="211"/>
        <w:gridCol w:w="361"/>
        <w:gridCol w:w="109"/>
        <w:gridCol w:w="109"/>
        <w:gridCol w:w="109"/>
        <w:gridCol w:w="109"/>
        <w:gridCol w:w="158"/>
        <w:gridCol w:w="160"/>
        <w:gridCol w:w="109"/>
        <w:gridCol w:w="109"/>
        <w:gridCol w:w="109"/>
        <w:gridCol w:w="109"/>
        <w:gridCol w:w="211"/>
        <w:gridCol w:w="319"/>
        <w:gridCol w:w="155"/>
      </w:tblGrid>
      <w:tr>
        <w:trPr/>
        <w:tc>
          <w:tcPr>
            <w:tcW w:w="120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5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hotel, land and 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proceeds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indemnification asset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and other income, net</w:t>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Certain items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932"/>
        <w:gridCol w:w="526"/>
        <w:gridCol w:w="523"/>
        <w:gridCol w:w="272"/>
        <w:gridCol w:w="465"/>
        <w:gridCol w:w="140"/>
        <w:gridCol w:w="109"/>
        <w:gridCol w:w="109"/>
        <w:gridCol w:w="109"/>
        <w:gridCol w:w="272"/>
        <w:gridCol w:w="465"/>
        <w:gridCol w:w="140"/>
        <w:gridCol w:w="109"/>
        <w:gridCol w:w="109"/>
        <w:gridCol w:w="109"/>
        <w:gridCol w:w="226"/>
        <w:gridCol w:w="319"/>
        <w:gridCol w:w="116"/>
        <w:gridCol w:w="109"/>
        <w:gridCol w:w="109"/>
        <w:gridCol w:w="109"/>
        <w:gridCol w:w="182"/>
        <w:gridCol w:w="155"/>
        <w:gridCol w:w="157"/>
        <w:gridCol w:w="109"/>
        <w:gridCol w:w="109"/>
        <w:gridCol w:w="109"/>
        <w:gridCol w:w="272"/>
        <w:gridCol w:w="465"/>
        <w:gridCol w:w="140"/>
        <w:gridCol w:w="109"/>
        <w:gridCol w:w="109"/>
        <w:gridCol w:w="109"/>
        <w:gridCol w:w="272"/>
        <w:gridCol w:w="465"/>
        <w:gridCol w:w="140"/>
        <w:gridCol w:w="109"/>
        <w:gridCol w:w="109"/>
        <w:gridCol w:w="109"/>
        <w:gridCol w:w="211"/>
        <w:gridCol w:w="402"/>
        <w:gridCol w:w="109"/>
        <w:gridCol w:w="109"/>
        <w:gridCol w:w="109"/>
        <w:gridCol w:w="109"/>
        <w:gridCol w:w="176"/>
        <w:gridCol w:w="149"/>
        <w:gridCol w:w="225"/>
      </w:tblGrid>
      <w:tr>
        <w:trPr/>
        <w:tc>
          <w:tcPr>
            <w:tcW w:w="93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financial results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items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Margin</w:t>
            </w:r>
          </w:p>
        </w:tc>
        <w:tc>
          <w:tcPr>
            <w:tcW w:w="8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items for the Exchange &amp; Third-Party Management segment for the three and six months ended June 30, 2024 consisted of $2 million of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grouped into two reportable business segments: Vacation Ownership and Exchange &amp; Third-Party Management. See Footnote 16 “Business Segments” to our Financial Statements for further information on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2032"/>
        <w:gridCol w:w="1569"/>
        <w:gridCol w:w="1583"/>
        <w:gridCol w:w="267"/>
        <w:gridCol w:w="592"/>
        <w:gridCol w:w="138"/>
        <w:gridCol w:w="109"/>
        <w:gridCol w:w="109"/>
        <w:gridCol w:w="109"/>
        <w:gridCol w:w="267"/>
        <w:gridCol w:w="592"/>
        <w:gridCol w:w="138"/>
        <w:gridCol w:w="109"/>
        <w:gridCol w:w="109"/>
        <w:gridCol w:w="109"/>
        <w:gridCol w:w="267"/>
        <w:gridCol w:w="592"/>
        <w:gridCol w:w="138"/>
        <w:gridCol w:w="109"/>
        <w:gridCol w:w="109"/>
        <w:gridCol w:w="109"/>
        <w:gridCol w:w="264"/>
        <w:gridCol w:w="585"/>
        <w:gridCol w:w="200"/>
      </w:tblGrid>
      <w:tr>
        <w:trPr/>
        <w:tc>
          <w:tcPr>
            <w:tcW w:w="203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vacation ownership products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fee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and other income, net</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FINANCIAL RESULTS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 of Vacation Ownership Products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tbl>
      <w:tblPr>
        <w:tblW w:w="14755" w:type="dxa"/>
        <w:jc w:val="center"/>
        <w:tblInd w:w="0" w:type="dxa"/>
        <w:tblLayout w:type="fixed"/>
        <w:tblCellMar>
          <w:top w:w="28" w:type="dxa"/>
          <w:left w:w="28" w:type="dxa"/>
          <w:bottom w:w="28" w:type="dxa"/>
          <w:right w:w="28" w:type="dxa"/>
        </w:tblCellMar>
      </w:tblPr>
      <w:tblGrid>
        <w:gridCol w:w="440"/>
        <w:gridCol w:w="386"/>
        <w:gridCol w:w="390"/>
        <w:gridCol w:w="211"/>
        <w:gridCol w:w="466"/>
        <w:gridCol w:w="109"/>
        <w:gridCol w:w="109"/>
        <w:gridCol w:w="109"/>
        <w:gridCol w:w="109"/>
        <w:gridCol w:w="375"/>
        <w:gridCol w:w="375"/>
        <w:gridCol w:w="376"/>
        <w:gridCol w:w="109"/>
        <w:gridCol w:w="109"/>
        <w:gridCol w:w="109"/>
        <w:gridCol w:w="211"/>
        <w:gridCol w:w="466"/>
        <w:gridCol w:w="109"/>
        <w:gridCol w:w="109"/>
        <w:gridCol w:w="109"/>
        <w:gridCol w:w="109"/>
        <w:gridCol w:w="375"/>
        <w:gridCol w:w="375"/>
        <w:gridCol w:w="376"/>
        <w:gridCol w:w="109"/>
        <w:gridCol w:w="109"/>
        <w:gridCol w:w="109"/>
        <w:gridCol w:w="211"/>
        <w:gridCol w:w="376"/>
        <w:gridCol w:w="109"/>
        <w:gridCol w:w="109"/>
        <w:gridCol w:w="109"/>
        <w:gridCol w:w="109"/>
        <w:gridCol w:w="155"/>
        <w:gridCol w:w="110"/>
        <w:gridCol w:w="111"/>
        <w:gridCol w:w="109"/>
        <w:gridCol w:w="109"/>
        <w:gridCol w:w="109"/>
        <w:gridCol w:w="211"/>
        <w:gridCol w:w="466"/>
        <w:gridCol w:w="109"/>
        <w:gridCol w:w="109"/>
        <w:gridCol w:w="109"/>
        <w:gridCol w:w="109"/>
        <w:gridCol w:w="375"/>
        <w:gridCol w:w="375"/>
        <w:gridCol w:w="376"/>
        <w:gridCol w:w="109"/>
        <w:gridCol w:w="109"/>
        <w:gridCol w:w="109"/>
        <w:gridCol w:w="211"/>
        <w:gridCol w:w="466"/>
        <w:gridCol w:w="109"/>
        <w:gridCol w:w="109"/>
        <w:gridCol w:w="109"/>
        <w:gridCol w:w="109"/>
        <w:gridCol w:w="375"/>
        <w:gridCol w:w="375"/>
        <w:gridCol w:w="376"/>
        <w:gridCol w:w="109"/>
        <w:gridCol w:w="109"/>
        <w:gridCol w:w="109"/>
        <w:gridCol w:w="211"/>
        <w:gridCol w:w="481"/>
        <w:gridCol w:w="109"/>
        <w:gridCol w:w="327"/>
        <w:gridCol w:w="421"/>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contract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contract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sales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Resales contract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Joint venture contract sales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contract sales, net of resales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Resales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reserve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2"/>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propensity</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(1.3pts)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FICO Score</w:t>
            </w:r>
            <w:r>
              <w:rPr>
                <w:color w:val="000000"/>
              </w:rPr>
              <w:t xml:space="preserve"> </w:t>
            </w:r>
            <w:r>
              <w:rPr>
                <w:rFonts w:ascii="Times New Roman;sans-serif" w:hAnsi="Times New Roman;sans-serif"/>
                <w:b w:val="false"/>
                <w:color w:val="000000"/>
                <w:sz w:val="12"/>
              </w:rPr>
              <w:t>(2)</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Adjustment for sales incentives that will not be recognized as Sale of vacation ownership products revenue and other adjustments to Sale of vacation ownership products revenue.</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For customers who financed a vacation ownership purchase and for whom a credit score was available, generally U.S. and Canadian residents.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sales in the second quarter and first half of 2024 declined due to a 6% decrease in VPG in each period, partially offset by an increase in tours (5% and 4%, respectively). The decrease in VPG in both periods was due to a decline in first time buyer VPG, a larger percentage mix of international tours which carry a lower VPG, and the on-going impact from the reduced activity at our Maui sales centers. Excluding the $16 million and $32 million decline in contract sales at our Maui sales centers in the second quarter and first half of 2024, respectively, contract sales increased 3% in each period.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increased our vacation ownership notes receivable reserve to reflect then-current trends in delinquencies and default rates. We estimated the amount of the increase in our sales reserve primarily using a historical period of increased defaults. The additional reserves recorded in 2023 adjusted our future default rate estimate to reflect then-current macroeconomic conditions, including inflation outpacing wage growth, continuing high interest rates, mixed economic indicators and increased global insecurity. Subsequent to the third quarter of 2023, we increased our sales reserve rate to provide for higher expected cumulative losses on new originations.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cumulative impact of inflation on consumers and the related impact on year-over-year increases in maintenance fees for 2023 and 2024 are driving continued elevated delinquencies and defaults. As a result, during the second quarter of 2024, we increased our sales reserve by $70 million to reflect increases in expected cumulative loss rates for our vacation ownership notes receivable originated during 2021-2024. In estimating the increase in the sales reserve, we considered current macroeconomic conditions, including higher consumer debt levels, moderating inflation, continued high interest rates, uncertainty around timing and frequency of interest rate adjustments and continued mixed economic indicators. While we expect a return to normalized maintenance fee increases commencing in 2025, we plan to increase our sales reserve prospectively for new originations at a weighted average rate of 17% to 19% until we have sufficient evidence of improvement in delinquency and default rates. We expect our full year 2024 contracts sales will reflect lower VPG for the second half of 2024, partially offset by tour growth in first time buyer tours, which carry a lower VPG.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Development Profit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tbl>
      <w:tblPr>
        <w:tblW w:w="10205" w:type="dxa"/>
        <w:jc w:val="center"/>
        <w:tblInd w:w="0" w:type="dxa"/>
        <w:tblLayout w:type="fixed"/>
        <w:tblCellMar>
          <w:top w:w="28" w:type="dxa"/>
          <w:left w:w="28" w:type="dxa"/>
          <w:bottom w:w="28" w:type="dxa"/>
          <w:right w:w="28" w:type="dxa"/>
        </w:tblCellMar>
      </w:tblPr>
      <w:tblGrid>
        <w:gridCol w:w="1034"/>
        <w:gridCol w:w="864"/>
        <w:gridCol w:w="843"/>
        <w:gridCol w:w="291"/>
        <w:gridCol w:w="644"/>
        <w:gridCol w:w="150"/>
        <w:gridCol w:w="109"/>
        <w:gridCol w:w="109"/>
        <w:gridCol w:w="109"/>
        <w:gridCol w:w="368"/>
        <w:gridCol w:w="368"/>
        <w:gridCol w:w="370"/>
        <w:gridCol w:w="109"/>
        <w:gridCol w:w="109"/>
        <w:gridCol w:w="109"/>
        <w:gridCol w:w="291"/>
        <w:gridCol w:w="644"/>
        <w:gridCol w:w="150"/>
        <w:gridCol w:w="109"/>
        <w:gridCol w:w="109"/>
        <w:gridCol w:w="109"/>
        <w:gridCol w:w="368"/>
        <w:gridCol w:w="368"/>
        <w:gridCol w:w="370"/>
        <w:gridCol w:w="109"/>
        <w:gridCol w:w="109"/>
        <w:gridCol w:w="109"/>
        <w:gridCol w:w="237"/>
        <w:gridCol w:w="478"/>
        <w:gridCol w:w="122"/>
        <w:gridCol w:w="109"/>
        <w:gridCol w:w="109"/>
        <w:gridCol w:w="109"/>
        <w:gridCol w:w="175"/>
        <w:gridCol w:w="175"/>
        <w:gridCol w:w="260"/>
      </w:tblGrid>
      <w:tr>
        <w:trPr/>
        <w:tc>
          <w:tcPr>
            <w:tcW w:w="103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vacation ownership products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profit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profit margin</w:t>
            </w:r>
          </w:p>
        </w:tc>
        <w:tc>
          <w:tcPr>
            <w:tcW w:w="10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Development profit reflects lower sales of vacation ownership products and higher marketing and sales costs, including $8 million of higher preview costs, partially offset by $13 million of lower product cost associated with the additional sales reserve, $11 million of favorable product cost true-up activity compared to the prior comparable period and $4 million from the sale of lower average cost inventory. Development profit margin, excluding the impact of the sales reserve increase of $70 million, was 27.0% in the second quarter of 2024. We expect our full year 2024 Development profit margin to decline due to increased marketing and sales expense, the $57 million net impact from the additional sales reserve recorded in the second quarter, and our higher sales reserve rate to be applied to new originations.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tbl>
      <w:tblPr>
        <w:tblW w:w="10205" w:type="dxa"/>
        <w:jc w:val="center"/>
        <w:tblInd w:w="0" w:type="dxa"/>
        <w:tblLayout w:type="fixed"/>
        <w:tblCellMar>
          <w:top w:w="28" w:type="dxa"/>
          <w:left w:w="28" w:type="dxa"/>
          <w:bottom w:w="28" w:type="dxa"/>
          <w:right w:w="28" w:type="dxa"/>
        </w:tblCellMar>
      </w:tblPr>
      <w:tblGrid>
        <w:gridCol w:w="1031"/>
        <w:gridCol w:w="861"/>
        <w:gridCol w:w="839"/>
        <w:gridCol w:w="291"/>
        <w:gridCol w:w="643"/>
        <w:gridCol w:w="150"/>
        <w:gridCol w:w="109"/>
        <w:gridCol w:w="109"/>
        <w:gridCol w:w="109"/>
        <w:gridCol w:w="367"/>
        <w:gridCol w:w="367"/>
        <w:gridCol w:w="369"/>
        <w:gridCol w:w="109"/>
        <w:gridCol w:w="109"/>
        <w:gridCol w:w="109"/>
        <w:gridCol w:w="291"/>
        <w:gridCol w:w="643"/>
        <w:gridCol w:w="150"/>
        <w:gridCol w:w="109"/>
        <w:gridCol w:w="109"/>
        <w:gridCol w:w="109"/>
        <w:gridCol w:w="367"/>
        <w:gridCol w:w="367"/>
        <w:gridCol w:w="369"/>
        <w:gridCol w:w="109"/>
        <w:gridCol w:w="109"/>
        <w:gridCol w:w="109"/>
        <w:gridCol w:w="212"/>
        <w:gridCol w:w="534"/>
        <w:gridCol w:w="109"/>
        <w:gridCol w:w="109"/>
        <w:gridCol w:w="109"/>
        <w:gridCol w:w="109"/>
        <w:gridCol w:w="175"/>
        <w:gridCol w:w="175"/>
        <w:gridCol w:w="260"/>
      </w:tblGrid>
      <w:tr>
        <w:trPr/>
        <w:tc>
          <w:tcPr>
            <w:tcW w:w="10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Change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vs. 2023</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vacation ownership products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vacation ownership products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profit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profit margin</w:t>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Development profit reflects lower sales of vacation ownership products and higher marketing and sales costs, including $14 million of higher preview costs, partially offset by $13 million of lower product cost associated with the additional sales reserve, $11 million due to the sale of lower cost inventory, $5 million of favorable product cost true-up activity compared to the prior comparable period, $2 million associated with lower sales volume and $2 million of other development related costs. Development profit margin, excluding the impact of the $70 million sales reserve increase in the second quarter of 2024, was 24.3% in the first half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Resort Management and Other Services Revenues, Expenses and Profit</w:t>
      </w:r>
    </w:p>
    <w:tbl>
      <w:tblPr>
        <w:tblW w:w="10205" w:type="dxa"/>
        <w:jc w:val="center"/>
        <w:tblInd w:w="0" w:type="dxa"/>
        <w:tblLayout w:type="fixed"/>
        <w:tblCellMar>
          <w:top w:w="28" w:type="dxa"/>
          <w:left w:w="28" w:type="dxa"/>
          <w:bottom w:w="28" w:type="dxa"/>
          <w:right w:w="28" w:type="dxa"/>
        </w:tblCellMar>
      </w:tblPr>
      <w:tblGrid>
        <w:gridCol w:w="827"/>
        <w:gridCol w:w="727"/>
        <w:gridCol w:w="733"/>
        <w:gridCol w:w="262"/>
        <w:gridCol w:w="448"/>
        <w:gridCol w:w="135"/>
        <w:gridCol w:w="109"/>
        <w:gridCol w:w="109"/>
        <w:gridCol w:w="109"/>
        <w:gridCol w:w="262"/>
        <w:gridCol w:w="448"/>
        <w:gridCol w:w="135"/>
        <w:gridCol w:w="109"/>
        <w:gridCol w:w="109"/>
        <w:gridCol w:w="109"/>
        <w:gridCol w:w="219"/>
        <w:gridCol w:w="266"/>
        <w:gridCol w:w="113"/>
        <w:gridCol w:w="109"/>
        <w:gridCol w:w="109"/>
        <w:gridCol w:w="109"/>
        <w:gridCol w:w="131"/>
        <w:gridCol w:w="128"/>
        <w:gridCol w:w="128"/>
        <w:gridCol w:w="109"/>
        <w:gridCol w:w="109"/>
        <w:gridCol w:w="109"/>
        <w:gridCol w:w="245"/>
        <w:gridCol w:w="542"/>
        <w:gridCol w:w="126"/>
        <w:gridCol w:w="109"/>
        <w:gridCol w:w="109"/>
        <w:gridCol w:w="109"/>
        <w:gridCol w:w="245"/>
        <w:gridCol w:w="542"/>
        <w:gridCol w:w="126"/>
        <w:gridCol w:w="109"/>
        <w:gridCol w:w="109"/>
        <w:gridCol w:w="109"/>
        <w:gridCol w:w="211"/>
        <w:gridCol w:w="361"/>
        <w:gridCol w:w="109"/>
        <w:gridCol w:w="109"/>
        <w:gridCol w:w="109"/>
        <w:gridCol w:w="109"/>
        <w:gridCol w:w="128"/>
        <w:gridCol w:w="126"/>
        <w:gridCol w:w="193"/>
      </w:tblGrid>
      <w:tr>
        <w:trPr/>
        <w:tc>
          <w:tcPr>
            <w:tcW w:w="8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 revenues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revenues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management and exchange revenues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 revenues</w:t>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 expenses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 profit</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 profit margin</w:t>
            </w:r>
          </w:p>
        </w:tc>
        <w:tc>
          <w:tcPr>
            <w:tcW w:w="8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Resort occupancy</w:t>
            </w:r>
            <w:r>
              <w:rPr>
                <w:color w:val="000000"/>
              </w:rPr>
              <w:t xml:space="preserve"> </w:t>
            </w:r>
            <w:r>
              <w:rPr>
                <w:rFonts w:ascii="Times New Roman;sans-serif" w:hAnsi="Times New Roman;sans-serif"/>
                <w:b w:val="false"/>
                <w:color w:val="000000"/>
                <w:sz w:val="13"/>
              </w:rPr>
              <w:t>(1)</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Resort occupancy represents all transient, preview, and owner keys divided by total keys available, net of keys out of service.</w:t>
            </w:r>
          </w:p>
        </w:tc>
      </w:tr>
    </w:tbl>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management and exchange revenues is attributed to higher club dues in both the second quarter and first half of 2024. The increase in Resort management and other services expenses reflects an increase in ancillary expenses of $3 million and $7 million, and an increase in customer service and exchange company expenses of $1 million and $4 million due to higher wages, benefits, and other operating cost increases in the second quarter and first half of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Rental Revenues, Expenses and Profit</w:t>
      </w:r>
    </w:p>
    <w:tbl>
      <w:tblPr>
        <w:tblW w:w="10205" w:type="dxa"/>
        <w:jc w:val="center"/>
        <w:tblInd w:w="0" w:type="dxa"/>
        <w:tblLayout w:type="fixed"/>
        <w:tblCellMar>
          <w:top w:w="28" w:type="dxa"/>
          <w:left w:w="28" w:type="dxa"/>
          <w:bottom w:w="28" w:type="dxa"/>
          <w:right w:w="28" w:type="dxa"/>
        </w:tblCellMar>
      </w:tblPr>
      <w:tblGrid>
        <w:gridCol w:w="640"/>
        <w:gridCol w:w="325"/>
        <w:gridCol w:w="320"/>
        <w:gridCol w:w="310"/>
        <w:gridCol w:w="557"/>
        <w:gridCol w:w="121"/>
        <w:gridCol w:w="109"/>
        <w:gridCol w:w="109"/>
        <w:gridCol w:w="109"/>
        <w:gridCol w:w="310"/>
        <w:gridCol w:w="557"/>
        <w:gridCol w:w="121"/>
        <w:gridCol w:w="109"/>
        <w:gridCol w:w="109"/>
        <w:gridCol w:w="109"/>
        <w:gridCol w:w="259"/>
        <w:gridCol w:w="462"/>
        <w:gridCol w:w="109"/>
        <w:gridCol w:w="109"/>
        <w:gridCol w:w="109"/>
        <w:gridCol w:w="109"/>
        <w:gridCol w:w="125"/>
        <w:gridCol w:w="122"/>
        <w:gridCol w:w="122"/>
        <w:gridCol w:w="109"/>
        <w:gridCol w:w="109"/>
        <w:gridCol w:w="109"/>
        <w:gridCol w:w="310"/>
        <w:gridCol w:w="670"/>
        <w:gridCol w:w="121"/>
        <w:gridCol w:w="109"/>
        <w:gridCol w:w="109"/>
        <w:gridCol w:w="109"/>
        <w:gridCol w:w="310"/>
        <w:gridCol w:w="670"/>
        <w:gridCol w:w="121"/>
        <w:gridCol w:w="109"/>
        <w:gridCol w:w="109"/>
        <w:gridCol w:w="109"/>
        <w:gridCol w:w="259"/>
        <w:gridCol w:w="462"/>
        <w:gridCol w:w="109"/>
        <w:gridCol w:w="109"/>
        <w:gridCol w:w="109"/>
        <w:gridCol w:w="109"/>
        <w:gridCol w:w="124"/>
        <w:gridCol w:w="121"/>
        <w:gridCol w:w="179"/>
      </w:tblGrid>
      <w:tr>
        <w:trPr/>
        <w:tc>
          <w:tcPr>
            <w:tcW w:w="64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profit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profit margin</w:t>
            </w:r>
          </w:p>
        </w:tc>
        <w:tc>
          <w:tcPr>
            <w:tcW w:w="9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Transient keys rented</w:t>
            </w:r>
            <w:r>
              <w:rPr>
                <w:rFonts w:ascii="Times New Roman;sans-serif" w:hAnsi="Times New Roman;sans-serif"/>
                <w:b w:val="false"/>
                <w:color w:val="000000"/>
                <w:sz w:val="12"/>
              </w:rPr>
              <w:t>(1)</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1,096,869 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transient rate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Rental occupancy</w:t>
            </w:r>
            <w:r>
              <w:rPr>
                <w:rFonts w:ascii="Times New Roman;sans-serif" w:hAnsi="Times New Roman;sans-serif"/>
                <w:b w:val="false"/>
                <w:color w:val="000000"/>
                <w:sz w:val="12"/>
              </w:rPr>
              <w:t>(2)</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Transient keys rented exclude plus points and preview stays.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20"/>
        </w:rPr>
        <w:t>Rental occupancy represents transient and preview keys divided by keys available to rent, which is total available keys excluding owner usage.</w:t>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profit, excluding profit from owned hotels, increased due to higher plus points revenue of $11 million, an $8 million increase in costs allocated to marketing and sales expense for occupancy used for previews, and $2 million of lower hotel loyalty and other costs. These changes were partially offset by $5 million of decreased profit due to lower average transient rate on higher keys rented and higher tidy and variable costs, $3 million of increased costs associated with higher owner utilization of third-party vacation and other offerings, and $2 million of higher unsold maintenance fees associated with developer owned inventory. Rental profit for our owned hotels remained in-line with the second quarter of 2023.</w:t>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Rental profit, excluding profit from owned hotels, increased due to higher plus points revenue of $22 million, a $14 million increase in costs allocated to marketing and sales expense for occupancy used for previews, and $2 million of lower hotel loyalty and other costs. These changes were partially offset by $9 million of decreased profit due to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transient rate on higher keys rented and higher tidy and variable costs and $6 million of increased costs associated with higher owner utilization of third-party vacation and other offerings. Rental profit for our owned hotels remained in-line with the first half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Financing Revenues, Expenses and Profit</w:t>
      </w:r>
    </w:p>
    <w:tbl>
      <w:tblPr>
        <w:tblW w:w="10205" w:type="dxa"/>
        <w:jc w:val="center"/>
        <w:tblInd w:w="0" w:type="dxa"/>
        <w:tblLayout w:type="fixed"/>
        <w:tblCellMar>
          <w:top w:w="28" w:type="dxa"/>
          <w:left w:w="28" w:type="dxa"/>
          <w:bottom w:w="28" w:type="dxa"/>
          <w:right w:w="28" w:type="dxa"/>
        </w:tblCellMar>
      </w:tblPr>
      <w:tblGrid>
        <w:gridCol w:w="747"/>
        <w:gridCol w:w="620"/>
        <w:gridCol w:w="558"/>
        <w:gridCol w:w="275"/>
        <w:gridCol w:w="471"/>
        <w:gridCol w:w="142"/>
        <w:gridCol w:w="109"/>
        <w:gridCol w:w="109"/>
        <w:gridCol w:w="109"/>
        <w:gridCol w:w="275"/>
        <w:gridCol w:w="471"/>
        <w:gridCol w:w="142"/>
        <w:gridCol w:w="109"/>
        <w:gridCol w:w="109"/>
        <w:gridCol w:w="109"/>
        <w:gridCol w:w="242"/>
        <w:gridCol w:w="346"/>
        <w:gridCol w:w="124"/>
        <w:gridCol w:w="109"/>
        <w:gridCol w:w="109"/>
        <w:gridCol w:w="109"/>
        <w:gridCol w:w="157"/>
        <w:gridCol w:w="157"/>
        <w:gridCol w:w="158"/>
        <w:gridCol w:w="109"/>
        <w:gridCol w:w="109"/>
        <w:gridCol w:w="109"/>
        <w:gridCol w:w="275"/>
        <w:gridCol w:w="471"/>
        <w:gridCol w:w="142"/>
        <w:gridCol w:w="109"/>
        <w:gridCol w:w="109"/>
        <w:gridCol w:w="109"/>
        <w:gridCol w:w="254"/>
        <w:gridCol w:w="562"/>
        <w:gridCol w:w="131"/>
        <w:gridCol w:w="109"/>
        <w:gridCol w:w="109"/>
        <w:gridCol w:w="109"/>
        <w:gridCol w:w="227"/>
        <w:gridCol w:w="322"/>
        <w:gridCol w:w="117"/>
        <w:gridCol w:w="109"/>
        <w:gridCol w:w="109"/>
        <w:gridCol w:w="109"/>
        <w:gridCol w:w="151"/>
        <w:gridCol w:w="151"/>
        <w:gridCol w:w="228"/>
      </w:tblGrid>
      <w:tr>
        <w:trPr/>
        <w:tc>
          <w:tcPr>
            <w:tcW w:w="74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revenues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expenses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financing interest expense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profit</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profit margin</w:t>
            </w:r>
          </w:p>
        </w:tc>
        <w:tc>
          <w:tcPr>
            <w:tcW w:w="8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propensity</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revenues reflect higher interest income as a result of a higher average notes receivable balances and a slightly higher average interest rate for the three and six months ended June 30, 2024. The higher average notes receivable balances resulted from new loan originations in excess of the repayment of existing vacation ownership notes receivable, which we expect to continue for the remainder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consumer financing interest expense is attributable to the higher average securitized debt at a higher average interest rate for our more recent term securitization transactions.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consumer financing interest expense to continue to remain higher than our average outstanding interest rates on existing securitization transactions as a result of higher interest rates until meaningful market interest rate declines occur. We do not adjust interest rates on consumer financing offerings at the same pace as, or in lock-step with, broader market interest rates; as a result, we expect our financing profit margin to continue to decrease in 2024, as we repay existing securitization transactions with lower interest rates and enter into new securitization transactions with higher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Gains and Other Income</w:t>
      </w:r>
    </w:p>
    <w:tbl>
      <w:tblPr>
        <w:tblW w:w="10205" w:type="dxa"/>
        <w:jc w:val="center"/>
        <w:tblInd w:w="0" w:type="dxa"/>
        <w:tblLayout w:type="fixed"/>
        <w:tblCellMar>
          <w:top w:w="28" w:type="dxa"/>
          <w:left w:w="28" w:type="dxa"/>
          <w:bottom w:w="28" w:type="dxa"/>
          <w:right w:w="28" w:type="dxa"/>
        </w:tblCellMar>
      </w:tblPr>
      <w:tblGrid>
        <w:gridCol w:w="655"/>
        <w:gridCol w:w="544"/>
        <w:gridCol w:w="545"/>
        <w:gridCol w:w="339"/>
        <w:gridCol w:w="411"/>
        <w:gridCol w:w="174"/>
        <w:gridCol w:w="109"/>
        <w:gridCol w:w="109"/>
        <w:gridCol w:w="109"/>
        <w:gridCol w:w="339"/>
        <w:gridCol w:w="411"/>
        <w:gridCol w:w="174"/>
        <w:gridCol w:w="109"/>
        <w:gridCol w:w="109"/>
        <w:gridCol w:w="109"/>
        <w:gridCol w:w="211"/>
        <w:gridCol w:w="307"/>
        <w:gridCol w:w="109"/>
        <w:gridCol w:w="109"/>
        <w:gridCol w:w="109"/>
        <w:gridCol w:w="109"/>
        <w:gridCol w:w="169"/>
        <w:gridCol w:w="169"/>
        <w:gridCol w:w="171"/>
        <w:gridCol w:w="109"/>
        <w:gridCol w:w="109"/>
        <w:gridCol w:w="109"/>
        <w:gridCol w:w="339"/>
        <w:gridCol w:w="411"/>
        <w:gridCol w:w="174"/>
        <w:gridCol w:w="109"/>
        <w:gridCol w:w="109"/>
        <w:gridCol w:w="109"/>
        <w:gridCol w:w="299"/>
        <w:gridCol w:w="512"/>
        <w:gridCol w:w="154"/>
        <w:gridCol w:w="109"/>
        <w:gridCol w:w="109"/>
        <w:gridCol w:w="109"/>
        <w:gridCol w:w="211"/>
        <w:gridCol w:w="412"/>
        <w:gridCol w:w="109"/>
        <w:gridCol w:w="109"/>
        <w:gridCol w:w="109"/>
        <w:gridCol w:w="109"/>
        <w:gridCol w:w="162"/>
        <w:gridCol w:w="162"/>
        <w:gridCol w:w="243"/>
      </w:tblGrid>
      <w:tr>
        <w:trPr/>
        <w:tc>
          <w:tcPr>
            <w:tcW w:w="65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and other income, net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we recorded $7 million of gains on the disposition of excess real estate.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2023, we recorded $7 million of gains on the disposition of excess real estate, a $4 million gain associated with the earn out of additional proceeds from the 2019 disposition of a land parcel in Cancun, Mexico, a $3 million reduction in certain pre-acquisition contingencies associated with the ILG Acquisition, and $2 million related to the receipt of business interruption insurance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Charges</w:t>
      </w:r>
    </w:p>
    <w:tbl>
      <w:tblPr>
        <w:tblW w:w="10205" w:type="dxa"/>
        <w:jc w:val="center"/>
        <w:tblInd w:w="0" w:type="dxa"/>
        <w:tblLayout w:type="fixed"/>
        <w:tblCellMar>
          <w:top w:w="28" w:type="dxa"/>
          <w:left w:w="28" w:type="dxa"/>
          <w:bottom w:w="28" w:type="dxa"/>
          <w:right w:w="28" w:type="dxa"/>
        </w:tblCellMar>
      </w:tblPr>
      <w:tblGrid>
        <w:gridCol w:w="559"/>
        <w:gridCol w:w="488"/>
        <w:gridCol w:w="474"/>
        <w:gridCol w:w="339"/>
        <w:gridCol w:w="580"/>
        <w:gridCol w:w="175"/>
        <w:gridCol w:w="109"/>
        <w:gridCol w:w="109"/>
        <w:gridCol w:w="109"/>
        <w:gridCol w:w="396"/>
        <w:gridCol w:w="480"/>
        <w:gridCol w:w="204"/>
        <w:gridCol w:w="109"/>
        <w:gridCol w:w="109"/>
        <w:gridCol w:w="109"/>
        <w:gridCol w:w="211"/>
        <w:gridCol w:w="256"/>
        <w:gridCol w:w="109"/>
        <w:gridCol w:w="109"/>
        <w:gridCol w:w="109"/>
        <w:gridCol w:w="109"/>
        <w:gridCol w:w="140"/>
        <w:gridCol w:w="140"/>
        <w:gridCol w:w="141"/>
        <w:gridCol w:w="109"/>
        <w:gridCol w:w="109"/>
        <w:gridCol w:w="109"/>
        <w:gridCol w:w="339"/>
        <w:gridCol w:w="580"/>
        <w:gridCol w:w="175"/>
        <w:gridCol w:w="109"/>
        <w:gridCol w:w="109"/>
        <w:gridCol w:w="109"/>
        <w:gridCol w:w="396"/>
        <w:gridCol w:w="480"/>
        <w:gridCol w:w="204"/>
        <w:gridCol w:w="109"/>
        <w:gridCol w:w="109"/>
        <w:gridCol w:w="109"/>
        <w:gridCol w:w="211"/>
        <w:gridCol w:w="256"/>
        <w:gridCol w:w="109"/>
        <w:gridCol w:w="109"/>
        <w:gridCol w:w="109"/>
        <w:gridCol w:w="109"/>
        <w:gridCol w:w="136"/>
        <w:gridCol w:w="136"/>
        <w:gridCol w:w="202"/>
      </w:tblGrid>
      <w:tr>
        <w:trPr/>
        <w:tc>
          <w:tcPr>
            <w:tcW w:w="5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 during the second quarter of 2024 and 2023, as well as the first half of 2024 and 2023, relate primarily to a land disposition in the U.S. and certain resorts in Europe.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2038"/>
        <w:gridCol w:w="1620"/>
        <w:gridCol w:w="1624"/>
        <w:gridCol w:w="298"/>
        <w:gridCol w:w="510"/>
        <w:gridCol w:w="153"/>
        <w:gridCol w:w="111"/>
        <w:gridCol w:w="111"/>
        <w:gridCol w:w="111"/>
        <w:gridCol w:w="298"/>
        <w:gridCol w:w="510"/>
        <w:gridCol w:w="153"/>
        <w:gridCol w:w="109"/>
        <w:gridCol w:w="109"/>
        <w:gridCol w:w="109"/>
        <w:gridCol w:w="298"/>
        <w:gridCol w:w="509"/>
        <w:gridCol w:w="153"/>
        <w:gridCol w:w="109"/>
        <w:gridCol w:w="109"/>
        <w:gridCol w:w="109"/>
        <w:gridCol w:w="266"/>
        <w:gridCol w:w="588"/>
        <w:gridCol w:w="200"/>
      </w:tblGrid>
      <w:tr>
        <w:trPr/>
        <w:tc>
          <w:tcPr>
            <w:tcW w:w="203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FINANCIAL RESULTS ATTRIBUTABLE TO COMMON STOCKHOLDERS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Management and Exchange Profit</w:t>
      </w:r>
    </w:p>
    <w:tbl>
      <w:tblPr>
        <w:tblW w:w="10205" w:type="dxa"/>
        <w:jc w:val="center"/>
        <w:tblInd w:w="0" w:type="dxa"/>
        <w:tblLayout w:type="fixed"/>
        <w:tblCellMar>
          <w:top w:w="28" w:type="dxa"/>
          <w:left w:w="28" w:type="dxa"/>
          <w:bottom w:w="28" w:type="dxa"/>
          <w:right w:w="28" w:type="dxa"/>
        </w:tblCellMar>
      </w:tblPr>
      <w:tblGrid>
        <w:gridCol w:w="751"/>
        <w:gridCol w:w="661"/>
        <w:gridCol w:w="666"/>
        <w:gridCol w:w="268"/>
        <w:gridCol w:w="459"/>
        <w:gridCol w:w="138"/>
        <w:gridCol w:w="109"/>
        <w:gridCol w:w="109"/>
        <w:gridCol w:w="109"/>
        <w:gridCol w:w="268"/>
        <w:gridCol w:w="459"/>
        <w:gridCol w:w="138"/>
        <w:gridCol w:w="109"/>
        <w:gridCol w:w="109"/>
        <w:gridCol w:w="109"/>
        <w:gridCol w:w="211"/>
        <w:gridCol w:w="294"/>
        <w:gridCol w:w="109"/>
        <w:gridCol w:w="109"/>
        <w:gridCol w:w="109"/>
        <w:gridCol w:w="109"/>
        <w:gridCol w:w="172"/>
        <w:gridCol w:w="144"/>
        <w:gridCol w:w="146"/>
        <w:gridCol w:w="109"/>
        <w:gridCol w:w="109"/>
        <w:gridCol w:w="109"/>
        <w:gridCol w:w="268"/>
        <w:gridCol w:w="459"/>
        <w:gridCol w:w="138"/>
        <w:gridCol w:w="109"/>
        <w:gridCol w:w="109"/>
        <w:gridCol w:w="109"/>
        <w:gridCol w:w="249"/>
        <w:gridCol w:w="551"/>
        <w:gridCol w:w="128"/>
        <w:gridCol w:w="109"/>
        <w:gridCol w:w="109"/>
        <w:gridCol w:w="109"/>
        <w:gridCol w:w="211"/>
        <w:gridCol w:w="399"/>
        <w:gridCol w:w="109"/>
        <w:gridCol w:w="109"/>
        <w:gridCol w:w="109"/>
        <w:gridCol w:w="109"/>
        <w:gridCol w:w="168"/>
        <w:gridCol w:w="140"/>
        <w:gridCol w:w="212"/>
      </w:tblGrid>
      <w:tr>
        <w:trPr/>
        <w:tc>
          <w:tcPr>
            <w:tcW w:w="75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 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 expense</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 profit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exchange profit margin</w:t>
            </w:r>
          </w:p>
        </w:tc>
        <w:tc>
          <w:tcPr>
            <w:tcW w:w="8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6"/>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 pts)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6"/>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 pts)</w:t>
            </w:r>
          </w:p>
        </w:tc>
        <w:tc>
          <w:tcPr>
            <w:tcW w:w="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Interval International management and exchange revenues declined $3 million or 4% primarily attributed to 7% lower exchange transaction volume, partially offset by a 4% increase in average exchange fees.The decrease in management and exchange revenue reflects a $3 million decline in Aqua-Aston management revenues resulting from fewer available nights for rent, lower occupancy and a lower average daily rate in the Hawaii market due to changes in demand.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management and exchange profit was primarily attributed to lower revenues and higher information technology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Interval International management and exchange revenues declined $4 million or 4% primarily attributed to 6% lower exchange transaction volume, partially offset by a 3% increase in average exchange fees.The decrease in management and exchange revenue reflects a $6 million decline in Aqua-Aston management revenues resulting from fewer available nights for rent, lower occupancy and a lower average daily rate in the Hawaii market due to changes in demand.</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management and exchange profit was primarily attributed to lower revenues and higher information technology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Rental Revenues</w:t>
      </w:r>
    </w:p>
    <w:tbl>
      <w:tblPr>
        <w:tblW w:w="10205" w:type="dxa"/>
        <w:jc w:val="center"/>
        <w:tblInd w:w="0" w:type="dxa"/>
        <w:tblLayout w:type="fixed"/>
        <w:tblCellMar>
          <w:top w:w="28" w:type="dxa"/>
          <w:left w:w="28" w:type="dxa"/>
          <w:bottom w:w="28" w:type="dxa"/>
          <w:right w:w="28" w:type="dxa"/>
        </w:tblCellMar>
      </w:tblPr>
      <w:tblGrid>
        <w:gridCol w:w="498"/>
        <w:gridCol w:w="417"/>
        <w:gridCol w:w="418"/>
        <w:gridCol w:w="335"/>
        <w:gridCol w:w="573"/>
        <w:gridCol w:w="173"/>
        <w:gridCol w:w="109"/>
        <w:gridCol w:w="109"/>
        <w:gridCol w:w="109"/>
        <w:gridCol w:w="335"/>
        <w:gridCol w:w="573"/>
        <w:gridCol w:w="173"/>
        <w:gridCol w:w="109"/>
        <w:gridCol w:w="109"/>
        <w:gridCol w:w="109"/>
        <w:gridCol w:w="211"/>
        <w:gridCol w:w="321"/>
        <w:gridCol w:w="109"/>
        <w:gridCol w:w="109"/>
        <w:gridCol w:w="109"/>
        <w:gridCol w:w="109"/>
        <w:gridCol w:w="155"/>
        <w:gridCol w:w="155"/>
        <w:gridCol w:w="157"/>
        <w:gridCol w:w="109"/>
        <w:gridCol w:w="109"/>
        <w:gridCol w:w="109"/>
        <w:gridCol w:w="335"/>
        <w:gridCol w:w="573"/>
        <w:gridCol w:w="173"/>
        <w:gridCol w:w="109"/>
        <w:gridCol w:w="109"/>
        <w:gridCol w:w="109"/>
        <w:gridCol w:w="335"/>
        <w:gridCol w:w="573"/>
        <w:gridCol w:w="173"/>
        <w:gridCol w:w="109"/>
        <w:gridCol w:w="109"/>
        <w:gridCol w:w="109"/>
        <w:gridCol w:w="211"/>
        <w:gridCol w:w="406"/>
        <w:gridCol w:w="109"/>
        <w:gridCol w:w="109"/>
        <w:gridCol w:w="109"/>
        <w:gridCol w:w="109"/>
        <w:gridCol w:w="120"/>
        <w:gridCol w:w="120"/>
        <w:gridCol w:w="185"/>
      </w:tblGrid>
      <w:tr>
        <w:trPr/>
        <w:tc>
          <w:tcPr>
            <w:tcW w:w="49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Rental revenues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reflect a 16% decrease in transaction volume, partially offset by a 10% increase in average fees per transaction.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reflect a 7% decrease in transaction volume offset by a 7% increase in average fees per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tbl>
      <w:tblPr>
        <w:tblW w:w="10205" w:type="dxa"/>
        <w:jc w:val="center"/>
        <w:tblInd w:w="0" w:type="dxa"/>
        <w:tblLayout w:type="fixed"/>
        <w:tblCellMar>
          <w:top w:w="28" w:type="dxa"/>
          <w:left w:w="28" w:type="dxa"/>
          <w:bottom w:w="28" w:type="dxa"/>
          <w:right w:w="28" w:type="dxa"/>
        </w:tblCellMar>
      </w:tblPr>
      <w:tblGrid>
        <w:gridCol w:w="2142"/>
        <w:gridCol w:w="1533"/>
        <w:gridCol w:w="1546"/>
        <w:gridCol w:w="249"/>
        <w:gridCol w:w="611"/>
        <w:gridCol w:w="128"/>
        <w:gridCol w:w="109"/>
        <w:gridCol w:w="109"/>
        <w:gridCol w:w="109"/>
        <w:gridCol w:w="249"/>
        <w:gridCol w:w="611"/>
        <w:gridCol w:w="128"/>
        <w:gridCol w:w="109"/>
        <w:gridCol w:w="109"/>
        <w:gridCol w:w="109"/>
        <w:gridCol w:w="249"/>
        <w:gridCol w:w="611"/>
        <w:gridCol w:w="128"/>
        <w:gridCol w:w="109"/>
        <w:gridCol w:w="109"/>
        <w:gridCol w:w="109"/>
        <w:gridCol w:w="247"/>
        <w:gridCol w:w="606"/>
        <w:gridCol w:w="186"/>
      </w:tblGrid>
      <w:tr>
        <w:trPr/>
        <w:tc>
          <w:tcPr>
            <w:tcW w:w="21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and other (expense) income, net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RESULTS BEFORE INCOME TAXES AND NONCONTROLLING INTERESTS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RESULTS ATTRIBUTABLE TO COMMON STOCKHOLDERS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Property Owners’ Associations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impact of certain Consolidated Property Owners’ Associations under the relevant accounting guidance and the changes attributed to the deconsolidation of individual Consolidated Property Owners’ Associations.</w:t>
      </w:r>
    </w:p>
    <w:tbl>
      <w:tblPr>
        <w:tblW w:w="10205" w:type="dxa"/>
        <w:jc w:val="center"/>
        <w:tblInd w:w="0" w:type="dxa"/>
        <w:tblLayout w:type="fixed"/>
        <w:tblCellMar>
          <w:top w:w="28" w:type="dxa"/>
          <w:left w:w="28" w:type="dxa"/>
          <w:bottom w:w="28" w:type="dxa"/>
          <w:right w:w="28" w:type="dxa"/>
        </w:tblCellMar>
      </w:tblPr>
      <w:tblGrid>
        <w:gridCol w:w="2148"/>
        <w:gridCol w:w="1639"/>
        <w:gridCol w:w="1611"/>
        <w:gridCol w:w="292"/>
        <w:gridCol w:w="502"/>
        <w:gridCol w:w="151"/>
        <w:gridCol w:w="115"/>
        <w:gridCol w:w="115"/>
        <w:gridCol w:w="115"/>
        <w:gridCol w:w="329"/>
        <w:gridCol w:w="400"/>
        <w:gridCol w:w="170"/>
        <w:gridCol w:w="109"/>
        <w:gridCol w:w="109"/>
        <w:gridCol w:w="109"/>
        <w:gridCol w:w="280"/>
        <w:gridCol w:w="540"/>
        <w:gridCol w:w="144"/>
        <w:gridCol w:w="109"/>
        <w:gridCol w:w="109"/>
        <w:gridCol w:w="109"/>
        <w:gridCol w:w="288"/>
        <w:gridCol w:w="493"/>
        <w:gridCol w:w="219"/>
      </w:tblGrid>
      <w:tr>
        <w:trPr/>
        <w:tc>
          <w:tcPr>
            <w:tcW w:w="214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Resort management and other services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reimbursements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RESULTS BEFORE INCOME TAXES AND NONCONTROLLING INTERESTS</w:t>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FINANCIAL RESULTS ATTRIBUTABLE TO COMMON STOCKHOLDERS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tbl>
      <w:tblPr>
        <w:tblW w:w="10205" w:type="dxa"/>
        <w:jc w:val="center"/>
        <w:tblInd w:w="0" w:type="dxa"/>
        <w:tblLayout w:type="fixed"/>
        <w:tblCellMar>
          <w:top w:w="28" w:type="dxa"/>
          <w:left w:w="28" w:type="dxa"/>
          <w:bottom w:w="28" w:type="dxa"/>
          <w:right w:w="28" w:type="dxa"/>
        </w:tblCellMar>
      </w:tblPr>
      <w:tblGrid>
        <w:gridCol w:w="636"/>
        <w:gridCol w:w="558"/>
        <w:gridCol w:w="564"/>
        <w:gridCol w:w="278"/>
        <w:gridCol w:w="476"/>
        <w:gridCol w:w="143"/>
        <w:gridCol w:w="109"/>
        <w:gridCol w:w="109"/>
        <w:gridCol w:w="109"/>
        <w:gridCol w:w="278"/>
        <w:gridCol w:w="476"/>
        <w:gridCol w:w="143"/>
        <w:gridCol w:w="109"/>
        <w:gridCol w:w="109"/>
        <w:gridCol w:w="109"/>
        <w:gridCol w:w="211"/>
        <w:gridCol w:w="403"/>
        <w:gridCol w:w="109"/>
        <w:gridCol w:w="109"/>
        <w:gridCol w:w="109"/>
        <w:gridCol w:w="109"/>
        <w:gridCol w:w="158"/>
        <w:gridCol w:w="158"/>
        <w:gridCol w:w="160"/>
        <w:gridCol w:w="109"/>
        <w:gridCol w:w="109"/>
        <w:gridCol w:w="109"/>
        <w:gridCol w:w="256"/>
        <w:gridCol w:w="566"/>
        <w:gridCol w:w="132"/>
        <w:gridCol w:w="109"/>
        <w:gridCol w:w="109"/>
        <w:gridCol w:w="109"/>
        <w:gridCol w:w="256"/>
        <w:gridCol w:w="566"/>
        <w:gridCol w:w="132"/>
        <w:gridCol w:w="109"/>
        <w:gridCol w:w="109"/>
        <w:gridCol w:w="109"/>
        <w:gridCol w:w="211"/>
        <w:gridCol w:w="403"/>
        <w:gridCol w:w="109"/>
        <w:gridCol w:w="109"/>
        <w:gridCol w:w="109"/>
        <w:gridCol w:w="109"/>
        <w:gridCol w:w="152"/>
        <w:gridCol w:w="152"/>
        <w:gridCol w:w="230"/>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General and administrative expenses for the second quarter of 2024 is due to lower information technology costs, insurance expense and compensation expense of $5 million, $2 million and $3 million, respectively.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General and administrative expenses for the first half of 2024 is due to lower information technology costs, insurance expense and compliance related expenses of $9 million, $3 million and $3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(Losses) Gains and Other (Expense) Income</w:t>
      </w:r>
    </w:p>
    <w:tbl>
      <w:tblPr>
        <w:tblW w:w="10205" w:type="dxa"/>
        <w:jc w:val="center"/>
        <w:tblInd w:w="0" w:type="dxa"/>
        <w:tblLayout w:type="fixed"/>
        <w:tblCellMar>
          <w:top w:w="28" w:type="dxa"/>
          <w:left w:w="28" w:type="dxa"/>
          <w:bottom w:w="28" w:type="dxa"/>
          <w:right w:w="28" w:type="dxa"/>
        </w:tblCellMar>
      </w:tblPr>
      <w:tblGrid>
        <w:gridCol w:w="839"/>
        <w:gridCol w:w="697"/>
        <w:gridCol w:w="661"/>
        <w:gridCol w:w="281"/>
        <w:gridCol w:w="408"/>
        <w:gridCol w:w="145"/>
        <w:gridCol w:w="109"/>
        <w:gridCol w:w="109"/>
        <w:gridCol w:w="109"/>
        <w:gridCol w:w="303"/>
        <w:gridCol w:w="367"/>
        <w:gridCol w:w="156"/>
        <w:gridCol w:w="109"/>
        <w:gridCol w:w="109"/>
        <w:gridCol w:w="109"/>
        <w:gridCol w:w="211"/>
        <w:gridCol w:w="402"/>
        <w:gridCol w:w="109"/>
        <w:gridCol w:w="109"/>
        <w:gridCol w:w="109"/>
        <w:gridCol w:w="109"/>
        <w:gridCol w:w="140"/>
        <w:gridCol w:w="140"/>
        <w:gridCol w:w="141"/>
        <w:gridCol w:w="109"/>
        <w:gridCol w:w="109"/>
        <w:gridCol w:w="109"/>
        <w:gridCol w:w="281"/>
        <w:gridCol w:w="408"/>
        <w:gridCol w:w="145"/>
        <w:gridCol w:w="109"/>
        <w:gridCol w:w="109"/>
        <w:gridCol w:w="109"/>
        <w:gridCol w:w="274"/>
        <w:gridCol w:w="470"/>
        <w:gridCol w:w="142"/>
        <w:gridCol w:w="109"/>
        <w:gridCol w:w="109"/>
        <w:gridCol w:w="109"/>
        <w:gridCol w:w="211"/>
        <w:gridCol w:w="402"/>
        <w:gridCol w:w="109"/>
        <w:gridCol w:w="109"/>
        <w:gridCol w:w="109"/>
        <w:gridCol w:w="109"/>
        <w:gridCol w:w="136"/>
        <w:gridCol w:w="136"/>
        <w:gridCol w:w="202"/>
      </w:tblGrid>
      <w:tr>
        <w:trPr/>
        <w:tc>
          <w:tcPr>
            <w:tcW w:w="83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gains and other (expense) income, net</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we recorded $4 million of foreign currency translation losses and $4 million of tax related adjustments to the receivable from Marriott International for indemnified tax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we recorded $2 million of foreign currency translation gains and a $1 million increase in our receivable from Marriott International for indemnified income tax matters (the true-up to the offsetting accrual is included in the Provision for income taxes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half of 2024, we recorded $6 million of foreign currency translation losses and $2 million net of tax related adjustments to the receivable from Marriott International for indemnified tax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half of 2023, we recorded a $21 million increase in our receivable from Marriott International for indemnified income tax matters (the true-up to the offsetting accrual is included in the Provision for income taxes line) and $4 million of foreign currency translation gains, partially offset by $10 million attributed to the redemption premium and write-off of unamortized debt issuance costs resulting from the early redemption of our senior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bl>
      <w:tblPr>
        <w:tblW w:w="10205" w:type="dxa"/>
        <w:jc w:val="center"/>
        <w:tblInd w:w="0" w:type="dxa"/>
        <w:tblLayout w:type="fixed"/>
        <w:tblCellMar>
          <w:top w:w="28" w:type="dxa"/>
          <w:left w:w="28" w:type="dxa"/>
          <w:bottom w:w="28" w:type="dxa"/>
          <w:right w:w="28" w:type="dxa"/>
        </w:tblCellMar>
      </w:tblPr>
      <w:tblGrid>
        <w:gridCol w:w="558"/>
        <w:gridCol w:w="446"/>
        <w:gridCol w:w="448"/>
        <w:gridCol w:w="284"/>
        <w:gridCol w:w="568"/>
        <w:gridCol w:w="146"/>
        <w:gridCol w:w="109"/>
        <w:gridCol w:w="109"/>
        <w:gridCol w:w="109"/>
        <w:gridCol w:w="284"/>
        <w:gridCol w:w="568"/>
        <w:gridCol w:w="146"/>
        <w:gridCol w:w="109"/>
        <w:gridCol w:w="109"/>
        <w:gridCol w:w="109"/>
        <w:gridCol w:w="211"/>
        <w:gridCol w:w="310"/>
        <w:gridCol w:w="109"/>
        <w:gridCol w:w="109"/>
        <w:gridCol w:w="109"/>
        <w:gridCol w:w="109"/>
        <w:gridCol w:w="174"/>
        <w:gridCol w:w="174"/>
        <w:gridCol w:w="175"/>
        <w:gridCol w:w="109"/>
        <w:gridCol w:w="109"/>
        <w:gridCol w:w="109"/>
        <w:gridCol w:w="284"/>
        <w:gridCol w:w="568"/>
        <w:gridCol w:w="146"/>
        <w:gridCol w:w="109"/>
        <w:gridCol w:w="109"/>
        <w:gridCol w:w="109"/>
        <w:gridCol w:w="284"/>
        <w:gridCol w:w="568"/>
        <w:gridCol w:w="146"/>
        <w:gridCol w:w="109"/>
        <w:gridCol w:w="109"/>
        <w:gridCol w:w="109"/>
        <w:gridCol w:w="211"/>
        <w:gridCol w:w="415"/>
        <w:gridCol w:w="109"/>
        <w:gridCol w:w="109"/>
        <w:gridCol w:w="109"/>
        <w:gridCol w:w="109"/>
        <w:gridCol w:w="166"/>
        <w:gridCol w:w="166"/>
        <w:gridCol w:w="252"/>
      </w:tblGrid>
      <w:tr>
        <w:trPr/>
        <w:tc>
          <w:tcPr>
            <w:tcW w:w="5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 and 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net is attributed to higher variable interest expense and changes in outstanding borrowings during the comparative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Income Tax</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 Second Quarter</w:t>
      </w:r>
    </w:p>
    <w:tbl>
      <w:tblPr>
        <w:tblW w:w="10205" w:type="dxa"/>
        <w:jc w:val="center"/>
        <w:tblInd w:w="0" w:type="dxa"/>
        <w:tblLayout w:type="fixed"/>
        <w:tblCellMar>
          <w:top w:w="28" w:type="dxa"/>
          <w:left w:w="28" w:type="dxa"/>
          <w:bottom w:w="28" w:type="dxa"/>
          <w:right w:w="28" w:type="dxa"/>
        </w:tblCellMar>
      </w:tblPr>
      <w:tblGrid>
        <w:gridCol w:w="663"/>
        <w:gridCol w:w="556"/>
        <w:gridCol w:w="531"/>
        <w:gridCol w:w="279"/>
        <w:gridCol w:w="554"/>
        <w:gridCol w:w="144"/>
        <w:gridCol w:w="109"/>
        <w:gridCol w:w="109"/>
        <w:gridCol w:w="109"/>
        <w:gridCol w:w="279"/>
        <w:gridCol w:w="554"/>
        <w:gridCol w:w="144"/>
        <w:gridCol w:w="109"/>
        <w:gridCol w:w="109"/>
        <w:gridCol w:w="109"/>
        <w:gridCol w:w="211"/>
        <w:gridCol w:w="361"/>
        <w:gridCol w:w="109"/>
        <w:gridCol w:w="109"/>
        <w:gridCol w:w="109"/>
        <w:gridCol w:w="109"/>
        <w:gridCol w:w="140"/>
        <w:gridCol w:w="140"/>
        <w:gridCol w:w="140"/>
        <w:gridCol w:w="109"/>
        <w:gridCol w:w="109"/>
        <w:gridCol w:w="109"/>
        <w:gridCol w:w="279"/>
        <w:gridCol w:w="554"/>
        <w:gridCol w:w="144"/>
        <w:gridCol w:w="109"/>
        <w:gridCol w:w="109"/>
        <w:gridCol w:w="109"/>
        <w:gridCol w:w="279"/>
        <w:gridCol w:w="554"/>
        <w:gridCol w:w="144"/>
        <w:gridCol w:w="109"/>
        <w:gridCol w:w="109"/>
        <w:gridCol w:w="109"/>
        <w:gridCol w:w="211"/>
        <w:gridCol w:w="361"/>
        <w:gridCol w:w="109"/>
        <w:gridCol w:w="109"/>
        <w:gridCol w:w="109"/>
        <w:gridCol w:w="109"/>
        <w:gridCol w:w="136"/>
        <w:gridCol w:w="136"/>
        <w:gridCol w:w="204"/>
      </w:tblGrid>
      <w:tr>
        <w:trPr/>
        <w:tc>
          <w:tcPr>
            <w:tcW w:w="66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Change </w:t>
              <w:br/>
              <w:t>2024 vs. 2023</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Second Quarter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22.0% and 35.4% for the three months ended June 30, 2024 and June 30, 2023,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June 30, 2024 differed from the blended statutory tax rate for the same period due to income tax adjustments for discrete items, including a $13 million decrease for the expiration of statutes of limitation on certain unrecognized tax benefits, partially offset by a $4 million increase related to prior year true-up adjustments in non-U.S. jurisdictions.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June 30, 2023 differed from the blended statutory tax rate for the same period due to income tax adjustments for discrete items, including a $5 million adjustment in stock compensation.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Half</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was 35.2% and 33.9% for the six months ended June 30, 2024 and June 30, 2023,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six months ended June 30, 2024 differed from the blended statutory tax rate for the same period due to income tax adjustments for discrete items, including a $20 million increase to remove the permanent reinvestment assertion for certain non-U.S. entities and a $5 million increase related to prior year true-up adjustments in non-U.S. jurisdictions, partially offset by a $22 million decrease for the expiration of statutes of limitation on certain unrecognized tax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six months ended June 30, 2023 differed from the blended statutory tax rate for the same period due to income tax adjustments for discrete items, including an $18 million increase to pre-acquisition reserves for unrecognized tax benefits.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has proposed a global minimum tax of 15% of reported profits (“Pillar 2”) that has been agreed upon in principle by over 140 non-U.S. countries. Although the model rules provide a framework for applying the minimum tax, countries may enact Pillar 2 differently than the model rules and/or on different timelines. While we continue to monitor legislative developments, we do not anticipate Pillar 2 will have a material impact on our 2024 or long-term financial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our corporate debt, net of cash and equivalents, to Adjusted EBITDA ratio was 4.4, above our targeted range of 2.5 to 3.0, and our goal is to reduce this ratio to 3.0 by the end of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we amended the Corporate Credit Facility to provide for a new $800 million term loan facility that is scheduled to mature on April 1, 2031, the New Term Loan. The proceeds of the New Term Loan were used to refinance in full the Term Loan, which had a balance of $784 million as of March 31, 2024 and was scheduled to mature on August 31, 2025. We have no material principal payment obligations on our debt prior to 2026. See Footnote 12 “Debt” to our Financial Statements for further information related to maturities of our debt.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from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Vacation Ownership Notes Receivable Securitizations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Given the recent increase in delinquencies and defaults above historical averages, the cash excess spread we received from our securitization transactions has been lower than previously anticipated. At the recent level of defaults, there is no impact to cash whether we repurchase defaulted vacation ownership notes receivable from a securitization VIE and pursue foreclosure or foreclose on behalf of a securitization VIE.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2024, and as of June 30, 2024, we had 14 term securitization transactions outstanding, all of which were in compliance with their respective required parameters. Since 2000, we have issued approximately $9.4 billion of debt securities in securitization transactions in the term ABS market, excluding amounts securitized through warehouse credit facilities or private bank transactions.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2024, we amended certain agreements associated with our Warehouse Credit Facility, which extended the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 from May 31, 2025 to June 11, 2026. At June 30, 2024, we had $108 million of borrowings outstanding under our Warehouse Credit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$71 million of gross vacation ownership notes receivable were eligible for securitization.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Corporate Credit Facility</w:t>
      </w:r>
    </w:p>
    <w:p>
      <w:pPr>
        <w:pStyle w:val="TextBody"/>
        <w:bidi w:val="0"/>
        <w:spacing w:lineRule="auto" w:line="288" w:before="120" w:after="283"/>
        <w:jc w:val="left"/>
        <w:rPr/>
      </w:pPr>
      <w:r>
        <w:rPr>
          <w:rFonts w:ascii="Times New Roman;sans-serif" w:hAnsi="Times New Roman;sans-serif"/>
          <w:b w:val="false"/>
          <w:color w:val="000000"/>
          <w:sz w:val="20"/>
        </w:rPr>
        <w:t xml:space="preserve">Our Revolving Corporate Credit Facility, which expires on March 31, 2027, provides for up to $750 million of aggregate borrowings for general corporate needs, including working capital, capital expenditures, letters of credit, and acquisitions. At June 30, 2024, $175 million of borrowings and </w:t>
      </w:r>
      <w:r>
        <w:rPr>
          <w:rFonts w:ascii="Times New Roman;sans-serif" w:hAnsi="Times New Roman;sans-serif"/>
          <w:b w:val="false"/>
          <w:color w:val="000000"/>
          <w:sz w:val="20"/>
          <w:shd w:fill="FFFFFF" w:val="clear"/>
        </w:rPr>
        <w:t>$32 million of le</w:t>
      </w:r>
      <w:r>
        <w:rPr>
          <w:rFonts w:ascii="Times New Roman;sans-serif" w:hAnsi="Times New Roman;sans-serif"/>
          <w:b w:val="false"/>
          <w:color w:val="000000"/>
          <w:sz w:val="20"/>
        </w:rPr>
        <w:t xml:space="preserve">tters of credit were outstanding under our Revolving Corporate Credit Facility.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Uses of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typically have significant variable compensation-related cash outflows associated with payment of annual bonuses.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net income and adjustments for non-cash items, the following are key drivers of our cash flow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Spending Less Than Cost of Sales</w:t>
      </w:r>
    </w:p>
    <w:tbl>
      <w:tblPr>
        <w:tblW w:w="6955" w:type="dxa"/>
        <w:jc w:val="center"/>
        <w:tblInd w:w="0" w:type="dxa"/>
        <w:tblLayout w:type="fixed"/>
        <w:tblCellMar>
          <w:top w:w="28" w:type="dxa"/>
          <w:left w:w="28" w:type="dxa"/>
          <w:bottom w:w="28" w:type="dxa"/>
          <w:right w:w="28" w:type="dxa"/>
        </w:tblCellMar>
      </w:tblPr>
      <w:tblGrid>
        <w:gridCol w:w="1550"/>
        <w:gridCol w:w="1360"/>
        <w:gridCol w:w="1365"/>
        <w:gridCol w:w="322"/>
        <w:gridCol w:w="666"/>
        <w:gridCol w:w="166"/>
        <w:gridCol w:w="109"/>
        <w:gridCol w:w="109"/>
        <w:gridCol w:w="109"/>
        <w:gridCol w:w="316"/>
        <w:gridCol w:w="653"/>
        <w:gridCol w:w="230"/>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spending</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for future transfer to inventory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spending less than cost of sales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significant inventory on hand, we intend to continue selectively pursuing growth opportunities by targeting high-quality inventory that allows us to add desirable new destinations to our systems with new on-site sales locations.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spending for real estate inventory in the first half of 2024 was lower than cost of sales and was primarily related to purchases under our VOI repurchase programs. Purchase of property for future transfer to inventory in 2023 included the acquisition of property in Charleston, South Carolina. We expect inventory spending to exceed cost of sales for the remainder of 2024, due to our remaining commitment to acquire property in Waikiki.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Vacation Ownership Notes Receivable Collections Less Than Originations</w:t>
      </w:r>
    </w:p>
    <w:tbl>
      <w:tblPr>
        <w:tblW w:w="8516" w:type="dxa"/>
        <w:jc w:val="center"/>
        <w:tblInd w:w="0" w:type="dxa"/>
        <w:tblLayout w:type="fixed"/>
        <w:tblCellMar>
          <w:top w:w="28" w:type="dxa"/>
          <w:left w:w="28" w:type="dxa"/>
          <w:bottom w:w="28" w:type="dxa"/>
          <w:right w:w="28" w:type="dxa"/>
        </w:tblCellMar>
      </w:tblPr>
      <w:tblGrid>
        <w:gridCol w:w="2113"/>
        <w:gridCol w:w="1853"/>
        <w:gridCol w:w="1868"/>
        <w:gridCol w:w="283"/>
        <w:gridCol w:w="726"/>
        <w:gridCol w:w="146"/>
        <w:gridCol w:w="109"/>
        <w:gridCol w:w="109"/>
        <w:gridCol w:w="109"/>
        <w:gridCol w:w="279"/>
        <w:gridCol w:w="717"/>
        <w:gridCol w:w="204"/>
      </w:tblGrid>
      <w:tr>
        <w:trPr/>
        <w:tc>
          <w:tcPr>
            <w:tcW w:w="211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collections — non-securitized</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collections — securitized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originations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collections less than originations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vacation ownership notes receivable originations to continue to outpace vacation ownership notes receivable collections in 2024 due to sales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 of Common Stock</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25,141,073 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half of 2024</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410,377 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25,551,450 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Footnote 13 “Stockholders' Equity” to our Financial Statements for further information related to our current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Payment of Dividends to Common Stockholders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distributed cash dividends to holders of common stock during the first half of 2024 as follows:</w:t>
      </w:r>
    </w:p>
    <w:tbl>
      <w:tblPr>
        <w:tblW w:w="7729"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$0.76</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Cash Requirements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material cash requirements from known contractual or other obligations as of June 30, 2024:</w:t>
      </w:r>
    </w:p>
    <w:tbl>
      <w:tblPr>
        <w:tblW w:w="10205" w:type="dxa"/>
        <w:jc w:val="center"/>
        <w:tblInd w:w="0" w:type="dxa"/>
        <w:tblLayout w:type="fixed"/>
        <w:tblCellMar>
          <w:top w:w="28" w:type="dxa"/>
          <w:left w:w="28" w:type="dxa"/>
          <w:bottom w:w="28" w:type="dxa"/>
          <w:right w:w="28" w:type="dxa"/>
        </w:tblCellMar>
      </w:tblPr>
      <w:tblGrid>
        <w:gridCol w:w="619"/>
        <w:gridCol w:w="510"/>
        <w:gridCol w:w="464"/>
        <w:gridCol w:w="109"/>
        <w:gridCol w:w="109"/>
        <w:gridCol w:w="109"/>
        <w:gridCol w:w="211"/>
        <w:gridCol w:w="616"/>
        <w:gridCol w:w="109"/>
        <w:gridCol w:w="109"/>
        <w:gridCol w:w="109"/>
        <w:gridCol w:w="109"/>
        <w:gridCol w:w="257"/>
        <w:gridCol w:w="569"/>
        <w:gridCol w:w="135"/>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5"/>
      </w:tblGrid>
      <w:tr>
        <w:trPr/>
        <w:tc>
          <w:tcPr>
            <w:tcW w:w="6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Remainder</w:t>
              <w:br/>
              <w:t>of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Debt</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Securitized debt</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obligations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obligations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principal as well as interest payments and excludes unamortized debt discount and issuance costs.</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During the second quarter of 2024, we amended the Corporate Credit Facility to provide for the New Term Loan, which is scheduled to mature on April 1, 2031. The proceeds from the New Term Loan were used to refinance in full the Term Loan, which had a balance of $784 million as of March 31, 2024, and was scheduled to mature on August 31, 2025.</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Payments based on estimated timing of cash flow associated with securitized vacation ownership notes receivable.</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and information technology assets (hardware and software). Amounts reflected on the consolidated balance sheet as accounts payable and accrued liabilities are excluded from the table above.</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interest.</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consolidating financial information as of June 30, 2024 and December 31, 2023, and for the six months ended June 30, 2024 for MVWC and MORI on a stand-alone basis (collectively, the “Issuers”), the Senior Notes Guarantors, the combined non-guarantor subsidiaries of MVWC, and MVW on a consolidated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Condensed Consolidating Statement of Income </w:t>
      </w:r>
    </w:p>
    <w:tbl>
      <w:tblPr>
        <w:tblW w:w="10205" w:type="dxa"/>
        <w:jc w:val="center"/>
        <w:tblInd w:w="0" w:type="dxa"/>
        <w:tblLayout w:type="fixed"/>
        <w:tblCellMar>
          <w:top w:w="28" w:type="dxa"/>
          <w:left w:w="28" w:type="dxa"/>
          <w:bottom w:w="28" w:type="dxa"/>
          <w:right w:w="28" w:type="dxa"/>
        </w:tblCellMar>
      </w:tblPr>
      <w:tblGrid>
        <w:gridCol w:w="918"/>
        <w:gridCol w:w="505"/>
        <w:gridCol w:w="398"/>
        <w:gridCol w:w="211"/>
        <w:gridCol w:w="406"/>
        <w:gridCol w:w="109"/>
        <w:gridCol w:w="109"/>
        <w:gridCol w:w="109"/>
        <w:gridCol w:w="109"/>
        <w:gridCol w:w="211"/>
        <w:gridCol w:w="466"/>
        <w:gridCol w:w="109"/>
        <w:gridCol w:w="109"/>
        <w:gridCol w:w="109"/>
        <w:gridCol w:w="109"/>
        <w:gridCol w:w="109"/>
        <w:gridCol w:w="109"/>
        <w:gridCol w:w="259"/>
        <w:gridCol w:w="760"/>
        <w:gridCol w:w="135"/>
        <w:gridCol w:w="109"/>
        <w:gridCol w:w="109"/>
        <w:gridCol w:w="109"/>
        <w:gridCol w:w="392"/>
        <w:gridCol w:w="869"/>
        <w:gridCol w:w="204"/>
        <w:gridCol w:w="109"/>
        <w:gridCol w:w="109"/>
        <w:gridCol w:w="109"/>
        <w:gridCol w:w="301"/>
        <w:gridCol w:w="688"/>
        <w:gridCol w:w="156"/>
        <w:gridCol w:w="109"/>
        <w:gridCol w:w="109"/>
        <w:gridCol w:w="109"/>
        <w:gridCol w:w="267"/>
        <w:gridCol w:w="783"/>
        <w:gridCol w:w="205"/>
      </w:tblGrid>
      <w:tr>
        <w:trPr/>
        <w:tc>
          <w:tcPr>
            <w:tcW w:w="9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1582" w:type="dxa"/>
            <w:gridSpan w:val="6"/>
            <w:tcBorders/>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 Consolidated</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subsidiaries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Condensed Consolidating Balance Sheet</w:t>
      </w:r>
    </w:p>
    <w:tbl>
      <w:tblPr>
        <w:tblW w:w="10205" w:type="dxa"/>
        <w:jc w:val="center"/>
        <w:tblInd w:w="0" w:type="dxa"/>
        <w:tblLayout w:type="fixed"/>
        <w:tblCellMar>
          <w:top w:w="28" w:type="dxa"/>
          <w:left w:w="28" w:type="dxa"/>
          <w:bottom w:w="28" w:type="dxa"/>
          <w:right w:w="28" w:type="dxa"/>
        </w:tblCellMar>
      </w:tblPr>
      <w:tblGrid>
        <w:gridCol w:w="794"/>
        <w:gridCol w:w="461"/>
        <w:gridCol w:w="426"/>
        <w:gridCol w:w="211"/>
        <w:gridCol w:w="616"/>
        <w:gridCol w:w="109"/>
        <w:gridCol w:w="109"/>
        <w:gridCol w:w="109"/>
        <w:gridCol w:w="109"/>
        <w:gridCol w:w="211"/>
        <w:gridCol w:w="616"/>
        <w:gridCol w:w="109"/>
        <w:gridCol w:w="109"/>
        <w:gridCol w:w="109"/>
        <w:gridCol w:w="109"/>
        <w:gridCol w:w="259"/>
        <w:gridCol w:w="760"/>
        <w:gridCol w:w="135"/>
        <w:gridCol w:w="109"/>
        <w:gridCol w:w="109"/>
        <w:gridCol w:w="109"/>
        <w:gridCol w:w="329"/>
        <w:gridCol w:w="964"/>
        <w:gridCol w:w="171"/>
        <w:gridCol w:w="109"/>
        <w:gridCol w:w="109"/>
        <w:gridCol w:w="109"/>
        <w:gridCol w:w="253"/>
        <w:gridCol w:w="760"/>
        <w:gridCol w:w="132"/>
        <w:gridCol w:w="109"/>
        <w:gridCol w:w="109"/>
        <w:gridCol w:w="109"/>
        <w:gridCol w:w="267"/>
        <w:gridCol w:w="783"/>
        <w:gridCol w:w="204"/>
      </w:tblGrid>
      <w:tr>
        <w:trPr/>
        <w:tc>
          <w:tcPr>
            <w:tcW w:w="7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2024</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 Consolidated</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MVW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05"/>
        <w:gridCol w:w="476"/>
        <w:gridCol w:w="442"/>
        <w:gridCol w:w="211"/>
        <w:gridCol w:w="616"/>
        <w:gridCol w:w="109"/>
        <w:gridCol w:w="109"/>
        <w:gridCol w:w="109"/>
        <w:gridCol w:w="109"/>
        <w:gridCol w:w="211"/>
        <w:gridCol w:w="616"/>
        <w:gridCol w:w="109"/>
        <w:gridCol w:w="109"/>
        <w:gridCol w:w="109"/>
        <w:gridCol w:w="109"/>
        <w:gridCol w:w="264"/>
        <w:gridCol w:w="773"/>
        <w:gridCol w:w="137"/>
        <w:gridCol w:w="109"/>
        <w:gridCol w:w="109"/>
        <w:gridCol w:w="109"/>
        <w:gridCol w:w="333"/>
        <w:gridCol w:w="977"/>
        <w:gridCol w:w="174"/>
        <w:gridCol w:w="109"/>
        <w:gridCol w:w="109"/>
        <w:gridCol w:w="109"/>
        <w:gridCol w:w="255"/>
        <w:gridCol w:w="766"/>
        <w:gridCol w:w="133"/>
        <w:gridCol w:w="109"/>
        <w:gridCol w:w="109"/>
        <w:gridCol w:w="109"/>
        <w:gridCol w:w="269"/>
        <w:gridCol w:w="789"/>
        <w:gridCol w:w="205"/>
      </w:tblGrid>
      <w:tr>
        <w:trPr/>
        <w:tc>
          <w:tcPr>
            <w:tcW w:w="70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 Consolidated</w:t>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contracts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MVW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Footnote 2 “Significant Accounting Policies and Recent Accounting Standards” to our Financial Statements for a discussion of recently issued accounting pronouncements, including information on new accounting standards and the future adoption of such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2023 Annual Report. Since the date of our 2023 Annual Report,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has not changed materially from that disclosed in Part I, Item 7A of the 2023 Annual Report, other than as set forth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manage the interest rate risk on our corporate debt through the use of fixed-rate debt and may also use interest rate hedges to fix a portion of our variable-rate debt. At June 30, 2024, the interest rate applicable to 67% (approximately $2.0 billion) of our corporate debt, excluding finance leases, was fixed and the interest rate applicable to the remaining 33% (approximately $975 million) was variable. Assuming we had no outstanding balance under our Revolving Corporate Credit Facility, a 100 basis point increase in the underlying benchmark rate on our variable-rate debt at June 30, 2024 would result in an annual increase in cash interest of approximately $8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scheduled maturities and the total fair value as of June 30, 2024 for our financial instruments that are impacted by market risks:</w:t>
      </w:r>
    </w:p>
    <w:tbl>
      <w:tblPr>
        <w:tblW w:w="11961" w:type="dxa"/>
        <w:jc w:val="center"/>
        <w:tblInd w:w="0" w:type="dxa"/>
        <w:tblLayout w:type="fixed"/>
        <w:tblCellMar>
          <w:top w:w="28" w:type="dxa"/>
          <w:left w:w="28" w:type="dxa"/>
          <w:bottom w:w="28" w:type="dxa"/>
          <w:right w:w="28" w:type="dxa"/>
        </w:tblCellMar>
      </w:tblPr>
      <w:tblGrid>
        <w:gridCol w:w="587"/>
        <w:gridCol w:w="515"/>
        <w:gridCol w:w="519"/>
        <w:gridCol w:w="240"/>
        <w:gridCol w:w="240"/>
        <w:gridCol w:w="241"/>
        <w:gridCol w:w="109"/>
        <w:gridCol w:w="109"/>
        <w:gridCol w:w="109"/>
        <w:gridCol w:w="237"/>
        <w:gridCol w:w="541"/>
        <w:gridCol w:w="123"/>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7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Maturities by Period</w:t>
            </w:r>
          </w:p>
        </w:tc>
      </w:tr>
      <w:tr>
        <w:trPr/>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w:t>
              <w:br/>
              <w:t>Value</w:t>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 Maturities represent expected principal receipts; fair values represent assets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 non-securitized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 ownership notes receivable — securitized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receivable for financed VOI sales, net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 Maturities represent expected principal payments; fair values represent liabilities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debt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w:t>
            </w:r>
            <w:r>
              <w:rPr>
                <w:rFonts w:ascii="Times New Roman;sans-serif" w:hAnsi="Times New Roman;sans-serif"/>
                <w:b w:val="false"/>
                <w:color w:val="000000"/>
                <w:sz w:val="13"/>
              </w:rPr>
              <w:t>(1)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Corporate Credit Facility</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Convertible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Convertible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During the second quarter of 2024, we amended the Corporate Credit Facility to provide for the New Term Loan, which is scheduled to mature on April 1, 2031. The proceeds from the New Term Loan were used to refinance in full the Term Loan, which had a balance of $784 million as of March 31, 2024, and was scheduled to mature on August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2024,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reasonable assurance that we accumulate and communicate such information to our management, including our Chief Executive Officer and Chief Financial Officer, as appropriate to allow timely decisions about required disclosure.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made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set forth in Item 1A to Part 1 of our 2023 Annual Report, except to the extent factual information disclosed elsewhere in this Quarterly Report relates to such risk factors,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05"/>
        <w:gridCol w:w="356"/>
        <w:gridCol w:w="363"/>
        <w:gridCol w:w="617"/>
        <w:gridCol w:w="450"/>
        <w:gridCol w:w="452"/>
        <w:gridCol w:w="109"/>
        <w:gridCol w:w="109"/>
        <w:gridCol w:w="109"/>
        <w:gridCol w:w="256"/>
        <w:gridCol w:w="749"/>
        <w:gridCol w:w="132"/>
        <w:gridCol w:w="109"/>
        <w:gridCol w:w="109"/>
        <w:gridCol w:w="109"/>
        <w:gridCol w:w="900"/>
        <w:gridCol w:w="780"/>
        <w:gridCol w:w="783"/>
        <w:gridCol w:w="109"/>
        <w:gridCol w:w="109"/>
        <w:gridCol w:w="109"/>
        <w:gridCol w:w="404"/>
        <w:gridCol w:w="2274"/>
        <w:gridCol w:w="303"/>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pPr>
            <w:r>
              <w:rPr>
                <w:rFonts w:ascii="Times New Roman;sans-serif" w:hAnsi="Times New Roman;sans-serif"/>
                <w:b/>
                <w:color w:val="000000"/>
                <w:sz w:val="18"/>
              </w:rPr>
              <w:t>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Maximum Dollar Amount of Shares That May Yet Be Purchased Under the Plans or Programs</w:t>
            </w:r>
            <w:r>
              <w:rPr>
                <w:rFonts w:ascii="Times New Roman;sans-serif" w:hAnsi="Times New Roman;sans-serif"/>
                <w:b/>
                <w:color w:val="000000"/>
                <w:sz w:val="12"/>
              </w:rPr>
              <w:t>(1)(2)</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414,303,514 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73,800 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73,800 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407,251,625 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402,307,195 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130,800 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130,800 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402,307,195 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w:t>
      </w:r>
    </w:p>
    <w:p>
      <w:pPr>
        <w:pStyle w:val="TextBody"/>
        <w:bidi w:val="0"/>
        <w:spacing w:lineRule="auto" w:line="288" w:before="6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All dollar amounts presented exclude the nondeductible 1% excise tax on the net value of certain stock repurchases that was imposed by the Inflation Reduction Act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documents referenced below are being filed as a part of this Quarterly Report, unless otherwise noted.</w:t>
      </w:r>
    </w:p>
    <w:tbl>
      <w:tblPr>
        <w:tblW w:w="10205" w:type="dxa"/>
        <w:jc w:val="center"/>
        <w:tblInd w:w="0" w:type="dxa"/>
        <w:tblLayout w:type="fixed"/>
        <w:tblCellMar>
          <w:top w:w="28" w:type="dxa"/>
          <w:left w:w="28" w:type="dxa"/>
          <w:bottom w:w="28" w:type="dxa"/>
          <w:right w:w="28" w:type="dxa"/>
        </w:tblCellMar>
      </w:tblPr>
      <w:tblGrid>
        <w:gridCol w:w="293"/>
        <w:gridCol w:w="259"/>
        <w:gridCol w:w="260"/>
        <w:gridCol w:w="109"/>
        <w:gridCol w:w="109"/>
        <w:gridCol w:w="109"/>
        <w:gridCol w:w="1699"/>
        <w:gridCol w:w="1687"/>
        <w:gridCol w:w="1703"/>
        <w:gridCol w:w="109"/>
        <w:gridCol w:w="109"/>
        <w:gridCol w:w="109"/>
        <w:gridCol w:w="260"/>
        <w:gridCol w:w="260"/>
        <w:gridCol w:w="261"/>
        <w:gridCol w:w="109"/>
        <w:gridCol w:w="109"/>
        <w:gridCol w:w="109"/>
        <w:gridCol w:w="170"/>
        <w:gridCol w:w="170"/>
        <w:gridCol w:w="171"/>
        <w:gridCol w:w="120"/>
        <w:gridCol w:w="120"/>
        <w:gridCol w:w="120"/>
        <w:gridCol w:w="210"/>
        <w:gridCol w:w="210"/>
        <w:gridCol w:w="211"/>
        <w:gridCol w:w="120"/>
        <w:gridCol w:w="120"/>
        <w:gridCol w:w="120"/>
        <w:gridCol w:w="248"/>
        <w:gridCol w:w="199"/>
        <w:gridCol w:w="233"/>
      </w:tblGrid>
      <w:tr>
        <w:trPr/>
        <w:tc>
          <w:tcPr>
            <w:tcW w:w="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Incorporation By Reference From</w:t>
            </w:r>
          </w:p>
        </w:tc>
      </w:tr>
      <w:tr>
        <w:trPr/>
        <w:tc>
          <w:tcPr>
            <w:tcW w:w="8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Date Filed</w:t>
            </w:r>
          </w:p>
        </w:tc>
      </w:tr>
      <w:tr>
        <w:trPr/>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Restated Certificate of Incorporation of Marriott Vacations Worldwide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5/15/2023</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hyperlink r:id="rId3">
              <w:r>
                <w:rPr>
                  <w:rStyle w:val="InternetLink"/>
                  <w:rFonts w:ascii="Times New Roman;sans-serif" w:hAnsi="Times New Roman;sans-serif"/>
                  <w:b w:val="false"/>
                  <w:color w:val="0000FF"/>
                  <w:sz w:val="20"/>
                  <w:u w:val="single"/>
                </w:rPr>
                <w:t>Restated Bylaws of Marriott Vacations Worldwide Corporation (effective May 12,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8/4/2023</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60" w:after="60"/>
              <w:jc w:val="left"/>
              <w:rPr/>
            </w:pPr>
            <w:hyperlink r:id="rId4">
              <w:r>
                <w:rPr>
                  <w:rStyle w:val="InternetLink"/>
                  <w:rFonts w:ascii="Times New Roman;sans-serif" w:hAnsi="Times New Roman;sans-serif"/>
                  <w:b w:val="false"/>
                  <w:color w:val="0000FF"/>
                  <w:sz w:val="20"/>
                  <w:u w:val="single"/>
                </w:rPr>
                <w:t>Form of certificate representing shares of common stock, par value $0.01 per share, of Marriott Vacations Worldwide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10/14/2011</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Indenture, dated as of October 1, 2019, by and among Marriott Ownership Resorts, Inc., Marriott Vacations Worldwide Corporation, as guarantor, the other guarantors party thereto and The Bank of New York Mellon Trust Company, N.A.,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10/1/2019</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Supplemental Indenture, dated December 31, 2019, by and among Marriott Ownership Resorts, Inc., MVW Vacations, LLC and the Bank of New York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3/2/2020</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Second Supplemental Indenture, dated February 26, 2020, by and among Marriott Ownership Resorts, Inc., MVW Services Corporation, and the Bank of New York Mellon Trust Company, N.A.,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3/2/2020</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4.750% Senior Notes due 2028 (included as Exhibit A to Exhibit 4.2 above)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10/1/2019</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Registration Rights Agreement, dated as of October 1, 2019, by and among Marriott Ownership Resorts, Inc., Marriott Vacations Worldwide Corporation, as guarantor, the other guarantors party thereto and J.P. Morgan Securities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10/1/2019</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Indenture, dated as of February 2, 2021, by and among Marriott Vacations Worldwide Corporation, Marriott Ownership Resorts, Inc. and the other guarantors party thereto and The Bank of New York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2/3/2021</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"https://www.sec.gov/Archives/edgar/data/0001524358/000119312521027303/d41256dex41.htm" \l "exa"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0.00% Convertible Senior Note due 2026 (included as Exhibit A to Exhibit 4.7 above)</w:t>
            </w:r>
            <w:r>
              <w:rPr>
                <w:rStyle w:val="InternetLink"/>
                <w:sz w:val="20"/>
                <w:u w:val="single"/>
                <w:b w:val="false"/>
                <w:rFonts w:ascii="Times New Roman;sans-serif" w:hAnsi="Times New Roman;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2/3/2021</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June 21, 2021, by and among Marriott Ownership Resorts, Inc., Marriott Vacations Worldwide Corporation, as guarantor, the other guarantors party thereto and The Bank of New York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6/22/2021</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"https://www.sec.gov/Archives/edgar/data/0001524358/000119312521195243/d158882dex41.htm" \l "tx158882_515"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4.500% Senior Notes due 2029 (included as Exhibit A to Exhibit 4.9 above)</w:t>
            </w:r>
            <w:r>
              <w:rPr>
                <w:rStyle w:val="InternetLink"/>
                <w:sz w:val="20"/>
                <w:u w:val="single"/>
                <w:b w:val="false"/>
                <w:rFonts w:ascii="Times New Roman;sans-serif" w:hAnsi="Times New Roman;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6/22/2021</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Indenture, dated as of December 8, 2022, by and among Marriott Vacations Worldwide Corporation, as issuer, Marriott Ownership Resorts, Inc. and the other guarantors party thereto from time to time and The New York Bank of Mellon Trust Company, N.A.,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12/8/2022</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"https://www.sec.gov/Archives/edgar/data/1524358/000119312522301061/d433395dex41.htm" \l "tx433395_1"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Form of 3.25% Convertible Senior Notes due 2027 (included as Exhibit A to Exhibit 4.11 above)</w:t>
            </w:r>
            <w:r>
              <w:rPr>
                <w:rStyle w:val="InternetLink"/>
                <w:sz w:val="20"/>
                <w:u w:val="single"/>
                <w:b w:val="false"/>
                <w:rFonts w:ascii="Times New Roman;sans-serif" w:hAnsi="Times New Roman;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12/8/2022</w:t>
            </w:r>
          </w:p>
        </w:tc>
      </w:tr>
      <w:tr>
        <w:trPr/>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Description of Registered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3/2/2020</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Marriott Vacations Worldwide Corporation Change in Control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38c52bd95a046e6b76f3b8eb75f7fc5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8"/>
        <w:gridCol w:w="245"/>
        <w:gridCol w:w="247"/>
        <w:gridCol w:w="109"/>
        <w:gridCol w:w="109"/>
        <w:gridCol w:w="109"/>
        <w:gridCol w:w="1751"/>
        <w:gridCol w:w="1658"/>
        <w:gridCol w:w="1674"/>
        <w:gridCol w:w="112"/>
        <w:gridCol w:w="112"/>
        <w:gridCol w:w="112"/>
        <w:gridCol w:w="267"/>
        <w:gridCol w:w="267"/>
        <w:gridCol w:w="268"/>
        <w:gridCol w:w="112"/>
        <w:gridCol w:w="112"/>
        <w:gridCol w:w="112"/>
        <w:gridCol w:w="174"/>
        <w:gridCol w:w="174"/>
        <w:gridCol w:w="175"/>
        <w:gridCol w:w="120"/>
        <w:gridCol w:w="120"/>
        <w:gridCol w:w="120"/>
        <w:gridCol w:w="215"/>
        <w:gridCol w:w="215"/>
        <w:gridCol w:w="216"/>
        <w:gridCol w:w="120"/>
        <w:gridCol w:w="120"/>
        <w:gridCol w:w="120"/>
        <w:gridCol w:w="245"/>
        <w:gridCol w:w="192"/>
        <w:gridCol w:w="225"/>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Filed</w:t>
              <w:br/>
              <w:t>Herewith</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Incorporation By Reference From</w:t>
            </w:r>
          </w:p>
        </w:tc>
      </w:tr>
      <w:tr>
        <w:trPr/>
        <w:tc>
          <w:tcPr>
            <w:tcW w:w="7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Date Filed</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Incremental Facility Amendment and Amendment No. 3, dated as of April 1, 2024, by and among Marriott Vacations Worldwide Corporation, Marriott Ownership Resorts, Inc., as borrower, the subsidiary guarantors party thereto, JPMorgan Chase Bank, N.A., as administrative agent and collateral agent, and the lenders party thereto</w:t>
              </w:r>
            </w:hyperlink>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4/2/2024</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Stock Appreciation Right Agreement - Marriott Vacations Worldwide Corporation 2020 Equity Incentive Plan**</w:t>
              </w:r>
            </w:hyperlink>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5/7/2024</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Restricted Stock Unit Agreement - Marriott Vacations Worldwide Corporation 2020 Equity Incentive Plan**</w:t>
              </w:r>
            </w:hyperlink>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5/7/2024</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Performance Unit Agreement - Marriott Vacations Worldwide Corporation 2020 Equity Incentive Plan**</w:t>
              </w:r>
            </w:hyperlink>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5/7/2024</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2ex106amendedandrest.htm">
              <w:r>
                <w:rPr>
                  <w:rStyle w:val="InternetLink"/>
                  <w:rFonts w:ascii="Times New Roman;sans-serif" w:hAnsi="Times New Roman;sans-serif"/>
                  <w:b w:val="false"/>
                  <w:color w:val="000080"/>
                  <w:sz w:val="20"/>
                  <w:u w:val="single"/>
                </w:rPr>
                <w:t>A</w:t>
              </w:r>
            </w:hyperlink>
            <w:hyperlink w:anchor="a2024q2ex106amendedandrest.htm">
              <w:r>
                <w:rPr>
                  <w:rStyle w:val="InternetLink"/>
                  <w:rFonts w:ascii="Times New Roman;sans-serif" w:hAnsi="Times New Roman;sans-serif"/>
                  <w:b w:val="false"/>
                  <w:color w:val="000080"/>
                  <w:sz w:val="20"/>
                  <w:u w:val="single"/>
                </w:rPr>
                <w:t>mended and Restated Marriott Vacations Worldwide Corporation 2020 Equity Incentive Plan</w:t>
              </w:r>
            </w:hyperlink>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List of the Issuer and its Guarantor Subsidiaries</w:t>
              </w:r>
            </w:hyperlink>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2/27/2024</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2ex311xceocertificat.htm">
              <w:r>
                <w:rPr>
                  <w:rStyle w:val="InternetLink"/>
                  <w:rFonts w:ascii="Times New Roman;sans-serif" w:hAnsi="Times New Roman;sans-serif"/>
                  <w:b w:val="false"/>
                  <w:color w:val="0000FF"/>
                  <w:sz w:val="20"/>
                  <w:u w:val="single"/>
                </w:rPr>
                <w:t>Certification by Chief Executive Officer Pursuant to Rule 13a-14(a) of the Securities Exchange Act of 1934</w:t>
              </w:r>
            </w:hyperlink>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2ex312xcfocertificat.htm">
              <w:r>
                <w:rPr>
                  <w:rStyle w:val="InternetLink"/>
                  <w:rFonts w:ascii="Times New Roman;sans-serif" w:hAnsi="Times New Roman;sans-serif"/>
                  <w:b w:val="false"/>
                  <w:color w:val="0000FF"/>
                  <w:sz w:val="20"/>
                  <w:u w:val="single"/>
                </w:rPr>
                <w:t>Certification by Chief Financial Officer Pursuant to Rule 13a-14(a) of the Securities Exchange Act of 1934</w:t>
              </w:r>
            </w:hyperlink>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2ex321xceo404certifi.htm">
              <w:r>
                <w:rPr>
                  <w:rStyle w:val="InternetLink"/>
                  <w:rFonts w:ascii="Times New Roman;sans-serif" w:hAnsi="Times New Roman;sans-serif"/>
                  <w:b w:val="false"/>
                  <w:color w:val="0000FF"/>
                  <w:sz w:val="20"/>
                  <w:u w:val="single"/>
                </w:rPr>
                <w:t>Certification by Chief Executive Officer Pursuant to 18 U.S.C. Section 1350, as Adopted Pursuant to Section 906 of the Sarbanes-Oxley Act of 2002</w:t>
              </w:r>
            </w:hyperlink>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2ex322xcfo404certifi.htm">
              <w:r>
                <w:rPr>
                  <w:rStyle w:val="InternetLink"/>
                  <w:rFonts w:ascii="Times New Roman;sans-serif" w:hAnsi="Times New Roman;sans-serif"/>
                  <w:b w:val="false"/>
                  <w:color w:val="0000FF"/>
                  <w:sz w:val="20"/>
                  <w:u w:val="single"/>
                </w:rPr>
                <w:t>Certification by Chief Financial Officer Pursuant to 18 U.S.C. Section 1350, as Adopted Pursuant to Section 906 of the Sarbanes-Oxley Act of 2002</w:t>
              </w:r>
            </w:hyperlink>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Company’s Quarterly Report on Form 10-Q for the quarter ended June 30, 2024, formatted in Inline XBRL: (i) Interim Consolidated Statements of Income, (ii) Interim Consolidated Statements of Comprehensive Income, (iii) Interim Consolidated Balance Sheets, (iv) Interim Consolidated Statements of Cash Flows, (v) Interim Consolidated Statements of Stockholders’ Equity, and (vi) Notes to Interim Consolidated Financial Statements</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June 30, 2024, formatted in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347"/>
        <w:gridCol w:w="5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27"/>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have been omitted pursuant to Item 601(b)(2) of Regulation S-K. The Company agrees to furnish supplemental copies to the SEC of any omitted schedule upon request by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196"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454"/>
        <w:gridCol w:w="1454"/>
        <w:gridCol w:w="20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MARRIOTT VACATIONS WORLDWIDE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 Geller,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 Geller,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10.6</w:t>
      </w:r>
    </w:p>
    <w:p>
      <w:pPr>
        <w:pStyle w:val="TextBody"/>
        <w:bidi w:val="0"/>
        <w:spacing w:lineRule="auto" w:line="268" w:before="240" w:after="283"/>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2020 Equity Incentive Plan</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Amended and Restated Effective May 10,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tbl>
      <w:tblPr>
        <w:tblW w:w="8768" w:type="dxa"/>
        <w:jc w:val="left"/>
        <w:tblInd w:w="0" w:type="dxa"/>
        <w:tblLayout w:type="fixed"/>
        <w:tblCellMar>
          <w:top w:w="28" w:type="dxa"/>
          <w:left w:w="28" w:type="dxa"/>
          <w:bottom w:w="28" w:type="dxa"/>
          <w:right w:w="28" w:type="dxa"/>
        </w:tblCellMar>
      </w:tblPr>
      <w:tblGrid>
        <w:gridCol w:w="2925"/>
        <w:gridCol w:w="2569"/>
        <w:gridCol w:w="2575"/>
        <w:gridCol w:w="109"/>
        <w:gridCol w:w="109"/>
        <w:gridCol w:w="109"/>
        <w:gridCol w:w="109"/>
        <w:gridCol w:w="109"/>
        <w:gridCol w:w="154"/>
      </w:tblGrid>
      <w:tr>
        <w:trPr/>
        <w:tc>
          <w:tcPr>
            <w:tcW w:w="2925"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 Establishment, Objectives, and Duration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13">
              <w:r>
                <w:rPr>
                  <w:rStyle w:val="InternetLink"/>
                  <w:rFonts w:ascii="Arial;sans-serif" w:hAnsi="Arial;sans-serif"/>
                  <w:b w:val="false"/>
                  <w:color w:val="0000FF"/>
                  <w:sz w:val="20"/>
                  <w:u w:val="single"/>
                </w:rPr>
                <w:t>2</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2. Definitions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16">
              <w:r>
                <w:rPr>
                  <w:rStyle w:val="InternetLink"/>
                  <w:rFonts w:ascii="Arial;sans-serif" w:hAnsi="Arial;sans-serif"/>
                  <w:b w:val="false"/>
                  <w:color w:val="0000FF"/>
                  <w:sz w:val="20"/>
                  <w:u w:val="single"/>
                </w:rPr>
                <w:t>2</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3.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19">
              <w:r>
                <w:rPr>
                  <w:rStyle w:val="InternetLink"/>
                  <w:rFonts w:ascii="Arial;sans-serif" w:hAnsi="Arial;sans-serif"/>
                  <w:b w:val="false"/>
                  <w:color w:val="0000FF"/>
                  <w:sz w:val="20"/>
                  <w:u w:val="single"/>
                </w:rPr>
                <w:t>5</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4. Shares Subject to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22">
              <w:r>
                <w:rPr>
                  <w:rStyle w:val="InternetLink"/>
                  <w:rFonts w:ascii="Arial;sans-serif" w:hAnsi="Arial;sans-serif"/>
                  <w:b w:val="false"/>
                  <w:color w:val="0000FF"/>
                  <w:sz w:val="20"/>
                  <w:u w:val="single"/>
                </w:rPr>
                <w:t>6</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5. Eligibility and Participation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25">
              <w:r>
                <w:rPr>
                  <w:rStyle w:val="InternetLink"/>
                  <w:rFonts w:ascii="Arial;sans-serif" w:hAnsi="Arial;sans-serif"/>
                  <w:b w:val="false"/>
                  <w:color w:val="0000FF"/>
                  <w:sz w:val="20"/>
                  <w:u w:val="single"/>
                </w:rPr>
                <w:t>7</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6. SARs and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28">
              <w:r>
                <w:rPr>
                  <w:rStyle w:val="InternetLink"/>
                  <w:rFonts w:ascii="Arial;sans-serif" w:hAnsi="Arial;sans-serif"/>
                  <w:b w:val="false"/>
                  <w:color w:val="0000FF"/>
                  <w:sz w:val="20"/>
                  <w:u w:val="single"/>
                </w:rPr>
                <w:t>7</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7.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31">
              <w:r>
                <w:rPr>
                  <w:rStyle w:val="InternetLink"/>
                  <w:rFonts w:ascii="Arial;sans-serif" w:hAnsi="Arial;sans-serif"/>
                  <w:b w:val="false"/>
                  <w:color w:val="0000FF"/>
                  <w:sz w:val="20"/>
                  <w:u w:val="single"/>
                </w:rPr>
                <w:t>9</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8.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34">
              <w:r>
                <w:rPr>
                  <w:rStyle w:val="InternetLink"/>
                  <w:rFonts w:ascii="Arial;sans-serif" w:hAnsi="Arial;sans-serif"/>
                  <w:b w:val="false"/>
                  <w:color w:val="0000FF"/>
                  <w:sz w:val="20"/>
                  <w:u w:val="single"/>
                </w:rPr>
                <w:t>10</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9. Other Share-Based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37">
              <w:r>
                <w:rPr>
                  <w:rStyle w:val="InternetLink"/>
                  <w:rFonts w:ascii="Arial;sans-serif" w:hAnsi="Arial;sans-serif"/>
                  <w:b w:val="false"/>
                  <w:color w:val="0000FF"/>
                  <w:sz w:val="20"/>
                  <w:u w:val="single"/>
                </w:rPr>
                <w:t>11</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10. Directors’ Share Awards, Fee Deferral Elections, and Director SARs and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40">
              <w:r>
                <w:rPr>
                  <w:rStyle w:val="InternetLink"/>
                  <w:rFonts w:ascii="Arial;sans-serif" w:hAnsi="Arial;sans-serif"/>
                  <w:b w:val="false"/>
                  <w:color w:val="0000FF"/>
                  <w:sz w:val="20"/>
                  <w:u w:val="single"/>
                </w:rPr>
                <w:t>11</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11. Beneficiary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43">
              <w:r>
                <w:rPr>
                  <w:rStyle w:val="InternetLink"/>
                  <w:rFonts w:ascii="Arial;sans-serif" w:hAnsi="Arial;sans-serif"/>
                  <w:b w:val="false"/>
                  <w:color w:val="0000FF"/>
                  <w:sz w:val="20"/>
                  <w:u w:val="single"/>
                </w:rPr>
                <w:t>13</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12.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46">
              <w:r>
                <w:rPr>
                  <w:rStyle w:val="InternetLink"/>
                  <w:rFonts w:ascii="Arial;sans-serif" w:hAnsi="Arial;sans-serif"/>
                  <w:b w:val="false"/>
                  <w:color w:val="0000FF"/>
                  <w:sz w:val="20"/>
                  <w:u w:val="single"/>
                </w:rPr>
                <w:t>13</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13. Rights of 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49">
              <w:r>
                <w:rPr>
                  <w:rStyle w:val="InternetLink"/>
                  <w:rFonts w:ascii="Arial;sans-serif" w:hAnsi="Arial;sans-serif"/>
                  <w:b w:val="false"/>
                  <w:color w:val="0000FF"/>
                  <w:sz w:val="20"/>
                  <w:u w:val="single"/>
                </w:rPr>
                <w:t>15</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14. Amendment, Modification, and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52">
              <w:r>
                <w:rPr>
                  <w:rStyle w:val="InternetLink"/>
                  <w:rFonts w:ascii="Arial;sans-serif" w:hAnsi="Arial;sans-serif"/>
                  <w:b w:val="false"/>
                  <w:color w:val="0000FF"/>
                  <w:sz w:val="20"/>
                  <w:u w:val="single"/>
                </w:rPr>
                <w:t>15</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15. Withholding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55">
              <w:r>
                <w:rPr>
                  <w:rStyle w:val="InternetLink"/>
                  <w:rFonts w:ascii="Arial;sans-serif" w:hAnsi="Arial;sans-serif"/>
                  <w:b w:val="false"/>
                  <w:color w:val="0000FF"/>
                  <w:sz w:val="20"/>
                  <w:u w:val="single"/>
                </w:rPr>
                <w:t>16</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16. Indemnification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58">
              <w:r>
                <w:rPr>
                  <w:rStyle w:val="InternetLink"/>
                  <w:rFonts w:ascii="Arial;sans-serif" w:hAnsi="Arial;sans-serif"/>
                  <w:b w:val="false"/>
                  <w:color w:val="0000FF"/>
                  <w:sz w:val="20"/>
                  <w:u w:val="single"/>
                </w:rPr>
                <w:t>16</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17. Code Section 409A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61">
              <w:r>
                <w:rPr>
                  <w:rStyle w:val="InternetLink"/>
                  <w:rFonts w:ascii="Arial;sans-serif" w:hAnsi="Arial;sans-serif"/>
                  <w:b w:val="false"/>
                  <w:color w:val="0000FF"/>
                  <w:sz w:val="20"/>
                  <w:u w:val="single"/>
                </w:rPr>
                <w:t>16</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18. Successors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64">
              <w:r>
                <w:rPr>
                  <w:rStyle w:val="InternetLink"/>
                  <w:rFonts w:ascii="Arial;sans-serif" w:hAnsi="Arial;sans-serif"/>
                  <w:b w:val="false"/>
                  <w:color w:val="0000FF"/>
                  <w:sz w:val="20"/>
                  <w:u w:val="single"/>
                </w:rPr>
                <w:t>17</w:t>
              </w:r>
            </w:hyperlink>
          </w:p>
        </w:tc>
      </w:tr>
      <w:tr>
        <w:trPr/>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19. Legal Construction; Miscellaneous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3ff334528954d86927b346eb7fedb55_67">
              <w:r>
                <w:rPr>
                  <w:rStyle w:val="InternetLink"/>
                  <w:rFonts w:ascii="Arial;sans-serif" w:hAnsi="Arial;sans-serif"/>
                  <w:b w:val="false"/>
                  <w:color w:val="0000FF"/>
                  <w:sz w:val="20"/>
                  <w:u w:val="single"/>
                </w:rPr>
                <w:t>17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u w:val="single"/>
        </w:rPr>
      </w:pPr>
      <w:r>
        <w:rPr>
          <w:rFonts w:ascii="Arial;sans-serif" w:hAnsi="Arial;sans-serif"/>
          <w:b/>
          <w:color w:val="000000"/>
          <w:sz w:val="18"/>
          <w:u w:val="single"/>
        </w:rPr>
        <w:t>PREAMBLE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Marriott Vacations Worldwide Corporation has established the Marriott Vacations Worldwide Corporation 2020 Equity Incentive Plan, which shall become effective on the Effective Date and shall remain in effect for the period set forth in Article 1.4 hereof. The Plan is amended and restated effective May 10, 2024, subject to approval by the Company’s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150"/>
                <wp:effectExtent l="0" t="0" r="0" b="0"/>
                <wp:wrapNone/>
                <wp:docPr id="62" name="Frame6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VACATIONS WORLDWIDE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2020 EQUITY INCENTIVE PLAN</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Amended and Restated Effective May 10,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Arial;sans-serif" w:hAnsi="Arial;sans-serif"/>
          <w:b/>
          <w:color w:val="000000"/>
          <w:sz w:val="24"/>
        </w:rPr>
      </w:pPr>
      <w:r>
        <w:rPr>
          <w:rFonts w:ascii="Arial;sans-serif" w:hAnsi="Arial;sans-serif"/>
          <w:b/>
          <w:color w:val="000000"/>
          <w:sz w:val="24"/>
        </w:rPr>
        <w:t>Article 1Establishment, Objectives, and Duration</w:t>
      </w:r>
    </w:p>
    <w:p>
      <w:pPr>
        <w:pStyle w:val="TextBody"/>
        <w:bidi w:val="0"/>
        <w:spacing w:lineRule="auto" w:line="288" w:before="120" w:after="283"/>
        <w:jc w:val="left"/>
        <w:rPr/>
      </w:pPr>
      <w:r>
        <w:rPr>
          <w:rFonts w:ascii="Arial;sans-serif" w:hAnsi="Arial;sans-serif"/>
          <w:b/>
          <w:color w:val="000000"/>
          <w:sz w:val="20"/>
        </w:rPr>
        <w:t>1.1</w:t>
      </w:r>
      <w:r>
        <w:rPr>
          <w:rFonts w:ascii="Arial;sans-serif" w:hAnsi="Arial;sans-serif"/>
          <w:b/>
          <w:color w:val="000000"/>
          <w:sz w:val="20"/>
        </w:rPr>
        <w:t>Establishment of the Plan.</w:t>
      </w:r>
      <w:r>
        <w:rPr>
          <w:color w:val="000000"/>
        </w:rPr>
        <w:t xml:space="preserve"> </w:t>
      </w:r>
      <w:r>
        <w:rPr>
          <w:rFonts w:ascii="Arial;sans-serif" w:hAnsi="Arial;sans-serif"/>
          <w:b w:val="false"/>
          <w:color w:val="000000"/>
          <w:sz w:val="20"/>
        </w:rPr>
        <w:t>Marriott Vacations Worldwide Corporation, a Delaware corporation, hereby establishes an incentive compensation plan to be known as the Marriott Vacations Worldwide Corporation 2020 Equity Incentive Plan, as set forth in this document, as amended and restated effective May 10, 2024 (the “Restatement Effective Date”).</w:t>
      </w:r>
    </w:p>
    <w:p>
      <w:pPr>
        <w:pStyle w:val="TextBody"/>
        <w:bidi w:val="0"/>
        <w:spacing w:lineRule="auto" w:line="288" w:before="120" w:after="283"/>
        <w:jc w:val="left"/>
        <w:rPr/>
      </w:pPr>
      <w:r>
        <w:rPr>
          <w:rFonts w:ascii="Arial;sans-serif" w:hAnsi="Arial;sans-serif"/>
          <w:b/>
          <w:color w:val="000000"/>
          <w:sz w:val="20"/>
        </w:rPr>
        <w:t>1.2</w:t>
      </w:r>
      <w:r>
        <w:rPr>
          <w:rFonts w:ascii="Arial;sans-serif" w:hAnsi="Arial;sans-serif"/>
          <w:b/>
          <w:color w:val="000000"/>
          <w:sz w:val="20"/>
        </w:rPr>
        <w:t>Purpose of the Plan.</w:t>
      </w:r>
      <w:r>
        <w:rPr>
          <w:color w:val="000000"/>
        </w:rPr>
        <w:t xml:space="preserve"> </w:t>
      </w:r>
      <w:r>
        <w:rPr>
          <w:rFonts w:ascii="Arial;sans-serif" w:hAnsi="Arial;sans-serif"/>
          <w:b w:val="false"/>
          <w:color w:val="000000"/>
          <w:sz w:val="20"/>
        </w:rPr>
        <w:t>The purpose of the Plan is to promote and enhance the long -term growth of the Company by aligning the personal interests of Employees, Non-Employee Directors to those of Company stockholders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pStyle w:val="TextBody"/>
        <w:bidi w:val="0"/>
        <w:spacing w:lineRule="auto" w:line="288" w:before="120" w:after="283"/>
        <w:jc w:val="left"/>
        <w:rPr/>
      </w:pPr>
      <w:r>
        <w:rPr>
          <w:rFonts w:ascii="Arial;sans-serif" w:hAnsi="Arial;sans-serif"/>
          <w:b/>
          <w:color w:val="000000"/>
          <w:sz w:val="20"/>
        </w:rPr>
        <w:t>1.3</w:t>
      </w:r>
      <w:r>
        <w:rPr>
          <w:rFonts w:ascii="Arial;sans-serif" w:hAnsi="Arial;sans-serif"/>
          <w:b/>
          <w:color w:val="000000"/>
          <w:sz w:val="20"/>
        </w:rPr>
        <w:t xml:space="preserve">History. </w:t>
      </w:r>
      <w:r>
        <w:rPr>
          <w:rFonts w:ascii="Arial;sans-serif" w:hAnsi="Arial;sans-serif"/>
          <w:b w:val="false"/>
          <w:color w:val="000000"/>
          <w:sz w:val="20"/>
        </w:rPr>
        <w:t>Prior to the Effective Date, the Company had in effect the Marriott Vacations Worldwide Corporation Stock and Cash Incentive Plan (the “Prior Marriott Plan”) and the Amended and Restated Interval Leisure Group, Inc. 2013 Stock and Incentive Compensation Plan (together with the Prior Marriott Plan, the “Prior Plans”). Upon stockholder approval of this Plan in 2020, the Prior Plans terminated and no new awards have been granted under the Prior Plans, although awards granted under the Prior Plans and still outstanding will continue to be subject to all terms and conditions of the Prior Plans.</w:t>
      </w:r>
    </w:p>
    <w:p>
      <w:pPr>
        <w:pStyle w:val="TextBody"/>
        <w:bidi w:val="0"/>
        <w:spacing w:lineRule="auto" w:line="288" w:before="120" w:after="283"/>
        <w:jc w:val="left"/>
        <w:rPr/>
      </w:pPr>
      <w:r>
        <w:rPr>
          <w:rFonts w:ascii="Arial;sans-serif" w:hAnsi="Arial;sans-serif"/>
          <w:b/>
          <w:color w:val="000000"/>
          <w:sz w:val="20"/>
        </w:rPr>
        <w:t>1.4</w:t>
      </w:r>
      <w:r>
        <w:rPr>
          <w:rFonts w:ascii="Arial;sans-serif" w:hAnsi="Arial;sans-serif"/>
          <w:b/>
          <w:color w:val="000000"/>
          <w:sz w:val="20"/>
        </w:rPr>
        <w:t xml:space="preserve">Duration of the Plan. </w:t>
      </w:r>
      <w:r>
        <w:rPr>
          <w:rFonts w:ascii="Arial;sans-serif" w:hAnsi="Arial;sans-serif"/>
          <w:b w:val="false"/>
          <w:color w:val="000000"/>
          <w:sz w:val="20"/>
        </w:rPr>
        <w:t>The Plan commenced on the Effective Date. The Plan shall remain in effect, subject to the right of the Board of Directors to terminate the Plan at any time pursuant to Article 14 hereof, until the earlier of the date all Shares subject to it shall have been purchased or acquired according to the Plan’s provisions or the 10th anniversary of the Restatement Effective Date, provided the stockholders of the Company have approved the Plan as restated.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4"/>
        </w:rPr>
      </w:pPr>
      <w:r>
        <w:rPr>
          <w:rFonts w:ascii="Arial;sans-serif" w:hAnsi="Arial;sans-serif"/>
          <w:b/>
          <w:color w:val="000000"/>
          <w:sz w:val="24"/>
        </w:rPr>
        <w:t>Article 2Definitions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Whenever used in the Plan, the following terms shall have the meanings set forth below, and when the meaning is intended, the initial letter of the word shall be capitalized:</w:t>
      </w:r>
    </w:p>
    <w:p>
      <w:pPr>
        <w:pStyle w:val="TextBody"/>
        <w:bidi w:val="0"/>
        <w:spacing w:lineRule="auto" w:line="288" w:before="120" w:after="283"/>
        <w:jc w:val="left"/>
        <w:rPr/>
      </w:pPr>
      <w:r>
        <w:rPr>
          <w:rFonts w:ascii="Arial;sans-serif" w:hAnsi="Arial;sans-serif"/>
          <w:b/>
          <w:color w:val="000000"/>
          <w:sz w:val="20"/>
        </w:rPr>
        <w:t>2.1</w:t>
      </w:r>
      <w:r>
        <w:rPr>
          <w:color w:val="000000"/>
        </w:rPr>
        <w:t>“</w:t>
      </w:r>
      <w:r>
        <w:rPr>
          <w:rFonts w:ascii="Arial;sans-serif" w:hAnsi="Arial;sans-serif"/>
          <w:b/>
          <w:color w:val="000000"/>
          <w:sz w:val="20"/>
        </w:rPr>
        <w:t>Annual Meeting”</w:t>
      </w:r>
      <w:r>
        <w:rPr>
          <w:color w:val="000000"/>
        </w:rPr>
        <w:t xml:space="preserve"> </w:t>
      </w:r>
      <w:r>
        <w:rPr>
          <w:rFonts w:ascii="Arial;sans-serif" w:hAnsi="Arial;sans-serif"/>
          <w:b w:val="false"/>
          <w:color w:val="000000"/>
          <w:sz w:val="20"/>
        </w:rPr>
        <w:t>means the annual meeting of the stockholders of the Company at which Directors are elected.</w:t>
      </w:r>
    </w:p>
    <w:p>
      <w:pPr>
        <w:pStyle w:val="TextBody"/>
        <w:bidi w:val="0"/>
        <w:spacing w:lineRule="auto" w:line="288" w:before="120" w:after="283"/>
        <w:jc w:val="left"/>
        <w:rPr/>
      </w:pPr>
      <w:r>
        <w:rPr>
          <w:rFonts w:ascii="Arial;sans-serif" w:hAnsi="Arial;sans-serif"/>
          <w:b/>
          <w:color w:val="000000"/>
          <w:sz w:val="20"/>
        </w:rPr>
        <w:t>2.2</w:t>
      </w:r>
      <w:r>
        <w:rPr>
          <w:color w:val="000000"/>
        </w:rPr>
        <w:t>“</w:t>
      </w:r>
      <w:r>
        <w:rPr>
          <w:rFonts w:ascii="Arial;sans-serif" w:hAnsi="Arial;sans-serif"/>
          <w:b/>
          <w:color w:val="000000"/>
          <w:sz w:val="20"/>
        </w:rPr>
        <w:t xml:space="preserve">Approved Retiree” </w:t>
      </w:r>
      <w:r>
        <w:rPr>
          <w:rFonts w:ascii="Arial;sans-serif" w:hAnsi="Arial;sans-serif"/>
          <w:b w:val="false"/>
          <w:color w:val="000000"/>
          <w:sz w:val="20"/>
        </w:rPr>
        <w:t>means, unless otherwise specified in an Award Agreement, any awardee of an Award who (i) terminates employment by reason of a Disability, or (ii) (A) retires from employment with the Company with the specific approval of the Committee on or after such date on which the awardee has attained age fifty-five (55) and completed ten (10) Years of Service, and (B) except to the extent prohibited or unenforceable under applicable law, has entered into and has not breached an agreement to refrain from Engaging in Competition in form and substance satisfactory to the Committee.</w:t>
      </w:r>
    </w:p>
    <w:p>
      <w:pPr>
        <w:pStyle w:val="TextBody"/>
        <w:bidi w:val="0"/>
        <w:spacing w:lineRule="auto" w:line="288" w:before="120" w:after="283"/>
        <w:jc w:val="left"/>
        <w:rPr/>
      </w:pPr>
      <w:r>
        <w:rPr>
          <w:rFonts w:ascii="Arial;sans-serif" w:hAnsi="Arial;sans-serif"/>
          <w:b/>
          <w:color w:val="000000"/>
          <w:sz w:val="20"/>
        </w:rPr>
        <w:t>2.3</w:t>
      </w:r>
      <w:r>
        <w:rPr>
          <w:color w:val="000000"/>
        </w:rPr>
        <w:t>“</w:t>
      </w:r>
      <w:r>
        <w:rPr>
          <w:rFonts w:ascii="Arial;sans-serif" w:hAnsi="Arial;sans-serif"/>
          <w:b/>
          <w:color w:val="000000"/>
          <w:sz w:val="20"/>
        </w:rPr>
        <w:t xml:space="preserve">Award” </w:t>
      </w:r>
      <w:r>
        <w:rPr>
          <w:rFonts w:ascii="Arial;sans-serif" w:hAnsi="Arial;sans-serif"/>
          <w:b w:val="false"/>
          <w:color w:val="000000"/>
          <w:sz w:val="20"/>
        </w:rPr>
        <w:t>means, individually or collectively, a grant under this Plan of SARs, Nonqualified Stock Options, Incentive Stock Options, Restricted Stock, RSUs, Other Share-Based Awards, Non-Employee Director Share Awards, Stock Units, Director SARs and Director Options.</w:t>
      </w:r>
    </w:p>
    <w:p>
      <w:pPr>
        <w:pStyle w:val="TextBody"/>
        <w:bidi w:val="0"/>
        <w:spacing w:lineRule="auto" w:line="288" w:before="120" w:after="283"/>
        <w:jc w:val="left"/>
        <w:rPr/>
      </w:pPr>
      <w:r>
        <w:rPr>
          <w:rFonts w:ascii="Arial;sans-serif" w:hAnsi="Arial;sans-serif"/>
          <w:b/>
          <w:color w:val="000000"/>
          <w:sz w:val="20"/>
        </w:rPr>
        <w:t>2.4</w:t>
      </w:r>
      <w:r>
        <w:rPr>
          <w:color w:val="000000"/>
        </w:rPr>
        <w:t>“</w:t>
      </w:r>
      <w:r>
        <w:rPr>
          <w:rFonts w:ascii="Arial;sans-serif" w:hAnsi="Arial;sans-serif"/>
          <w:b/>
          <w:color w:val="000000"/>
          <w:sz w:val="20"/>
        </w:rPr>
        <w:t xml:space="preserve">Award Agreement” </w:t>
      </w:r>
      <w:r>
        <w:rPr>
          <w:rFonts w:ascii="Arial;sans-serif" w:hAnsi="Arial;sans-serif"/>
          <w:b w:val="false"/>
          <w:color w:val="000000"/>
          <w:sz w:val="20"/>
        </w:rPr>
        <w:t>means an agreement entered into by the Company and each Participant setting forth the terms and provisions applicable to an Award granted under this Plan.</w:t>
      </w:r>
    </w:p>
    <w:p>
      <w:pPr>
        <w:pStyle w:val="TextBody"/>
        <w:bidi w:val="0"/>
        <w:spacing w:lineRule="auto" w:line="288" w:before="120" w:after="283"/>
        <w:jc w:val="left"/>
        <w:rPr/>
      </w:pPr>
      <w:r>
        <w:rPr>
          <w:rFonts w:ascii="Arial;sans-serif" w:hAnsi="Arial;sans-serif"/>
          <w:b/>
          <w:color w:val="000000"/>
          <w:sz w:val="20"/>
        </w:rPr>
        <w:t>2.5</w:t>
      </w:r>
      <w:r>
        <w:rPr>
          <w:color w:val="000000"/>
        </w:rPr>
        <w:t>“</w:t>
      </w:r>
      <w:r>
        <w:rPr>
          <w:rFonts w:ascii="Arial;sans-serif" w:hAnsi="Arial;sans-serif"/>
          <w:b/>
          <w:color w:val="000000"/>
          <w:sz w:val="20"/>
        </w:rPr>
        <w:t xml:space="preserve">Beneficial Owner” or “Beneficial Ownership” </w:t>
      </w:r>
      <w:r>
        <w:rPr>
          <w:rFonts w:ascii="Arial;sans-serif" w:hAnsi="Arial;sans-serif"/>
          <w:b w:val="false"/>
          <w:color w:val="000000"/>
          <w:sz w:val="20"/>
        </w:rPr>
        <w:t>shall have the meaning ascribed to such term in Rule 13d-3 of the General Rules and Regulations under the Exchange Act.</w:t>
      </w:r>
    </w:p>
    <w:p>
      <w:pPr>
        <w:pStyle w:val="TextBody"/>
        <w:bidi w:val="0"/>
        <w:spacing w:lineRule="auto" w:line="288" w:before="120" w:after="283"/>
        <w:jc w:val="left"/>
        <w:rPr/>
      </w:pPr>
      <w:r>
        <w:rPr>
          <w:rFonts w:ascii="Arial;sans-serif" w:hAnsi="Arial;sans-serif"/>
          <w:b/>
          <w:color w:val="000000"/>
          <w:sz w:val="20"/>
        </w:rPr>
        <w:t>2.6</w:t>
      </w:r>
      <w:r>
        <w:rPr>
          <w:color w:val="000000"/>
        </w:rPr>
        <w:t>“</w:t>
      </w:r>
      <w:r>
        <w:rPr>
          <w:rFonts w:ascii="Arial;sans-serif" w:hAnsi="Arial;sans-serif"/>
          <w:b/>
          <w:color w:val="000000"/>
          <w:sz w:val="20"/>
        </w:rPr>
        <w:t xml:space="preserve">Beneficiary” </w:t>
      </w:r>
      <w:r>
        <w:rPr>
          <w:rFonts w:ascii="Arial;sans-serif" w:hAnsi="Arial;sans-serif"/>
          <w:b w:val="false"/>
          <w:color w:val="000000"/>
          <w:sz w:val="20"/>
        </w:rPr>
        <w:t>means the person or persons designated pursuant to Article 11 hereof.</w:t>
      </w:r>
    </w:p>
    <w:p>
      <w:pPr>
        <w:pStyle w:val="TextBody"/>
        <w:bidi w:val="0"/>
        <w:spacing w:lineRule="auto" w:line="288" w:before="120" w:after="283"/>
        <w:jc w:val="left"/>
        <w:rPr/>
      </w:pPr>
      <w:r>
        <w:rPr>
          <w:rFonts w:ascii="Arial;sans-serif" w:hAnsi="Arial;sans-serif"/>
          <w:b/>
          <w:color w:val="000000"/>
          <w:sz w:val="20"/>
        </w:rPr>
        <w:t>2.7</w:t>
      </w:r>
      <w:r>
        <w:rPr>
          <w:color w:val="000000"/>
        </w:rPr>
        <w:t>“</w:t>
      </w:r>
      <w:r>
        <w:rPr>
          <w:rFonts w:ascii="Arial;sans-serif" w:hAnsi="Arial;sans-serif"/>
          <w:b/>
          <w:color w:val="000000"/>
          <w:sz w:val="20"/>
        </w:rPr>
        <w:t xml:space="preserve">Board” or “Board of Directors” </w:t>
      </w:r>
      <w:r>
        <w:rPr>
          <w:rFonts w:ascii="Arial;sans-serif" w:hAnsi="Arial;sans-serif"/>
          <w:b w:val="false"/>
          <w:color w:val="000000"/>
          <w:sz w:val="20"/>
        </w:rPr>
        <w:t>means the Board of Directors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150"/>
                <wp:effectExtent l="0" t="0" r="0" b="0"/>
                <wp:wrapNone/>
                <wp:docPr id="63" name="Frame6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2.8</w:t>
      </w:r>
      <w:r>
        <w:rPr>
          <w:color w:val="000000"/>
        </w:rPr>
        <w:t>“</w:t>
      </w:r>
      <w:r>
        <w:rPr>
          <w:rFonts w:ascii="Arial;sans-serif" w:hAnsi="Arial;sans-serif"/>
          <w:b/>
          <w:color w:val="000000"/>
          <w:sz w:val="20"/>
        </w:rPr>
        <w:t xml:space="preserve">Change in Control Price per Share” </w:t>
      </w:r>
      <w:r>
        <w:rPr>
          <w:rFonts w:ascii="Arial;sans-serif" w:hAnsi="Arial;sans-serif"/>
          <w:b w:val="false"/>
          <w:color w:val="000000"/>
          <w:sz w:val="20"/>
        </w:rPr>
        <w:t xml:space="preserve">means (a) in the case of a Change in Control in which consideration is paid to the general stockholders of the Company, through a tender offer or otherwise, the price paid per Share to such stockholders as determined by the Committee in its sole discretion and (b) in the case of a Change in Control in which consideration is not paid to the general stockholders of the Company, such as a sale of all or substantially all of the Company’s assets, the value of the consideration on a per Share basis as determined by the Committee in its sole discretion. </w:t>
      </w:r>
    </w:p>
    <w:p>
      <w:pPr>
        <w:pStyle w:val="TextBody"/>
        <w:bidi w:val="0"/>
        <w:spacing w:lineRule="auto" w:line="288" w:before="120" w:after="283"/>
        <w:jc w:val="left"/>
        <w:rPr/>
      </w:pPr>
      <w:r>
        <w:rPr>
          <w:rFonts w:ascii="Arial;sans-serif" w:hAnsi="Arial;sans-serif"/>
          <w:b/>
          <w:color w:val="000000"/>
          <w:sz w:val="20"/>
        </w:rPr>
        <w:t>2.9</w:t>
      </w:r>
      <w:r>
        <w:rPr>
          <w:color w:val="000000"/>
        </w:rPr>
        <w:t>“</w:t>
      </w:r>
      <w:r>
        <w:rPr>
          <w:rFonts w:ascii="Arial;sans-serif" w:hAnsi="Arial;sans-serif"/>
          <w:b/>
          <w:color w:val="000000"/>
          <w:sz w:val="20"/>
        </w:rPr>
        <w:t xml:space="preserve">Code” </w:t>
      </w:r>
      <w:r>
        <w:rPr>
          <w:rFonts w:ascii="Arial;sans-serif" w:hAnsi="Arial;sans-serif"/>
          <w:b w:val="false"/>
          <w:color w:val="000000"/>
          <w:sz w:val="20"/>
        </w:rPr>
        <w:t>means the Internal Revenue Code of 1986, as amended from time to time.</w:t>
      </w:r>
    </w:p>
    <w:p>
      <w:pPr>
        <w:pStyle w:val="TextBody"/>
        <w:bidi w:val="0"/>
        <w:spacing w:lineRule="auto" w:line="288" w:before="120" w:after="283"/>
        <w:jc w:val="left"/>
        <w:rPr/>
      </w:pPr>
      <w:r>
        <w:rPr>
          <w:rFonts w:ascii="Arial;sans-serif" w:hAnsi="Arial;sans-serif"/>
          <w:b/>
          <w:color w:val="000000"/>
          <w:sz w:val="20"/>
        </w:rPr>
        <w:t>2.10</w:t>
      </w:r>
      <w:r>
        <w:rPr>
          <w:color w:val="000000"/>
        </w:rPr>
        <w:t>“</w:t>
      </w:r>
      <w:r>
        <w:rPr>
          <w:rFonts w:ascii="Arial;sans-serif" w:hAnsi="Arial;sans-serif"/>
          <w:b/>
          <w:color w:val="000000"/>
          <w:sz w:val="20"/>
        </w:rPr>
        <w:t xml:space="preserve">Committee” </w:t>
      </w:r>
      <w:r>
        <w:rPr>
          <w:rFonts w:ascii="Arial;sans-serif" w:hAnsi="Arial;sans-serif"/>
          <w:b w:val="false"/>
          <w:color w:val="000000"/>
          <w:sz w:val="20"/>
        </w:rPr>
        <w:t>means the Compensation Policy Committee of the Board, as specified in Article 3 hereof, or such other committee appointed by the Board to administer the Plan with respect to grants of Awards.</w:t>
      </w:r>
    </w:p>
    <w:p>
      <w:pPr>
        <w:pStyle w:val="TextBody"/>
        <w:bidi w:val="0"/>
        <w:spacing w:lineRule="auto" w:line="288" w:before="120" w:after="283"/>
        <w:jc w:val="left"/>
        <w:rPr/>
      </w:pPr>
      <w:r>
        <w:rPr>
          <w:rFonts w:ascii="Arial;sans-serif" w:hAnsi="Arial;sans-serif"/>
          <w:b/>
          <w:color w:val="000000"/>
          <w:sz w:val="20"/>
        </w:rPr>
        <w:t>2.11</w:t>
      </w:r>
      <w:r>
        <w:rPr>
          <w:color w:val="000000"/>
        </w:rPr>
        <w:t>“</w:t>
      </w:r>
      <w:r>
        <w:rPr>
          <w:rFonts w:ascii="Arial;sans-serif" w:hAnsi="Arial;sans-serif"/>
          <w:b/>
          <w:color w:val="000000"/>
          <w:sz w:val="20"/>
        </w:rPr>
        <w:t xml:space="preserve">Company” </w:t>
      </w:r>
      <w:r>
        <w:rPr>
          <w:rFonts w:ascii="Arial;sans-serif" w:hAnsi="Arial;sans-serif"/>
          <w:b w:val="false"/>
          <w:color w:val="000000"/>
          <w:sz w:val="20"/>
        </w:rPr>
        <w:t>means Marriott Vacations Worldwide Corporation, together with any and all Subsidiaries, and any successor thereto as provided in Article 18 hereof.</w:t>
      </w:r>
    </w:p>
    <w:p>
      <w:pPr>
        <w:pStyle w:val="TextBody"/>
        <w:bidi w:val="0"/>
        <w:spacing w:lineRule="auto" w:line="288" w:before="120" w:after="283"/>
        <w:jc w:val="left"/>
        <w:rPr/>
      </w:pPr>
      <w:r>
        <w:rPr>
          <w:rFonts w:ascii="Arial;sans-serif" w:hAnsi="Arial;sans-serif"/>
          <w:b/>
          <w:color w:val="000000"/>
          <w:sz w:val="20"/>
        </w:rPr>
        <w:t>2.12</w:t>
      </w:r>
      <w:r>
        <w:rPr>
          <w:color w:val="000000"/>
        </w:rPr>
        <w:t>“</w:t>
      </w:r>
      <w:r>
        <w:rPr>
          <w:rFonts w:ascii="Arial;sans-serif" w:hAnsi="Arial;sans-serif"/>
          <w:b/>
          <w:color w:val="000000"/>
          <w:sz w:val="20"/>
        </w:rPr>
        <w:t xml:space="preserve">Director” </w:t>
      </w:r>
      <w:r>
        <w:rPr>
          <w:rFonts w:ascii="Arial;sans-serif" w:hAnsi="Arial;sans-serif"/>
          <w:b w:val="false"/>
          <w:color w:val="000000"/>
          <w:sz w:val="20"/>
        </w:rPr>
        <w:t>means any member of the Board.</w:t>
      </w:r>
    </w:p>
    <w:p>
      <w:pPr>
        <w:pStyle w:val="TextBody"/>
        <w:bidi w:val="0"/>
        <w:spacing w:lineRule="auto" w:line="288" w:before="120" w:after="283"/>
        <w:jc w:val="left"/>
        <w:rPr/>
      </w:pPr>
      <w:r>
        <w:rPr>
          <w:rFonts w:ascii="Arial;sans-serif" w:hAnsi="Arial;sans-serif"/>
          <w:b/>
          <w:color w:val="000000"/>
          <w:sz w:val="20"/>
        </w:rPr>
        <w:t>2.13</w:t>
      </w:r>
      <w:r>
        <w:rPr>
          <w:color w:val="000000"/>
        </w:rPr>
        <w:t>“</w:t>
      </w:r>
      <w:r>
        <w:rPr>
          <w:rFonts w:ascii="Arial;sans-serif" w:hAnsi="Arial;sans-serif"/>
          <w:b/>
          <w:color w:val="000000"/>
          <w:sz w:val="20"/>
        </w:rPr>
        <w:t xml:space="preserve">Director SAR” and “Director Option” </w:t>
      </w:r>
      <w:r>
        <w:rPr>
          <w:rFonts w:ascii="Arial;sans-serif" w:hAnsi="Arial;sans-serif"/>
          <w:b w:val="false"/>
          <w:color w:val="000000"/>
          <w:sz w:val="20"/>
        </w:rPr>
        <w:t>mean, respectively, a SAR and a Nonqualified Stock Option as described in Article 10 hereof.</w:t>
      </w:r>
    </w:p>
    <w:p>
      <w:pPr>
        <w:pStyle w:val="TextBody"/>
        <w:bidi w:val="0"/>
        <w:spacing w:lineRule="auto" w:line="288" w:before="120" w:after="283"/>
        <w:jc w:val="left"/>
        <w:rPr/>
      </w:pPr>
      <w:r>
        <w:rPr>
          <w:rFonts w:ascii="Arial;sans-serif" w:hAnsi="Arial;sans-serif"/>
          <w:b/>
          <w:color w:val="000000"/>
          <w:sz w:val="20"/>
        </w:rPr>
        <w:t>2.14</w:t>
      </w:r>
      <w:r>
        <w:rPr>
          <w:color w:val="000000"/>
        </w:rPr>
        <w:t>“</w:t>
      </w:r>
      <w:r>
        <w:rPr>
          <w:rFonts w:ascii="Arial;sans-serif" w:hAnsi="Arial;sans-serif"/>
          <w:b/>
          <w:color w:val="000000"/>
          <w:sz w:val="20"/>
        </w:rPr>
        <w:t xml:space="preserve">Disability” </w:t>
      </w:r>
      <w:r>
        <w:rPr>
          <w:rFonts w:ascii="Arial;sans-serif" w:hAnsi="Arial;sans-serif"/>
          <w:b w:val="false"/>
          <w:color w:val="000000"/>
          <w:sz w:val="20"/>
        </w:rPr>
        <w:t>means a permanent and total disability, within the meaning of Code Section 22(e)(3), as determined by the Committee in good faith, upon receipt of sufficient competent medical advice from one or more individuals, selected by or satisfactory to the Committee, who are qualified to give professional medical advice.</w:t>
      </w:r>
    </w:p>
    <w:p>
      <w:pPr>
        <w:pStyle w:val="TextBody"/>
        <w:bidi w:val="0"/>
        <w:spacing w:lineRule="auto" w:line="288" w:before="120" w:after="283"/>
        <w:jc w:val="left"/>
        <w:rPr/>
      </w:pPr>
      <w:r>
        <w:rPr>
          <w:rFonts w:ascii="Arial;sans-serif" w:hAnsi="Arial;sans-serif"/>
          <w:b/>
          <w:color w:val="000000"/>
          <w:sz w:val="20"/>
        </w:rPr>
        <w:t>2.15</w:t>
      </w:r>
      <w:r>
        <w:rPr>
          <w:color w:val="000000"/>
        </w:rPr>
        <w:t>“</w:t>
      </w:r>
      <w:r>
        <w:rPr>
          <w:rFonts w:ascii="Arial;sans-serif" w:hAnsi="Arial;sans-serif"/>
          <w:b/>
          <w:color w:val="000000"/>
          <w:sz w:val="20"/>
        </w:rPr>
        <w:t xml:space="preserve">Effective Date” </w:t>
      </w:r>
      <w:r>
        <w:rPr>
          <w:rFonts w:ascii="Arial;sans-serif" w:hAnsi="Arial;sans-serif"/>
          <w:b w:val="false"/>
          <w:color w:val="000000"/>
          <w:sz w:val="20"/>
        </w:rPr>
        <w:t xml:space="preserve">means the date of the 2020 Annual Meeting, subject to the approval of the Plan by the Company’s stockholders at such meeting. </w:t>
      </w:r>
    </w:p>
    <w:p>
      <w:pPr>
        <w:pStyle w:val="TextBody"/>
        <w:bidi w:val="0"/>
        <w:spacing w:lineRule="auto" w:line="288" w:before="120" w:after="283"/>
        <w:jc w:val="left"/>
        <w:rPr/>
      </w:pPr>
      <w:r>
        <w:rPr>
          <w:rFonts w:ascii="Arial;sans-serif" w:hAnsi="Arial;sans-serif"/>
          <w:b/>
          <w:color w:val="000000"/>
          <w:sz w:val="20"/>
        </w:rPr>
        <w:t>2.16</w:t>
      </w:r>
      <w:r>
        <w:rPr>
          <w:color w:val="000000"/>
        </w:rPr>
        <w:t>“</w:t>
      </w:r>
      <w:r>
        <w:rPr>
          <w:rFonts w:ascii="Arial;sans-serif" w:hAnsi="Arial;sans-serif"/>
          <w:b/>
          <w:color w:val="000000"/>
          <w:sz w:val="20"/>
        </w:rPr>
        <w:t xml:space="preserve">Employee” </w:t>
      </w:r>
      <w:r>
        <w:rPr>
          <w:rFonts w:ascii="Arial;sans-serif" w:hAnsi="Arial;sans-serif"/>
          <w:b w:val="false"/>
          <w:color w:val="000000"/>
          <w:sz w:val="20"/>
        </w:rPr>
        <w:t>means</w:t>
      </w:r>
      <w:r>
        <w:rPr>
          <w:color w:val="000000"/>
        </w:rPr>
        <w:t xml:space="preserve"> </w:t>
      </w:r>
      <w:r>
        <w:rPr>
          <w:rFonts w:ascii="Arial;sans-serif" w:hAnsi="Arial;sans-serif"/>
          <w:b w:val="false"/>
          <w:color w:val="000000"/>
          <w:sz w:val="20"/>
        </w:rPr>
        <w:t>any individual who is, or will become, an active, non-union employee of the Company. Any Employee who, at the request of 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pStyle w:val="TextBody"/>
        <w:bidi w:val="0"/>
        <w:spacing w:lineRule="auto" w:line="288" w:before="120" w:after="283"/>
        <w:jc w:val="left"/>
        <w:rPr/>
      </w:pPr>
      <w:r>
        <w:rPr>
          <w:rFonts w:ascii="Arial;sans-serif" w:hAnsi="Arial;sans-serif"/>
          <w:b/>
          <w:color w:val="000000"/>
          <w:sz w:val="20"/>
        </w:rPr>
        <w:t>2.17</w:t>
      </w:r>
      <w:r>
        <w:rPr>
          <w:color w:val="000000"/>
        </w:rPr>
        <w:t>“</w:t>
      </w:r>
      <w:r>
        <w:rPr>
          <w:rFonts w:ascii="Arial;sans-serif" w:hAnsi="Arial;sans-serif"/>
          <w:b/>
          <w:color w:val="000000"/>
          <w:sz w:val="20"/>
        </w:rPr>
        <w:t xml:space="preserve">Engaging in Competition” </w:t>
      </w:r>
      <w:r>
        <w:rPr>
          <w:rFonts w:ascii="Arial;sans-serif" w:hAnsi="Arial;sans-serif"/>
          <w:b w:val="false"/>
          <w:color w:val="000000"/>
          <w:sz w:val="20"/>
        </w:rPr>
        <w:t>means (a) engaging, individually or as an employee, consultant, owner (more than five 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(b) soliciting and hiring a key employee of the Company in another business, whether or not in significant competition with any business operated by the Company; or (c) using or disclosing confidential or proprietary information, in each case, without the approval of the Company.</w:t>
      </w:r>
    </w:p>
    <w:p>
      <w:pPr>
        <w:pStyle w:val="TextBody"/>
        <w:bidi w:val="0"/>
        <w:spacing w:lineRule="auto" w:line="288" w:before="120" w:after="283"/>
        <w:jc w:val="left"/>
        <w:rPr/>
      </w:pPr>
      <w:r>
        <w:rPr>
          <w:rFonts w:ascii="Arial;sans-serif" w:hAnsi="Arial;sans-serif"/>
          <w:b/>
          <w:color w:val="000000"/>
          <w:sz w:val="20"/>
        </w:rPr>
        <w:t>2.18</w:t>
      </w:r>
      <w:r>
        <w:rPr>
          <w:color w:val="000000"/>
        </w:rPr>
        <w:t>“</w:t>
      </w:r>
      <w:r>
        <w:rPr>
          <w:rFonts w:ascii="Arial;sans-serif" w:hAnsi="Arial;sans-serif"/>
          <w:b/>
          <w:color w:val="000000"/>
          <w:sz w:val="20"/>
        </w:rPr>
        <w:t xml:space="preserve">Exchange Act” </w:t>
      </w:r>
      <w:r>
        <w:rPr>
          <w:rFonts w:ascii="Arial;sans-serif" w:hAnsi="Arial;sans-serif"/>
          <w:b w:val="false"/>
          <w:color w:val="000000"/>
          <w:sz w:val="20"/>
        </w:rPr>
        <w:t>means the Securities Exchange Act of 1934, as amended from time to time, or any successor act thereto.</w:t>
      </w:r>
    </w:p>
    <w:p>
      <w:pPr>
        <w:pStyle w:val="TextBody"/>
        <w:bidi w:val="0"/>
        <w:spacing w:lineRule="auto" w:line="288" w:before="120" w:after="283"/>
        <w:jc w:val="left"/>
        <w:rPr/>
      </w:pPr>
      <w:r>
        <w:rPr>
          <w:rFonts w:ascii="Arial;sans-serif" w:hAnsi="Arial;sans-serif"/>
          <w:b/>
          <w:color w:val="000000"/>
          <w:sz w:val="20"/>
        </w:rPr>
        <w:t>2.19</w:t>
      </w:r>
      <w:r>
        <w:rPr>
          <w:color w:val="000000"/>
        </w:rPr>
        <w:t>“</w:t>
      </w:r>
      <w:r>
        <w:rPr>
          <w:rFonts w:ascii="Arial;sans-serif" w:hAnsi="Arial;sans-serif"/>
          <w:b/>
          <w:color w:val="000000"/>
          <w:sz w:val="20"/>
        </w:rPr>
        <w:t xml:space="preserve">Exercise Price” </w:t>
      </w:r>
      <w:r>
        <w:rPr>
          <w:rFonts w:ascii="Arial;sans-serif" w:hAnsi="Arial;sans-serif"/>
          <w:b w:val="false"/>
          <w:color w:val="000000"/>
          <w:sz w:val="20"/>
        </w:rPr>
        <w:t>means the price at which a Share may be purchased by a Participant pursuant to an Option or the base price from which appreciation in Shares is measured under a SAR.</w:t>
      </w:r>
    </w:p>
    <w:p>
      <w:pPr>
        <w:pStyle w:val="TextBody"/>
        <w:bidi w:val="0"/>
        <w:spacing w:lineRule="auto" w:line="288" w:before="120" w:after="283"/>
        <w:jc w:val="left"/>
        <w:rPr/>
      </w:pPr>
      <w:r>
        <w:rPr>
          <w:rFonts w:ascii="Arial;sans-serif" w:hAnsi="Arial;sans-serif"/>
          <w:b/>
          <w:color w:val="000000"/>
          <w:sz w:val="20"/>
        </w:rPr>
        <w:t>2.20</w:t>
      </w:r>
      <w:r>
        <w:rPr>
          <w:color w:val="000000"/>
        </w:rPr>
        <w:t>“</w:t>
      </w:r>
      <w:r>
        <w:rPr>
          <w:rFonts w:ascii="Arial;sans-serif" w:hAnsi="Arial;sans-serif"/>
          <w:b/>
          <w:color w:val="000000"/>
          <w:sz w:val="20"/>
        </w:rPr>
        <w:t xml:space="preserve">Fair Market Value” </w:t>
      </w:r>
      <w:r>
        <w:rPr>
          <w:rFonts w:ascii="Arial;sans-serif" w:hAnsi="Arial;sans-serif"/>
          <w:b w:val="false"/>
          <w:color w:val="000000"/>
          <w:sz w:val="20"/>
        </w:rPr>
        <w:t>means the average of the highest and lowest quoted selling prices for the Shares on the relevant date, or (if there were no sales on such date) the average so computed on the nearest day before or the nearest day after the relevant date, as reported in The Wall Street Journal or a similar publication selected by the Committee.</w:t>
      </w:r>
    </w:p>
    <w:p>
      <w:pPr>
        <w:pStyle w:val="TextBody"/>
        <w:bidi w:val="0"/>
        <w:spacing w:lineRule="auto" w:line="288" w:before="120" w:after="283"/>
        <w:jc w:val="left"/>
        <w:rPr/>
      </w:pPr>
      <w:r>
        <w:rPr>
          <w:rFonts w:ascii="Arial;sans-serif" w:hAnsi="Arial;sans-serif"/>
          <w:b/>
          <w:color w:val="000000"/>
          <w:sz w:val="20"/>
        </w:rPr>
        <w:t>2.21</w:t>
      </w:r>
      <w:r>
        <w:rPr>
          <w:color w:val="000000"/>
        </w:rPr>
        <w:t>“</w:t>
      </w:r>
      <w:r>
        <w:rPr>
          <w:rFonts w:ascii="Arial;sans-serif" w:hAnsi="Arial;sans-serif"/>
          <w:b/>
          <w:color w:val="000000"/>
          <w:sz w:val="20"/>
        </w:rPr>
        <w:t xml:space="preserve">Fee Deferral Election” </w:t>
      </w:r>
      <w:r>
        <w:rPr>
          <w:rFonts w:ascii="Arial;sans-serif" w:hAnsi="Arial;sans-serif"/>
          <w:b w:val="false"/>
          <w:color w:val="000000"/>
          <w:sz w:val="20"/>
        </w:rPr>
        <w:t>means an election made by a Non-Employee Director to defer the receipt of Fees, as described in Article 10.3 hereof.</w:t>
      </w:r>
    </w:p>
    <w:p>
      <w:pPr>
        <w:pStyle w:val="TextBody"/>
        <w:bidi w:val="0"/>
        <w:spacing w:lineRule="auto" w:line="288" w:before="120" w:after="283"/>
        <w:jc w:val="left"/>
        <w:rPr/>
      </w:pPr>
      <w:r>
        <w:rPr>
          <w:rFonts w:ascii="Arial;sans-serif" w:hAnsi="Arial;sans-serif"/>
          <w:b/>
          <w:color w:val="000000"/>
          <w:sz w:val="20"/>
        </w:rPr>
        <w:t>2.22</w:t>
      </w:r>
      <w:r>
        <w:rPr>
          <w:color w:val="000000"/>
        </w:rPr>
        <w:t>“</w:t>
      </w:r>
      <w:r>
        <w:rPr>
          <w:rFonts w:ascii="Arial;sans-serif" w:hAnsi="Arial;sans-serif"/>
          <w:b/>
          <w:color w:val="000000"/>
          <w:sz w:val="20"/>
        </w:rPr>
        <w:t xml:space="preserve">Fees” </w:t>
      </w:r>
      <w:r>
        <w:rPr>
          <w:rFonts w:ascii="Arial;sans-serif" w:hAnsi="Arial;sans-serif"/>
          <w:b w:val="false"/>
          <w:color w:val="000000"/>
          <w:sz w:val="20"/>
        </w:rPr>
        <w:t>means all or part of any retainer and/or fees payable to a Non-Employee Director in his or her capacity as such.</w:t>
      </w:r>
    </w:p>
    <w:p>
      <w:pPr>
        <w:pStyle w:val="TextBody"/>
        <w:bidi w:val="0"/>
        <w:spacing w:lineRule="auto" w:line="288" w:before="120" w:after="283"/>
        <w:jc w:val="left"/>
        <w:rPr/>
      </w:pPr>
      <w:r>
        <w:rPr>
          <w:rFonts w:ascii="Arial;sans-serif" w:hAnsi="Arial;sans-serif"/>
          <w:b/>
          <w:color w:val="000000"/>
          <w:sz w:val="20"/>
        </w:rPr>
        <w:t>2.23</w:t>
      </w:r>
      <w:r>
        <w:rPr>
          <w:color w:val="000000"/>
        </w:rPr>
        <w:t>“</w:t>
      </w:r>
      <w:r>
        <w:rPr>
          <w:rFonts w:ascii="Arial;sans-serif" w:hAnsi="Arial;sans-serif"/>
          <w:b/>
          <w:color w:val="000000"/>
          <w:sz w:val="20"/>
        </w:rPr>
        <w:t xml:space="preserve">Incentive Stock Option” or “ISO” </w:t>
      </w:r>
      <w:r>
        <w:rPr>
          <w:rFonts w:ascii="Arial;sans-serif" w:hAnsi="Arial;sans-serif"/>
          <w:b w:val="false"/>
          <w:color w:val="000000"/>
          <w:sz w:val="20"/>
        </w:rPr>
        <w:t>means an option to purchase Shares granted under Article 6 hereof, which is designated as an Incentive Stock Option and which is intended to meet the requirements of Code Section 422.</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150"/>
                <wp:effectExtent l="0" t="0" r="0" b="0"/>
                <wp:wrapNone/>
                <wp:docPr id="64" name="Frame6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2.24</w:t>
      </w:r>
      <w:r>
        <w:rPr>
          <w:color w:val="000000"/>
        </w:rPr>
        <w:t>“</w:t>
      </w:r>
      <w:r>
        <w:rPr>
          <w:rFonts w:ascii="Arial;sans-serif" w:hAnsi="Arial;sans-serif"/>
          <w:b/>
          <w:color w:val="000000"/>
          <w:sz w:val="20"/>
        </w:rPr>
        <w:t xml:space="preserve">Insider” </w:t>
      </w:r>
      <w:r>
        <w:rPr>
          <w:rFonts w:ascii="Arial;sans-serif" w:hAnsi="Arial;sans-serif"/>
          <w:b w:val="false"/>
          <w:color w:val="000000"/>
          <w:sz w:val="20"/>
        </w:rPr>
        <w:t>means an individual who is, on the relevant date, an officer, Director or more than ten percent (10%) beneficial owner of any class of the Company’s equity securities that is registered pursuant to Section 12 of the Exchange Act, all as defined under Section 16 of the Exchange Act.</w:t>
      </w:r>
    </w:p>
    <w:p>
      <w:pPr>
        <w:pStyle w:val="TextBody"/>
        <w:bidi w:val="0"/>
        <w:spacing w:lineRule="auto" w:line="288" w:before="120" w:after="283"/>
        <w:jc w:val="left"/>
        <w:rPr/>
      </w:pPr>
      <w:r>
        <w:rPr>
          <w:rFonts w:ascii="Arial;sans-serif" w:hAnsi="Arial;sans-serif"/>
          <w:b/>
          <w:color w:val="000000"/>
          <w:sz w:val="20"/>
        </w:rPr>
        <w:t>2.25</w:t>
      </w:r>
      <w:r>
        <w:rPr>
          <w:color w:val="000000"/>
        </w:rPr>
        <w:t>“</w:t>
      </w:r>
      <w:r>
        <w:rPr>
          <w:rFonts w:ascii="Arial;sans-serif" w:hAnsi="Arial;sans-serif"/>
          <w:b/>
          <w:color w:val="000000"/>
          <w:sz w:val="20"/>
        </w:rPr>
        <w:t xml:space="preserve">Non-Employee Director” </w:t>
      </w:r>
      <w:r>
        <w:rPr>
          <w:rFonts w:ascii="Arial;sans-serif" w:hAnsi="Arial;sans-serif"/>
          <w:b w:val="false"/>
          <w:color w:val="000000"/>
          <w:sz w:val="20"/>
        </w:rPr>
        <w:t>means a Director who is not an Employee of the Company.</w:t>
      </w:r>
    </w:p>
    <w:p>
      <w:pPr>
        <w:pStyle w:val="TextBody"/>
        <w:bidi w:val="0"/>
        <w:spacing w:lineRule="auto" w:line="288" w:before="120" w:after="283"/>
        <w:jc w:val="left"/>
        <w:rPr/>
      </w:pPr>
      <w:r>
        <w:rPr>
          <w:rFonts w:ascii="Arial;sans-serif" w:hAnsi="Arial;sans-serif"/>
          <w:b/>
          <w:color w:val="000000"/>
          <w:sz w:val="20"/>
        </w:rPr>
        <w:t>2.26</w:t>
      </w:r>
      <w:r>
        <w:rPr>
          <w:color w:val="000000"/>
        </w:rPr>
        <w:t>“</w:t>
      </w:r>
      <w:r>
        <w:rPr>
          <w:rFonts w:ascii="Arial;sans-serif" w:hAnsi="Arial;sans-serif"/>
          <w:b/>
          <w:color w:val="000000"/>
          <w:sz w:val="20"/>
        </w:rPr>
        <w:t xml:space="preserve">Non-Employee Director Share Award” </w:t>
      </w:r>
      <w:r>
        <w:rPr>
          <w:rFonts w:ascii="Arial;sans-serif" w:hAnsi="Arial;sans-serif"/>
          <w:b w:val="false"/>
          <w:color w:val="000000"/>
          <w:sz w:val="20"/>
        </w:rPr>
        <w:t>shall mean an award of Shares to a Non-Employee Director, as described in Article 10.2 hereof.</w:t>
      </w:r>
    </w:p>
    <w:p>
      <w:pPr>
        <w:pStyle w:val="TextBody"/>
        <w:bidi w:val="0"/>
        <w:spacing w:lineRule="auto" w:line="288" w:before="120" w:after="283"/>
        <w:jc w:val="left"/>
        <w:rPr/>
      </w:pPr>
      <w:r>
        <w:rPr>
          <w:rFonts w:ascii="Arial;sans-serif" w:hAnsi="Arial;sans-serif"/>
          <w:b/>
          <w:color w:val="000000"/>
          <w:sz w:val="20"/>
        </w:rPr>
        <w:t>2.27</w:t>
      </w:r>
      <w:r>
        <w:rPr>
          <w:color w:val="000000"/>
        </w:rPr>
        <w:t>“</w:t>
      </w:r>
      <w:r>
        <w:rPr>
          <w:rFonts w:ascii="Arial;sans-serif" w:hAnsi="Arial;sans-serif"/>
          <w:b/>
          <w:color w:val="000000"/>
          <w:sz w:val="20"/>
        </w:rPr>
        <w:t xml:space="preserve">Nonqualified Stock Option” or “NQSO” </w:t>
      </w:r>
      <w:r>
        <w:rPr>
          <w:rFonts w:ascii="Arial;sans-serif" w:hAnsi="Arial;sans-serif"/>
          <w:b w:val="false"/>
          <w:color w:val="000000"/>
          <w:sz w:val="20"/>
        </w:rPr>
        <w:t>means an option to purchase Shares granted under Article 6 hereof and which is not intended to meet the requirements of Code Section 422.</w:t>
      </w:r>
    </w:p>
    <w:p>
      <w:pPr>
        <w:pStyle w:val="TextBody"/>
        <w:bidi w:val="0"/>
        <w:spacing w:lineRule="auto" w:line="288" w:before="120" w:after="283"/>
        <w:jc w:val="left"/>
        <w:rPr/>
      </w:pPr>
      <w:r>
        <w:rPr>
          <w:rFonts w:ascii="Arial;sans-serif" w:hAnsi="Arial;sans-serif"/>
          <w:b/>
          <w:color w:val="000000"/>
          <w:sz w:val="20"/>
        </w:rPr>
        <w:t>2.28</w:t>
      </w:r>
      <w:r>
        <w:rPr>
          <w:color w:val="000000"/>
        </w:rPr>
        <w:t>“</w:t>
      </w:r>
      <w:r>
        <w:rPr>
          <w:rFonts w:ascii="Arial;sans-serif" w:hAnsi="Arial;sans-serif"/>
          <w:b/>
          <w:color w:val="000000"/>
          <w:sz w:val="20"/>
        </w:rPr>
        <w:t xml:space="preserve">Option” </w:t>
      </w:r>
      <w:r>
        <w:rPr>
          <w:rFonts w:ascii="Arial;sans-serif" w:hAnsi="Arial;sans-serif"/>
          <w:b w:val="false"/>
          <w:color w:val="000000"/>
          <w:sz w:val="20"/>
        </w:rPr>
        <w:t>means an Incentive Stock Option or a Nonqualified Stock Option, as described in Article 6 hereof, or a Director Option as described in Article 10 hereof.</w:t>
      </w:r>
    </w:p>
    <w:p>
      <w:pPr>
        <w:pStyle w:val="TextBody"/>
        <w:bidi w:val="0"/>
        <w:spacing w:lineRule="auto" w:line="288" w:before="120" w:after="283"/>
        <w:jc w:val="left"/>
        <w:rPr/>
      </w:pPr>
      <w:r>
        <w:rPr>
          <w:rFonts w:ascii="Arial;sans-serif" w:hAnsi="Arial;sans-serif"/>
          <w:b/>
          <w:color w:val="000000"/>
          <w:sz w:val="20"/>
        </w:rPr>
        <w:t>2.29</w:t>
      </w:r>
      <w:r>
        <w:rPr>
          <w:color w:val="000000"/>
        </w:rPr>
        <w:t>“</w:t>
      </w:r>
      <w:r>
        <w:rPr>
          <w:rFonts w:ascii="Arial;sans-serif" w:hAnsi="Arial;sans-serif"/>
          <w:b/>
          <w:color w:val="000000"/>
          <w:sz w:val="20"/>
        </w:rPr>
        <w:t xml:space="preserve">Other Share-Based Award” </w:t>
      </w:r>
      <w:r>
        <w:rPr>
          <w:rFonts w:ascii="Arial;sans-serif" w:hAnsi="Arial;sans-serif"/>
          <w:b w:val="false"/>
          <w:color w:val="000000"/>
          <w:sz w:val="20"/>
        </w:rPr>
        <w:t>means an Other Share-Based Award, as described in Article 9 hereof.</w:t>
      </w:r>
    </w:p>
    <w:p>
      <w:pPr>
        <w:pStyle w:val="TextBody"/>
        <w:bidi w:val="0"/>
        <w:spacing w:lineRule="auto" w:line="288" w:before="120" w:after="283"/>
        <w:jc w:val="left"/>
        <w:rPr/>
      </w:pPr>
      <w:r>
        <w:rPr>
          <w:rFonts w:ascii="Arial;sans-serif" w:hAnsi="Arial;sans-serif"/>
          <w:b/>
          <w:color w:val="000000"/>
          <w:sz w:val="20"/>
        </w:rPr>
        <w:t>2.30</w:t>
      </w:r>
      <w:r>
        <w:rPr>
          <w:color w:val="000000"/>
        </w:rPr>
        <w:t>“</w:t>
      </w:r>
      <w:r>
        <w:rPr>
          <w:rFonts w:ascii="Arial;sans-serif" w:hAnsi="Arial;sans-serif"/>
          <w:b/>
          <w:color w:val="000000"/>
          <w:sz w:val="20"/>
        </w:rPr>
        <w:t xml:space="preserve">Participant” </w:t>
      </w:r>
      <w:r>
        <w:rPr>
          <w:rFonts w:ascii="Arial;sans-serif" w:hAnsi="Arial;sans-serif"/>
          <w:b w:val="false"/>
          <w:color w:val="000000"/>
          <w:sz w:val="20"/>
        </w:rPr>
        <w:t>means an individual who has an outstanding Award granted under the Plan.</w:t>
      </w:r>
    </w:p>
    <w:p>
      <w:pPr>
        <w:pStyle w:val="TextBody"/>
        <w:bidi w:val="0"/>
        <w:spacing w:lineRule="auto" w:line="288" w:before="120" w:after="283"/>
        <w:jc w:val="left"/>
        <w:rPr/>
      </w:pPr>
      <w:r>
        <w:rPr>
          <w:rFonts w:ascii="Arial;sans-serif" w:hAnsi="Arial;sans-serif"/>
          <w:b/>
          <w:color w:val="000000"/>
          <w:sz w:val="20"/>
        </w:rPr>
        <w:t>2.31</w:t>
      </w:r>
      <w:r>
        <w:rPr>
          <w:color w:val="000000"/>
        </w:rPr>
        <w:t>“</w:t>
      </w:r>
      <w:r>
        <w:rPr>
          <w:rFonts w:ascii="Arial;sans-serif" w:hAnsi="Arial;sans-serif"/>
          <w:b/>
          <w:color w:val="000000"/>
          <w:sz w:val="20"/>
        </w:rPr>
        <w:t xml:space="preserve">Period of Restriction” </w:t>
      </w:r>
      <w:r>
        <w:rPr>
          <w:rFonts w:ascii="Arial;sans-serif" w:hAnsi="Arial;sans-serif"/>
          <w:b w:val="false"/>
          <w:color w:val="000000"/>
          <w:sz w:val="20"/>
        </w:rPr>
        <w:t>means the period during which the transfer of Shares of Restricted Stock is limited in some way (based on the passage of time, the achievement of performance objectives, or upon the occurrence of other events as determined by the Committee, in its discretion), and the Shares are subject to a substantial risk of forfeiture, as provided in Article 7 hereof.</w:t>
      </w:r>
    </w:p>
    <w:p>
      <w:pPr>
        <w:pStyle w:val="TextBody"/>
        <w:bidi w:val="0"/>
        <w:spacing w:lineRule="auto" w:line="288" w:before="120" w:after="283"/>
        <w:jc w:val="left"/>
        <w:rPr/>
      </w:pPr>
      <w:r>
        <w:rPr>
          <w:rFonts w:ascii="Arial;sans-serif" w:hAnsi="Arial;sans-serif"/>
          <w:b/>
          <w:color w:val="000000"/>
          <w:sz w:val="20"/>
        </w:rPr>
        <w:t>2.32</w:t>
      </w:r>
      <w:r>
        <w:rPr>
          <w:color w:val="000000"/>
        </w:rPr>
        <w:t>“</w:t>
      </w:r>
      <w:r>
        <w:rPr>
          <w:rFonts w:ascii="Arial;sans-serif" w:hAnsi="Arial;sans-serif"/>
          <w:b/>
          <w:color w:val="000000"/>
          <w:sz w:val="20"/>
        </w:rPr>
        <w:t xml:space="preserve">Person” </w:t>
      </w:r>
      <w:r>
        <w:rPr>
          <w:rFonts w:ascii="Arial;sans-serif" w:hAnsi="Arial;sans-serif"/>
          <w:b w:val="false"/>
          <w:color w:val="000000"/>
          <w:sz w:val="20"/>
        </w:rPr>
        <w:t>shall have the meaning ascribed to such term in Section 3(a)(9) of the Exchange Act and used in Sections 13(d) and 14(d) thereof, including a “group” as defined in Section 13(d) thereof.</w:t>
      </w:r>
    </w:p>
    <w:p>
      <w:pPr>
        <w:pStyle w:val="TextBody"/>
        <w:bidi w:val="0"/>
        <w:spacing w:lineRule="auto" w:line="288" w:before="120" w:after="283"/>
        <w:jc w:val="left"/>
        <w:rPr/>
      </w:pPr>
      <w:r>
        <w:rPr>
          <w:rFonts w:ascii="Arial;sans-serif" w:hAnsi="Arial;sans-serif"/>
          <w:b/>
          <w:color w:val="000000"/>
          <w:sz w:val="20"/>
        </w:rPr>
        <w:t>2.33</w:t>
      </w:r>
      <w:r>
        <w:rPr>
          <w:color w:val="000000"/>
        </w:rPr>
        <w:t>“</w:t>
      </w:r>
      <w:r>
        <w:rPr>
          <w:rFonts w:ascii="Arial;sans-serif" w:hAnsi="Arial;sans-serif"/>
          <w:b/>
          <w:color w:val="000000"/>
          <w:sz w:val="20"/>
        </w:rPr>
        <w:t xml:space="preserve">Plan” </w:t>
      </w:r>
      <w:r>
        <w:rPr>
          <w:rFonts w:ascii="Arial;sans-serif" w:hAnsi="Arial;sans-serif"/>
          <w:b w:val="false"/>
          <w:color w:val="000000"/>
          <w:sz w:val="20"/>
        </w:rPr>
        <w:t>means this Marriott Vacations Worldwide Corporation 2020 Stock and Cash Incentive Plan.</w:t>
      </w:r>
    </w:p>
    <w:p>
      <w:pPr>
        <w:pStyle w:val="TextBody"/>
        <w:bidi w:val="0"/>
        <w:spacing w:lineRule="auto" w:line="288" w:before="120" w:after="283"/>
        <w:jc w:val="left"/>
        <w:rPr/>
      </w:pPr>
      <w:r>
        <w:rPr>
          <w:rFonts w:ascii="Arial;sans-serif" w:hAnsi="Arial;sans-serif"/>
          <w:b/>
          <w:color w:val="000000"/>
          <w:sz w:val="20"/>
        </w:rPr>
        <w:t>2.34</w:t>
      </w:r>
      <w:r>
        <w:rPr>
          <w:color w:val="000000"/>
        </w:rPr>
        <w:t>“</w:t>
      </w:r>
      <w:r>
        <w:rPr>
          <w:rFonts w:ascii="Arial;sans-serif" w:hAnsi="Arial;sans-serif"/>
          <w:b/>
          <w:color w:val="000000"/>
          <w:sz w:val="20"/>
        </w:rPr>
        <w:t xml:space="preserve">Restricted Stock” </w:t>
      </w:r>
      <w:r>
        <w:rPr>
          <w:rFonts w:ascii="Arial;sans-serif" w:hAnsi="Arial;sans-serif"/>
          <w:b w:val="false"/>
          <w:color w:val="000000"/>
          <w:sz w:val="20"/>
        </w:rPr>
        <w:t>means an Award of Shares granted to a Participant pursuant to Article 7 hereof.</w:t>
      </w:r>
    </w:p>
    <w:p>
      <w:pPr>
        <w:pStyle w:val="TextBody"/>
        <w:bidi w:val="0"/>
        <w:spacing w:lineRule="auto" w:line="288" w:before="120" w:after="283"/>
        <w:jc w:val="left"/>
        <w:rPr/>
      </w:pPr>
      <w:r>
        <w:rPr>
          <w:rFonts w:ascii="Arial;sans-serif" w:hAnsi="Arial;sans-serif"/>
          <w:b/>
          <w:color w:val="000000"/>
          <w:sz w:val="20"/>
        </w:rPr>
        <w:t>2.35</w:t>
      </w:r>
      <w:r>
        <w:rPr>
          <w:color w:val="000000"/>
        </w:rPr>
        <w:t>“</w:t>
      </w:r>
      <w:r>
        <w:rPr>
          <w:rFonts w:ascii="Arial;sans-serif" w:hAnsi="Arial;sans-serif"/>
          <w:b/>
          <w:color w:val="000000"/>
          <w:sz w:val="20"/>
        </w:rPr>
        <w:t xml:space="preserve">RSU” </w:t>
      </w:r>
      <w:r>
        <w:rPr>
          <w:rFonts w:ascii="Arial;sans-serif" w:hAnsi="Arial;sans-serif"/>
          <w:b w:val="false"/>
          <w:color w:val="000000"/>
          <w:sz w:val="20"/>
        </w:rPr>
        <w:t>means a restricted stock unit Award granted to a Participant pursuant to Article 8 hereof.</w:t>
      </w:r>
    </w:p>
    <w:p>
      <w:pPr>
        <w:pStyle w:val="TextBody"/>
        <w:bidi w:val="0"/>
        <w:spacing w:lineRule="auto" w:line="288" w:before="120" w:after="283"/>
        <w:jc w:val="left"/>
        <w:rPr/>
      </w:pPr>
      <w:r>
        <w:rPr>
          <w:rFonts w:ascii="Arial;sans-serif" w:hAnsi="Arial;sans-serif"/>
          <w:b/>
          <w:color w:val="000000"/>
          <w:sz w:val="20"/>
        </w:rPr>
        <w:t>2.36</w:t>
      </w:r>
      <w:r>
        <w:rPr>
          <w:color w:val="000000"/>
        </w:rPr>
        <w:t>“</w:t>
      </w:r>
      <w:r>
        <w:rPr>
          <w:rFonts w:ascii="Arial;sans-serif" w:hAnsi="Arial;sans-serif"/>
          <w:b/>
          <w:color w:val="000000"/>
          <w:sz w:val="20"/>
        </w:rPr>
        <w:t xml:space="preserve">Shares” </w:t>
      </w:r>
      <w:r>
        <w:rPr>
          <w:rFonts w:ascii="Arial;sans-serif" w:hAnsi="Arial;sans-serif"/>
          <w:b w:val="false"/>
          <w:color w:val="000000"/>
          <w:sz w:val="20"/>
        </w:rPr>
        <w:t>means shares of Common Stock of the Company or of any successor company adopting this Plan.</w:t>
      </w:r>
    </w:p>
    <w:p>
      <w:pPr>
        <w:pStyle w:val="TextBody"/>
        <w:bidi w:val="0"/>
        <w:spacing w:lineRule="auto" w:line="288" w:before="120" w:after="283"/>
        <w:jc w:val="left"/>
        <w:rPr/>
      </w:pPr>
      <w:r>
        <w:rPr>
          <w:rFonts w:ascii="Arial;sans-serif" w:hAnsi="Arial;sans-serif"/>
          <w:b/>
          <w:color w:val="000000"/>
          <w:sz w:val="20"/>
        </w:rPr>
        <w:t>2.37</w:t>
      </w:r>
      <w:r>
        <w:rPr>
          <w:color w:val="000000"/>
        </w:rPr>
        <w:t>“</w:t>
      </w:r>
      <w:r>
        <w:rPr>
          <w:rFonts w:ascii="Arial;sans-serif" w:hAnsi="Arial;sans-serif"/>
          <w:b/>
          <w:color w:val="000000"/>
          <w:sz w:val="20"/>
        </w:rPr>
        <w:t xml:space="preserve">SAR” </w:t>
      </w:r>
      <w:r>
        <w:rPr>
          <w:rFonts w:ascii="Arial;sans-serif" w:hAnsi="Arial;sans-serif"/>
          <w:b w:val="false"/>
          <w:color w:val="000000"/>
          <w:sz w:val="20"/>
        </w:rPr>
        <w:t>means a stock appreciation right as described in Article 6 hereof, or a Director SAR as described in Article 10 hereof, which may be settled in Shares or cash as provided in the pertinent Award Agreement.</w:t>
      </w:r>
    </w:p>
    <w:p>
      <w:pPr>
        <w:pStyle w:val="TextBody"/>
        <w:bidi w:val="0"/>
        <w:spacing w:lineRule="auto" w:line="288" w:before="120" w:after="283"/>
        <w:jc w:val="left"/>
        <w:rPr/>
      </w:pPr>
      <w:r>
        <w:rPr>
          <w:rFonts w:ascii="Arial;sans-serif" w:hAnsi="Arial;sans-serif"/>
          <w:b/>
          <w:color w:val="000000"/>
          <w:sz w:val="20"/>
        </w:rPr>
        <w:t>2.38</w:t>
      </w:r>
      <w:r>
        <w:rPr>
          <w:color w:val="000000"/>
        </w:rPr>
        <w:t>“</w:t>
      </w:r>
      <w:r>
        <w:rPr>
          <w:rFonts w:ascii="Arial;sans-serif" w:hAnsi="Arial;sans-serif"/>
          <w:b/>
          <w:color w:val="000000"/>
          <w:sz w:val="20"/>
        </w:rPr>
        <w:t xml:space="preserve">Stock Units” </w:t>
      </w:r>
      <w:r>
        <w:rPr>
          <w:rFonts w:ascii="Arial;sans-serif" w:hAnsi="Arial;sans-serif"/>
          <w:b w:val="false"/>
          <w:color w:val="000000"/>
          <w:sz w:val="20"/>
        </w:rPr>
        <w:t>means the credits to a Non-Employee Director’s Stock Unit Account, each of which represents the right to receive one Share upon settlement of the Stock Unit Account.</w:t>
      </w:r>
    </w:p>
    <w:p>
      <w:pPr>
        <w:pStyle w:val="TextBody"/>
        <w:bidi w:val="0"/>
        <w:spacing w:lineRule="auto" w:line="288" w:before="120" w:after="283"/>
        <w:jc w:val="left"/>
        <w:rPr/>
      </w:pPr>
      <w:r>
        <w:rPr>
          <w:rFonts w:ascii="Arial;sans-serif" w:hAnsi="Arial;sans-serif"/>
          <w:b/>
          <w:color w:val="000000"/>
          <w:sz w:val="20"/>
        </w:rPr>
        <w:t>2.39</w:t>
      </w:r>
      <w:r>
        <w:rPr>
          <w:color w:val="000000"/>
        </w:rPr>
        <w:t>“</w:t>
      </w:r>
      <w:r>
        <w:rPr>
          <w:rFonts w:ascii="Arial;sans-serif" w:hAnsi="Arial;sans-serif"/>
          <w:b/>
          <w:color w:val="000000"/>
          <w:sz w:val="20"/>
        </w:rPr>
        <w:t xml:space="preserve">Stock Unit Account” </w:t>
      </w:r>
      <w:r>
        <w:rPr>
          <w:rFonts w:ascii="Arial;sans-serif" w:hAnsi="Arial;sans-serif"/>
          <w:b w:val="false"/>
          <w:color w:val="000000"/>
          <w:sz w:val="20"/>
        </w:rPr>
        <w:t>means the bookkeeping account established by the Company pursuant to Article 10.3.</w:t>
      </w:r>
    </w:p>
    <w:p>
      <w:pPr>
        <w:pStyle w:val="TextBody"/>
        <w:bidi w:val="0"/>
        <w:spacing w:lineRule="auto" w:line="288" w:before="120" w:after="283"/>
        <w:jc w:val="left"/>
        <w:rPr/>
      </w:pPr>
      <w:r>
        <w:rPr>
          <w:rFonts w:ascii="Arial;sans-serif" w:hAnsi="Arial;sans-serif"/>
          <w:b/>
          <w:color w:val="000000"/>
          <w:sz w:val="20"/>
        </w:rPr>
        <w:t>2.40</w:t>
      </w:r>
      <w:r>
        <w:rPr>
          <w:color w:val="000000"/>
        </w:rPr>
        <w:t>“</w:t>
      </w:r>
      <w:r>
        <w:rPr>
          <w:rFonts w:ascii="Arial;sans-serif" w:hAnsi="Arial;sans-serif"/>
          <w:b/>
          <w:color w:val="000000"/>
          <w:sz w:val="20"/>
        </w:rPr>
        <w:t xml:space="preserve">Subsidiary” </w:t>
      </w:r>
      <w:r>
        <w:rPr>
          <w:rFonts w:ascii="Arial;sans-serif" w:hAnsi="Arial;sans-serif"/>
          <w:b w:val="false"/>
          <w:color w:val="000000"/>
          <w:sz w:val="20"/>
        </w:rPr>
        <w:t>means</w:t>
      </w:r>
      <w:r>
        <w:rPr>
          <w:color w:val="000000"/>
        </w:rPr>
        <w:t xml:space="preserve"> </w:t>
      </w:r>
      <w:r>
        <w:rPr>
          <w:rFonts w:ascii="Arial;sans-serif" w:hAnsi="Arial;sans-serif"/>
          <w:b w:val="false"/>
          <w:color w:val="000000"/>
          <w:sz w:val="20"/>
        </w:rPr>
        <w:t>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pStyle w:val="TextBody"/>
        <w:bidi w:val="0"/>
        <w:spacing w:lineRule="auto" w:line="288" w:before="120" w:after="283"/>
        <w:jc w:val="left"/>
        <w:rPr/>
      </w:pPr>
      <w:r>
        <w:rPr>
          <w:rFonts w:ascii="Arial;sans-serif" w:hAnsi="Arial;sans-serif"/>
          <w:b/>
          <w:color w:val="000000"/>
          <w:sz w:val="20"/>
        </w:rPr>
        <w:t>2.41</w:t>
      </w:r>
      <w:r>
        <w:rPr>
          <w:color w:val="000000"/>
        </w:rPr>
        <w:t>“</w:t>
      </w:r>
      <w:r>
        <w:rPr>
          <w:rFonts w:ascii="Arial;sans-serif" w:hAnsi="Arial;sans-serif"/>
          <w:b/>
          <w:color w:val="000000"/>
          <w:sz w:val="20"/>
        </w:rPr>
        <w:t xml:space="preserve">Termination of Service” </w:t>
      </w:r>
      <w:r>
        <w:rPr>
          <w:rFonts w:ascii="Arial;sans-serif" w:hAnsi="Arial;sans-serif"/>
          <w:b w:val="false"/>
          <w:color w:val="000000"/>
          <w:sz w:val="20"/>
        </w:rPr>
        <w:t>means termination of service as a Non-Employee Director in any of the following circumstances:</w:t>
      </w:r>
    </w:p>
    <w:p>
      <w:pPr>
        <w:pStyle w:val="TextBody"/>
        <w:bidi w:val="0"/>
        <w:spacing w:lineRule="auto" w:line="288" w:before="120" w:after="283"/>
        <w:jc w:val="left"/>
        <w:rPr/>
      </w:pPr>
      <w:r>
        <w:rPr>
          <w:rFonts w:ascii="Arial;sans-serif" w:hAnsi="Arial;sans-serif"/>
          <w:b w:val="false"/>
          <w:color w:val="000000"/>
          <w:sz w:val="20"/>
        </w:rPr>
        <w:t>(a)</w:t>
      </w:r>
      <w:r>
        <w:rPr>
          <w:rFonts w:ascii="Arial;sans-serif" w:hAnsi="Arial;sans-serif"/>
          <w:b w:val="false"/>
          <w:color w:val="000000"/>
          <w:sz w:val="20"/>
        </w:rPr>
        <w:t>Where the Non-Employee Director voluntarily resigns or retires;</w:t>
      </w:r>
    </w:p>
    <w:p>
      <w:pPr>
        <w:pStyle w:val="TextBody"/>
        <w:bidi w:val="0"/>
        <w:spacing w:lineRule="auto" w:line="288" w:before="120" w:after="283"/>
        <w:jc w:val="left"/>
        <w:rPr/>
      </w:pPr>
      <w:r>
        <w:rPr>
          <w:rFonts w:ascii="Arial;sans-serif" w:hAnsi="Arial;sans-serif"/>
          <w:b w:val="false"/>
          <w:color w:val="000000"/>
          <w:sz w:val="20"/>
        </w:rPr>
        <w:t>(b)</w:t>
      </w:r>
      <w:r>
        <w:rPr>
          <w:rFonts w:ascii="Arial;sans-serif" w:hAnsi="Arial;sans-serif"/>
          <w:b w:val="false"/>
          <w:color w:val="000000"/>
          <w:sz w:val="20"/>
        </w:rPr>
        <w:t>Where the Non-Employee Director is not re-elected (or elected in the case of an appointed Non-Employee Director) to the Board by the stockholders;</w:t>
      </w:r>
    </w:p>
    <w:p>
      <w:pPr>
        <w:pStyle w:val="TextBody"/>
        <w:bidi w:val="0"/>
        <w:spacing w:lineRule="auto" w:line="288" w:before="120" w:after="283"/>
        <w:jc w:val="left"/>
        <w:rPr/>
      </w:pPr>
      <w:r>
        <w:rPr>
          <w:rFonts w:ascii="Arial;sans-serif" w:hAnsi="Arial;sans-serif"/>
          <w:b w:val="false"/>
          <w:color w:val="000000"/>
          <w:sz w:val="20"/>
        </w:rPr>
        <w:t>(c)</w:t>
      </w:r>
      <w:r>
        <w:rPr>
          <w:rFonts w:ascii="Arial;sans-serif" w:hAnsi="Arial;sans-serif"/>
          <w:b w:val="false"/>
          <w:color w:val="000000"/>
          <w:sz w:val="20"/>
        </w:rPr>
        <w:t>Where the Non-Employee Director ceases to perform services on account of a Disability; or</w:t>
      </w:r>
    </w:p>
    <w:p>
      <w:pPr>
        <w:pStyle w:val="TextBody"/>
        <w:bidi w:val="0"/>
        <w:spacing w:lineRule="auto" w:line="288" w:before="120" w:after="283"/>
        <w:jc w:val="left"/>
        <w:rPr/>
      </w:pPr>
      <w:r>
        <w:rPr>
          <w:rFonts w:ascii="Arial;sans-serif" w:hAnsi="Arial;sans-serif"/>
          <w:b w:val="false"/>
          <w:color w:val="000000"/>
          <w:sz w:val="20"/>
        </w:rPr>
        <w:t>(d)</w:t>
      </w:r>
      <w:r>
        <w:rPr>
          <w:rFonts w:ascii="Arial;sans-serif" w:hAnsi="Arial;sans-serif"/>
          <w:b w:val="false"/>
          <w:color w:val="000000"/>
          <w:sz w:val="20"/>
        </w:rPr>
        <w:t>Where the Non-Employee Director dies.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respect to any Awards that are or become subject to Section 409A of the Code, Termination of Service shall not include any event that is not within the meaning of “separation from service” as set forth in Treasury Regulation Section 1.409A-1(h).</w:t>
      </w:r>
    </w:p>
    <w:p>
      <w:pPr>
        <w:pStyle w:val="TextBody"/>
        <w:bidi w:val="0"/>
        <w:spacing w:lineRule="auto" w:line="288" w:before="120" w:after="283"/>
        <w:jc w:val="left"/>
        <w:rPr/>
      </w:pPr>
      <w:r>
        <w:rPr>
          <w:rFonts w:ascii="Arial;sans-serif" w:hAnsi="Arial;sans-serif"/>
          <w:b/>
          <w:color w:val="000000"/>
          <w:sz w:val="20"/>
        </w:rPr>
        <w:t>2.42</w:t>
      </w:r>
      <w:r>
        <w:rPr>
          <w:color w:val="000000"/>
        </w:rPr>
        <w:t>“</w:t>
      </w:r>
      <w:r>
        <w:rPr>
          <w:rFonts w:ascii="Arial;sans-serif" w:hAnsi="Arial;sans-serif"/>
          <w:b/>
          <w:color w:val="000000"/>
          <w:sz w:val="20"/>
        </w:rPr>
        <w:t xml:space="preserve">Year of Service” </w:t>
      </w:r>
      <w:r>
        <w:rPr>
          <w:rFonts w:ascii="Arial;sans-serif" w:hAnsi="Arial;sans-serif"/>
          <w:b w:val="false"/>
          <w:color w:val="000000"/>
          <w:sz w:val="20"/>
        </w:rPr>
        <w:t>means a period of twelve (12) consecutive calendar months during which an Employee is employed by the Company or any predecessor thereto as determined by the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150"/>
                <wp:effectExtent l="0" t="0" r="0" b="0"/>
                <wp:wrapNone/>
                <wp:docPr id="65" name="Frame6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3Administration</w:t>
      </w:r>
    </w:p>
    <w:p>
      <w:pPr>
        <w:pStyle w:val="TextBody"/>
        <w:bidi w:val="0"/>
        <w:spacing w:lineRule="auto" w:line="288" w:before="120" w:after="283"/>
        <w:jc w:val="left"/>
        <w:rPr/>
      </w:pPr>
      <w:r>
        <w:rPr>
          <w:rFonts w:ascii="Arial;sans-serif" w:hAnsi="Arial;sans-serif"/>
          <w:b/>
          <w:color w:val="000000"/>
          <w:sz w:val="20"/>
        </w:rPr>
        <w:t>3.1</w:t>
      </w:r>
      <w:r>
        <w:rPr>
          <w:rFonts w:ascii="Arial;sans-serif" w:hAnsi="Arial;sans-serif"/>
          <w:b w:val="false"/>
          <w:color w:val="000000"/>
          <w:sz w:val="20"/>
        </w:rPr>
        <w:t>The Committee. The Plan shall be administered by the Committee or by any other committee appointed by the Board. The members of the Committee shall be appointed from time to time by, 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pStyle w:val="TextBody"/>
        <w:bidi w:val="0"/>
        <w:spacing w:lineRule="auto" w:line="288" w:before="120" w:after="283"/>
        <w:jc w:val="left"/>
        <w:rPr/>
      </w:pPr>
      <w:r>
        <w:rPr>
          <w:rFonts w:ascii="Arial;sans-serif" w:hAnsi="Arial;sans-serif"/>
          <w:b/>
          <w:color w:val="000000"/>
          <w:sz w:val="20"/>
        </w:rPr>
        <w:t>3.2</w:t>
      </w:r>
      <w:r>
        <w:rPr>
          <w:rFonts w:ascii="Arial;sans-serif" w:hAnsi="Arial;sans-serif"/>
          <w:b/>
          <w:color w:val="000000"/>
          <w:sz w:val="20"/>
        </w:rPr>
        <w:t>Authority of the Committee.</w:t>
      </w:r>
      <w:r>
        <w:rPr>
          <w:color w:val="000000"/>
        </w:rPr>
        <w:t xml:space="preserve"> </w:t>
      </w:r>
      <w:r>
        <w:rPr>
          <w:rFonts w:ascii="Arial;sans-serif" w:hAnsi="Arial;sans-serif"/>
          <w:b w:val="false"/>
          <w:color w:val="000000"/>
          <w:sz w:val="20"/>
        </w:rPr>
        <w:t>Except as limited by law or by the Articles of Incorporation or Bylaws of the Company, and subject to the provisions 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14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pStyle w:val="TextBody"/>
        <w:bidi w:val="0"/>
        <w:spacing w:lineRule="auto" w:line="288" w:before="120" w:after="283"/>
        <w:jc w:val="left"/>
        <w:rPr/>
      </w:pPr>
      <w:r>
        <w:rPr>
          <w:rFonts w:ascii="Arial;sans-serif" w:hAnsi="Arial;sans-serif"/>
          <w:b/>
          <w:color w:val="000000"/>
          <w:sz w:val="20"/>
        </w:rPr>
        <w:t>3.3</w:t>
      </w:r>
      <w:r>
        <w:rPr>
          <w:rFonts w:ascii="Arial;sans-serif" w:hAnsi="Arial;sans-serif"/>
          <w:b/>
          <w:color w:val="000000"/>
          <w:sz w:val="20"/>
        </w:rPr>
        <w:t>Delegation.</w:t>
      </w:r>
      <w:r>
        <w:rPr>
          <w:color w:val="000000"/>
        </w:rPr>
        <w:t xml:space="preserve"> </w:t>
      </w:r>
      <w:r>
        <w:rPr>
          <w:rFonts w:ascii="Arial;sans-serif" w:hAnsi="Arial;sans-serif"/>
          <w:b w:val="false"/>
          <w:color w:val="000000"/>
          <w:sz w:val="20"/>
        </w:rPr>
        <w:t>The Committee may delegate to one or more separate committees (any such committee a “Subcommittee”) composed of one or more 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pStyle w:val="TextBody"/>
        <w:bidi w:val="0"/>
        <w:spacing w:lineRule="auto" w:line="288" w:before="120" w:after="283"/>
        <w:jc w:val="left"/>
        <w:rPr/>
      </w:pPr>
      <w:r>
        <w:rPr>
          <w:rFonts w:ascii="Arial;sans-serif" w:hAnsi="Arial;sans-serif"/>
          <w:b/>
          <w:color w:val="000000"/>
          <w:sz w:val="20"/>
        </w:rPr>
        <w:t>3.4</w:t>
      </w:r>
      <w:r>
        <w:rPr>
          <w:rFonts w:ascii="Arial;sans-serif" w:hAnsi="Arial;sans-serif"/>
          <w:b/>
          <w:color w:val="000000"/>
          <w:sz w:val="20"/>
        </w:rPr>
        <w:t>Decisions Binding.</w:t>
      </w:r>
      <w:r>
        <w:rPr>
          <w:color w:val="000000"/>
        </w:rPr>
        <w:t xml:space="preserve"> </w:t>
      </w:r>
      <w:r>
        <w:rPr>
          <w:rFonts w:ascii="Arial;sans-serif" w:hAnsi="Arial;sans-serif"/>
          <w:b w:val="false"/>
          <w:color w:val="000000"/>
          <w:sz w:val="20"/>
        </w:rPr>
        <w:t>All determinations and decisions made by the Committee or its designee pursuant to the provisions of the Plan and all related orders and resolutions of the Board shall be final, conclusive and binding on all parties.</w:t>
      </w:r>
    </w:p>
    <w:p>
      <w:pPr>
        <w:pStyle w:val="TextBody"/>
        <w:bidi w:val="0"/>
        <w:spacing w:lineRule="auto" w:line="288" w:before="120" w:after="283"/>
        <w:jc w:val="left"/>
        <w:rPr/>
      </w:pPr>
      <w:r>
        <w:rPr>
          <w:rFonts w:ascii="Arial;sans-serif" w:hAnsi="Arial;sans-serif"/>
          <w:b/>
          <w:color w:val="000000"/>
          <w:sz w:val="20"/>
        </w:rPr>
        <w:t>3.5</w:t>
      </w:r>
      <w:r>
        <w:rPr>
          <w:rFonts w:ascii="Arial;sans-serif" w:hAnsi="Arial;sans-serif"/>
          <w:b/>
          <w:color w:val="000000"/>
          <w:sz w:val="20"/>
        </w:rPr>
        <w:t>Unanimous Consent in Lieu of Meeting.</w:t>
      </w:r>
      <w:r>
        <w:rPr>
          <w:color w:val="000000"/>
        </w:rPr>
        <w:t xml:space="preserve"> </w:t>
      </w:r>
      <w:r>
        <w:rPr>
          <w:rFonts w:ascii="Arial;sans-serif" w:hAnsi="Arial;sans-serif"/>
          <w:b w:val="false"/>
          <w:color w:val="000000"/>
          <w:sz w:val="20"/>
        </w:rPr>
        <w:t>A memorandum signed by all members of the Committee shall constitute the act of the Committee without the necessity in such event to hold a meeting.</w:t>
      </w:r>
    </w:p>
    <w:p>
      <w:pPr>
        <w:pStyle w:val="TextBody"/>
        <w:bidi w:val="0"/>
        <w:spacing w:lineRule="auto" w:line="288" w:before="120" w:after="283"/>
        <w:jc w:val="left"/>
        <w:rPr/>
      </w:pPr>
      <w:r>
        <w:rPr>
          <w:rFonts w:ascii="Arial;sans-serif" w:hAnsi="Arial;sans-serif"/>
          <w:b/>
          <w:color w:val="000000"/>
          <w:sz w:val="20"/>
        </w:rPr>
        <w:t>3.6</w:t>
      </w:r>
      <w:r>
        <w:rPr>
          <w:rFonts w:ascii="Arial;sans-serif" w:hAnsi="Arial;sans-serif"/>
          <w:b/>
          <w:color w:val="000000"/>
          <w:sz w:val="20"/>
        </w:rPr>
        <w:t>Serious Misconduct.</w:t>
      </w:r>
      <w:r>
        <w:rPr>
          <w:color w:val="000000"/>
        </w:rPr>
        <w:t xml:space="preserve"> </w:t>
      </w:r>
      <w:r>
        <w:rPr>
          <w:rFonts w:ascii="Arial;sans-serif" w:hAnsi="Arial;sans-serif"/>
          <w:b w:val="false"/>
          <w:color w:val="000000"/>
          <w:sz w:val="20"/>
        </w:rPr>
        <w:t xml:space="preserve">Notwithstanding anything to the contrary in the Plan or any Award Agreement, if a Participant terminates employment for serious misconduct, including but not limited to engaging in a terminable offense set forth in the applicable associate handbook, the Committee may, in its sole discretion, refuse or revoke Approved Retiree status or other retirement approval for such Participant, or otherwise determine that such Participant may not receive, vest in or exercise any Awards or otherwise receive Shares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150"/>
                <wp:effectExtent l="0" t="0" r="0" b="0"/>
                <wp:wrapNone/>
                <wp:docPr id="66" name="Frame6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thereunder to the extent the Awards are not granted, vested or fully exercised, or Shares are not received, as of such determination.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4Shares Subject to the Plan</w:t>
      </w:r>
    </w:p>
    <w:p>
      <w:pPr>
        <w:pStyle w:val="TextBody"/>
        <w:bidi w:val="0"/>
        <w:spacing w:lineRule="auto" w:line="288" w:before="120" w:after="283"/>
        <w:jc w:val="left"/>
        <w:rPr/>
      </w:pPr>
      <w:r>
        <w:rPr>
          <w:rFonts w:ascii="Arial;sans-serif" w:hAnsi="Arial;sans-serif"/>
          <w:b/>
          <w:color w:val="000000"/>
          <w:sz w:val="20"/>
        </w:rPr>
        <w:t>4.1</w:t>
      </w:r>
      <w:r>
        <w:rPr>
          <w:rFonts w:ascii="Arial;sans-serif" w:hAnsi="Arial;sans-serif"/>
          <w:b/>
          <w:color w:val="000000"/>
          <w:sz w:val="20"/>
        </w:rPr>
        <w:t xml:space="preserve">Number of Shares. </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Reserve</w:t>
      </w:r>
      <w:r>
        <w:rPr>
          <w:rFonts w:ascii="Arial;sans-serif" w:hAnsi="Arial;sans-serif"/>
          <w:b w:val="false"/>
          <w:color w:val="000000"/>
          <w:sz w:val="20"/>
        </w:rPr>
        <w:t xml:space="preserve">. Subject to Article 4.2 hereof, an aggregate of one million, two hundred and sixty-five thousand (1,265,000) Shares, plus the Shares described in Article 4.1(b), plus on and after the Restatement Effective Date, an additional one million, two hundred and fifty thousand (1,250,000) Shares (collectively, the “Reserve”), may be issued pursuant to Awards granted under the Plan. All of the Shares reserved for issuance under the Plan may be issued pursuant to ISOs. </w: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 xml:space="preserve">Prior Plans. </w:t>
      </w:r>
      <w:r>
        <w:rPr>
          <w:rFonts w:ascii="Arial;sans-serif" w:hAnsi="Arial;sans-serif"/>
          <w:b w:val="false"/>
          <w:color w:val="000000"/>
          <w:sz w:val="20"/>
        </w:rPr>
        <w:t>The number of Shares which were reserved for issuance under the Prior Marriott Plan but which are not subject to any outstanding awards under such plan as of the Effective Date shall be considered part of the Reserve under Article 4.1(a). Further, after the Effective Date, if any Shares subject to or underlying awards granted under the Prior Plans would again become available for new grants under the terms of such plans if such plans were still in effect, then those Shares will be added to the Reserve, thereby increasing the number of Shares available for issuance under this Plan as determined under the first sentence of Article 4.1(a). Any such Shares will not be available for future awards under the terms of the Prior Plans, which are terminated as of the Effective Date.</w:t>
      </w:r>
    </w:p>
    <w:p>
      <w:pPr>
        <w:pStyle w:val="TextBody"/>
        <w:bidi w:val="0"/>
        <w:spacing w:lineRule="auto" w:line="288" w:before="120" w:after="283"/>
        <w:jc w:val="left"/>
        <w:rPr/>
      </w:pPr>
      <w:r>
        <w:rPr>
          <w:rFonts w:ascii="Arial;sans-serif" w:hAnsi="Arial;sans-serif"/>
          <w:b/>
          <w:color w:val="000000"/>
          <w:sz w:val="20"/>
        </w:rPr>
        <w:t>(c)</w:t>
      </w:r>
      <w:r>
        <w:rPr>
          <w:rFonts w:ascii="Arial;sans-serif" w:hAnsi="Arial;sans-serif"/>
          <w:b/>
          <w:i/>
          <w:color w:val="000000"/>
          <w:sz w:val="20"/>
        </w:rPr>
        <w:t>Depletion of Reserve</w:t>
      </w:r>
      <w:r>
        <w:rPr>
          <w:rFonts w:ascii="Arial;sans-serif" w:hAnsi="Arial;sans-serif"/>
          <w:b w:val="false"/>
          <w:color w:val="000000"/>
          <w:sz w:val="20"/>
        </w:rPr>
        <w:t>. When an Award is granted, the Reserve shall be depleted by the maximum number of Shares to which the Award relates, except that an Award that is valued in relation to a Share but that may only be settled in cash shall not deplete the Reserve. In addition, if the number of Shares issuable under an Award is increased after the grant date, such as by an amendment to the Award or as a result of converting dividends or dividend equivalent units into additional Shares of Restricted Stock or RSUs subject to the Award, then the Reserve shall be depleted by such increased number of Shares at the time of such increase.</w:t>
      </w:r>
    </w:p>
    <w:p>
      <w:pPr>
        <w:pStyle w:val="TextBody"/>
        <w:bidi w:val="0"/>
        <w:spacing w:lineRule="auto" w:line="288" w:before="120" w:after="283"/>
        <w:jc w:val="left"/>
        <w:rPr/>
      </w:pPr>
      <w:r>
        <w:rPr>
          <w:rFonts w:ascii="Arial;sans-serif" w:hAnsi="Arial;sans-serif"/>
          <w:b/>
          <w:color w:val="000000"/>
          <w:sz w:val="20"/>
        </w:rPr>
        <w:t>(d)</w:t>
      </w:r>
      <w:r>
        <w:rPr>
          <w:rFonts w:ascii="Arial;sans-serif" w:hAnsi="Arial;sans-serif"/>
          <w:b/>
          <w:i/>
          <w:color w:val="000000"/>
          <w:sz w:val="20"/>
        </w:rPr>
        <w:t>Replenishment of Reserve</w:t>
      </w:r>
      <w:r>
        <w:rPr>
          <w:rFonts w:ascii="Arial;sans-serif" w:hAnsi="Arial;sans-serif"/>
          <w:b w:val="false"/>
          <w:color w:val="000000"/>
          <w:sz w:val="20"/>
        </w:rPr>
        <w:t>. To the extent (i) an Award lapses, expires, terminates or is cancelled without the issuance of Shares under the Award, (ii) it is 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tendered or withheld in payment of the exercise price of an Option or as a result of the net settlement in Shares of an outstanding SAR; (v) Shares are tendered or withheld to satisfy federal, state or local tax withholding obligations; or (vi) Shares are issued under any Award and the Company subsequently reacquires them pursuant to rights reserved upon the issuance of the Shares, then such Shares shall be re-credited to the Reserve and may be used for new Awards under the Plan, provided that Shares re-credited to the Reserve pursuant to clause (vi) may not be issued pursuant to ISOs.</w:t>
      </w:r>
    </w:p>
    <w:p>
      <w:pPr>
        <w:pStyle w:val="TextBody"/>
        <w:bidi w:val="0"/>
        <w:spacing w:lineRule="auto" w:line="288" w:before="120" w:after="283"/>
        <w:jc w:val="left"/>
        <w:rPr/>
      </w:pPr>
      <w:r>
        <w:rPr>
          <w:rFonts w:ascii="Arial;sans-serif" w:hAnsi="Arial;sans-serif"/>
          <w:b/>
          <w:color w:val="000000"/>
          <w:sz w:val="20"/>
        </w:rPr>
        <w:t>4.2</w:t>
      </w:r>
      <w:r>
        <w:rPr>
          <w:rFonts w:ascii="Arial;sans-serif" w:hAnsi="Arial;sans-serif"/>
          <w:b/>
          <w:color w:val="000000"/>
          <w:sz w:val="20"/>
        </w:rPr>
        <w:t>Adjustments in Authorized Shares and Awards.</w:t>
      </w:r>
      <w:r>
        <w:rPr>
          <w:color w:val="000000"/>
        </w:rPr>
        <w:t xml:space="preserve"> </w:t>
      </w:r>
      <w:r>
        <w:rPr>
          <w:rFonts w:ascii="Arial;sans-serif" w:hAnsi="Arial;sans-serif"/>
          <w:b w:val="false"/>
          <w:color w:val="000000"/>
          <w:sz w:val="20"/>
        </w:rPr>
        <w:t xml:space="preserve">In the event of any change in corporate capitalization, such as a stock split, reverse stock split, 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similar event affecting the Company, such adjustment shall be made in (a) the number and class of Shares which thereafter may be delivered under Article 4.1(a), (b) or (c), (b) the number and class of Shares subject to outstanding Awards, (c) the Exercise Price relating to any Award, and (d) the performance goals which may be applicable to any outstanding Awards, and such other equitable substitutions or adjustments may be made, as may be determined to be appropriate and equitable by the Committee, in its sole discretion, to prevent dilution or enlargement of rights. Without limiting the preceding sentence, in the case of any such transaction described in the preceding sentence, the adjustments made by the Committee or the board of directors, compensation committee or similar body of any other legal entity assuming the obligations of the Company hereunder,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150"/>
                <wp:effectExtent l="0" t="0" r="0" b="0"/>
                <wp:wrapNone/>
                <wp:docPr id="67" name="Frame6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compensation account allocation of equivalent value), provided that the substitution neither enlarges nor diminishes the value and rights under the Awards; or (ii) upon written notice to the Participants, providing that Awards will be exercised, distributed, cashed out or exchanged for value pursuant to such terms and conditions (including the waiver of any existing terms or conditions including but not limited to vesting restrictions or exercise waiting periods) as shall be specified in the notice, provided that any Awards that are subject to Code Section 409A must not be exercised, distributed, cashed out or exchanged for value unless, to the extent required for compliance with Code Section 409A, the transaction qualifies as a “change in control event” as described under Code Section 409A(2)(A)(v) and the regulations thereunder. Any adjustment of an ISO under clause (i) of the preceding sentence in this paragraph shall be made in such a manner so as not to constitute a “modification” within the meaning of Section 424(h)(3)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Arial;sans-serif" w:hAnsi="Arial;sans-serif"/>
          <w:b/>
          <w:color w:val="000000"/>
          <w:sz w:val="24"/>
        </w:rPr>
      </w:pPr>
      <w:r>
        <w:rPr>
          <w:rFonts w:ascii="Arial;sans-serif" w:hAnsi="Arial;sans-serif"/>
          <w:b/>
          <w:color w:val="000000"/>
          <w:sz w:val="24"/>
        </w:rPr>
        <w:t>Article 5Eligibility and Participation</w:t>
      </w:r>
    </w:p>
    <w:p>
      <w:pPr>
        <w:pStyle w:val="TextBody"/>
        <w:bidi w:val="0"/>
        <w:spacing w:lineRule="auto" w:line="288" w:before="120" w:after="283"/>
        <w:jc w:val="left"/>
        <w:rPr/>
      </w:pPr>
      <w:r>
        <w:rPr>
          <w:rFonts w:ascii="Arial;sans-serif" w:hAnsi="Arial;sans-serif"/>
          <w:b/>
          <w:color w:val="000000"/>
          <w:sz w:val="20"/>
        </w:rPr>
        <w:t>5.1</w:t>
      </w:r>
      <w:r>
        <w:rPr>
          <w:rFonts w:ascii="Arial;sans-serif" w:hAnsi="Arial;sans-serif"/>
          <w:b/>
          <w:color w:val="000000"/>
          <w:sz w:val="20"/>
        </w:rPr>
        <w:t>Eligibility.</w:t>
      </w:r>
      <w:r>
        <w:rPr>
          <w:color w:val="000000"/>
        </w:rPr>
        <w:t xml:space="preserve"> </w:t>
      </w:r>
      <w:r>
        <w:rPr>
          <w:rFonts w:ascii="Arial;sans-serif" w:hAnsi="Arial;sans-serif"/>
          <w:b w:val="false"/>
          <w:color w:val="000000"/>
          <w:sz w:val="20"/>
        </w:rPr>
        <w:t>Employees shall be eligible to participate in this Plan with respect to Awards specified in Articles 6 through 9. Non-Employee Directors shall be eligible to participate in the Plan with respect to Awards specified in Article 10.</w:t>
      </w:r>
    </w:p>
    <w:p>
      <w:pPr>
        <w:pStyle w:val="TextBody"/>
        <w:bidi w:val="0"/>
        <w:spacing w:lineRule="auto" w:line="288" w:before="120" w:after="283"/>
        <w:jc w:val="left"/>
        <w:rPr/>
      </w:pPr>
      <w:r>
        <w:rPr>
          <w:rFonts w:ascii="Arial;sans-serif" w:hAnsi="Arial;sans-serif"/>
          <w:b/>
          <w:color w:val="000000"/>
          <w:sz w:val="20"/>
        </w:rPr>
        <w:t>5.2</w:t>
      </w:r>
      <w:r>
        <w:rPr>
          <w:rFonts w:ascii="Arial;sans-serif" w:hAnsi="Arial;sans-serif"/>
          <w:b/>
          <w:color w:val="000000"/>
          <w:sz w:val="20"/>
        </w:rPr>
        <w:t>Actual Participation by Employees.</w:t>
      </w:r>
      <w:r>
        <w:rPr>
          <w:color w:val="000000"/>
        </w:rPr>
        <w:t xml:space="preserve"> </w:t>
      </w:r>
      <w:r>
        <w:rPr>
          <w:rFonts w:ascii="Arial;sans-serif" w:hAnsi="Arial;sans-serif"/>
          <w:b w:val="false"/>
          <w:color w:val="000000"/>
          <w:sz w:val="20"/>
        </w:rPr>
        <w:t>Subject to the provisions of the Plan, the Committee may, from time to time, select from all eligible Employees, those to whom Awards shall be granted and shall determine the nature and amount of each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6SARs and Stock Options</w:t>
      </w:r>
    </w:p>
    <w:p>
      <w:pPr>
        <w:pStyle w:val="TextBody"/>
        <w:bidi w:val="0"/>
        <w:spacing w:lineRule="auto" w:line="288" w:before="120" w:after="283"/>
        <w:jc w:val="left"/>
        <w:rPr/>
      </w:pPr>
      <w:r>
        <w:rPr>
          <w:rFonts w:ascii="Arial;sans-serif" w:hAnsi="Arial;sans-serif"/>
          <w:b/>
          <w:color w:val="000000"/>
          <w:sz w:val="20"/>
        </w:rPr>
        <w:t>6.1</w:t>
      </w:r>
      <w:r>
        <w:rPr>
          <w:rFonts w:ascii="Arial;sans-serif" w:hAnsi="Arial;sans-serif"/>
          <w:b/>
          <w:color w:val="000000"/>
          <w:sz w:val="20"/>
        </w:rPr>
        <w:t>Grant of SARs and Options.</w:t>
      </w:r>
      <w:r>
        <w:rPr>
          <w:color w:val="000000"/>
        </w:rPr>
        <w:t xml:space="preserve"> </w:t>
      </w:r>
      <w:r>
        <w:rPr>
          <w:rFonts w:ascii="Arial;sans-serif" w:hAnsi="Arial;sans-serif"/>
          <w:b w:val="false"/>
          <w:color w:val="000000"/>
          <w:sz w:val="20"/>
        </w:rPr>
        <w:t>Subject to the terms and provisions of the Plan, SARs and/or Options may be granted to Employees in such number, and upon such terms, and at any time and from time to time as shall be determined by the Committee. No dividends or dividend equivalent rights may be granted with respect to SARs or Options.</w:t>
      </w:r>
    </w:p>
    <w:p>
      <w:pPr>
        <w:pStyle w:val="TextBody"/>
        <w:bidi w:val="0"/>
        <w:spacing w:lineRule="auto" w:line="288" w:before="120" w:after="283"/>
        <w:jc w:val="left"/>
        <w:rPr/>
      </w:pPr>
      <w:r>
        <w:rPr>
          <w:rFonts w:ascii="Arial;sans-serif" w:hAnsi="Arial;sans-serif"/>
          <w:b/>
          <w:color w:val="000000"/>
          <w:sz w:val="20"/>
        </w:rPr>
        <w:t>6.2</w:t>
      </w:r>
      <w:r>
        <w:rPr>
          <w:rFonts w:ascii="Arial;sans-serif" w:hAnsi="Arial;sans-serif"/>
          <w:b/>
          <w:color w:val="000000"/>
          <w:sz w:val="20"/>
        </w:rPr>
        <w:t>Award Agreement.</w:t>
      </w:r>
      <w:r>
        <w:rPr>
          <w:color w:val="000000"/>
        </w:rPr>
        <w:t xml:space="preserve"> </w:t>
      </w:r>
      <w:r>
        <w:rPr>
          <w:rFonts w:ascii="Arial;sans-serif" w:hAnsi="Arial;sans-serif"/>
          <w:b w:val="false"/>
          <w:color w:val="000000"/>
          <w:sz w:val="20"/>
        </w:rPr>
        <w:t>Each SAR and Option grant shall be evidenced by an Award Agreement that shall specify the Exercise Price, the duration of the 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pStyle w:val="TextBody"/>
        <w:bidi w:val="0"/>
        <w:spacing w:lineRule="auto" w:line="288" w:before="120" w:after="283"/>
        <w:jc w:val="left"/>
        <w:rPr/>
      </w:pPr>
      <w:r>
        <w:rPr>
          <w:rFonts w:ascii="Arial;sans-serif" w:hAnsi="Arial;sans-serif"/>
          <w:b/>
          <w:color w:val="000000"/>
          <w:sz w:val="20"/>
        </w:rPr>
        <w:t>6.3</w:t>
      </w:r>
      <w:r>
        <w:rPr>
          <w:rFonts w:ascii="Arial;sans-serif" w:hAnsi="Arial;sans-serif"/>
          <w:b/>
          <w:color w:val="000000"/>
          <w:sz w:val="20"/>
        </w:rPr>
        <w:t xml:space="preserve">Exercise Price. </w:t>
      </w:r>
      <w:r>
        <w:rPr>
          <w:rFonts w:ascii="Arial;sans-serif" w:hAnsi="Arial;sans-serif"/>
          <w:b w:val="false"/>
          <w:color w:val="000000"/>
          <w:sz w:val="20"/>
        </w:rPr>
        <w:t>The Exercise Price for each grant of a SAR or an Option under this Article 6 shall be at least equal to one hundred percent (100%) of the Fair Market Value of a Share on the date the SAR or Option is granted.</w:t>
      </w:r>
    </w:p>
    <w:p>
      <w:pPr>
        <w:pStyle w:val="TextBody"/>
        <w:bidi w:val="0"/>
        <w:spacing w:lineRule="auto" w:line="288" w:before="120" w:after="283"/>
        <w:jc w:val="left"/>
        <w:rPr/>
      </w:pPr>
      <w:r>
        <w:rPr>
          <w:rFonts w:ascii="Arial;sans-serif" w:hAnsi="Arial;sans-serif"/>
          <w:b/>
          <w:color w:val="000000"/>
          <w:sz w:val="20"/>
        </w:rPr>
        <w:t>6.4</w:t>
      </w:r>
      <w:r>
        <w:rPr>
          <w:rFonts w:ascii="Arial;sans-serif" w:hAnsi="Arial;sans-serif"/>
          <w:b/>
          <w:color w:val="000000"/>
          <w:sz w:val="20"/>
        </w:rPr>
        <w:t xml:space="preserve">Duration of SARs and Options. </w:t>
      </w:r>
      <w:r>
        <w:rPr>
          <w:rFonts w:ascii="Arial;sans-serif" w:hAnsi="Arial;sans-serif"/>
          <w:b w:val="false"/>
          <w:color w:val="000000"/>
          <w:sz w:val="20"/>
        </w:rPr>
        <w:t>Each SAR and Option granted under this Article 6 shall expire at such time as the Committee shall determine at the time of grant; provided, however, that no SAR or Option shall be exercisable later than the tenth (10th) anniversary date of its grant.</w:t>
      </w:r>
    </w:p>
    <w:p>
      <w:pPr>
        <w:pStyle w:val="TextBody"/>
        <w:bidi w:val="0"/>
        <w:spacing w:lineRule="auto" w:line="288" w:before="120" w:after="283"/>
        <w:jc w:val="left"/>
        <w:rPr/>
      </w:pPr>
      <w:r>
        <w:rPr>
          <w:rFonts w:ascii="Arial;sans-serif" w:hAnsi="Arial;sans-serif"/>
          <w:b/>
          <w:color w:val="000000"/>
          <w:sz w:val="20"/>
        </w:rPr>
        <w:t>6.5</w:t>
      </w:r>
      <w:r>
        <w:rPr>
          <w:rFonts w:ascii="Arial;sans-serif" w:hAnsi="Arial;sans-serif"/>
          <w:b/>
          <w:color w:val="000000"/>
          <w:sz w:val="20"/>
        </w:rPr>
        <w:t xml:space="preserve">Exercise of SARs and Options. </w:t>
      </w:r>
      <w:r>
        <w:rPr>
          <w:rFonts w:ascii="Arial;sans-serif" w:hAnsi="Arial;sans-serif"/>
          <w:b w:val="false"/>
          <w:color w:val="000000"/>
          <w:sz w:val="20"/>
        </w:rPr>
        <w:t>SARs and Options granted under this Article 6 shall be exercisable at such times and be subject to such restrictions and conditions as the Committee shall in each instance approve, which need not be the same for each grant or for each Participant.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ability of a Participant to exercise a SAR or an Option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pStyle w:val="TextBody"/>
        <w:bidi w:val="0"/>
        <w:spacing w:lineRule="auto" w:line="288" w:before="120" w:after="283"/>
        <w:jc w:val="left"/>
        <w:rPr/>
      </w:pPr>
      <w:r>
        <w:rPr>
          <w:rFonts w:ascii="Arial;sans-serif" w:hAnsi="Arial;sans-serif"/>
          <w:b/>
          <w:color w:val="000000"/>
          <w:sz w:val="20"/>
        </w:rPr>
        <w:t>6.6</w:t>
      </w:r>
      <w:r>
        <w:rPr>
          <w:rFonts w:ascii="Arial;sans-serif" w:hAnsi="Arial;sans-serif"/>
          <w:b/>
          <w:color w:val="000000"/>
          <w:sz w:val="20"/>
        </w:rPr>
        <w:t>Notice and Payment</w:t>
      </w:r>
      <w:r>
        <w:rPr>
          <w:rFonts w:ascii="Arial;sans-serif" w:hAnsi="Arial;sans-serif"/>
          <w:b w:val="false"/>
          <w:color w:val="000000"/>
          <w:sz w:val="20"/>
        </w:rPr>
        <w:t xml:space="preserve">. SARs and Options granted under this Article 6 shall be exercised by the delivery of notice of exercise to the Company by such means as the Committee shall approve from time </w:t>
      </w:r>
      <w:r>
        <w:rPr>
          <w:rFonts w:ascii="Arial;sans-serif" w:hAnsi="Arial;sans-serif"/>
          <w:b/>
          <w:color w:val="000000"/>
          <w:sz w:val="20"/>
        </w:rPr>
        <w:t>to</w:t>
      </w:r>
      <w:r>
        <w:rPr>
          <w:color w:val="000000"/>
        </w:rPr>
        <w:t xml:space="preserve"> </w:t>
      </w:r>
      <w:r>
        <w:rPr>
          <w:rFonts w:ascii="Arial;sans-serif" w:hAnsi="Arial;sans-serif"/>
          <w:b w:val="false"/>
          <w:color w:val="000000"/>
          <w:sz w:val="20"/>
        </w:rPr>
        <w:t>time, setting forth the number of Shares with respect to which the SAR or Option is to be exercised, accompanied, in the case of Options, by full payment for the Shares.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 (d) any combination of (a), (b) and (c).</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150"/>
                <wp:effectExtent l="0" t="0" r="0" b="0"/>
                <wp:wrapNone/>
                <wp:docPr id="68" name="Frame6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a Participant shall dispose of Shares acquired through exercise of an ISO within either (i) two (2) years after the date the Option is granted or (ii) one (1) year after the date the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of such election within the time period prescribed by law.</w:t>
      </w:r>
    </w:p>
    <w:p>
      <w:pPr>
        <w:pStyle w:val="TextBody"/>
        <w:bidi w:val="0"/>
        <w:spacing w:lineRule="auto" w:line="288" w:before="120" w:after="283"/>
        <w:jc w:val="left"/>
        <w:rPr/>
      </w:pPr>
      <w:r>
        <w:rPr>
          <w:rFonts w:ascii="Arial;sans-serif" w:hAnsi="Arial;sans-serif"/>
          <w:b/>
          <w:color w:val="000000"/>
          <w:sz w:val="20"/>
        </w:rPr>
        <w:t>6.7</w:t>
      </w:r>
      <w:r>
        <w:rPr>
          <w:rFonts w:ascii="Arial;sans-serif" w:hAnsi="Arial;sans-serif"/>
          <w:b/>
          <w:color w:val="000000"/>
          <w:sz w:val="20"/>
        </w:rPr>
        <w:t xml:space="preserve">Restrictions on Share Transferability. </w:t>
      </w:r>
      <w:r>
        <w:rPr>
          <w:rFonts w:ascii="Arial;sans-serif" w:hAnsi="Arial;sans-serif"/>
          <w:b w:val="false"/>
          <w:color w:val="000000"/>
          <w:sz w:val="20"/>
        </w:rPr>
        <w:t>The Committee may impose such restrictions on any Shares acquired pursuant to the exercise of a SAR or 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pStyle w:val="TextBody"/>
        <w:bidi w:val="0"/>
        <w:spacing w:lineRule="auto" w:line="288" w:before="120" w:after="283"/>
        <w:jc w:val="left"/>
        <w:rPr/>
      </w:pPr>
      <w:r>
        <w:rPr>
          <w:rFonts w:ascii="Arial;sans-serif" w:hAnsi="Arial;sans-serif"/>
          <w:b/>
          <w:color w:val="000000"/>
          <w:sz w:val="20"/>
        </w:rPr>
        <w:t>6.8</w:t>
      </w:r>
      <w:r>
        <w:rPr>
          <w:rFonts w:ascii="Arial;sans-serif" w:hAnsi="Arial;sans-serif"/>
          <w:b/>
          <w:color w:val="000000"/>
          <w:sz w:val="20"/>
        </w:rPr>
        <w:t>Termination of Employment or Leave of Absence.</w:t>
      </w:r>
      <w:r>
        <w:rPr>
          <w:color w:val="000000"/>
        </w:rPr>
        <w:t xml:space="preserve"> </w:t>
      </w:r>
      <w:r>
        <w:rPr>
          <w:rFonts w:ascii="Arial;sans-serif" w:hAnsi="Arial;sans-serif"/>
          <w:b w:val="false"/>
          <w:color w:val="000000"/>
          <w:sz w:val="20"/>
        </w:rPr>
        <w:t>Except as otherwise approved by the Committee and set forth in the pertinent Award Agreement(s), in the event that a Participant who is an Employee, during his or her lifetime has been on leave of absence for a period of greater than twelve (12)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preceding paragraph, if the Committee subsequently determines, in its sole discretion, that an Approved Retiree has violated the provisions of any agreement to refrain from Engaging in Competition unless such provisions are unenforceable under applicable law, or has engaged in willful acts or omissions or acts or omissions of gross negligence that are or potentially are injurious to the Company’s operations, financial condition or business reputation, all SARs and Options shall be cancelled without consideration immediately.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anything in Article 6.5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but in no event after the expiration of the term for which the SAR or Option was granted.</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150"/>
                <wp:effectExtent l="0" t="0" r="0" b="0"/>
                <wp:wrapNone/>
                <wp:docPr id="69" name="Frame6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6.9 Nontransferability of SARs and Options.</w:t>
      </w:r>
      <w:r>
        <w:rPr>
          <w:color w:val="000000"/>
        </w:rPr>
        <w:t xml:space="preserve"> </w:t>
      </w:r>
      <w:r>
        <w:rPr>
          <w:rFonts w:ascii="Arial;sans-serif" w:hAnsi="Arial;sans-serif"/>
          <w:b w:val="false"/>
          <w:color w:val="000000"/>
          <w:sz w:val="20"/>
        </w:rPr>
        <w:t>No SAR, NQSO or ISO granted under the Plan may be sold, transferred, pledged, assigned, or otherwise alienated or hypothecated, other than by will or by the laws of descent and distribution. Further, all SARS, NQSOs and ISOs granted to a Participant under the Plan shall be exercisable during his or her lifetime only by such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Article 7    Restricted Stock</w:t>
      </w:r>
    </w:p>
    <w:p>
      <w:pPr>
        <w:pStyle w:val="TextBody"/>
        <w:bidi w:val="0"/>
        <w:spacing w:lineRule="auto" w:line="288" w:before="120" w:after="283"/>
        <w:jc w:val="left"/>
        <w:rPr/>
      </w:pPr>
      <w:r>
        <w:rPr>
          <w:rFonts w:ascii="Arial;sans-serif" w:hAnsi="Arial;sans-serif"/>
          <w:b/>
          <w:color w:val="000000"/>
          <w:sz w:val="20"/>
        </w:rPr>
        <w:t>7.1</w:t>
      </w:r>
      <w:r>
        <w:rPr>
          <w:rFonts w:ascii="Arial;sans-serif" w:hAnsi="Arial;sans-serif"/>
          <w:b/>
          <w:color w:val="000000"/>
          <w:sz w:val="20"/>
        </w:rPr>
        <w:t>Grant of Restricted Stock.</w:t>
      </w:r>
      <w:r>
        <w:rPr>
          <w:color w:val="000000"/>
        </w:rPr>
        <w:t xml:space="preserve"> </w:t>
      </w:r>
      <w:r>
        <w:rPr>
          <w:rFonts w:ascii="Arial;sans-serif" w:hAnsi="Arial;sans-serif"/>
          <w:b w:val="false"/>
          <w:color w:val="000000"/>
          <w:sz w:val="20"/>
        </w:rPr>
        <w:t>Subject to the terms and provisions of the Plan, the Committee, at any time and from time to time, may grant Shares of Restricted Stock to Employees in such amounts as the Committee shall determine.</w:t>
      </w:r>
    </w:p>
    <w:p>
      <w:pPr>
        <w:pStyle w:val="TextBody"/>
        <w:bidi w:val="0"/>
        <w:spacing w:lineRule="auto" w:line="288" w:before="120" w:after="283"/>
        <w:jc w:val="left"/>
        <w:rPr/>
      </w:pPr>
      <w:r>
        <w:rPr>
          <w:rFonts w:ascii="Arial;sans-serif" w:hAnsi="Arial;sans-serif"/>
          <w:b/>
          <w:color w:val="000000"/>
          <w:sz w:val="20"/>
        </w:rPr>
        <w:t>7.2</w:t>
      </w:r>
      <w:r>
        <w:rPr>
          <w:rFonts w:ascii="Arial;sans-serif" w:hAnsi="Arial;sans-serif"/>
          <w:b/>
          <w:color w:val="000000"/>
          <w:sz w:val="20"/>
        </w:rPr>
        <w:t xml:space="preserve">Restricted Stock Agreement. </w:t>
      </w:r>
      <w:r>
        <w:rPr>
          <w:rFonts w:ascii="Arial;sans-serif" w:hAnsi="Arial;sans-serif"/>
          <w:b w:val="false"/>
          <w:color w:val="000000"/>
          <w:sz w:val="20"/>
        </w:rPr>
        <w:t>Each Restricted Stock grant shall be evidenced by a Restricted Stock Award Agreement that shall specify the Period(s) of Restriction, the number of Shares of Restricted Stock granted, and such other provisions as the Committee shall determine.</w:t>
      </w:r>
    </w:p>
    <w:p>
      <w:pPr>
        <w:pStyle w:val="TextBody"/>
        <w:bidi w:val="0"/>
        <w:spacing w:lineRule="auto" w:line="288" w:before="120" w:after="283"/>
        <w:jc w:val="left"/>
        <w:rPr/>
      </w:pPr>
      <w:r>
        <w:rPr>
          <w:rFonts w:ascii="Arial;sans-serif" w:hAnsi="Arial;sans-serif"/>
          <w:b/>
          <w:color w:val="000000"/>
          <w:sz w:val="20"/>
        </w:rPr>
        <w:t>7.3</w:t>
      </w:r>
      <w:r>
        <w:rPr>
          <w:rFonts w:ascii="Arial;sans-serif" w:hAnsi="Arial;sans-serif"/>
          <w:b/>
          <w:color w:val="000000"/>
          <w:sz w:val="20"/>
        </w:rPr>
        <w:t xml:space="preserve">Transferability. </w:t>
      </w:r>
      <w:r>
        <w:rPr>
          <w:rFonts w:ascii="Arial;sans-serif" w:hAnsi="Arial;sans-serif"/>
          <w:b w:val="false"/>
          <w:color w:val="000000"/>
          <w:sz w:val="20"/>
        </w:rPr>
        <w:t>Except as provided in this Article 7, the Shares of Restricted Stock granted hereunder may not be sold, transferred, pledged, 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Award Agreement. All rights with respect to the Restricted Stock granted to a Participant under the Plan shall be available during his or her lifetime only to such Participant.</w:t>
      </w:r>
    </w:p>
    <w:p>
      <w:pPr>
        <w:pStyle w:val="TextBody"/>
        <w:bidi w:val="0"/>
        <w:spacing w:lineRule="auto" w:line="288" w:before="120" w:after="283"/>
        <w:jc w:val="left"/>
        <w:rPr/>
      </w:pPr>
      <w:r>
        <w:rPr>
          <w:rFonts w:ascii="Arial;sans-serif" w:hAnsi="Arial;sans-serif"/>
          <w:b/>
          <w:color w:val="000000"/>
          <w:sz w:val="20"/>
        </w:rPr>
        <w:t>7.4</w:t>
      </w:r>
      <w:r>
        <w:rPr>
          <w:rFonts w:ascii="Arial;sans-serif" w:hAnsi="Arial;sans-serif"/>
          <w:b/>
          <w:color w:val="000000"/>
          <w:sz w:val="20"/>
        </w:rPr>
        <w:t>Other Restrictions</w:t>
      </w:r>
      <w:r>
        <w:rPr>
          <w:rFonts w:ascii="Arial;sans-serif" w:hAnsi="Arial;sans-serif"/>
          <w:b w:val="false"/>
          <w:color w:val="000000"/>
          <w:sz w:val="20"/>
        </w:rPr>
        <w:t>. The Committee shall impose such conditions and/or restrictions on any Shares of Restricted Stock granted pursuant to the Plan 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shall retain the certificates representing Shares of Restricted Stock in the Company’s possession until such time as all conditions and/or restrictions applicable to such Shares have been satisfied.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Except as otherwise provided in this Article 7, Shares of Restricted Stock covered by each Restricted Stock grant made under the Plan shall become freely transferable by the Participant after the last day of the applicable Period of Restriction.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Distribution of Shares of Restricted Stock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pStyle w:val="TextBody"/>
        <w:bidi w:val="0"/>
        <w:spacing w:lineRule="auto" w:line="288" w:before="120" w:after="283"/>
        <w:jc w:val="left"/>
        <w:rPr/>
      </w:pPr>
      <w:r>
        <w:rPr>
          <w:rFonts w:ascii="Arial;sans-serif" w:hAnsi="Arial;sans-serif"/>
          <w:b/>
          <w:color w:val="000000"/>
          <w:sz w:val="20"/>
        </w:rPr>
        <w:t>7.5</w:t>
      </w:r>
      <w:r>
        <w:rPr>
          <w:rFonts w:ascii="Arial;sans-serif" w:hAnsi="Arial;sans-serif"/>
          <w:b/>
          <w:color w:val="000000"/>
          <w:sz w:val="20"/>
        </w:rPr>
        <w:t xml:space="preserve">Voting Rights. </w:t>
      </w:r>
      <w:r>
        <w:rPr>
          <w:rFonts w:ascii="Arial;sans-serif" w:hAnsi="Arial;sans-serif"/>
          <w:b w:val="false"/>
          <w:color w:val="000000"/>
          <w:sz w:val="20"/>
        </w:rPr>
        <w:t>During the Period of Restriction, Participants holding Shares of Restricted Stock granted hereunder may exercise full voting rights with respect to those Shares.</w:t>
      </w:r>
    </w:p>
    <w:p>
      <w:pPr>
        <w:pStyle w:val="TextBody"/>
        <w:bidi w:val="0"/>
        <w:spacing w:lineRule="auto" w:line="288" w:before="120" w:after="283"/>
        <w:jc w:val="left"/>
        <w:rPr/>
      </w:pPr>
      <w:r>
        <w:rPr>
          <w:rFonts w:ascii="Arial;sans-serif" w:hAnsi="Arial;sans-serif"/>
          <w:b/>
          <w:color w:val="000000"/>
          <w:sz w:val="20"/>
        </w:rPr>
        <w:t>7.6</w:t>
      </w:r>
      <w:r>
        <w:rPr>
          <w:rFonts w:ascii="Arial;sans-serif" w:hAnsi="Arial;sans-serif"/>
          <w:b/>
          <w:color w:val="000000"/>
          <w:sz w:val="20"/>
        </w:rPr>
        <w:t xml:space="preserve">Dividends and Other Distributions. </w:t>
      </w:r>
      <w:r>
        <w:rPr>
          <w:rFonts w:ascii="Arial;sans-serif" w:hAnsi="Arial;sans-serif"/>
          <w:b w:val="false"/>
          <w:color w:val="000000"/>
          <w:sz w:val="20"/>
        </w:rPr>
        <w:t>During the Period of Restriction, Participants holding Shares of Restricted Stock granted hereunder shall be credited with regular dividends paid with respect to the underlying Shares while they are so held. Such dividends shall be converted into additional shares of Restricted Stock or deferred until such Restricted Stock vests, upon such terms as the Committee establishes, but in no event will any dividends be paid on unvested Restricted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Committee may apply any additional restrictions to the dividends that the Committee deems appropriate. Without limiting the generality of the preceding sentence, if Restricted Stock is contingent on a performance condition, any dividends relating to such Restricted Stock may also be made subject to such performance conditions. </w:t>
      </w:r>
    </w:p>
    <w:p>
      <w:pPr>
        <w:pStyle w:val="TextBody"/>
        <w:bidi w:val="0"/>
        <w:spacing w:lineRule="auto" w:line="288" w:before="120" w:after="283"/>
        <w:jc w:val="left"/>
        <w:rPr/>
      </w:pPr>
      <w:r>
        <w:rPr>
          <w:rFonts w:ascii="Arial;sans-serif" w:hAnsi="Arial;sans-serif"/>
          <w:b/>
          <w:color w:val="000000"/>
          <w:sz w:val="20"/>
        </w:rPr>
        <w:t>7.7</w:t>
      </w:r>
      <w:r>
        <w:rPr>
          <w:rFonts w:ascii="Arial;sans-serif" w:hAnsi="Arial;sans-serif"/>
          <w:b/>
          <w:color w:val="000000"/>
          <w:sz w:val="20"/>
        </w:rPr>
        <w:t>Termination of Employment.</w:t>
      </w:r>
      <w:r>
        <w:rPr>
          <w:color w:val="000000"/>
        </w:rPr>
        <w:t xml:space="preserve"> </w:t>
      </w:r>
      <w:r>
        <w:rPr>
          <w:rFonts w:ascii="Arial;sans-serif" w:hAnsi="Arial;sans-serif"/>
          <w:b w:val="false"/>
          <w:color w:val="000000"/>
          <w:sz w:val="20"/>
        </w:rPr>
        <w:t xml:space="preserve">Except as otherwise approved by the Committee and set forth in the pertinent Award Agreement(s), (a) in the event that a Participant’s employment with the Company is terminated during the Period of Restriction because the Participant is an Approved Retiree, the Committee shall have complete discretion in determining the percentage, if any, of a Participant’s outstanding Shares of Restricted Stock as to which the Period of Restriction shall end; (b) in the event a Participant’s employment with the Company is terminated because of the Participant’s Disability or death during the Period of Restriction, the Period of Restriction shall end and, in the case of death, the Participant’s rights thereunder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84150"/>
                <wp:effectExtent l="0" t="0" r="0" b="0"/>
                <wp:wrapNone/>
                <wp:docPr id="70" name="Frame7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shall inure to the benefit of his or her Beneficiary; and (c) in the event that a Participant’s employment with the Company is terminated for any other reason during the Period of Restriction, such Participant’s outstanding Shares of Restricted Stock shall be forfeited to the Company without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8Restricted Stock Units</w:t>
      </w:r>
    </w:p>
    <w:p>
      <w:pPr>
        <w:pStyle w:val="TextBody"/>
        <w:bidi w:val="0"/>
        <w:spacing w:lineRule="auto" w:line="288" w:before="120" w:after="283"/>
        <w:jc w:val="left"/>
        <w:rPr/>
      </w:pPr>
      <w:r>
        <w:rPr>
          <w:rFonts w:ascii="Arial;sans-serif" w:hAnsi="Arial;sans-serif"/>
          <w:b/>
          <w:color w:val="000000"/>
          <w:sz w:val="20"/>
        </w:rPr>
        <w:t>8.1</w:t>
      </w:r>
      <w:r>
        <w:rPr>
          <w:rFonts w:ascii="Arial;sans-serif" w:hAnsi="Arial;sans-serif"/>
          <w:b/>
          <w:color w:val="000000"/>
          <w:sz w:val="20"/>
        </w:rPr>
        <w:t>RSUs.</w:t>
      </w:r>
      <w:r>
        <w:rPr>
          <w:color w:val="000000"/>
        </w:rPr>
        <w:t xml:space="preserve"> </w:t>
      </w:r>
      <w:r>
        <w:rPr>
          <w:rFonts w:ascii="Arial;sans-serif" w:hAnsi="Arial;sans-serif"/>
          <w:b w:val="false"/>
          <w:color w:val="000000"/>
          <w:sz w:val="20"/>
        </w:rPr>
        <w:t>Subject to the terms and conditions of the Plan, the Committee, at any time and from time to time, may grant Awards of RSUs to eligible Employees in such amounts as the Committee shall determine.</w:t>
      </w:r>
    </w:p>
    <w:p>
      <w:pPr>
        <w:pStyle w:val="TextBody"/>
        <w:bidi w:val="0"/>
        <w:spacing w:lineRule="auto" w:line="288" w:before="120" w:after="283"/>
        <w:jc w:val="left"/>
        <w:rPr/>
      </w:pPr>
      <w:r>
        <w:rPr>
          <w:rFonts w:ascii="Arial;sans-serif" w:hAnsi="Arial;sans-serif"/>
          <w:b/>
          <w:color w:val="000000"/>
          <w:sz w:val="20"/>
        </w:rPr>
        <w:t>8.2</w:t>
      </w:r>
      <w:r>
        <w:rPr>
          <w:rFonts w:ascii="Arial;sans-serif" w:hAnsi="Arial;sans-serif"/>
          <w:b/>
          <w:color w:val="000000"/>
          <w:sz w:val="20"/>
        </w:rPr>
        <w:t xml:space="preserve">RSU and Common Stock Rights. </w:t>
      </w:r>
      <w:r>
        <w:rPr>
          <w:rFonts w:ascii="Arial;sans-serif" w:hAnsi="Arial;sans-serif"/>
          <w:b w:val="false"/>
          <w:color w:val="000000"/>
          <w:sz w:val="20"/>
        </w:rPr>
        <w:t>RSUs shall represent an Employee’s unsecured right to receive from the Company the transfer of title to Shares 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 and the Committee shall provide whether such dividend equivalents will be converted into additional RSUs (subject to the same terms and conditions as the underlying RSUs to which they relate) or deferred until such RSUs vest, but in no event will any dividends equivalents be paid with respect to unvested RSUs.</w:t>
      </w:r>
    </w:p>
    <w:p>
      <w:pPr>
        <w:pStyle w:val="TextBody"/>
        <w:bidi w:val="0"/>
        <w:spacing w:lineRule="auto" w:line="288" w:before="120" w:after="283"/>
        <w:jc w:val="left"/>
        <w:rPr/>
      </w:pPr>
      <w:r>
        <w:rPr>
          <w:rFonts w:ascii="Arial;sans-serif" w:hAnsi="Arial;sans-serif"/>
          <w:b/>
          <w:color w:val="000000"/>
          <w:sz w:val="20"/>
        </w:rPr>
        <w:t>8.3</w:t>
      </w:r>
      <w:r>
        <w:rPr>
          <w:rFonts w:ascii="Arial;sans-serif" w:hAnsi="Arial;sans-serif"/>
          <w:b/>
          <w:color w:val="000000"/>
          <w:sz w:val="20"/>
        </w:rPr>
        <w:t>Vesting in RSUs.</w:t>
      </w:r>
      <w:r>
        <w:rPr>
          <w:color w:val="000000"/>
        </w:rPr>
        <w:t xml:space="preserve"> </w:t>
      </w:r>
      <w:r>
        <w:rPr>
          <w:rFonts w:ascii="Arial;sans-serif" w:hAnsi="Arial;sans-serif"/>
          <w:b w:val="false"/>
          <w:color w:val="000000"/>
          <w:sz w:val="20"/>
        </w:rPr>
        <w:t>RSU Awards shall become vested in accordance with the vesting provisions set forth in the pertinent Award Agreement.</w:t>
      </w:r>
    </w:p>
    <w:p>
      <w:pPr>
        <w:pStyle w:val="TextBody"/>
        <w:bidi w:val="0"/>
        <w:spacing w:lineRule="auto" w:line="288" w:before="120" w:after="283"/>
        <w:jc w:val="left"/>
        <w:rPr/>
      </w:pPr>
      <w:r>
        <w:rPr>
          <w:rFonts w:ascii="Arial;sans-serif" w:hAnsi="Arial;sans-serif"/>
          <w:b/>
          <w:color w:val="000000"/>
          <w:sz w:val="20"/>
        </w:rPr>
        <w:t>8.4</w:t>
      </w:r>
      <w:r>
        <w:rPr>
          <w:rFonts w:ascii="Arial;sans-serif" w:hAnsi="Arial;sans-serif"/>
          <w:b/>
          <w:color w:val="000000"/>
          <w:sz w:val="20"/>
        </w:rPr>
        <w:t>Conditions of Transfer.</w:t>
      </w:r>
      <w:r>
        <w:rPr>
          <w:color w:val="000000"/>
        </w:rPr>
        <w:t xml:space="preserve"> </w:t>
      </w:r>
      <w:r>
        <w:rPr>
          <w:rFonts w:ascii="Arial;sans-serif" w:hAnsi="Arial;sans-serif"/>
          <w:b w:val="false"/>
          <w:color w:val="000000"/>
          <w:sz w:val="20"/>
        </w:rPr>
        <w:t>A transfer of Shares in accordance with Article 8.2 above shall be conditioned upon the Employee meeting both of the following conditions during the entire period from the grant date through the vesting date(s) relating to such RSUs: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The Employee must continue to be an active employee of the Company or one of its Subsidiaries;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the Employee fails to meet the requirements of Article 8.4(a) or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pStyle w:val="TextBody"/>
        <w:bidi w:val="0"/>
        <w:spacing w:lineRule="auto" w:line="288" w:before="120" w:after="283"/>
        <w:jc w:val="left"/>
        <w:rPr/>
      </w:pPr>
      <w:r>
        <w:rPr>
          <w:rFonts w:ascii="Arial;sans-serif" w:hAnsi="Arial;sans-serif"/>
          <w:b/>
          <w:color w:val="000000"/>
          <w:sz w:val="20"/>
        </w:rPr>
        <w:t>8.5</w:t>
      </w:r>
      <w:r>
        <w:rPr>
          <w:rFonts w:ascii="Arial;sans-serif" w:hAnsi="Arial;sans-serif"/>
          <w:b/>
          <w:color w:val="000000"/>
          <w:sz w:val="20"/>
        </w:rPr>
        <w:t xml:space="preserve">Effect of Termination of Employment. </w:t>
      </w:r>
      <w:r>
        <w:rPr>
          <w:rFonts w:ascii="Arial;sans-serif" w:hAnsi="Arial;sans-serif"/>
          <w:b w:val="false"/>
          <w:color w:val="000000"/>
          <w:sz w:val="20"/>
        </w:rPr>
        <w:t>Notwithstanding contrary provisions of this Article 8, except as otherwise approved by the Committee and set forth in the pertinent Award Agreement(s):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executors, administrators, personal representatives and assigns.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 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 (1)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4150"/>
                <wp:effectExtent l="0" t="0" r="0" b="0"/>
                <wp:wrapNone/>
                <wp:docPr id="71" name="Frame7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00000"/>
          <w:sz w:val="20"/>
        </w:rPr>
        <w:t>year prior to the Employee’s termination equal to such number of shares multiplied by the ratio of (A) the number of days after the termination date and before the first (1</w:t>
      </w:r>
      <w:r>
        <w:rPr>
          <w:rFonts w:ascii="Arial;sans-serif" w:hAnsi="Arial;sans-serif"/>
          <w:b w:val="false"/>
          <w:color w:val="000000"/>
          <w:sz w:val="13"/>
        </w:rPr>
        <w:t>st</w:t>
      </w:r>
      <w:r>
        <w:rPr>
          <w:rFonts w:ascii="Arial;sans-serif" w:hAnsi="Arial;sans-serif"/>
          <w:b w:val="false"/>
          <w:color w:val="000000"/>
          <w:sz w:val="20"/>
        </w:rPr>
        <w:t>) anniversary of the grant date, over (B) the number of days on and after the grant date and before the first (1</w:t>
      </w:r>
      <w:r>
        <w:rPr>
          <w:rFonts w:ascii="Arial;sans-serif" w:hAnsi="Arial;sans-serif"/>
          <w:b w:val="false"/>
          <w:color w:val="000000"/>
          <w:sz w:val="13"/>
        </w:rPr>
        <w:t>st</w:t>
      </w:r>
      <w:r>
        <w:rPr>
          <w:rFonts w:ascii="Arial;sans-serif" w:hAnsi="Arial;sans-serif"/>
          <w:b w:val="false"/>
          <w:color w:val="000000"/>
          <w:sz w:val="20"/>
        </w:rPr>
        <w:t>) anniversary of the grant 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9Other Share-Based Awards</w:t>
      </w:r>
    </w:p>
    <w:p>
      <w:pPr>
        <w:pStyle w:val="TextBody"/>
        <w:bidi w:val="0"/>
        <w:spacing w:lineRule="auto" w:line="288" w:before="120" w:after="283"/>
        <w:jc w:val="left"/>
        <w:rPr/>
      </w:pPr>
      <w:r>
        <w:rPr>
          <w:rFonts w:ascii="Arial;sans-serif" w:hAnsi="Arial;sans-serif"/>
          <w:b/>
          <w:color w:val="000000"/>
          <w:sz w:val="20"/>
        </w:rPr>
        <w:t>9.1</w:t>
      </w:r>
      <w:r>
        <w:rPr>
          <w:rFonts w:ascii="Arial;sans-serif" w:hAnsi="Arial;sans-serif"/>
          <w:b/>
          <w:color w:val="000000"/>
          <w:sz w:val="20"/>
        </w:rPr>
        <w:t xml:space="preserve">Grant of Other Share-Based Awards. </w:t>
      </w:r>
      <w:r>
        <w:rPr>
          <w:rFonts w:ascii="Arial;sans-serif" w:hAnsi="Arial;sans-serif"/>
          <w:b w:val="false"/>
          <w:color w:val="000000"/>
          <w:sz w:val="20"/>
        </w:rPr>
        <w:t>The Committee may grant Other Share-Based Awards to Participants in such number, and upon such terms, and at any time and from time to time, as shall be determined by the Committee.</w:t>
      </w:r>
    </w:p>
    <w:p>
      <w:pPr>
        <w:pStyle w:val="TextBody"/>
        <w:bidi w:val="0"/>
        <w:spacing w:lineRule="auto" w:line="288" w:before="120" w:after="283"/>
        <w:jc w:val="left"/>
        <w:rPr/>
      </w:pPr>
      <w:r>
        <w:rPr>
          <w:rFonts w:ascii="Arial;sans-serif" w:hAnsi="Arial;sans-serif"/>
          <w:b/>
          <w:color w:val="000000"/>
          <w:sz w:val="20"/>
        </w:rPr>
        <w:t>9.2</w:t>
      </w:r>
      <w:r>
        <w:rPr>
          <w:rFonts w:ascii="Arial;sans-serif" w:hAnsi="Arial;sans-serif"/>
          <w:b/>
          <w:color w:val="000000"/>
          <w:sz w:val="20"/>
        </w:rPr>
        <w:t xml:space="preserve">Terms of Other Share-Based Awards. </w:t>
      </w:r>
      <w:r>
        <w:rPr>
          <w:rFonts w:ascii="Arial;sans-serif" w:hAnsi="Arial;sans-serif"/>
          <w:b w:val="false"/>
          <w:color w:val="000000"/>
          <w:sz w:val="20"/>
        </w:rPr>
        <w:t xml:space="preserve">Other Share-Based Awards shall contain such terms and conditions as the Committee may from time to time specify and may be denominated in cash, in Shares, in Share-equivalent units, in Share appreciation units, in securities or debentures convertible into Shares or in a combination of the foregoing and may be paid in cash or in Shares, all as determined by the Committee, provided that any Other Share-Based Award that represent the right to receive value in the amount of the increase in the Fair Market Value of a Share rather than the full value of a Share shall have an exercise or grant price no lower than the Fair Market Value on the date of grant. Other Share-Based Awards may be issued alone or in tandem with other Awards granted to Employees. No dividend equivalent units may granted on an Other Shared-Based Award that is not a full-value award, and any dividends or dividend equivalents granted with respect to an Other Share-Based Award that is a full-value award shall vest and be paid only if and to the same extent as the underlying Other Share-Based Award is vested and paid. </w:t>
      </w:r>
    </w:p>
    <w:p>
      <w:pPr>
        <w:pStyle w:val="TextBody"/>
        <w:bidi w:val="0"/>
        <w:spacing w:lineRule="auto" w:line="288" w:before="120" w:after="283"/>
        <w:jc w:val="left"/>
        <w:rPr/>
      </w:pPr>
      <w:r>
        <w:rPr>
          <w:rFonts w:ascii="Arial;sans-serif" w:hAnsi="Arial;sans-serif"/>
          <w:b/>
          <w:color w:val="000000"/>
          <w:sz w:val="20"/>
        </w:rPr>
        <w:t>9.3</w:t>
      </w:r>
      <w:r>
        <w:rPr>
          <w:rFonts w:ascii="Arial;sans-serif" w:hAnsi="Arial;sans-serif"/>
          <w:b/>
          <w:color w:val="000000"/>
          <w:sz w:val="20"/>
        </w:rPr>
        <w:t>Other Share-Based Award Agreement.</w:t>
      </w:r>
      <w:r>
        <w:rPr>
          <w:color w:val="000000"/>
        </w:rPr>
        <w:t xml:space="preserve"> </w:t>
      </w:r>
      <w:r>
        <w:rPr>
          <w:rFonts w:ascii="Arial;sans-serif" w:hAnsi="Arial;sans-serif"/>
          <w:b w:val="false"/>
          <w:color w:val="000000"/>
          <w:sz w:val="20"/>
        </w:rPr>
        <w:t>Each Other Share-Based Award shall be evidenced by an Award Agreement that shall specify such terms and conditions as the Committee shall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pPr>
      <w:r>
        <w:rPr>
          <w:rFonts w:ascii="Arial;sans-serif" w:hAnsi="Arial;sans-serif"/>
          <w:b/>
          <w:color w:val="000000"/>
          <w:sz w:val="24"/>
        </w:rPr>
        <w:t>Article 10</w:t>
      </w:r>
      <w:r>
        <w:rPr>
          <w:rFonts w:ascii="Arial;sans-serif" w:hAnsi="Arial;sans-serif"/>
          <w:b/>
          <w:color w:val="000000"/>
          <w:sz w:val="22"/>
        </w:rPr>
        <w:t>Directors’ Share Awards, Fee Deferral Elections, and Director SARs and Options</w:t>
      </w:r>
    </w:p>
    <w:p>
      <w:pPr>
        <w:pStyle w:val="TextBody"/>
        <w:bidi w:val="0"/>
        <w:spacing w:lineRule="auto" w:line="288" w:before="120" w:after="283"/>
        <w:jc w:val="left"/>
        <w:rPr/>
      </w:pPr>
      <w:r>
        <w:rPr>
          <w:rFonts w:ascii="Arial;sans-serif" w:hAnsi="Arial;sans-serif"/>
          <w:b/>
          <w:color w:val="000000"/>
          <w:sz w:val="20"/>
        </w:rPr>
        <w:t>10.1</w:t>
      </w:r>
      <w:r>
        <w:rPr>
          <w:rFonts w:ascii="Arial;sans-serif" w:hAnsi="Arial;sans-serif"/>
          <w:b/>
          <w:color w:val="000000"/>
          <w:sz w:val="20"/>
        </w:rPr>
        <w:t>Eligibility.</w:t>
      </w:r>
      <w:r>
        <w:rPr>
          <w:color w:val="000000"/>
        </w:rPr>
        <w:t xml:space="preserve"> </w:t>
      </w:r>
      <w:r>
        <w:rPr>
          <w:rFonts w:ascii="Arial;sans-serif" w:hAnsi="Arial;sans-serif"/>
          <w:b w:val="false"/>
          <w:color w:val="000000"/>
          <w:sz w:val="20"/>
        </w:rPr>
        <w:t>Only Non-Employee Directors shall be eligible to receive Non-Employee Director Share Awards and Director SARs and Options and to make Fee Deferral Elections. All such awards are subject to prior approval by the Committee. The aggregate value of the cash fees paid, along with the grant date value of any Awards granted hereunder, to a Non-Employee Director during any fiscal year of the Company shall not exceed $750,000.</w:t>
      </w:r>
    </w:p>
    <w:p>
      <w:pPr>
        <w:pStyle w:val="TextBody"/>
        <w:bidi w:val="0"/>
        <w:spacing w:lineRule="auto" w:line="288" w:before="120" w:after="283"/>
        <w:jc w:val="left"/>
        <w:rPr/>
      </w:pPr>
      <w:r>
        <w:rPr>
          <w:rFonts w:ascii="Arial;sans-serif" w:hAnsi="Arial;sans-serif"/>
          <w:b/>
          <w:color w:val="000000"/>
          <w:sz w:val="20"/>
        </w:rPr>
        <w:t>10.2</w:t>
      </w:r>
      <w:r>
        <w:rPr>
          <w:rFonts w:ascii="Arial;sans-serif" w:hAnsi="Arial;sans-serif"/>
          <w:b/>
          <w:color w:val="000000"/>
          <w:sz w:val="20"/>
        </w:rPr>
        <w:t>Non-Employee Director Share Awards.</w:t>
      </w:r>
      <w:r>
        <w:rPr>
          <w:color w:val="000000"/>
        </w:rPr>
        <w:t xml:space="preserve"> </w:t>
      </w:r>
      <w:r>
        <w:rPr>
          <w:rFonts w:ascii="Arial;sans-serif" w:hAnsi="Arial;sans-serif"/>
          <w:b w:val="false"/>
          <w:color w:val="000000"/>
          <w:sz w:val="20"/>
        </w:rPr>
        <w:t>On the first (1</w:t>
      </w:r>
      <w:r>
        <w:rPr>
          <w:rFonts w:ascii="Arial;sans-serif" w:hAnsi="Arial;sans-serif"/>
          <w:b w:val="false"/>
          <w:color w:val="000000"/>
          <w:sz w:val="13"/>
        </w:rPr>
        <w:t>st</w:t>
      </w:r>
      <w:r>
        <w:rPr>
          <w:rFonts w:ascii="Arial;sans-serif" w:hAnsi="Arial;sans-serif"/>
          <w:b w:val="false"/>
          <w:color w:val="000000"/>
          <w:sz w:val="20"/>
        </w:rPr>
        <w:t>) full trading day immediately following each Annual Meeting, each Non- Employee Director 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pStyle w:val="TextBody"/>
        <w:bidi w:val="0"/>
        <w:spacing w:lineRule="auto" w:line="288" w:before="120" w:after="283"/>
        <w:jc w:val="left"/>
        <w:rPr/>
      </w:pPr>
      <w:r>
        <w:rPr>
          <w:rFonts w:ascii="Arial;sans-serif" w:hAnsi="Arial;sans-serif"/>
          <w:b/>
          <w:color w:val="000000"/>
          <w:sz w:val="20"/>
        </w:rPr>
        <w:t>10.3</w:t>
      </w:r>
      <w:r>
        <w:rPr>
          <w:rFonts w:ascii="Arial;sans-serif" w:hAnsi="Arial;sans-serif"/>
          <w:b/>
          <w:color w:val="000000"/>
          <w:sz w:val="20"/>
        </w:rPr>
        <w:t>Fee Deferral Elections.</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Elections to Defer Payment of Fees.</w:t>
      </w:r>
      <w:r>
        <w:rPr>
          <w:color w:val="000000"/>
        </w:rPr>
        <w:t xml:space="preserve"> </w:t>
      </w:r>
      <w:r>
        <w:rPr>
          <w:rFonts w:ascii="Arial;sans-serif" w:hAnsi="Arial;sans-serif"/>
          <w:b w:val="false"/>
          <w:color w:val="000000"/>
          <w:sz w:val="20"/>
        </w:rPr>
        <w:t>Payment of all or any part of any Fees payable to a Non-Employee Director may be deferred by election of the 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No election may be made under this Article 10.3(a) with respect to Fees for which an election is made under Article 10.5.</w: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Crediting Stock Units to Accounts</w:t>
      </w:r>
      <w:r>
        <w:rPr>
          <w:rFonts w:ascii="Arial;sans-serif" w:hAnsi="Arial;sans-serif"/>
          <w:b w:val="false"/>
          <w:color w:val="000000"/>
          <w:sz w:val="20"/>
        </w:rPr>
        <w:t>. Amounts deferred pursuant to a Fee Deferral Election shall be credited as of the date of the deferral to a Stock 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and, unless the Committee or the Board determines otherwise, rounded down to the nearest whole Stock Unit with the value of any fractional Stock Unit paid to the Director in cash.</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84150"/>
                <wp:effectExtent l="0" t="0" r="0" b="0"/>
                <wp:wrapNone/>
                <wp:docPr id="72" name="Frame7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(c)</w:t>
      </w:r>
      <w:r>
        <w:rPr>
          <w:rFonts w:ascii="Arial;sans-serif" w:hAnsi="Arial;sans-serif"/>
          <w:b/>
          <w:i/>
          <w:color w:val="000000"/>
          <w:sz w:val="20"/>
        </w:rPr>
        <w:t>Fully Vested Stock Units.</w:t>
      </w:r>
      <w:r>
        <w:rPr>
          <w:color w:val="000000"/>
        </w:rPr>
        <w:t xml:space="preserve"> </w:t>
      </w:r>
      <w:r>
        <w:rPr>
          <w:rFonts w:ascii="Arial;sans-serif" w:hAnsi="Arial;sans-serif"/>
          <w:b w:val="false"/>
          <w:color w:val="000000"/>
          <w:sz w:val="20"/>
        </w:rPr>
        <w:t>All Stock Units credited to a Non-Employee Director’s Stock Unit Account pursuant to this Article 10.3 shall be at all times fully vested and nonforfeitable.</w:t>
      </w:r>
    </w:p>
    <w:p>
      <w:pPr>
        <w:pStyle w:val="TextBody"/>
        <w:bidi w:val="0"/>
        <w:spacing w:lineRule="auto" w:line="288" w:before="120" w:after="283"/>
        <w:jc w:val="left"/>
        <w:rPr/>
      </w:pPr>
      <w:r>
        <w:rPr>
          <w:rFonts w:ascii="Arial;sans-serif" w:hAnsi="Arial;sans-serif"/>
          <w:b/>
          <w:color w:val="000000"/>
          <w:sz w:val="20"/>
        </w:rPr>
        <w:t>(d)</w:t>
      </w:r>
      <w:r>
        <w:rPr>
          <w:rFonts w:ascii="Arial;sans-serif" w:hAnsi="Arial;sans-serif"/>
          <w:b/>
          <w:i/>
          <w:color w:val="000000"/>
          <w:sz w:val="20"/>
        </w:rPr>
        <w:t>Credit of Dividend Equivalents.</w:t>
      </w:r>
      <w:r>
        <w:rPr>
          <w:color w:val="000000"/>
        </w:rPr>
        <w:t xml:space="preserve"> </w:t>
      </w:r>
      <w:r>
        <w:rPr>
          <w:rFonts w:ascii="Arial;sans-serif" w:hAnsi="Arial;sans-serif"/>
          <w:b w:val="false"/>
          <w:color w:val="000000"/>
          <w:sz w:val="20"/>
        </w:rPr>
        <w:t>Each Stock Unit credited to a Director’s Stock Unit Account includes one dividend equivalent unit, which represents the Non-Employee Director’s right to receive a cash payment equal to the dividend paid on one Share. Such cash payment will be paid to the Non-Employee Director within 30 days of the dividend payment date. Notwithstanding the foregoing, the Committee may either require or allow a Non-Employee Director to elect (at the same time elections are made under paragraph (a) of this Article 10.3) to have the cash dividend equivalent unit payments reinvested in additional Stock Units. In such case, the amount of Stock Units credited to the Non-Employee Director’s Stock Unit Account shall equal the quotient of (i) the amount of dividend equivalent payments that are to be reinvested in Stock Units, divided by (ii) the Fair Market Value of a Share on such dividend payment date, and, unless the Committee or the Board determines otherwise, rounded down to the nearest whole Stock Unit with the value of any fractional Stock Unit paid to the Director in cash within 30 days of the dividend payment date. If dividends are paid on Shares in a form other than cash, then the Committee or the Board shall determine, in its discretion, whether to make payment (or credit the Stock Unit Account, as applicable) in-kind or notionally convert the dividend to cash.</w:t>
      </w:r>
    </w:p>
    <w:p>
      <w:pPr>
        <w:pStyle w:val="TextBody"/>
        <w:bidi w:val="0"/>
        <w:spacing w:lineRule="auto" w:line="288" w:before="120" w:after="283"/>
        <w:jc w:val="left"/>
        <w:rPr/>
      </w:pPr>
      <w:r>
        <w:rPr>
          <w:rFonts w:ascii="Arial;sans-serif" w:hAnsi="Arial;sans-serif"/>
          <w:b/>
          <w:color w:val="000000"/>
          <w:sz w:val="20"/>
        </w:rPr>
        <w:t>(e)</w:t>
      </w:r>
      <w:r>
        <w:rPr>
          <w:rFonts w:ascii="Arial;sans-serif" w:hAnsi="Arial;sans-serif"/>
          <w:b/>
          <w:i/>
          <w:color w:val="000000"/>
          <w:sz w:val="20"/>
        </w:rPr>
        <w:t>Payment of Stock Units.</w:t>
      </w:r>
      <w:r>
        <w:rPr>
          <w:color w:val="000000"/>
        </w:rPr>
        <w:t xml:space="preserve"> </w:t>
      </w:r>
      <w:r>
        <w:rPr>
          <w:rFonts w:ascii="Arial;sans-serif" w:hAnsi="Arial;sans-serif"/>
          <w:b w:val="false"/>
          <w:color w:val="000000"/>
          <w:sz w:val="20"/>
        </w:rPr>
        <w:t>Upon Termination of Service or at such other times as determined by the Committee and irrevocably elected in writing by the Non-Employee Director at the time of the Non-Employee Director’s election to defer Fees under Article 10.3(a), the Stock Units credited to 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10.3(a), pursuant to rules established from time to time by the Committee.</w:t>
      </w:r>
    </w:p>
    <w:p>
      <w:pPr>
        <w:pStyle w:val="TextBody"/>
        <w:bidi w:val="0"/>
        <w:spacing w:lineRule="auto" w:line="288" w:before="120" w:after="283"/>
        <w:jc w:val="left"/>
        <w:rPr/>
      </w:pPr>
      <w:r>
        <w:rPr>
          <w:rFonts w:ascii="Arial;sans-serif" w:hAnsi="Arial;sans-serif"/>
          <w:b/>
          <w:color w:val="000000"/>
          <w:sz w:val="20"/>
        </w:rPr>
        <w:t>10.4</w:t>
      </w:r>
      <w:r>
        <w:rPr>
          <w:rFonts w:ascii="Arial;sans-serif" w:hAnsi="Arial;sans-serif"/>
          <w:b/>
          <w:color w:val="000000"/>
          <w:sz w:val="20"/>
        </w:rPr>
        <w:t>Unfunded Status.</w:t>
      </w:r>
      <w:r>
        <w:rPr>
          <w:color w:val="000000"/>
        </w:rPr>
        <w:t xml:space="preserve"> </w:t>
      </w:r>
      <w:r>
        <w:rPr>
          <w:rFonts w:ascii="Arial;sans-serif" w:hAnsi="Arial;sans-serif"/>
          <w:b w:val="false"/>
          <w:color w:val="000000"/>
          <w:sz w:val="20"/>
        </w:rPr>
        <w:t>The interest of each Non-Employee Director in any Fees deferred under this Article 10 (and any Stock Units or Stock Unit 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pStyle w:val="TextBody"/>
        <w:bidi w:val="0"/>
        <w:spacing w:lineRule="auto" w:line="288" w:before="120" w:after="283"/>
        <w:jc w:val="left"/>
        <w:rPr/>
      </w:pPr>
      <w:r>
        <w:rPr>
          <w:rFonts w:ascii="Arial;sans-serif" w:hAnsi="Arial;sans-serif"/>
          <w:b/>
          <w:color w:val="000000"/>
          <w:sz w:val="20"/>
        </w:rPr>
        <w:t>10.5</w:t>
      </w:r>
      <w:r>
        <w:rPr>
          <w:rFonts w:ascii="Arial;sans-serif" w:hAnsi="Arial;sans-serif"/>
          <w:b/>
          <w:color w:val="000000"/>
          <w:sz w:val="20"/>
        </w:rPr>
        <w:t>Director SARs and Options.</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Elections to Receive Payment of Fees in the Form of SARs or Options.</w:t>
      </w:r>
      <w:r>
        <w:rPr>
          <w:color w:val="000000"/>
        </w:rPr>
        <w:t xml:space="preserve"> </w:t>
      </w:r>
      <w:r>
        <w:rPr>
          <w:rFonts w:ascii="Arial;sans-serif" w:hAnsi="Arial;sans-serif"/>
          <w:b w:val="false"/>
          <w:color w:val="000000"/>
          <w:sz w:val="20"/>
        </w:rPr>
        <w:t>A Non-Employee Director may elect to receive payment of all or any part of 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10.5 may not be made with respect to Fees deferred under Article 10.3.</w: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 xml:space="preserve">Grant of Director SARs and Options. </w:t>
      </w:r>
      <w:r>
        <w:rPr>
          <w:rFonts w:ascii="Arial;sans-serif" w:hAnsi="Arial;sans-serif"/>
          <w:b w:val="false"/>
          <w:color w:val="000000"/>
          <w:sz w:val="20"/>
        </w:rPr>
        <w:t>On the first (1</w:t>
      </w:r>
      <w:r>
        <w:rPr>
          <w:rFonts w:ascii="Arial;sans-serif" w:hAnsi="Arial;sans-serif"/>
          <w:b w:val="false"/>
          <w:color w:val="000000"/>
          <w:sz w:val="13"/>
        </w:rPr>
        <w:t>st</w:t>
      </w:r>
      <w:r>
        <w:rPr>
          <w:rFonts w:ascii="Arial;sans-serif" w:hAnsi="Arial;sans-serif"/>
          <w:b w:val="false"/>
          <w:color w:val="000000"/>
          <w:sz w:val="20"/>
        </w:rPr>
        <w:t>) full trading day immediately following each Annual Meeting, each Non- Employee Director who has filed an election under Article 10.5(a)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sole discretion, at a meeting held prior to the Annual Meeting, based on a Black-Scholes option pricing model or other valuation model that the Committee determines to be appropriate in its sole discretion.</w:t>
      </w:r>
    </w:p>
    <w:p>
      <w:pPr>
        <w:pStyle w:val="TextBody"/>
        <w:bidi w:val="0"/>
        <w:spacing w:lineRule="auto" w:line="288" w:before="120" w:after="283"/>
        <w:jc w:val="left"/>
        <w:rPr/>
      </w:pPr>
      <w:r>
        <w:rPr>
          <w:rFonts w:ascii="Arial;sans-serif" w:hAnsi="Arial;sans-serif"/>
          <w:b/>
          <w:color w:val="000000"/>
          <w:sz w:val="20"/>
        </w:rPr>
        <w:t>(c)</w:t>
      </w:r>
      <w:r>
        <w:rPr>
          <w:rFonts w:ascii="Arial;sans-serif" w:hAnsi="Arial;sans-serif"/>
          <w:b/>
          <w:i/>
          <w:color w:val="000000"/>
          <w:sz w:val="20"/>
        </w:rPr>
        <w:t>Terms of Director SARs and Options.</w:t>
      </w:r>
      <w:r>
        <w:rPr>
          <w:color w:val="000000"/>
        </w:rPr>
        <w:t xml:space="preserve"> </w:t>
      </w:r>
      <w:r>
        <w:rPr>
          <w:rFonts w:ascii="Arial;sans-serif" w:hAnsi="Arial;sans-serif"/>
          <w:b w:val="false"/>
          <w:color w:val="000000"/>
          <w:sz w:val="20"/>
        </w:rPr>
        <w:t>Each Director SAR and Option shall be evidenced by an Award Agreement that shall specify the Exercise Price, the 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 (iii) expire on the tenth (10</w:t>
      </w:r>
      <w:r>
        <w:rPr>
          <w:rFonts w:ascii="Arial;sans-serif" w:hAnsi="Arial;sans-serif"/>
          <w:b w:val="false"/>
          <w:color w:val="000000"/>
          <w:sz w:val="13"/>
        </w:rPr>
        <w:t>th</w:t>
      </w:r>
      <w:r>
        <w:rPr>
          <w:rFonts w:ascii="Arial;sans-serif" w:hAnsi="Arial;sans-serif"/>
          <w:b w:val="false"/>
          <w:color w:val="000000"/>
          <w:sz w:val="20"/>
        </w:rPr>
        <w:t>) anniversary of the date of its grant; and (iv) be nontransferable unless otherwise specified by the Committee. No dividends or dividend equivalent rights may be granted with respect to SARs or Options.</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84150"/>
                <wp:effectExtent l="0" t="0" r="0" b="0"/>
                <wp:wrapNone/>
                <wp:docPr id="73" name="Frame7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(d)</w:t>
      </w:r>
      <w:r>
        <w:rPr>
          <w:rFonts w:ascii="Arial;sans-serif" w:hAnsi="Arial;sans-serif"/>
          <w:b/>
          <w:i/>
          <w:color w:val="000000"/>
          <w:sz w:val="20"/>
        </w:rPr>
        <w:t>Payment.</w:t>
      </w:r>
      <w:r>
        <w:rPr>
          <w:color w:val="000000"/>
        </w:rPr>
        <w:t xml:space="preserve"> </w:t>
      </w:r>
      <w:r>
        <w:rPr>
          <w:rFonts w:ascii="Arial;sans-serif" w:hAnsi="Arial;sans-serif"/>
          <w:b w:val="false"/>
          <w:color w:val="000000"/>
          <w:sz w:val="20"/>
        </w:rPr>
        <w:t>Director SARs and Options granted under this Article 10 shall be exercised by the delivery of notice of exercise to the Company in such 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pStyle w:val="TextBody"/>
        <w:bidi w:val="0"/>
        <w:spacing w:lineRule="auto" w:line="288" w:before="120" w:after="283"/>
        <w:jc w:val="left"/>
        <w:rPr/>
      </w:pPr>
      <w:r>
        <w:rPr>
          <w:rFonts w:ascii="Arial;sans-serif" w:hAnsi="Arial;sans-serif"/>
          <w:b/>
          <w:color w:val="000000"/>
          <w:sz w:val="20"/>
        </w:rPr>
        <w:t>10.6</w:t>
      </w:r>
      <w:r>
        <w:rPr>
          <w:rFonts w:ascii="Arial;sans-serif" w:hAnsi="Arial;sans-serif"/>
          <w:b/>
          <w:color w:val="000000"/>
          <w:sz w:val="20"/>
        </w:rPr>
        <w:t>Dividends and Dividend Equivalents</w:t>
      </w:r>
      <w:r>
        <w:rPr>
          <w:rFonts w:ascii="Arial;sans-serif" w:hAnsi="Arial;sans-serif"/>
          <w:b w:val="false"/>
          <w:i/>
          <w:color w:val="000000"/>
          <w:sz w:val="20"/>
        </w:rPr>
        <w:t xml:space="preserve">. </w:t>
      </w:r>
      <w:r>
        <w:rPr>
          <w:rFonts w:ascii="Arial;sans-serif" w:hAnsi="Arial;sans-serif"/>
          <w:b w:val="false"/>
          <w:color w:val="000000"/>
          <w:sz w:val="20"/>
        </w:rPr>
        <w:t>No dividend or dividend equivalents will be paid with respect to any unvested Non-Employee Director Awards under this Article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11Beneficiary Designation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12Change in Control</w:t>
      </w:r>
    </w:p>
    <w:p>
      <w:pPr>
        <w:pStyle w:val="TextBody"/>
        <w:bidi w:val="0"/>
        <w:spacing w:lineRule="auto" w:line="288" w:before="120" w:after="283"/>
        <w:jc w:val="left"/>
        <w:rPr/>
      </w:pPr>
      <w:r>
        <w:rPr>
          <w:rFonts w:ascii="Arial;sans-serif" w:hAnsi="Arial;sans-serif"/>
          <w:b/>
          <w:color w:val="000000"/>
          <w:sz w:val="20"/>
        </w:rPr>
        <w:t>12.1</w:t>
      </w:r>
      <w:r>
        <w:rPr>
          <w:rFonts w:ascii="Arial;sans-serif" w:hAnsi="Arial;sans-serif"/>
          <w:b/>
          <w:color w:val="000000"/>
          <w:sz w:val="20"/>
        </w:rPr>
        <w:t xml:space="preserve">Treatment of Awards. </w:t>
      </w:r>
      <w:r>
        <w:rPr>
          <w:rFonts w:ascii="Arial;sans-serif" w:hAnsi="Arial;sans-serif"/>
          <w:b w:val="false"/>
          <w:color w:val="000000"/>
          <w:sz w:val="20"/>
        </w:rPr>
        <w:t>If an</w:t>
      </w:r>
      <w:r>
        <w:rPr>
          <w:color w:val="000000"/>
        </w:rPr>
        <w:t xml:space="preserve"> </w:t>
      </w:r>
      <w:r>
        <w:rPr>
          <w:rFonts w:ascii="Arial;sans-serif" w:hAnsi="Arial;sans-serif"/>
          <w:b w:val="false"/>
          <w:color w:val="000000"/>
          <w:sz w:val="20"/>
        </w:rPr>
        <w:t>Award Agreement specifies the treatment of an Award in connection with a Change in Control, then the terms of such Award Agreement shall apply in lieu of the provisions of this Article 12.1. In the absence of such provisions in an Award Agreement, and unless otherwise determined by the Committee in its sole discretion prior to a Change in Control, if a Participant who is actively employed by the Company incurs a Covered Termination of Employment (as defined in Article 12.2 below) on or within twelve (12) months following a Change in Control (as defined in Article 12.3 below), or if a Change in Control occurs in connection with which no Awards, publicly-traded Shares or substitute equity interests are available, then the following shall occur:</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Restricted Stock and RSUs.</w:t>
      </w:r>
      <w:r>
        <w:rPr>
          <w:color w:val="000000"/>
        </w:rPr>
        <w:t xml:space="preserve"> </w:t>
      </w:r>
      <w:r>
        <w:rPr>
          <w:rFonts w:ascii="Arial;sans-serif" w:hAnsi="Arial;sans-serif"/>
          <w:b w:val="false"/>
          <w:color w:val="000000"/>
          <w:sz w:val="20"/>
        </w:rPr>
        <w:t>With respect to any Restricted Stock, RSUs or any Other Share-Based Awards taking a form substantially the same as 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In the Committee’s discretion, the distribution of Awards as described in this Article 12.1(a)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and (ii) the number of subject Shares or substitute equity awards that otherwise would be distributed to the Participant if available and the Committee had not determined to pay cash.</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84150"/>
                <wp:effectExtent l="0" t="0" r="0" b="0"/>
                <wp:wrapNone/>
                <wp:docPr id="74" name="Frame7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Options and SARs.</w:t>
      </w:r>
      <w:r>
        <w:rPr>
          <w:color w:val="000000"/>
        </w:rPr>
        <w:t xml:space="preserve"> </w:t>
      </w:r>
      <w:r>
        <w:rPr>
          <w:rFonts w:ascii="Arial;sans-serif" w:hAnsi="Arial;sans-serif"/>
          <w:b w:val="false"/>
          <w:color w:val="000000"/>
          <w:sz w:val="20"/>
        </w:rPr>
        <w:t>As of the date of the Participant’s Covered Termination of Employment, all of the unvested or unexercisable Options, SARs or Other Share-Based Awards taking a form substantially the same as Options or SARs held by the Participant shall be deemed to be fully vested and 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 (ii) twelve (12) months (or in the case of an Approved Retiree, five (5) years) following the Participant’s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12.1(b), in an amount equal to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pStyle w:val="TextBody"/>
        <w:bidi w:val="0"/>
        <w:spacing w:lineRule="auto" w:line="288" w:before="120" w:after="283"/>
        <w:jc w:val="left"/>
        <w:rPr/>
      </w:pPr>
      <w:r>
        <w:rPr>
          <w:rFonts w:ascii="Arial;sans-serif" w:hAnsi="Arial;sans-serif"/>
          <w:b/>
          <w:color w:val="000000"/>
          <w:sz w:val="20"/>
        </w:rPr>
        <w:t>(c)</w:t>
      </w:r>
      <w:r>
        <w:rPr>
          <w:rFonts w:ascii="Arial;sans-serif" w:hAnsi="Arial;sans-serif"/>
          <w:b/>
          <w:i/>
          <w:color w:val="000000"/>
          <w:sz w:val="20"/>
        </w:rPr>
        <w:t xml:space="preserve">Other Share-Based Awards. </w:t>
      </w:r>
      <w:r>
        <w:rPr>
          <w:rFonts w:ascii="Arial;sans-serif" w:hAnsi="Arial;sans-serif"/>
          <w:b w:val="false"/>
          <w:color w:val="000000"/>
          <w:sz w:val="20"/>
        </w:rPr>
        <w:t>All of the Participant’s Other Share-Based Awards subject to performance-based vesting for which the performance period has not expired shall be deemed to be fully vested as of the Participant’s Covered Termination of Employment and be paid out immediately thereafter, where such payment shall be based on a target level of performance, pro-rated for the days of such performance period through the date of the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Other Share-Based Awards shall lapse, and all such Awards shall be deemed to be fully vested, as of the date of the Change in Control, in which case payment shall be based on a target level of performance pro rated for the days of such performance period through the date of the Change in Control. Any Other Share-Based Awards other than those described in Articles 12.1(a) and (b), and other than as described above in this Article 12.1(c), shall be treated in a manner similar to that described in Articles 12.1(a) and (b).</w:t>
      </w:r>
    </w:p>
    <w:p>
      <w:pPr>
        <w:pStyle w:val="TextBody"/>
        <w:bidi w:val="0"/>
        <w:spacing w:lineRule="auto" w:line="288" w:before="120" w:after="283"/>
        <w:jc w:val="left"/>
        <w:rPr/>
      </w:pPr>
      <w:r>
        <w:rPr>
          <w:rFonts w:ascii="Arial;sans-serif" w:hAnsi="Arial;sans-serif"/>
          <w:b/>
          <w:color w:val="000000"/>
          <w:sz w:val="20"/>
        </w:rPr>
        <w:t>12.2</w:t>
      </w:r>
      <w:r>
        <w:rPr>
          <w:rFonts w:ascii="Arial;sans-serif" w:hAnsi="Arial;sans-serif"/>
          <w:b/>
          <w:color w:val="000000"/>
          <w:sz w:val="20"/>
        </w:rPr>
        <w:t xml:space="preserve">Covered Termination of Employment. </w:t>
      </w:r>
      <w:r>
        <w:rPr>
          <w:rFonts w:ascii="Arial;sans-serif" w:hAnsi="Arial;sans-serif"/>
          <w:b w:val="false"/>
          <w:color w:val="000000"/>
          <w:sz w:val="20"/>
        </w:rPr>
        <w:t>For purposes of this Article 12, “Covered Termination of Employment” shall mean any involuntary termination of employment of a Participant, provided that such termination does not result from the Participant’s serious misconduct within the meaning of Article 3.6.</w:t>
      </w:r>
    </w:p>
    <w:p>
      <w:pPr>
        <w:pStyle w:val="TextBody"/>
        <w:bidi w:val="0"/>
        <w:spacing w:lineRule="auto" w:line="288" w:before="120" w:after="283"/>
        <w:jc w:val="left"/>
        <w:rPr/>
      </w:pPr>
      <w:r>
        <w:rPr>
          <w:rFonts w:ascii="Arial;sans-serif" w:hAnsi="Arial;sans-serif"/>
          <w:b/>
          <w:color w:val="000000"/>
          <w:sz w:val="20"/>
        </w:rPr>
        <w:t>12.3</w:t>
      </w:r>
      <w:r>
        <w:rPr>
          <w:rFonts w:ascii="Arial;sans-serif" w:hAnsi="Arial;sans-serif"/>
          <w:b/>
          <w:color w:val="000000"/>
          <w:sz w:val="20"/>
        </w:rPr>
        <w:t xml:space="preserve">Change in Control Definition. </w:t>
      </w:r>
      <w:r>
        <w:rPr>
          <w:rFonts w:ascii="Arial;sans-serif" w:hAnsi="Arial;sans-serif"/>
          <w:b w:val="false"/>
          <w:color w:val="000000"/>
          <w:sz w:val="20"/>
        </w:rPr>
        <w:t>A Change in Control shall occur if:</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 xml:space="preserve">Acquisition of Voting Securities. </w:t>
      </w:r>
      <w:r>
        <w:rPr>
          <w:rFonts w:ascii="Arial;sans-serif" w:hAnsi="Arial;sans-serif"/>
          <w:b w:val="false"/>
          <w:color w:val="000000"/>
          <w:sz w:val="20"/>
        </w:rPr>
        <w:t>Any Person directly or indirectly becomes the Beneficial Owner of more than thirty percent (30%) of the 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 xml:space="preserve">Merger or Consolidation. </w:t>
      </w:r>
      <w:r>
        <w:rPr>
          <w:rFonts w:ascii="Arial;sans-serif" w:hAnsi="Arial;sans-serif"/>
          <w:b w:val="false"/>
          <w:color w:val="000000"/>
          <w:sz w:val="20"/>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84150"/>
                <wp:effectExtent l="0" t="0" r="0" b="0"/>
                <wp:wrapNone/>
                <wp:docPr id="75" name="Frame7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(c)</w:t>
      </w:r>
      <w:r>
        <w:rPr>
          <w:rFonts w:ascii="Arial;sans-serif" w:hAnsi="Arial;sans-serif"/>
          <w:b/>
          <w:i/>
          <w:color w:val="000000"/>
          <w:sz w:val="20"/>
        </w:rPr>
        <w:t>Change in Majority of Board.</w:t>
      </w:r>
      <w:r>
        <w:rPr>
          <w:color w:val="000000"/>
        </w:rPr>
        <w:t xml:space="preserve"> </w:t>
      </w:r>
      <w:r>
        <w:rPr>
          <w:rFonts w:ascii="Arial;sans-serif" w:hAnsi="Arial;sans-serif"/>
          <w:b w:val="false"/>
          <w:color w:val="000000"/>
          <w:sz w:val="20"/>
        </w:rPr>
        <w:t>Continuing Directors cease to represent a majority of the Board, where “Continuing Directors” shall mean the directors of the Board immediately after the Effective Date , and any other director whose appointment, election or nomination for election by the stockholders is approved by at least a majority of the Continuing Directors at such time; or</w:t>
      </w:r>
    </w:p>
    <w:p>
      <w:pPr>
        <w:pStyle w:val="TextBody"/>
        <w:bidi w:val="0"/>
        <w:spacing w:lineRule="auto" w:line="288" w:before="120" w:after="283"/>
        <w:jc w:val="left"/>
        <w:rPr/>
      </w:pPr>
      <w:r>
        <w:rPr>
          <w:rFonts w:ascii="Arial;sans-serif" w:hAnsi="Arial;sans-serif"/>
          <w:b/>
          <w:color w:val="000000"/>
          <w:sz w:val="20"/>
        </w:rPr>
        <w:t>(d)</w:t>
      </w:r>
      <w:r>
        <w:rPr>
          <w:rFonts w:ascii="Arial;sans-serif" w:hAnsi="Arial;sans-serif"/>
          <w:b/>
          <w:i/>
          <w:color w:val="000000"/>
          <w:sz w:val="20"/>
        </w:rPr>
        <w:t xml:space="preserve">Sale, Liquidation or Other Disposition. </w:t>
      </w:r>
      <w:r>
        <w:rPr>
          <w:rFonts w:ascii="Arial;sans-serif" w:hAnsi="Arial;sans-serif"/>
          <w:b w:val="false"/>
          <w:color w:val="000000"/>
          <w:sz w:val="20"/>
        </w:rPr>
        <w:t>The stockholders of the Company approve a plan of complete liquidation of the Company or the Company sells or disposes of all or substantially all of its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Notwithstanding the foregoing provisions of Article 12.3, with respect to any Award that is subject to Code Section 409A, in order to be treated as a Change in Control, any event described in this Article 12.3 also must qualify as a “change in control event” within the meaning of Code Section 409A(a)(2)(A)(v) and the regulations thereunder to the extent required for compliance with Code Section 409A.</w:t>
      </w:r>
    </w:p>
    <w:p>
      <w:pPr>
        <w:pStyle w:val="TextBody"/>
        <w:bidi w:val="0"/>
        <w:spacing w:lineRule="auto" w:line="288" w:before="120" w:after="283"/>
        <w:jc w:val="left"/>
        <w:rPr/>
      </w:pPr>
      <w:r>
        <w:rPr>
          <w:rFonts w:ascii="Arial;sans-serif" w:hAnsi="Arial;sans-serif"/>
          <w:b/>
          <w:color w:val="000000"/>
          <w:sz w:val="20"/>
        </w:rPr>
        <w:t>12.4</w:t>
      </w:r>
      <w:r>
        <w:rPr>
          <w:rFonts w:ascii="Arial;sans-serif" w:hAnsi="Arial;sans-serif"/>
          <w:b/>
          <w:color w:val="000000"/>
          <w:sz w:val="20"/>
        </w:rPr>
        <w:t>Section 280G Cut-back in Benefits.</w:t>
      </w:r>
      <w:r>
        <w:rPr>
          <w:color w:val="000000"/>
        </w:rPr>
        <w:t xml:space="preserve"> </w:t>
      </w:r>
      <w:r>
        <w:rPr>
          <w:rFonts w:ascii="Arial;sans-serif" w:hAnsi="Arial;sans-serif"/>
          <w:b w:val="false"/>
          <w:color w:val="000000"/>
          <w:sz w:val="20"/>
        </w:rPr>
        <w:t>Notwithstanding the other provisions of this Plan, unless otherwise specifically provided by the Committee in an Award Agreement, in the event that the amount of payments or other benefits payable to any Participant under this Plan, together with any payments or benefits payable under any other plan, program, arrangement or agreement maintained by the Company or one of its affiliates, would constitute an “excess parachute payment” (within the meaning of Section 280G or the Code), the payments under this Plan shall be reduced in a manner determined by the Company (by the minimum possible amounts) until no amount payable to the Participant under the Plan constitutes an “excess parachute payment” (within the meaning of Section 280G of the Code). All determinations required to be made under this Article 12.4, including whether a payment would result in an “excess parachute payment” and the assumptions utilized in arriving at such determination, shall be made by a registered public accounting firm selected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13Rights of Participants</w:t>
      </w:r>
    </w:p>
    <w:p>
      <w:pPr>
        <w:pStyle w:val="TextBody"/>
        <w:bidi w:val="0"/>
        <w:spacing w:lineRule="auto" w:line="288" w:before="120" w:after="283"/>
        <w:jc w:val="left"/>
        <w:rPr/>
      </w:pPr>
      <w:r>
        <w:rPr>
          <w:rFonts w:ascii="Arial;sans-serif" w:hAnsi="Arial;sans-serif"/>
          <w:b/>
          <w:color w:val="000000"/>
          <w:sz w:val="20"/>
        </w:rPr>
        <w:t>13.1</w:t>
      </w:r>
      <w:r>
        <w:rPr>
          <w:rFonts w:ascii="Arial;sans-serif" w:hAnsi="Arial;sans-serif"/>
          <w:b/>
          <w:color w:val="000000"/>
          <w:sz w:val="20"/>
        </w:rPr>
        <w:t xml:space="preserve">Employment or Service. </w:t>
      </w:r>
      <w:r>
        <w:rPr>
          <w:rFonts w:ascii="Arial;sans-serif" w:hAnsi="Arial;sans-serif"/>
          <w:b w:val="false"/>
          <w:color w:val="000000"/>
          <w:sz w:val="20"/>
        </w:rPr>
        <w:t>Nothing in the Plan shall interfere with or limit in any way the right of the Company to terminate any Participant’s employment or service at any time, nor confer upon any Participant any right to continue in the employ or service of the Company.</w:t>
      </w:r>
    </w:p>
    <w:p>
      <w:pPr>
        <w:pStyle w:val="TextBody"/>
        <w:bidi w:val="0"/>
        <w:spacing w:lineRule="auto" w:line="288" w:before="120" w:after="283"/>
        <w:jc w:val="left"/>
        <w:rPr/>
      </w:pPr>
      <w:r>
        <w:rPr>
          <w:rFonts w:ascii="Arial;sans-serif" w:hAnsi="Arial;sans-serif"/>
          <w:b/>
          <w:color w:val="000000"/>
          <w:sz w:val="20"/>
        </w:rPr>
        <w:t>13.2</w:t>
      </w:r>
      <w:r>
        <w:rPr>
          <w:rFonts w:ascii="Arial;sans-serif" w:hAnsi="Arial;sans-serif"/>
          <w:b/>
          <w:color w:val="000000"/>
          <w:sz w:val="20"/>
        </w:rPr>
        <w:t xml:space="preserve">Participation. </w:t>
      </w:r>
      <w:r>
        <w:rPr>
          <w:rFonts w:ascii="Arial;sans-serif" w:hAnsi="Arial;sans-serif"/>
          <w:b w:val="false"/>
          <w:color w:val="000000"/>
          <w:sz w:val="20"/>
        </w:rPr>
        <w:t>No Employee shall have the right to be selected to receive an Award under this Plan, or, having been so selected, to be selected to receive a future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14Amendment, Modification, and Termination</w:t>
      </w:r>
    </w:p>
    <w:p>
      <w:pPr>
        <w:pStyle w:val="TextBody"/>
        <w:bidi w:val="0"/>
        <w:spacing w:lineRule="auto" w:line="288" w:before="120" w:after="283"/>
        <w:jc w:val="left"/>
        <w:rPr/>
      </w:pPr>
      <w:r>
        <w:rPr>
          <w:rFonts w:ascii="Arial;sans-serif" w:hAnsi="Arial;sans-serif"/>
          <w:b/>
          <w:color w:val="000000"/>
          <w:sz w:val="20"/>
        </w:rPr>
        <w:t>14.1</w:t>
      </w:r>
      <w:r>
        <w:rPr>
          <w:rFonts w:ascii="Arial;sans-serif" w:hAnsi="Arial;sans-serif"/>
          <w:b/>
          <w:color w:val="000000"/>
          <w:sz w:val="20"/>
        </w:rPr>
        <w:t>Amendment, Modification, and Termination.</w:t>
      </w:r>
      <w:r>
        <w:rPr>
          <w:color w:val="000000"/>
        </w:rPr>
        <w:t xml:space="preserve"> </w:t>
      </w:r>
      <w:r>
        <w:rPr>
          <w:rFonts w:ascii="Arial;sans-serif" w:hAnsi="Arial;sans-serif"/>
          <w:b w:val="false"/>
          <w:color w:val="000000"/>
          <w:sz w:val="20"/>
        </w:rPr>
        <w:t>The Board may at any time and from time to time, alter, amend, suspend or terminate the Plan in whole or in part; provided, however, that the Board may, in its sole discretion, condition the adoption of any amendment of the Plan on the approval thereof by the requisite vote of the stockholders of the Company entitled to vote thereon. The Board shall condition the adoption of an amendment on such a stockholder vote to the extent required by applicable law or the requirements of the principal securities exchange or market on which the Shares are then traded, or to the extent such amendment would diminish the protections afforded by Article 14.3.</w:t>
      </w:r>
    </w:p>
    <w:p>
      <w:pPr>
        <w:pStyle w:val="TextBody"/>
        <w:bidi w:val="0"/>
        <w:spacing w:lineRule="auto" w:line="288" w:before="120" w:after="283"/>
        <w:jc w:val="left"/>
        <w:rPr/>
      </w:pPr>
      <w:r>
        <w:rPr>
          <w:rFonts w:ascii="Arial;sans-serif" w:hAnsi="Arial;sans-serif"/>
          <w:b/>
          <w:color w:val="000000"/>
          <w:sz w:val="20"/>
        </w:rPr>
        <w:t>14.2</w:t>
      </w:r>
      <w:r>
        <w:rPr>
          <w:rFonts w:ascii="Arial;sans-serif" w:hAnsi="Arial;sans-serif"/>
          <w:b/>
          <w:color w:val="000000"/>
          <w:sz w:val="20"/>
        </w:rPr>
        <w:t xml:space="preserve">Adjustment of Awards upon the Occurrence of Certain Unusual or Nonrecurring Events. </w:t>
      </w:r>
      <w:r>
        <w:rPr>
          <w:rFonts w:ascii="Arial;sans-serif" w:hAnsi="Arial;sans-serif"/>
          <w:b w:val="false"/>
          <w:color w:val="000000"/>
          <w:sz w:val="20"/>
        </w:rPr>
        <w:t>The Committee may make adjustments in the terms 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pStyle w:val="TextBody"/>
        <w:bidi w:val="0"/>
        <w:spacing w:lineRule="auto" w:line="288" w:before="120" w:after="283"/>
        <w:jc w:val="left"/>
        <w:rPr/>
      </w:pPr>
      <w:r>
        <w:rPr>
          <w:rFonts w:ascii="Arial;sans-serif" w:hAnsi="Arial;sans-serif"/>
          <w:b/>
          <w:color w:val="000000"/>
          <w:sz w:val="20"/>
        </w:rPr>
        <w:t>14.3</w:t>
      </w:r>
      <w:r>
        <w:rPr>
          <w:rFonts w:ascii="Arial;sans-serif" w:hAnsi="Arial;sans-serif"/>
          <w:b/>
          <w:color w:val="000000"/>
          <w:sz w:val="20"/>
        </w:rPr>
        <w:t xml:space="preserve">Awards Previously Granted; No Repricing or Cash Buyouts of Options or SARs. </w:t>
      </w:r>
    </w:p>
    <w:p>
      <w:pPr>
        <w:pStyle w:val="TextBody"/>
        <w:bidi w:val="0"/>
        <w:spacing w:lineRule="auto" w:line="288" w:before="120" w:after="283"/>
        <w:jc w:val="left"/>
        <w:rPr/>
      </w:pPr>
      <w:r>
        <w:rPr>
          <w:rFonts w:ascii="Arial;sans-serif" w:hAnsi="Arial;sans-serif"/>
          <w:b/>
          <w:color w:val="000000"/>
          <w:sz w:val="20"/>
        </w:rPr>
        <w:t>(a)</w:t>
      </w:r>
      <w:r>
        <w:rPr>
          <w:rFonts w:ascii="Arial;sans-serif" w:hAnsi="Arial;sans-serif"/>
          <w:b/>
          <w:i/>
          <w:color w:val="000000"/>
          <w:sz w:val="20"/>
        </w:rPr>
        <w:t>Awards Previously Granted</w:t>
      </w:r>
      <w:r>
        <w:rPr>
          <w:rFonts w:ascii="Arial;sans-serif" w:hAnsi="Arial;sans-serif"/>
          <w:b/>
          <w:color w:val="000000"/>
          <w:sz w:val="20"/>
        </w:rPr>
        <w:t xml:space="preserve">. </w:t>
      </w:r>
      <w:r>
        <w:rPr>
          <w:rFonts w:ascii="Arial;sans-serif" w:hAnsi="Arial;sans-serif"/>
          <w:b w:val="false"/>
          <w:color w:val="000000"/>
          <w:sz w:val="20"/>
        </w:rPr>
        <w:t>No termination, amendment, or modification of the Plan or any Award shall adversely affect in any material way any Award previously granted under the Plan, without the written consent of the Participant holding such Award; provided that Participant consent shall not be required for the termination, amendment or modification of an Award pursuant to the provisions of Article 4.2 or Article 12 or the termination, amendment or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84150"/>
                <wp:effectExtent l="0" t="0" r="0" b="0"/>
                <wp:wrapNone/>
                <wp:docPr id="76" name="Frame7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20" w:after="283"/>
        <w:jc w:val="left"/>
        <w:rPr/>
      </w:pPr>
      <w:r>
        <w:rPr>
          <w:rFonts w:ascii="Arial;sans-serif" w:hAnsi="Arial;sans-serif"/>
          <w:b/>
          <w:color w:val="000000"/>
          <w:sz w:val="20"/>
        </w:rPr>
        <w:t>(b)</w:t>
      </w:r>
      <w:r>
        <w:rPr>
          <w:rFonts w:ascii="Arial;sans-serif" w:hAnsi="Arial;sans-serif"/>
          <w:b/>
          <w:i/>
          <w:color w:val="000000"/>
          <w:sz w:val="20"/>
        </w:rPr>
        <w:t>Repricing and Cash Buyouts Prohibited</w:t>
      </w:r>
      <w:r>
        <w:rPr>
          <w:rFonts w:ascii="Arial;sans-serif" w:hAnsi="Arial;sans-serif"/>
          <w:b w:val="false"/>
          <w:color w:val="000000"/>
          <w:sz w:val="20"/>
        </w:rPr>
        <w:t>. Except as provided under Article 14.2, an outstanding SAR or Option may not be (i) amended to reduce its Exercise Price, (ii) cancelled in exchange for the re-grant of a SAR or Option with a reduced Exercise Price, nor (iii) except in the case of SARs or Options with an Exercise Price above the then-current Share price, cancelled in exchange for other Awards or for a payment made in cash or Shares, unless approved by stockholders.</w:t>
      </w:r>
    </w:p>
    <w:p>
      <w:pPr>
        <w:pStyle w:val="TextBody"/>
        <w:bidi w:val="0"/>
        <w:spacing w:lineRule="auto" w:line="288" w:before="120" w:after="283"/>
        <w:jc w:val="left"/>
        <w:rPr/>
      </w:pPr>
      <w:r>
        <w:rPr>
          <w:rFonts w:ascii="Arial;sans-serif" w:hAnsi="Arial;sans-serif"/>
          <w:b/>
          <w:color w:val="000000"/>
          <w:sz w:val="20"/>
        </w:rPr>
        <w:t>14.4</w:t>
      </w:r>
      <w:r>
        <w:rPr>
          <w:rFonts w:ascii="Arial;sans-serif" w:hAnsi="Arial;sans-serif"/>
          <w:b/>
          <w:color w:val="000000"/>
          <w:sz w:val="20"/>
        </w:rPr>
        <w:t xml:space="preserve">Substitution of Awards in Mergers and Acquisitions. </w:t>
      </w:r>
      <w:r>
        <w:rPr>
          <w:rFonts w:ascii="Arial;sans-serif" w:hAnsi="Arial;sans-serif"/>
          <w:b w:val="false"/>
          <w:color w:val="000000"/>
          <w:sz w:val="20"/>
        </w:rPr>
        <w:t>Awards may be granted under the Plan from time to time in substitution for awards held by 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and such Awards shall not deplete the number of Shares reserved under Article 4.1.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15Withholding</w:t>
      </w:r>
    </w:p>
    <w:p>
      <w:pPr>
        <w:pStyle w:val="TextBody"/>
        <w:bidi w:val="0"/>
        <w:spacing w:lineRule="auto" w:line="288" w:before="120" w:after="283"/>
        <w:jc w:val="left"/>
        <w:rPr/>
      </w:pPr>
      <w:r>
        <w:rPr>
          <w:rFonts w:ascii="Arial;sans-serif" w:hAnsi="Arial;sans-serif"/>
          <w:b/>
          <w:color w:val="000000"/>
          <w:sz w:val="20"/>
        </w:rPr>
        <w:t>15.1</w:t>
      </w:r>
      <w:r>
        <w:rPr>
          <w:rFonts w:ascii="Arial;sans-serif" w:hAnsi="Arial;sans-serif"/>
          <w:b/>
          <w:color w:val="000000"/>
          <w:sz w:val="20"/>
        </w:rPr>
        <w:t xml:space="preserve">Tax Withholding. </w:t>
      </w:r>
      <w:r>
        <w:rPr>
          <w:rFonts w:ascii="Arial;sans-serif" w:hAnsi="Arial;sans-serif"/>
          <w:b w:val="false"/>
          <w:color w:val="000000"/>
          <w:sz w:val="20"/>
        </w:rPr>
        <w:t>The Company shall have the power and the right to deduct from any amount otherwise due to the Participant, or withhold, or require a Participant to remit to the Company, an amount sufficient to satisfy Federal, state, and local income, employment or other related taxes, domestic or foreign, required by law or regulation to be withheld with respect to any taxable event arising as a result of this Plan. In addition, subject to any restrictions on transfer, the Company may permit a Participant to satisfy a withholding obligation required in connection with the issuance or vesting of Shares under an Award through the use of a broker-assisted sell-to-cover transaction.</w:t>
      </w:r>
    </w:p>
    <w:p>
      <w:pPr>
        <w:pStyle w:val="TextBody"/>
        <w:bidi w:val="0"/>
        <w:spacing w:lineRule="auto" w:line="288" w:before="120" w:after="283"/>
        <w:jc w:val="left"/>
        <w:rPr/>
      </w:pPr>
      <w:r>
        <w:rPr>
          <w:rFonts w:ascii="Arial;sans-serif" w:hAnsi="Arial;sans-serif"/>
          <w:b/>
          <w:color w:val="000000"/>
          <w:sz w:val="20"/>
        </w:rPr>
        <w:t>15.2</w:t>
      </w:r>
      <w:r>
        <w:rPr>
          <w:rFonts w:ascii="Arial;sans-serif" w:hAnsi="Arial;sans-serif"/>
          <w:b/>
          <w:color w:val="000000"/>
          <w:sz w:val="20"/>
        </w:rPr>
        <w:t xml:space="preserve">Share Withholding. </w:t>
      </w:r>
      <w:r>
        <w:rPr>
          <w:rFonts w:ascii="Arial;sans-serif" w:hAnsi="Arial;sans-serif"/>
          <w:b w:val="false"/>
          <w:color w:val="000000"/>
          <w:sz w:val="20"/>
        </w:rPr>
        <w:t>With respect to withholding required in connection with any Award, the Company may require, or the Committee may permit a 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sole discretion,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16Indemnification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17Code Section 409A</w:t>
      </w:r>
    </w:p>
    <w:p>
      <w:pPr>
        <w:pStyle w:val="TextBody"/>
        <w:bidi w:val="0"/>
        <w:spacing w:lineRule="auto" w:line="288" w:before="120" w:after="283"/>
        <w:jc w:val="left"/>
        <w:rPr/>
      </w:pPr>
      <w:r>
        <w:rPr>
          <w:rFonts w:ascii="Arial;sans-serif" w:hAnsi="Arial;sans-serif"/>
          <w:b/>
          <w:color w:val="000000"/>
          <w:sz w:val="20"/>
        </w:rPr>
        <w:t>17.1</w:t>
      </w:r>
      <w:r>
        <w:rPr>
          <w:rFonts w:ascii="Arial;sans-serif" w:hAnsi="Arial;sans-serif"/>
          <w:b/>
          <w:color w:val="000000"/>
          <w:sz w:val="20"/>
        </w:rPr>
        <w:t>General.</w:t>
      </w:r>
      <w:r>
        <w:rPr>
          <w:color w:val="000000"/>
        </w:rPr>
        <w:t xml:space="preserve"> </w:t>
      </w:r>
      <w:r>
        <w:rPr>
          <w:rFonts w:ascii="Arial;sans-serif" w:hAnsi="Arial;sans-serif"/>
          <w:b w:val="false"/>
          <w:color w:val="000000"/>
          <w:sz w:val="20"/>
        </w:rPr>
        <w:t>To the extent that Code Section 409A may apply to any Awards under the Plan, it is intended that the terms of the Plan and such Awards meet the applicable requirements of Code Section 409A so that a Participant is not taxed under Code Section 409A with respect to such Awards until such time as Shares or other amounts are distributed to the Participant in accordance with the Plan’s and the Awards’ terms. For this purpose, the Plan and the Awards will be administered and interpreted to comply with Code Section 409A and any applicable Treasury or IRS guidance.</w:t>
      </w:r>
    </w:p>
    <w:p>
      <w:pPr>
        <w:pStyle w:val="TextBody"/>
        <w:bidi w:val="0"/>
        <w:spacing w:lineRule="auto" w:line="288" w:before="120" w:after="283"/>
        <w:jc w:val="left"/>
        <w:rPr/>
      </w:pPr>
      <w:r>
        <w:rPr>
          <w:rFonts w:ascii="Arial;sans-serif" w:hAnsi="Arial;sans-serif"/>
          <w:b/>
          <w:color w:val="000000"/>
          <w:sz w:val="20"/>
        </w:rPr>
        <w:t>17.2</w:t>
      </w:r>
      <w:r>
        <w:rPr>
          <w:rFonts w:ascii="Arial;sans-serif" w:hAnsi="Arial;sans-serif"/>
          <w:b/>
          <w:color w:val="000000"/>
          <w:sz w:val="20"/>
        </w:rPr>
        <w:t>Delay for Specified Employees.</w:t>
      </w:r>
      <w:r>
        <w:rPr>
          <w:color w:val="000000"/>
        </w:rPr>
        <w:t xml:space="preserve"> </w:t>
      </w:r>
      <w:r>
        <w:rPr>
          <w:rFonts w:ascii="Arial;sans-serif" w:hAnsi="Arial;sans-serif"/>
          <w:b w:val="false"/>
          <w:color w:val="000000"/>
          <w:sz w:val="20"/>
        </w:rPr>
        <w:t xml:space="preserve">To the extent that any Awards under the Plan may be subject to Code Section 409A(a)(2)(B)(i), distributions of Shares or other amounts pursuant to such Awards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17.2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84150"/>
                <wp:effectExtent l="0" t="0" r="0" b="0"/>
                <wp:wrapNone/>
                <wp:docPr id="77" name="Frame7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18Successors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720"/>
        <w:jc w:val="left"/>
        <w:rPr>
          <w:rFonts w:ascii="Arial;sans-serif" w:hAnsi="Arial;sans-serif"/>
          <w:b/>
          <w:color w:val="000000"/>
          <w:sz w:val="24"/>
        </w:rPr>
      </w:pPr>
      <w:r>
        <w:rPr>
          <w:rFonts w:ascii="Arial;sans-serif" w:hAnsi="Arial;sans-serif"/>
          <w:b/>
          <w:color w:val="000000"/>
          <w:sz w:val="24"/>
        </w:rPr>
        <w:t>Article 19Legal Construction; Miscellaneous</w:t>
      </w:r>
    </w:p>
    <w:p>
      <w:pPr>
        <w:pStyle w:val="TextBody"/>
        <w:bidi w:val="0"/>
        <w:spacing w:lineRule="auto" w:line="288" w:before="120" w:after="283"/>
        <w:jc w:val="left"/>
        <w:rPr/>
      </w:pPr>
      <w:r>
        <w:rPr>
          <w:rFonts w:ascii="Arial;sans-serif" w:hAnsi="Arial;sans-serif"/>
          <w:b/>
          <w:color w:val="000000"/>
          <w:sz w:val="20"/>
        </w:rPr>
        <w:t>19.1</w:t>
      </w:r>
      <w:r>
        <w:rPr>
          <w:rFonts w:ascii="Arial;sans-serif" w:hAnsi="Arial;sans-serif"/>
          <w:b/>
          <w:color w:val="000000"/>
          <w:sz w:val="20"/>
        </w:rPr>
        <w:t>Gender and Number.</w:t>
      </w:r>
      <w:r>
        <w:rPr>
          <w:color w:val="000000"/>
        </w:rPr>
        <w:t xml:space="preserve"> </w:t>
      </w:r>
      <w:r>
        <w:rPr>
          <w:rFonts w:ascii="Arial;sans-serif" w:hAnsi="Arial;sans-serif"/>
          <w:b w:val="false"/>
          <w:color w:val="000000"/>
          <w:sz w:val="20"/>
        </w:rPr>
        <w:t>Except where otherwise indicated by the context, any masculine term used hereof also shall include the feminine, the plural shall include the singular and the singular shall include the plural.</w:t>
      </w:r>
    </w:p>
    <w:p>
      <w:pPr>
        <w:pStyle w:val="TextBody"/>
        <w:bidi w:val="0"/>
        <w:spacing w:lineRule="auto" w:line="288" w:before="120" w:after="283"/>
        <w:jc w:val="left"/>
        <w:rPr/>
      </w:pPr>
      <w:r>
        <w:rPr>
          <w:rFonts w:ascii="Arial;sans-serif" w:hAnsi="Arial;sans-serif"/>
          <w:b/>
          <w:color w:val="000000"/>
          <w:sz w:val="20"/>
        </w:rPr>
        <w:t>19.2</w:t>
      </w:r>
      <w:r>
        <w:rPr>
          <w:rFonts w:ascii="Arial;sans-serif" w:hAnsi="Arial;sans-serif"/>
          <w:b/>
          <w:color w:val="000000"/>
          <w:sz w:val="20"/>
        </w:rPr>
        <w:t>Severability.</w:t>
      </w:r>
      <w:r>
        <w:rPr>
          <w:color w:val="000000"/>
        </w:rPr>
        <w:t xml:space="preserve"> </w:t>
      </w:r>
      <w:r>
        <w:rPr>
          <w:rFonts w:ascii="Arial;sans-serif" w:hAnsi="Arial;sans-serif"/>
          <w:b w:val="false"/>
          <w:color w:val="000000"/>
          <w:sz w:val="20"/>
        </w:rPr>
        <w:t>In the event any provision of the Plan shall be held illegal or invalid for any reason, the illegality or invalidity shall not affect the remaining provisions of the Plan, and the Plan shall be construed and enforced as if the illegal or invalid provision had not been included.</w:t>
      </w:r>
    </w:p>
    <w:p>
      <w:pPr>
        <w:pStyle w:val="TextBody"/>
        <w:bidi w:val="0"/>
        <w:spacing w:lineRule="auto" w:line="288" w:before="120" w:after="283"/>
        <w:jc w:val="left"/>
        <w:rPr/>
      </w:pPr>
      <w:r>
        <w:rPr>
          <w:rFonts w:ascii="Arial;sans-serif" w:hAnsi="Arial;sans-serif"/>
          <w:b/>
          <w:color w:val="000000"/>
          <w:sz w:val="20"/>
        </w:rPr>
        <w:t>19.3</w:t>
      </w:r>
      <w:r>
        <w:rPr>
          <w:rFonts w:ascii="Arial;sans-serif" w:hAnsi="Arial;sans-serif"/>
          <w:b/>
          <w:color w:val="000000"/>
          <w:sz w:val="20"/>
        </w:rPr>
        <w:t xml:space="preserve">Requirements of Law. </w:t>
      </w:r>
      <w:r>
        <w:rPr>
          <w:rFonts w:ascii="Arial;sans-serif" w:hAnsi="Arial;sans-serif"/>
          <w:b w:val="false"/>
          <w:color w:val="000000"/>
          <w:sz w:val="20"/>
        </w:rPr>
        <w:t>The granting of Awards and the issuance of Shares under the Plan shall be subject to all applicable laws, rules, and regulations, and to such approvals by any governmental agencies or national securities exchanges as may be required.</w:t>
      </w:r>
    </w:p>
    <w:p>
      <w:pPr>
        <w:pStyle w:val="TextBody"/>
        <w:bidi w:val="0"/>
        <w:spacing w:lineRule="auto" w:line="288" w:before="120" w:after="283"/>
        <w:jc w:val="left"/>
        <w:rPr/>
      </w:pPr>
      <w:r>
        <w:rPr>
          <w:rFonts w:ascii="Arial;sans-serif" w:hAnsi="Arial;sans-serif"/>
          <w:b/>
          <w:color w:val="000000"/>
          <w:sz w:val="20"/>
        </w:rPr>
        <w:t>19.4</w:t>
      </w:r>
      <w:r>
        <w:rPr>
          <w:rFonts w:ascii="Arial;sans-serif" w:hAnsi="Arial;sans-serif"/>
          <w:b/>
          <w:color w:val="000000"/>
          <w:sz w:val="20"/>
        </w:rPr>
        <w:t xml:space="preserve">Securities Law Compliance. </w:t>
      </w:r>
      <w:r>
        <w:rPr>
          <w:rFonts w:ascii="Arial;sans-serif" w:hAnsi="Arial;sans-serif"/>
          <w:b w:val="false"/>
          <w:color w:val="000000"/>
          <w:sz w:val="20"/>
        </w:rPr>
        <w:t>With respect to Insiders, transactions under this Plan are intended to comply with all applicable conditions of Rule 16b-3 or its successors under the Exchange Act. To the extent any provision of the plan or action by the Committee fails to so comply, it shall be deemed null and void, to the extent permitted by law and deemed advisable by the Committee.</w:t>
      </w:r>
    </w:p>
    <w:p>
      <w:pPr>
        <w:pStyle w:val="TextBody"/>
        <w:bidi w:val="0"/>
        <w:spacing w:lineRule="auto" w:line="288" w:before="120" w:after="283"/>
        <w:jc w:val="left"/>
        <w:rPr/>
      </w:pPr>
      <w:r>
        <w:rPr>
          <w:rFonts w:ascii="Arial;sans-serif" w:hAnsi="Arial;sans-serif"/>
          <w:b/>
          <w:color w:val="000000"/>
          <w:sz w:val="20"/>
        </w:rPr>
        <w:t>19.5</w:t>
      </w:r>
      <w:r>
        <w:rPr>
          <w:rFonts w:ascii="Arial;sans-serif" w:hAnsi="Arial;sans-serif"/>
          <w:b/>
          <w:color w:val="000000"/>
          <w:sz w:val="20"/>
        </w:rPr>
        <w:t xml:space="preserve">Governing Law. </w:t>
      </w:r>
      <w:r>
        <w:rPr>
          <w:rFonts w:ascii="Arial;sans-serif" w:hAnsi="Arial;sans-serif"/>
          <w:b w:val="false"/>
          <w:color w:val="000000"/>
          <w:sz w:val="20"/>
        </w:rPr>
        <w:t>To the extent not preempted by Federal law, the Plan, and all agreements hereunder, shall be construed in accordance with and governed by the laws of the State of Florida.</w:t>
      </w:r>
    </w:p>
    <w:p>
      <w:pPr>
        <w:pStyle w:val="TextBody"/>
        <w:bidi w:val="0"/>
        <w:spacing w:lineRule="auto" w:line="288" w:before="120" w:after="283"/>
        <w:jc w:val="left"/>
        <w:rPr/>
      </w:pPr>
      <w:r>
        <w:rPr>
          <w:rFonts w:ascii="Arial;sans-serif" w:hAnsi="Arial;sans-serif"/>
          <w:b/>
          <w:color w:val="000000"/>
          <w:sz w:val="20"/>
        </w:rPr>
        <w:t>19.6</w:t>
      </w:r>
      <w:r>
        <w:rPr>
          <w:rFonts w:ascii="Arial;sans-serif" w:hAnsi="Arial;sans-serif"/>
          <w:b/>
          <w:color w:val="000000"/>
          <w:sz w:val="20"/>
        </w:rPr>
        <w:t xml:space="preserve">No Guarantee of Tax Treatment. </w:t>
      </w:r>
      <w:r>
        <w:rPr>
          <w:rFonts w:ascii="Arial;sans-serif" w:hAnsi="Arial;sans-serif"/>
          <w:b w:val="false"/>
          <w:color w:val="000000"/>
          <w:sz w:val="20"/>
        </w:rPr>
        <w:t>Notwithstanding any provision of the Plan, the Company does not guarantee to any Participant or any other person with an interest in an Award that (a) any Award intended to be exempt from Code Section 409A or Code Section 457A shall be so exempt, (b) any Award intended to comply with Code Section 409A or Code Section 422 shall so comply, (c) any Award shall otherwise receive a specific tax treatment under any other applicable tax law, nor in any such case will the Company or any affiliate indemnify, defend or hold harmless any individual with respect to the tax consequences of any Award.</w:t>
      </w:r>
    </w:p>
    <w:p>
      <w:pPr>
        <w:pStyle w:val="TextBody"/>
        <w:bidi w:val="0"/>
        <w:spacing w:lineRule="auto" w:line="288" w:before="120" w:after="283"/>
        <w:jc w:val="left"/>
        <w:rPr/>
      </w:pPr>
      <w:r>
        <w:rPr>
          <w:rFonts w:ascii="Arial;sans-serif" w:hAnsi="Arial;sans-serif"/>
          <w:b/>
          <w:color w:val="000000"/>
          <w:sz w:val="20"/>
        </w:rPr>
        <w:t>19.7</w:t>
      </w:r>
      <w:r>
        <w:rPr>
          <w:rFonts w:ascii="Arial;sans-serif" w:hAnsi="Arial;sans-serif"/>
          <w:b/>
          <w:color w:val="000000"/>
          <w:sz w:val="20"/>
        </w:rPr>
        <w:t xml:space="preserve">Compensation Recoupment Policies. </w:t>
      </w:r>
      <w:r>
        <w:rPr>
          <w:rFonts w:ascii="Arial;sans-serif" w:hAnsi="Arial;sans-serif"/>
          <w:b w:val="false"/>
          <w:color w:val="000000"/>
          <w:sz w:val="20"/>
        </w:rPr>
        <w:t>Any Awards granted pursuant to this Plan, and any Shares issued or cash paid pursuant to an Award, shall be subject to (a) any recoupment, clawback, equity holding, Share ownership or similar policies adopted by the Company from time to time and (b) any recoupment, clawback, equity holding, Share ownership or similar requirements made applicable to the Company from time to time by law, regulation or listing standards.</w:t>
      </w:r>
    </w:p>
    <w:p>
      <w:pPr>
        <w:pStyle w:val="TextBody"/>
        <w:bidi w:val="0"/>
        <w:spacing w:lineRule="auto" w:line="288" w:before="120" w:after="283"/>
        <w:jc w:val="left"/>
        <w:rPr/>
      </w:pPr>
      <w:r>
        <w:rPr>
          <w:rFonts w:ascii="Arial;sans-serif" w:hAnsi="Arial;sans-serif"/>
          <w:b/>
          <w:color w:val="000000"/>
          <w:sz w:val="20"/>
        </w:rPr>
        <w:t>19.8</w:t>
      </w:r>
      <w:r>
        <w:rPr>
          <w:rFonts w:ascii="Arial;sans-serif" w:hAnsi="Arial;sans-serif"/>
          <w:b/>
          <w:color w:val="000000"/>
          <w:sz w:val="20"/>
        </w:rPr>
        <w:t xml:space="preserve">Limitations on Actions. </w:t>
      </w:r>
      <w:r>
        <w:rPr>
          <w:rFonts w:ascii="Arial;sans-serif" w:hAnsi="Arial;sans-serif"/>
          <w:b w:val="false"/>
          <w:color w:val="000000"/>
          <w:sz w:val="20"/>
        </w:rPr>
        <w:t>Any legal action or proceeding with respect to this Plan, any Award or any award agreement, must be brought within one (1) year (365 days) after the day the complaining party first knew or should have known of the events giving rise to the complaint.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84150"/>
                <wp:effectExtent l="0" t="0" r="0" b="0"/>
                <wp:wrapNone/>
                <wp:docPr id="78" name="Frame7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6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Pursuant to Rule 13a-14(a) of the Securities Exchange Act of 1934</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John E. Geller, Jr., certify that: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bl>
      <w:tblPr>
        <w:tblW w:w="3552" w:type="dxa"/>
        <w:jc w:val="left"/>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Financial Officer</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Pursuant to Rule 13a-14(a) of the Securities Exchange Act of 1934</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Jason P. Marino, certify that: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John E. Geller, Jr., President and Chief Executive Officer of Marriott Vacations Worldwide Corporation (the “Company”) certify that: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 2024</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Jason P. Marino, Executive Vice President and Chief Financial Officer of Marriott Vacations Worldwide Corporation (the “Company”) certify that: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 2024</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358/000152435823000022/exhibit32secondrestatedcer.htm" TargetMode="External"/><Relationship Id="rId3" Type="http://schemas.openxmlformats.org/officeDocument/2006/relationships/hyperlink" Target="https://www.sec.gov/Archives/edgar/data/1524358/000152435823000031/a2023q2ex33restatedbylawso.htm" TargetMode="External"/><Relationship Id="rId4" Type="http://schemas.openxmlformats.org/officeDocument/2006/relationships/hyperlink" Target="https://www.sec.gov/Archives/edgar/data/1524358/000119312511271851/d197736dex41.htm" TargetMode="External"/><Relationship Id="rId5" Type="http://schemas.openxmlformats.org/officeDocument/2006/relationships/hyperlink" Target="https://www.sec.gov/Archives/edgar/data/1524358/000119312519259964/d812229dex41.htm" TargetMode="External"/><Relationship Id="rId6" Type="http://schemas.openxmlformats.org/officeDocument/2006/relationships/hyperlink" Target="https://www.sec.gov/Archives/edgar/data/1524358/000152435820000011/a201910-kex412suppleme.htm" TargetMode="External"/><Relationship Id="rId7" Type="http://schemas.openxmlformats.org/officeDocument/2006/relationships/hyperlink" Target="https://www.sec.gov/Archives/edgar/data/1524358/000152435820000011/a201910-kex413xseconds.htm" TargetMode="External"/><Relationship Id="rId8" Type="http://schemas.openxmlformats.org/officeDocument/2006/relationships/hyperlink" Target="https://www.sec.gov/Archives/edgar/data/1524358/000119312519259964/d812229dex41.htm" TargetMode="External"/><Relationship Id="rId9" Type="http://schemas.openxmlformats.org/officeDocument/2006/relationships/hyperlink" Target="https://www.sec.gov/Archives/edgar/data/1524358/000119312519259964/d812229dex43.htm" TargetMode="External"/><Relationship Id="rId10" Type="http://schemas.openxmlformats.org/officeDocument/2006/relationships/hyperlink" Target="https://www.sec.gov/Archives/edgar/data/0001524358/000119312521027303/d41256dex41.htm" TargetMode="External"/><Relationship Id="rId11" Type="http://schemas.openxmlformats.org/officeDocument/2006/relationships/hyperlink" Target="https://www.sec.gov/Archives/edgar/data/0001524358/000119312521195243/d158882dex41.htm" TargetMode="External"/><Relationship Id="rId12" Type="http://schemas.openxmlformats.org/officeDocument/2006/relationships/hyperlink" Target="https://www.sec.gov/Archives/edgar/data/1524358/000119312522301061/d433395dex41.htm" TargetMode="External"/><Relationship Id="rId13" Type="http://schemas.openxmlformats.org/officeDocument/2006/relationships/hyperlink" Target="https://www.sec.gov/Archives/edgar/data/1524358/000152435820000011/a201910-kex416descript.htm" TargetMode="External"/><Relationship Id="rId14" Type="http://schemas.openxmlformats.org/officeDocument/2006/relationships/hyperlink" Target="https://www.sec.gov/Archives/edgar/data/1524358/000152435824000006/a2023ex1025changeinctrlsev.htm" TargetMode="External"/><Relationship Id="rId15" Type="http://schemas.openxmlformats.org/officeDocument/2006/relationships/hyperlink" Target="https://www.sec.gov/Archives/edgar/data/1524358/000152435824000035/ex101-incrementalfacilitya.htm" TargetMode="External"/><Relationship Id="rId16" Type="http://schemas.openxmlformats.org/officeDocument/2006/relationships/hyperlink" Target="https://www.sec.gov/Archives/edgar/data/1524358/000152435824000039/a2024q1ex103xformofstockap.htm" TargetMode="External"/><Relationship Id="rId17" Type="http://schemas.openxmlformats.org/officeDocument/2006/relationships/hyperlink" Target="https://www.sec.gov/Archives/edgar/data/1524358/000152435824000039/a2024q1ex104xformofrestric.htm" TargetMode="External"/><Relationship Id="rId18" Type="http://schemas.openxmlformats.org/officeDocument/2006/relationships/hyperlink" Target="https://www.sec.gov/Archives/edgar/data/1524358/000152435824000039/a2024q1ex105xformofperform.htm" TargetMode="External"/><Relationship Id="rId19" Type="http://schemas.openxmlformats.org/officeDocument/2006/relationships/hyperlink" Target="https://www.sec.gov/Archives/edgar/data/1524358/000152435824000006/a2023ex221xlistoftheissuer.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41087</Words>
  <Characters>216114</Characters>
  <CharactersWithSpaces>253565</CharactersWithSpaces>
  <Paragraphs>6727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